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1619" w14:textId="4ADA1586" w:rsidR="00CC0868" w:rsidRPr="00A95049" w:rsidRDefault="00190B67" w:rsidP="00CC0868">
      <w:pPr>
        <w:pStyle w:val="Nadpis2"/>
        <w:pageBreakBefore/>
        <w:tabs>
          <w:tab w:val="left" w:pos="360"/>
        </w:tabs>
        <w:spacing w:after="120"/>
        <w:jc w:val="both"/>
        <w:rPr>
          <w:color w:val="009CB5"/>
          <w:sz w:val="30"/>
          <w:szCs w:val="30"/>
        </w:rPr>
      </w:pPr>
      <w:r w:rsidRPr="00A95049">
        <w:rPr>
          <w:color w:val="009CB5"/>
          <w:sz w:val="30"/>
          <w:szCs w:val="30"/>
        </w:rPr>
        <w:t>9</w:t>
      </w:r>
      <w:r w:rsidR="00CC0868" w:rsidRPr="00A95049">
        <w:rPr>
          <w:color w:val="009CB5"/>
          <w:sz w:val="30"/>
          <w:szCs w:val="30"/>
        </w:rPr>
        <w:t>.</w:t>
      </w:r>
      <w:r w:rsidR="00CC0868" w:rsidRPr="00A95049">
        <w:rPr>
          <w:color w:val="009CB5"/>
          <w:sz w:val="30"/>
          <w:szCs w:val="30"/>
        </w:rPr>
        <w:tab/>
      </w:r>
      <w:r w:rsidR="00393AFD" w:rsidRPr="00A95049">
        <w:rPr>
          <w:color w:val="009CB5"/>
          <w:sz w:val="30"/>
          <w:szCs w:val="30"/>
        </w:rPr>
        <w:t>Placené</w:t>
      </w:r>
      <w:r w:rsidR="00380231" w:rsidRPr="00A95049">
        <w:rPr>
          <w:color w:val="009CB5"/>
          <w:sz w:val="30"/>
          <w:szCs w:val="30"/>
        </w:rPr>
        <w:t xml:space="preserve"> c</w:t>
      </w:r>
      <w:r w:rsidR="00F462E3" w:rsidRPr="00A95049">
        <w:rPr>
          <w:color w:val="009CB5"/>
          <w:sz w:val="30"/>
          <w:szCs w:val="30"/>
        </w:rPr>
        <w:t>loud</w:t>
      </w:r>
      <w:r w:rsidR="00393AFD" w:rsidRPr="00A95049">
        <w:rPr>
          <w:color w:val="009CB5"/>
          <w:sz w:val="30"/>
          <w:szCs w:val="30"/>
        </w:rPr>
        <w:t>ové služby</w:t>
      </w:r>
    </w:p>
    <w:p w14:paraId="6E328A41" w14:textId="7688B55F" w:rsidR="006C3A9D" w:rsidRPr="006C3A9D" w:rsidRDefault="00E24D54" w:rsidP="00A95049">
      <w:pPr>
        <w:pStyle w:val="Box"/>
      </w:pPr>
      <w:r>
        <w:t>Obliba</w:t>
      </w:r>
      <w:r w:rsidR="00F673AE">
        <w:t xml:space="preserve"> placených</w:t>
      </w:r>
      <w:r>
        <w:t xml:space="preserve"> cloudových služeb</w:t>
      </w:r>
      <w:r w:rsidR="00A00089">
        <w:t>, které podniky používají prostřednictvím internetu</w:t>
      </w:r>
      <w:r w:rsidR="00F51FCB">
        <w:t>,</w:t>
      </w:r>
      <w:r>
        <w:t xml:space="preserve"> roste</w:t>
      </w:r>
      <w:r w:rsidR="001F389B">
        <w:t>.</w:t>
      </w:r>
      <w:r>
        <w:t xml:space="preserve"> </w:t>
      </w:r>
      <w:r w:rsidR="001F389B">
        <w:t>V</w:t>
      </w:r>
      <w:r w:rsidR="00530C4C">
        <w:t xml:space="preserve"> roce 2025 </w:t>
      </w:r>
      <w:r w:rsidR="00F673AE">
        <w:t>je používal</w:t>
      </w:r>
      <w:r w:rsidR="00F51FCB">
        <w:t>a</w:t>
      </w:r>
      <w:r w:rsidR="00530C4C">
        <w:t xml:space="preserve"> již </w:t>
      </w:r>
      <w:r w:rsidR="00F51FCB">
        <w:t>více než polovina</w:t>
      </w:r>
      <w:r w:rsidR="00530C4C">
        <w:t xml:space="preserve"> podniků v</w:t>
      </w:r>
      <w:r w:rsidR="001F389B">
        <w:t> </w:t>
      </w:r>
      <w:r w:rsidR="00530C4C">
        <w:t>Česku</w:t>
      </w:r>
      <w:r w:rsidR="001F389B">
        <w:t>.</w:t>
      </w:r>
      <w:r w:rsidR="00426121">
        <w:t xml:space="preserve"> </w:t>
      </w:r>
      <w:r>
        <w:t>Nejčastěji využívan</w:t>
      </w:r>
      <w:r w:rsidR="00276634">
        <w:t>ými</w:t>
      </w:r>
      <w:r>
        <w:t xml:space="preserve"> cloudov</w:t>
      </w:r>
      <w:r w:rsidR="00276634">
        <w:t>ými</w:t>
      </w:r>
      <w:r>
        <w:t xml:space="preserve"> služb</w:t>
      </w:r>
      <w:r w:rsidR="00276634">
        <w:t>ami</w:t>
      </w:r>
      <w:r>
        <w:t xml:space="preserve"> jsou</w:t>
      </w:r>
      <w:r w:rsidR="00276634">
        <w:t xml:space="preserve"> </w:t>
      </w:r>
      <w:r w:rsidR="009B7B54">
        <w:t>e-mail</w:t>
      </w:r>
      <w:r w:rsidR="0016474D">
        <w:t>,</w:t>
      </w:r>
      <w:r>
        <w:t xml:space="preserve"> </w:t>
      </w:r>
      <w:r w:rsidR="00CF08B3">
        <w:t xml:space="preserve">kancelářské programy a </w:t>
      </w:r>
      <w:r>
        <w:t>internetová úložiště</w:t>
      </w:r>
      <w:r w:rsidR="006C3A9D" w:rsidRPr="006C3A9D">
        <w:t xml:space="preserve">. </w:t>
      </w:r>
    </w:p>
    <w:p w14:paraId="23EEE344" w14:textId="77777777" w:rsidR="00CC0868" w:rsidRPr="00A95049" w:rsidRDefault="00CC0868" w:rsidP="00F462E3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A95049">
        <w:rPr>
          <w:color w:val="009CB5"/>
          <w:sz w:val="24"/>
          <w:szCs w:val="24"/>
        </w:rPr>
        <w:t>Hlavní zjištění</w:t>
      </w:r>
    </w:p>
    <w:p w14:paraId="1E9160BA" w14:textId="3C6D140F" w:rsidR="00052C6B" w:rsidRPr="00E3531D" w:rsidRDefault="00052C6B" w:rsidP="00052C6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531D">
        <w:rPr>
          <w:rFonts w:ascii="Arial" w:hAnsi="Arial" w:cs="Arial"/>
          <w:sz w:val="20"/>
          <w:szCs w:val="20"/>
        </w:rPr>
        <w:t>V roce 202</w:t>
      </w:r>
      <w:r w:rsidR="008F715B" w:rsidRPr="00E3531D">
        <w:rPr>
          <w:rFonts w:ascii="Arial" w:hAnsi="Arial" w:cs="Arial"/>
          <w:sz w:val="20"/>
          <w:szCs w:val="20"/>
        </w:rPr>
        <w:t>5</w:t>
      </w:r>
      <w:r w:rsidRPr="00E3531D">
        <w:rPr>
          <w:rFonts w:ascii="Arial" w:hAnsi="Arial" w:cs="Arial"/>
          <w:sz w:val="20"/>
          <w:szCs w:val="20"/>
        </w:rPr>
        <w:t xml:space="preserve"> využívalo</w:t>
      </w:r>
      <w:r w:rsidR="00DB6456" w:rsidRPr="00E3531D">
        <w:rPr>
          <w:rFonts w:ascii="Arial" w:hAnsi="Arial" w:cs="Arial"/>
          <w:sz w:val="20"/>
          <w:szCs w:val="20"/>
        </w:rPr>
        <w:t xml:space="preserve"> v Česku</w:t>
      </w:r>
      <w:r w:rsidRPr="00E3531D">
        <w:rPr>
          <w:rFonts w:ascii="Arial" w:hAnsi="Arial" w:cs="Arial"/>
          <w:sz w:val="20"/>
          <w:szCs w:val="20"/>
        </w:rPr>
        <w:t xml:space="preserve"> </w:t>
      </w:r>
      <w:r w:rsidRPr="00E3531D">
        <w:rPr>
          <w:rFonts w:ascii="Arial" w:hAnsi="Arial" w:cs="Arial"/>
          <w:b/>
          <w:sz w:val="20"/>
          <w:szCs w:val="20"/>
        </w:rPr>
        <w:t>n</w:t>
      </w:r>
      <w:r w:rsidR="006C3A9D" w:rsidRPr="00E3531D">
        <w:rPr>
          <w:rFonts w:ascii="Arial" w:hAnsi="Arial" w:cs="Arial"/>
          <w:b/>
          <w:sz w:val="20"/>
          <w:szCs w:val="20"/>
        </w:rPr>
        <w:t>ěkterou ze služeb</w:t>
      </w:r>
      <w:r w:rsidR="006C3A9D" w:rsidRPr="00E3531D">
        <w:rPr>
          <w:rFonts w:ascii="Arial" w:hAnsi="Arial" w:cs="Arial"/>
          <w:sz w:val="20"/>
          <w:szCs w:val="20"/>
        </w:rPr>
        <w:t xml:space="preserve"> </w:t>
      </w:r>
      <w:r w:rsidR="006C3A9D" w:rsidRPr="00E3531D">
        <w:rPr>
          <w:rFonts w:ascii="Arial" w:hAnsi="Arial" w:cs="Arial"/>
          <w:b/>
          <w:sz w:val="20"/>
          <w:szCs w:val="20"/>
        </w:rPr>
        <w:t>placeného</w:t>
      </w:r>
      <w:r w:rsidR="006C3A9D" w:rsidRPr="00E3531D">
        <w:rPr>
          <w:rFonts w:ascii="Arial" w:hAnsi="Arial" w:cs="Arial"/>
          <w:sz w:val="20"/>
          <w:szCs w:val="20"/>
        </w:rPr>
        <w:t xml:space="preserve"> </w:t>
      </w:r>
      <w:r w:rsidR="006C3A9D" w:rsidRPr="00E3531D">
        <w:rPr>
          <w:rFonts w:ascii="Arial" w:hAnsi="Arial" w:cs="Arial"/>
          <w:b/>
          <w:sz w:val="20"/>
          <w:szCs w:val="20"/>
        </w:rPr>
        <w:t>cloud</w:t>
      </w:r>
      <w:r w:rsidRPr="00E3531D">
        <w:rPr>
          <w:rFonts w:ascii="Arial" w:hAnsi="Arial" w:cs="Arial"/>
          <w:b/>
          <w:sz w:val="20"/>
          <w:szCs w:val="20"/>
        </w:rPr>
        <w:t>u</w:t>
      </w:r>
      <w:r w:rsidR="006C3A9D" w:rsidRPr="00E3531D">
        <w:rPr>
          <w:rFonts w:ascii="Arial" w:hAnsi="Arial" w:cs="Arial"/>
          <w:b/>
          <w:sz w:val="20"/>
          <w:szCs w:val="20"/>
        </w:rPr>
        <w:t xml:space="preserve"> </w:t>
      </w:r>
      <w:r w:rsidR="00DB6456" w:rsidRPr="00E3531D">
        <w:rPr>
          <w:rFonts w:ascii="Arial" w:hAnsi="Arial" w:cs="Arial"/>
          <w:sz w:val="20"/>
          <w:szCs w:val="20"/>
        </w:rPr>
        <w:t>55</w:t>
      </w:r>
      <w:r w:rsidR="006C3A9D" w:rsidRPr="00E3531D">
        <w:rPr>
          <w:rFonts w:ascii="Arial" w:hAnsi="Arial" w:cs="Arial"/>
          <w:sz w:val="20"/>
          <w:szCs w:val="20"/>
        </w:rPr>
        <w:t xml:space="preserve"> % </w:t>
      </w:r>
      <w:r w:rsidRPr="00E3531D">
        <w:rPr>
          <w:rFonts w:ascii="Arial" w:hAnsi="Arial" w:cs="Arial"/>
          <w:sz w:val="20"/>
          <w:szCs w:val="20"/>
        </w:rPr>
        <w:t>podniků s deseti a více zaměstnanci</w:t>
      </w:r>
      <w:r w:rsidR="00503336" w:rsidRPr="00E3531D">
        <w:rPr>
          <w:rFonts w:ascii="Arial" w:hAnsi="Arial" w:cs="Arial"/>
          <w:sz w:val="20"/>
          <w:szCs w:val="20"/>
        </w:rPr>
        <w:t xml:space="preserve"> a</w:t>
      </w:r>
      <w:r w:rsidRPr="00E3531D">
        <w:rPr>
          <w:rFonts w:ascii="Arial" w:hAnsi="Arial" w:cs="Arial"/>
          <w:sz w:val="20"/>
          <w:szCs w:val="20"/>
        </w:rPr>
        <w:t xml:space="preserve"> </w:t>
      </w:r>
      <w:r w:rsidR="00370FF5" w:rsidRPr="00E3531D">
        <w:rPr>
          <w:rFonts w:ascii="Arial" w:hAnsi="Arial" w:cs="Arial"/>
          <w:sz w:val="20"/>
          <w:szCs w:val="20"/>
        </w:rPr>
        <w:t xml:space="preserve">jejich podíl se </w:t>
      </w:r>
      <w:r w:rsidR="00370FF5" w:rsidRPr="00E3531D">
        <w:rPr>
          <w:rFonts w:ascii="Arial" w:hAnsi="Arial" w:cs="Arial"/>
          <w:b/>
          <w:sz w:val="20"/>
          <w:szCs w:val="20"/>
        </w:rPr>
        <w:t>od roku 2014 zvýšil více než trojnásobně</w:t>
      </w:r>
      <w:r w:rsidR="005260D5" w:rsidRPr="00E3531D">
        <w:rPr>
          <w:rFonts w:ascii="Arial" w:hAnsi="Arial" w:cs="Arial"/>
          <w:sz w:val="20"/>
          <w:szCs w:val="20"/>
        </w:rPr>
        <w:t xml:space="preserve">. Placený cloud </w:t>
      </w:r>
      <w:r w:rsidRPr="00E3531D">
        <w:rPr>
          <w:rFonts w:ascii="Arial" w:hAnsi="Arial" w:cs="Arial"/>
          <w:sz w:val="20"/>
          <w:szCs w:val="20"/>
        </w:rPr>
        <w:t>po</w:t>
      </w:r>
      <w:r w:rsidR="005260D5" w:rsidRPr="00E3531D">
        <w:rPr>
          <w:rFonts w:ascii="Arial" w:hAnsi="Arial" w:cs="Arial"/>
          <w:sz w:val="20"/>
          <w:szCs w:val="20"/>
        </w:rPr>
        <w:t>užív</w:t>
      </w:r>
      <w:r w:rsidR="00370FF5" w:rsidRPr="00E3531D">
        <w:rPr>
          <w:rFonts w:ascii="Arial" w:hAnsi="Arial" w:cs="Arial"/>
          <w:sz w:val="20"/>
          <w:szCs w:val="20"/>
        </w:rPr>
        <w:t>alo</w:t>
      </w:r>
      <w:r w:rsidR="005260D5" w:rsidRPr="00E3531D">
        <w:rPr>
          <w:rFonts w:ascii="Arial" w:hAnsi="Arial" w:cs="Arial"/>
          <w:sz w:val="20"/>
          <w:szCs w:val="20"/>
        </w:rPr>
        <w:t xml:space="preserve"> </w:t>
      </w:r>
      <w:r w:rsidR="00412C84" w:rsidRPr="00E3531D">
        <w:rPr>
          <w:rFonts w:ascii="Arial" w:hAnsi="Arial" w:cs="Arial"/>
          <w:sz w:val="20"/>
          <w:szCs w:val="20"/>
        </w:rPr>
        <w:t>86</w:t>
      </w:r>
      <w:r w:rsidR="00370FF5" w:rsidRPr="00E3531D">
        <w:rPr>
          <w:rFonts w:ascii="Arial" w:hAnsi="Arial" w:cs="Arial"/>
          <w:sz w:val="20"/>
          <w:szCs w:val="20"/>
        </w:rPr>
        <w:t xml:space="preserve"> %</w:t>
      </w:r>
      <w:r w:rsidR="005260D5" w:rsidRPr="00E3531D">
        <w:rPr>
          <w:rFonts w:ascii="Arial" w:hAnsi="Arial" w:cs="Arial"/>
          <w:sz w:val="20"/>
          <w:szCs w:val="20"/>
        </w:rPr>
        <w:t xml:space="preserve"> velkých</w:t>
      </w:r>
      <w:r w:rsidRPr="00E3531D">
        <w:rPr>
          <w:rFonts w:ascii="Arial" w:hAnsi="Arial" w:cs="Arial"/>
          <w:sz w:val="20"/>
          <w:szCs w:val="20"/>
        </w:rPr>
        <w:t xml:space="preserve">, </w:t>
      </w:r>
      <w:r w:rsidR="00370FF5" w:rsidRPr="00E3531D">
        <w:rPr>
          <w:rFonts w:ascii="Arial" w:hAnsi="Arial" w:cs="Arial"/>
          <w:sz w:val="20"/>
          <w:szCs w:val="20"/>
        </w:rPr>
        <w:t>6</w:t>
      </w:r>
      <w:r w:rsidR="00412C84" w:rsidRPr="00E3531D">
        <w:rPr>
          <w:rFonts w:ascii="Arial" w:hAnsi="Arial" w:cs="Arial"/>
          <w:sz w:val="20"/>
          <w:szCs w:val="20"/>
        </w:rPr>
        <w:t>8</w:t>
      </w:r>
      <w:r w:rsidRPr="00E3531D">
        <w:rPr>
          <w:rFonts w:ascii="Arial" w:hAnsi="Arial" w:cs="Arial"/>
          <w:sz w:val="20"/>
          <w:szCs w:val="20"/>
        </w:rPr>
        <w:t xml:space="preserve"> % středních</w:t>
      </w:r>
      <w:r w:rsidR="005260D5" w:rsidRPr="00E3531D">
        <w:rPr>
          <w:rFonts w:ascii="Arial" w:hAnsi="Arial" w:cs="Arial"/>
          <w:sz w:val="20"/>
          <w:szCs w:val="20"/>
        </w:rPr>
        <w:t xml:space="preserve"> a </w:t>
      </w:r>
      <w:r w:rsidR="00412C84" w:rsidRPr="00E3531D">
        <w:rPr>
          <w:rFonts w:ascii="Arial" w:hAnsi="Arial" w:cs="Arial"/>
          <w:sz w:val="20"/>
          <w:szCs w:val="20"/>
        </w:rPr>
        <w:t>51</w:t>
      </w:r>
      <w:r w:rsidR="005260D5" w:rsidRPr="00E3531D">
        <w:rPr>
          <w:rFonts w:ascii="Arial" w:hAnsi="Arial" w:cs="Arial"/>
          <w:sz w:val="20"/>
          <w:szCs w:val="20"/>
        </w:rPr>
        <w:t xml:space="preserve"> % malých firem.</w:t>
      </w:r>
      <w:r w:rsidR="00503336" w:rsidRPr="00E3531D">
        <w:rPr>
          <w:rFonts w:ascii="Arial" w:hAnsi="Arial" w:cs="Arial"/>
          <w:sz w:val="20"/>
          <w:szCs w:val="20"/>
        </w:rPr>
        <w:t xml:space="preserve"> Podíl velkých podniků používajících placené cloudové služby se oproti roku 2014 zvýšil dokonce více než čtyřikrát.</w:t>
      </w:r>
      <w:r w:rsidRPr="00E3531D">
        <w:rPr>
          <w:rFonts w:ascii="Arial" w:hAnsi="Arial" w:cs="Arial"/>
          <w:sz w:val="20"/>
        </w:rPr>
        <w:t xml:space="preserve"> </w:t>
      </w:r>
    </w:p>
    <w:p w14:paraId="4A387BD0" w14:textId="7D43EE50" w:rsidR="006C3A9D" w:rsidRPr="00E3531D" w:rsidRDefault="005260D5" w:rsidP="0002492A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531D">
        <w:rPr>
          <w:rFonts w:ascii="Arial" w:hAnsi="Arial" w:cs="Arial"/>
          <w:sz w:val="20"/>
          <w:szCs w:val="20"/>
        </w:rPr>
        <w:t>Z</w:t>
      </w:r>
      <w:r w:rsidR="00052C6B" w:rsidRPr="00E3531D">
        <w:rPr>
          <w:rFonts w:ascii="Arial" w:hAnsi="Arial" w:cs="Arial"/>
          <w:sz w:val="20"/>
          <w:szCs w:val="20"/>
        </w:rPr>
        <w:t> </w:t>
      </w:r>
      <w:r w:rsidR="006C3A9D" w:rsidRPr="00E3531D">
        <w:rPr>
          <w:rFonts w:ascii="Arial" w:hAnsi="Arial" w:cs="Arial"/>
          <w:sz w:val="20"/>
          <w:szCs w:val="20"/>
        </w:rPr>
        <w:t>hlediska</w:t>
      </w:r>
      <w:r w:rsidR="00052C6B" w:rsidRPr="00E3531D">
        <w:rPr>
          <w:rFonts w:ascii="Arial" w:hAnsi="Arial" w:cs="Arial"/>
          <w:sz w:val="20"/>
          <w:szCs w:val="20"/>
        </w:rPr>
        <w:t xml:space="preserve"> </w:t>
      </w:r>
      <w:r w:rsidR="00052C6B" w:rsidRPr="00E3531D">
        <w:rPr>
          <w:rFonts w:ascii="Arial" w:hAnsi="Arial" w:cs="Arial"/>
          <w:bCs/>
          <w:sz w:val="20"/>
          <w:szCs w:val="20"/>
        </w:rPr>
        <w:t>sledovaných</w:t>
      </w:r>
      <w:r w:rsidR="006C3A9D" w:rsidRPr="00E3531D">
        <w:rPr>
          <w:rFonts w:ascii="Arial" w:hAnsi="Arial" w:cs="Arial"/>
          <w:bCs/>
          <w:sz w:val="20"/>
          <w:szCs w:val="20"/>
        </w:rPr>
        <w:t xml:space="preserve"> odvětví</w:t>
      </w:r>
      <w:r w:rsidR="006C3A9D" w:rsidRPr="00E3531D">
        <w:rPr>
          <w:rFonts w:ascii="Arial" w:hAnsi="Arial" w:cs="Arial"/>
          <w:sz w:val="20"/>
          <w:szCs w:val="20"/>
        </w:rPr>
        <w:t xml:space="preserve"> </w:t>
      </w:r>
      <w:r w:rsidR="00052C6B" w:rsidRPr="00E3531D">
        <w:rPr>
          <w:rFonts w:ascii="Arial" w:hAnsi="Arial" w:cs="Arial"/>
          <w:sz w:val="20"/>
          <w:szCs w:val="20"/>
        </w:rPr>
        <w:t xml:space="preserve">nalezneme nejvyšší podíl firem využívajících placených </w:t>
      </w:r>
      <w:r w:rsidR="00370FF5" w:rsidRPr="00E3531D">
        <w:rPr>
          <w:rFonts w:ascii="Arial" w:hAnsi="Arial" w:cs="Arial"/>
          <w:sz w:val="20"/>
          <w:szCs w:val="20"/>
        </w:rPr>
        <w:t xml:space="preserve">cloudových </w:t>
      </w:r>
      <w:r w:rsidR="00052C6B" w:rsidRPr="00E3531D">
        <w:rPr>
          <w:rFonts w:ascii="Arial" w:hAnsi="Arial" w:cs="Arial"/>
          <w:sz w:val="20"/>
          <w:szCs w:val="20"/>
        </w:rPr>
        <w:t>služeb v</w:t>
      </w:r>
      <w:r w:rsidR="009263D3" w:rsidRPr="00E3531D">
        <w:rPr>
          <w:rFonts w:ascii="Arial" w:hAnsi="Arial" w:cs="Arial"/>
          <w:sz w:val="20"/>
          <w:szCs w:val="20"/>
        </w:rPr>
        <w:t> </w:t>
      </w:r>
      <w:r w:rsidR="000A61D2" w:rsidRPr="00E3531D">
        <w:rPr>
          <w:rFonts w:ascii="Arial" w:hAnsi="Arial" w:cs="Arial"/>
          <w:sz w:val="20"/>
          <w:szCs w:val="20"/>
        </w:rPr>
        <w:t>odvět</w:t>
      </w:r>
      <w:r w:rsidR="00B30671" w:rsidRPr="00E3531D">
        <w:rPr>
          <w:rFonts w:ascii="Arial" w:hAnsi="Arial" w:cs="Arial"/>
          <w:sz w:val="20"/>
          <w:szCs w:val="20"/>
        </w:rPr>
        <w:t>vo</w:t>
      </w:r>
      <w:r w:rsidR="009263D3" w:rsidRPr="00E3531D">
        <w:rPr>
          <w:rFonts w:ascii="Arial" w:hAnsi="Arial" w:cs="Arial"/>
          <w:sz w:val="20"/>
          <w:szCs w:val="20"/>
        </w:rPr>
        <w:t xml:space="preserve">vé sekci J </w:t>
      </w:r>
      <w:r w:rsidR="000A61D2" w:rsidRPr="00E3531D">
        <w:rPr>
          <w:rFonts w:ascii="Arial" w:hAnsi="Arial" w:cs="Arial"/>
          <w:b/>
          <w:bCs/>
          <w:sz w:val="20"/>
          <w:szCs w:val="20"/>
        </w:rPr>
        <w:t>Informační</w:t>
      </w:r>
      <w:r w:rsidR="009263D3" w:rsidRPr="00E3531D">
        <w:rPr>
          <w:rFonts w:ascii="Arial" w:hAnsi="Arial" w:cs="Arial"/>
          <w:b/>
          <w:bCs/>
          <w:sz w:val="20"/>
          <w:szCs w:val="20"/>
        </w:rPr>
        <w:t xml:space="preserve"> a komunikační</w:t>
      </w:r>
      <w:r w:rsidR="000A61D2" w:rsidRPr="00E3531D">
        <w:rPr>
          <w:rFonts w:ascii="Arial" w:hAnsi="Arial" w:cs="Arial"/>
          <w:b/>
          <w:bCs/>
          <w:sz w:val="20"/>
          <w:szCs w:val="20"/>
        </w:rPr>
        <w:t xml:space="preserve"> činnosti</w:t>
      </w:r>
      <w:r w:rsidR="000A61D2" w:rsidRPr="00E3531D">
        <w:rPr>
          <w:rFonts w:ascii="Arial" w:hAnsi="Arial" w:cs="Arial"/>
          <w:sz w:val="20"/>
          <w:szCs w:val="20"/>
        </w:rPr>
        <w:t xml:space="preserve"> (</w:t>
      </w:r>
      <w:r w:rsidR="009263D3" w:rsidRPr="00E3531D">
        <w:rPr>
          <w:rFonts w:ascii="Arial" w:hAnsi="Arial" w:cs="Arial"/>
          <w:sz w:val="20"/>
          <w:szCs w:val="20"/>
        </w:rPr>
        <w:t>84 %</w:t>
      </w:r>
      <w:r w:rsidR="000A61D2" w:rsidRPr="00E3531D">
        <w:rPr>
          <w:rFonts w:ascii="Arial" w:hAnsi="Arial" w:cs="Arial"/>
          <w:sz w:val="20"/>
          <w:szCs w:val="20"/>
        </w:rPr>
        <w:t>)</w:t>
      </w:r>
      <w:r w:rsidR="005907FE" w:rsidRPr="00E3531D">
        <w:rPr>
          <w:rFonts w:ascii="Arial" w:hAnsi="Arial" w:cs="Arial"/>
          <w:sz w:val="20"/>
          <w:szCs w:val="20"/>
        </w:rPr>
        <w:t xml:space="preserve">, zde nejvíce </w:t>
      </w:r>
      <w:r w:rsidR="00065227" w:rsidRPr="00E3531D">
        <w:rPr>
          <w:rFonts w:ascii="Arial" w:hAnsi="Arial" w:cs="Arial"/>
          <w:sz w:val="20"/>
          <w:szCs w:val="20"/>
        </w:rPr>
        <w:t>v</w:t>
      </w:r>
      <w:r w:rsidR="00EF34B0" w:rsidRPr="00E3531D">
        <w:rPr>
          <w:rFonts w:ascii="Arial" w:hAnsi="Arial" w:cs="Arial"/>
          <w:sz w:val="20"/>
          <w:szCs w:val="20"/>
        </w:rPr>
        <w:t> Informační</w:t>
      </w:r>
      <w:r w:rsidR="009B6165" w:rsidRPr="00E3531D">
        <w:rPr>
          <w:rFonts w:ascii="Arial" w:hAnsi="Arial" w:cs="Arial"/>
          <w:sz w:val="20"/>
          <w:szCs w:val="20"/>
        </w:rPr>
        <w:t>ch</w:t>
      </w:r>
      <w:r w:rsidR="00EF34B0" w:rsidRPr="00E3531D">
        <w:rPr>
          <w:rFonts w:ascii="Arial" w:hAnsi="Arial" w:cs="Arial"/>
          <w:sz w:val="20"/>
          <w:szCs w:val="20"/>
        </w:rPr>
        <w:t xml:space="preserve"> činnost</w:t>
      </w:r>
      <w:r w:rsidR="009B6165" w:rsidRPr="00E3531D">
        <w:rPr>
          <w:rFonts w:ascii="Arial" w:hAnsi="Arial" w:cs="Arial"/>
          <w:sz w:val="20"/>
          <w:szCs w:val="20"/>
        </w:rPr>
        <w:t>ech</w:t>
      </w:r>
      <w:r w:rsidR="00EF34B0" w:rsidRPr="00E3531D">
        <w:rPr>
          <w:rFonts w:ascii="Arial" w:hAnsi="Arial" w:cs="Arial"/>
          <w:sz w:val="20"/>
          <w:szCs w:val="20"/>
        </w:rPr>
        <w:t xml:space="preserve"> (89 %)</w:t>
      </w:r>
      <w:r w:rsidR="00212935" w:rsidRPr="00E3531D">
        <w:rPr>
          <w:rFonts w:ascii="Arial" w:hAnsi="Arial" w:cs="Arial"/>
          <w:sz w:val="20"/>
          <w:szCs w:val="20"/>
        </w:rPr>
        <w:t xml:space="preserve">. </w:t>
      </w:r>
      <w:r w:rsidR="00B25120" w:rsidRPr="00E3531D">
        <w:rPr>
          <w:rFonts w:ascii="Arial" w:hAnsi="Arial" w:cs="Arial"/>
          <w:sz w:val="20"/>
          <w:szCs w:val="20"/>
        </w:rPr>
        <w:t xml:space="preserve">V tomto odvětví jsou firmy, které se zabývají </w:t>
      </w:r>
      <w:r w:rsidR="00DD6712" w:rsidRPr="00E3531D">
        <w:rPr>
          <w:rFonts w:ascii="Arial" w:hAnsi="Arial" w:cs="Arial"/>
          <w:b/>
          <w:bCs/>
          <w:sz w:val="20"/>
          <w:szCs w:val="20"/>
        </w:rPr>
        <w:t>poskytování</w:t>
      </w:r>
      <w:r w:rsidR="00B25120" w:rsidRPr="00E3531D">
        <w:rPr>
          <w:rFonts w:ascii="Arial" w:hAnsi="Arial" w:cs="Arial"/>
          <w:b/>
          <w:bCs/>
          <w:sz w:val="20"/>
          <w:szCs w:val="20"/>
        </w:rPr>
        <w:t>m</w:t>
      </w:r>
      <w:r w:rsidR="00DD6712" w:rsidRPr="00E3531D">
        <w:rPr>
          <w:rFonts w:ascii="Arial" w:hAnsi="Arial" w:cs="Arial"/>
          <w:b/>
          <w:bCs/>
          <w:sz w:val="20"/>
          <w:szCs w:val="20"/>
        </w:rPr>
        <w:t xml:space="preserve"> počítačové infrastruktury, zpracování</w:t>
      </w:r>
      <w:r w:rsidR="00B25120" w:rsidRPr="00E3531D">
        <w:rPr>
          <w:rFonts w:ascii="Arial" w:hAnsi="Arial" w:cs="Arial"/>
          <w:b/>
          <w:bCs/>
          <w:sz w:val="20"/>
          <w:szCs w:val="20"/>
        </w:rPr>
        <w:t>m</w:t>
      </w:r>
      <w:r w:rsidR="00DD6712" w:rsidRPr="00E3531D">
        <w:rPr>
          <w:rFonts w:ascii="Arial" w:hAnsi="Arial" w:cs="Arial"/>
          <w:b/>
          <w:bCs/>
          <w:sz w:val="20"/>
          <w:szCs w:val="20"/>
        </w:rPr>
        <w:t xml:space="preserve"> dat</w:t>
      </w:r>
      <w:r w:rsidR="00351377" w:rsidRPr="00E3531D">
        <w:rPr>
          <w:rFonts w:ascii="Arial" w:hAnsi="Arial" w:cs="Arial"/>
          <w:b/>
          <w:bCs/>
          <w:sz w:val="20"/>
          <w:szCs w:val="20"/>
        </w:rPr>
        <w:t xml:space="preserve"> nebo</w:t>
      </w:r>
      <w:r w:rsidR="00DD6712" w:rsidRPr="00E3531D">
        <w:rPr>
          <w:rFonts w:ascii="Arial" w:hAnsi="Arial" w:cs="Arial"/>
          <w:b/>
          <w:bCs/>
          <w:sz w:val="20"/>
          <w:szCs w:val="20"/>
        </w:rPr>
        <w:t xml:space="preserve"> hosting</w:t>
      </w:r>
      <w:r w:rsidR="00B25120" w:rsidRPr="00E3531D">
        <w:rPr>
          <w:rFonts w:ascii="Arial" w:hAnsi="Arial" w:cs="Arial"/>
          <w:b/>
          <w:bCs/>
          <w:sz w:val="20"/>
          <w:szCs w:val="20"/>
        </w:rPr>
        <w:t>em</w:t>
      </w:r>
      <w:r w:rsidR="00351377" w:rsidRPr="00E3531D">
        <w:rPr>
          <w:rFonts w:ascii="Arial" w:hAnsi="Arial" w:cs="Arial"/>
          <w:sz w:val="20"/>
          <w:szCs w:val="20"/>
        </w:rPr>
        <w:t xml:space="preserve">. </w:t>
      </w:r>
      <w:r w:rsidR="003D5AF9" w:rsidRPr="00E3531D">
        <w:rPr>
          <w:rFonts w:ascii="Arial" w:hAnsi="Arial" w:cs="Arial"/>
          <w:sz w:val="20"/>
          <w:szCs w:val="20"/>
        </w:rPr>
        <w:t xml:space="preserve">Podniky, které využívají placené cloudové </w:t>
      </w:r>
      <w:r w:rsidR="00174CC3">
        <w:rPr>
          <w:rFonts w:ascii="Arial" w:hAnsi="Arial" w:cs="Arial"/>
          <w:sz w:val="20"/>
          <w:szCs w:val="20"/>
        </w:rPr>
        <w:t>služby</w:t>
      </w:r>
      <w:r w:rsidR="003D5AF9" w:rsidRPr="00E3531D">
        <w:rPr>
          <w:rFonts w:ascii="Arial" w:hAnsi="Arial" w:cs="Arial"/>
          <w:sz w:val="20"/>
          <w:szCs w:val="20"/>
        </w:rPr>
        <w:t xml:space="preserve"> </w:t>
      </w:r>
      <w:r w:rsidR="00B13F76" w:rsidRPr="00E3531D">
        <w:rPr>
          <w:rFonts w:ascii="Arial" w:hAnsi="Arial" w:cs="Arial"/>
          <w:sz w:val="20"/>
          <w:szCs w:val="20"/>
        </w:rPr>
        <w:t xml:space="preserve">nejméně, nalezneme </w:t>
      </w:r>
      <w:r w:rsidR="00052C6B" w:rsidRPr="00E3531D">
        <w:rPr>
          <w:rFonts w:ascii="Arial" w:hAnsi="Arial" w:cs="Arial"/>
          <w:sz w:val="20"/>
          <w:szCs w:val="20"/>
        </w:rPr>
        <w:t>v</w:t>
      </w:r>
      <w:r w:rsidR="002D400B" w:rsidRPr="00E3531D">
        <w:rPr>
          <w:rFonts w:ascii="Arial" w:hAnsi="Arial" w:cs="Arial"/>
          <w:sz w:val="20"/>
          <w:szCs w:val="20"/>
        </w:rPr>
        <w:t> odvětví doprava a skladování</w:t>
      </w:r>
      <w:r w:rsidR="00B13F76" w:rsidRPr="00E3531D">
        <w:rPr>
          <w:rFonts w:ascii="Arial" w:hAnsi="Arial" w:cs="Arial"/>
          <w:sz w:val="20"/>
          <w:szCs w:val="20"/>
        </w:rPr>
        <w:t xml:space="preserve"> (</w:t>
      </w:r>
      <w:r w:rsidR="009555DA" w:rsidRPr="00E3531D">
        <w:rPr>
          <w:rFonts w:ascii="Arial" w:hAnsi="Arial" w:cs="Arial"/>
          <w:sz w:val="20"/>
          <w:szCs w:val="20"/>
        </w:rPr>
        <w:t xml:space="preserve">cloudové služby používá </w:t>
      </w:r>
      <w:r w:rsidR="00B13F76" w:rsidRPr="00E3531D">
        <w:rPr>
          <w:rFonts w:ascii="Arial" w:hAnsi="Arial" w:cs="Arial"/>
          <w:sz w:val="20"/>
          <w:szCs w:val="20"/>
        </w:rPr>
        <w:t>42 %</w:t>
      </w:r>
      <w:r w:rsidR="009555DA" w:rsidRPr="00E3531D">
        <w:rPr>
          <w:rFonts w:ascii="Arial" w:hAnsi="Arial" w:cs="Arial"/>
          <w:sz w:val="20"/>
          <w:szCs w:val="20"/>
        </w:rPr>
        <w:t xml:space="preserve"> podniků</w:t>
      </w:r>
      <w:r w:rsidR="00B13F76" w:rsidRPr="00E3531D">
        <w:rPr>
          <w:rFonts w:ascii="Arial" w:hAnsi="Arial" w:cs="Arial"/>
          <w:sz w:val="20"/>
          <w:szCs w:val="20"/>
        </w:rPr>
        <w:t>)</w:t>
      </w:r>
      <w:r w:rsidR="009555DA" w:rsidRPr="00E3531D">
        <w:rPr>
          <w:rFonts w:ascii="Arial" w:hAnsi="Arial" w:cs="Arial"/>
          <w:sz w:val="20"/>
          <w:szCs w:val="20"/>
        </w:rPr>
        <w:t>, v ostatních administrati</w:t>
      </w:r>
      <w:r w:rsidR="00BA6B9E" w:rsidRPr="00E3531D">
        <w:rPr>
          <w:rFonts w:ascii="Arial" w:hAnsi="Arial" w:cs="Arial"/>
          <w:sz w:val="20"/>
          <w:szCs w:val="20"/>
        </w:rPr>
        <w:t>vních činnostech (40 %) nebo ve stravování (</w:t>
      </w:r>
      <w:r w:rsidR="00F351DA" w:rsidRPr="00E3531D">
        <w:rPr>
          <w:rFonts w:ascii="Arial" w:hAnsi="Arial" w:cs="Arial"/>
          <w:sz w:val="20"/>
          <w:szCs w:val="20"/>
        </w:rPr>
        <w:t>39 %)</w:t>
      </w:r>
      <w:r w:rsidR="00052C6B" w:rsidRPr="00E3531D">
        <w:rPr>
          <w:rFonts w:ascii="Arial" w:hAnsi="Arial" w:cs="Arial"/>
          <w:sz w:val="20"/>
          <w:szCs w:val="20"/>
        </w:rPr>
        <w:t>.</w:t>
      </w:r>
    </w:p>
    <w:p w14:paraId="47ED82B5" w14:textId="2EA41A99" w:rsidR="00C83587" w:rsidRPr="00A2499E" w:rsidRDefault="00D91250" w:rsidP="000425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A2499E">
        <w:rPr>
          <w:rFonts w:ascii="Arial" w:hAnsi="Arial" w:cs="Arial"/>
          <w:sz w:val="20"/>
        </w:rPr>
        <w:t>N</w:t>
      </w:r>
      <w:r w:rsidR="00782139" w:rsidRPr="00A2499E">
        <w:rPr>
          <w:rFonts w:ascii="Arial" w:hAnsi="Arial" w:cs="Arial"/>
          <w:sz w:val="20"/>
        </w:rPr>
        <w:t xml:space="preserve">ejčastěji </w:t>
      </w:r>
      <w:r w:rsidR="000425C5" w:rsidRPr="00A2499E">
        <w:rPr>
          <w:rFonts w:ascii="Arial" w:hAnsi="Arial" w:cs="Arial"/>
          <w:sz w:val="20"/>
        </w:rPr>
        <w:t>využívan</w:t>
      </w:r>
      <w:r w:rsidR="00D1684A" w:rsidRPr="00A2499E">
        <w:rPr>
          <w:rFonts w:ascii="Arial" w:hAnsi="Arial" w:cs="Arial"/>
          <w:sz w:val="20"/>
        </w:rPr>
        <w:t>ou</w:t>
      </w:r>
      <w:r w:rsidR="000425C5" w:rsidRPr="00A2499E">
        <w:rPr>
          <w:rFonts w:ascii="Arial" w:hAnsi="Arial" w:cs="Arial"/>
          <w:sz w:val="20"/>
        </w:rPr>
        <w:t xml:space="preserve"> cloud</w:t>
      </w:r>
      <w:r w:rsidR="00D1684A" w:rsidRPr="00A2499E">
        <w:rPr>
          <w:rFonts w:ascii="Arial" w:hAnsi="Arial" w:cs="Arial"/>
          <w:sz w:val="20"/>
        </w:rPr>
        <w:t>ovou službou</w:t>
      </w:r>
      <w:r w:rsidR="00782139" w:rsidRPr="00A2499E">
        <w:rPr>
          <w:rFonts w:ascii="Arial" w:hAnsi="Arial" w:cs="Arial"/>
          <w:sz w:val="20"/>
        </w:rPr>
        <w:t xml:space="preserve"> </w:t>
      </w:r>
      <w:r w:rsidR="00C57709" w:rsidRPr="00A2499E">
        <w:rPr>
          <w:rFonts w:ascii="Arial" w:hAnsi="Arial" w:cs="Arial"/>
          <w:sz w:val="20"/>
        </w:rPr>
        <w:t>je</w:t>
      </w:r>
      <w:r w:rsidRPr="00A2499E">
        <w:rPr>
          <w:rFonts w:ascii="Arial" w:hAnsi="Arial" w:cs="Arial"/>
          <w:sz w:val="20"/>
        </w:rPr>
        <w:t xml:space="preserve"> pro podniky</w:t>
      </w:r>
      <w:r w:rsidR="00782139" w:rsidRPr="00A2499E">
        <w:rPr>
          <w:rFonts w:ascii="Arial" w:hAnsi="Arial" w:cs="Arial"/>
          <w:sz w:val="20"/>
        </w:rPr>
        <w:t xml:space="preserve"> v</w:t>
      </w:r>
      <w:r w:rsidR="00FE4AC5" w:rsidRPr="00A2499E">
        <w:rPr>
          <w:rFonts w:ascii="Arial" w:hAnsi="Arial" w:cs="Arial"/>
          <w:sz w:val="20"/>
        </w:rPr>
        <w:t> </w:t>
      </w:r>
      <w:r w:rsidR="00782139" w:rsidRPr="00A2499E">
        <w:rPr>
          <w:rFonts w:ascii="Arial" w:hAnsi="Arial" w:cs="Arial"/>
          <w:sz w:val="20"/>
        </w:rPr>
        <w:t>Česku</w:t>
      </w:r>
      <w:r w:rsidR="00FE4AC5" w:rsidRPr="00A2499E">
        <w:rPr>
          <w:rFonts w:ascii="Arial" w:hAnsi="Arial" w:cs="Arial"/>
          <w:sz w:val="20"/>
        </w:rPr>
        <w:t xml:space="preserve"> </w:t>
      </w:r>
      <w:r w:rsidR="00782139" w:rsidRPr="00A2499E">
        <w:rPr>
          <w:rFonts w:ascii="Arial" w:hAnsi="Arial" w:cs="Arial"/>
          <w:sz w:val="20"/>
        </w:rPr>
        <w:t xml:space="preserve">placený </w:t>
      </w:r>
      <w:r w:rsidR="00FE7C91" w:rsidRPr="00A2499E">
        <w:rPr>
          <w:rFonts w:ascii="Arial" w:hAnsi="Arial" w:cs="Arial"/>
          <w:b/>
          <w:sz w:val="20"/>
        </w:rPr>
        <w:t>cloudový e</w:t>
      </w:r>
      <w:r w:rsidR="000425C5" w:rsidRPr="00A2499E">
        <w:rPr>
          <w:rFonts w:ascii="Arial" w:hAnsi="Arial" w:cs="Arial"/>
          <w:b/>
          <w:sz w:val="20"/>
        </w:rPr>
        <w:noBreakHyphen/>
      </w:r>
      <w:r w:rsidR="00FE7C91" w:rsidRPr="00A2499E">
        <w:rPr>
          <w:rFonts w:ascii="Arial" w:hAnsi="Arial" w:cs="Arial"/>
          <w:b/>
          <w:sz w:val="20"/>
        </w:rPr>
        <w:t>m</w:t>
      </w:r>
      <w:r w:rsidR="00782139" w:rsidRPr="00A2499E">
        <w:rPr>
          <w:rFonts w:ascii="Arial" w:hAnsi="Arial" w:cs="Arial"/>
          <w:b/>
          <w:sz w:val="20"/>
        </w:rPr>
        <w:t>ail</w:t>
      </w:r>
      <w:r w:rsidR="00782139" w:rsidRPr="00A2499E">
        <w:rPr>
          <w:rFonts w:ascii="Arial" w:hAnsi="Arial" w:cs="Arial"/>
          <w:sz w:val="20"/>
        </w:rPr>
        <w:t>, v </w:t>
      </w:r>
      <w:r w:rsidR="003F2864" w:rsidRPr="00A2499E">
        <w:rPr>
          <w:rFonts w:ascii="Arial" w:hAnsi="Arial" w:cs="Arial"/>
          <w:sz w:val="20"/>
        </w:rPr>
        <w:t>roce</w:t>
      </w:r>
      <w:r w:rsidR="00782139" w:rsidRPr="00A2499E">
        <w:rPr>
          <w:rFonts w:ascii="Arial" w:hAnsi="Arial" w:cs="Arial"/>
          <w:sz w:val="20"/>
        </w:rPr>
        <w:t xml:space="preserve"> 20</w:t>
      </w:r>
      <w:r w:rsidR="00A0257D" w:rsidRPr="00A2499E">
        <w:rPr>
          <w:rFonts w:ascii="Arial" w:hAnsi="Arial" w:cs="Arial"/>
          <w:sz w:val="20"/>
        </w:rPr>
        <w:t>2</w:t>
      </w:r>
      <w:r w:rsidRPr="00A2499E">
        <w:rPr>
          <w:rFonts w:ascii="Arial" w:hAnsi="Arial" w:cs="Arial"/>
          <w:sz w:val="20"/>
        </w:rPr>
        <w:t>5</w:t>
      </w:r>
      <w:r w:rsidR="00C57709" w:rsidRPr="00A2499E">
        <w:rPr>
          <w:rFonts w:ascii="Arial" w:hAnsi="Arial" w:cs="Arial"/>
          <w:sz w:val="20"/>
        </w:rPr>
        <w:t xml:space="preserve"> jej</w:t>
      </w:r>
      <w:r w:rsidR="00A0257D" w:rsidRPr="00A2499E">
        <w:rPr>
          <w:rFonts w:ascii="Arial" w:hAnsi="Arial" w:cs="Arial"/>
          <w:sz w:val="20"/>
        </w:rPr>
        <w:t xml:space="preserve"> </w:t>
      </w:r>
      <w:r w:rsidR="00782139" w:rsidRPr="00A2499E">
        <w:rPr>
          <w:rFonts w:ascii="Arial" w:hAnsi="Arial" w:cs="Arial"/>
          <w:sz w:val="20"/>
        </w:rPr>
        <w:t>využíval</w:t>
      </w:r>
      <w:r w:rsidR="00C57709" w:rsidRPr="00A2499E">
        <w:rPr>
          <w:rFonts w:ascii="Arial" w:hAnsi="Arial" w:cs="Arial"/>
          <w:sz w:val="20"/>
        </w:rPr>
        <w:t>o</w:t>
      </w:r>
      <w:r w:rsidR="00073609" w:rsidRPr="00A2499E">
        <w:rPr>
          <w:rFonts w:ascii="Arial" w:hAnsi="Arial" w:cs="Arial"/>
          <w:sz w:val="20"/>
        </w:rPr>
        <w:t xml:space="preserve"> </w:t>
      </w:r>
      <w:r w:rsidR="00C57709" w:rsidRPr="00A2499E">
        <w:rPr>
          <w:rFonts w:ascii="Arial" w:hAnsi="Arial" w:cs="Arial"/>
          <w:sz w:val="20"/>
        </w:rPr>
        <w:t>4</w:t>
      </w:r>
      <w:r w:rsidR="00FA7E26" w:rsidRPr="00A2499E">
        <w:rPr>
          <w:rFonts w:ascii="Arial" w:hAnsi="Arial" w:cs="Arial"/>
          <w:sz w:val="20"/>
        </w:rPr>
        <w:t>9</w:t>
      </w:r>
      <w:r w:rsidR="00C57709" w:rsidRPr="00A2499E">
        <w:rPr>
          <w:rFonts w:ascii="Arial" w:hAnsi="Arial" w:cs="Arial"/>
          <w:sz w:val="20"/>
        </w:rPr>
        <w:t> % všech</w:t>
      </w:r>
      <w:r w:rsidR="00831E32" w:rsidRPr="00A2499E">
        <w:rPr>
          <w:rFonts w:ascii="Arial" w:hAnsi="Arial" w:cs="Arial"/>
          <w:sz w:val="20"/>
        </w:rPr>
        <w:t xml:space="preserve"> podniků s</w:t>
      </w:r>
      <w:r w:rsidR="00805AE2" w:rsidRPr="00A2499E">
        <w:rPr>
          <w:rFonts w:ascii="Arial" w:hAnsi="Arial" w:cs="Arial"/>
          <w:sz w:val="20"/>
        </w:rPr>
        <w:t> deseti a</w:t>
      </w:r>
      <w:r w:rsidR="00FE4AC5" w:rsidRPr="00A2499E">
        <w:rPr>
          <w:rFonts w:ascii="Arial" w:hAnsi="Arial" w:cs="Arial"/>
          <w:sz w:val="20"/>
        </w:rPr>
        <w:t> </w:t>
      </w:r>
      <w:r w:rsidR="00805AE2" w:rsidRPr="00A2499E">
        <w:rPr>
          <w:rFonts w:ascii="Arial" w:hAnsi="Arial" w:cs="Arial"/>
          <w:sz w:val="20"/>
        </w:rPr>
        <w:t>více zaměstnanci</w:t>
      </w:r>
      <w:r w:rsidR="00C57709" w:rsidRPr="00A2499E">
        <w:rPr>
          <w:rFonts w:ascii="Arial" w:hAnsi="Arial" w:cs="Arial"/>
          <w:sz w:val="20"/>
        </w:rPr>
        <w:t>, tedy 90 % podniků, které používaly cloudové služby.</w:t>
      </w:r>
      <w:r w:rsidR="000425C5" w:rsidRPr="00A2499E">
        <w:rPr>
          <w:rFonts w:ascii="Arial" w:hAnsi="Arial" w:cs="Arial"/>
          <w:sz w:val="20"/>
        </w:rPr>
        <w:t xml:space="preserve"> </w:t>
      </w:r>
      <w:r w:rsidR="00805AE2" w:rsidRPr="00A2499E">
        <w:rPr>
          <w:rFonts w:ascii="Arial" w:hAnsi="Arial" w:cs="Arial"/>
          <w:sz w:val="20"/>
        </w:rPr>
        <w:t>Placen</w:t>
      </w:r>
      <w:r w:rsidR="00BF2F1C" w:rsidRPr="00A2499E">
        <w:rPr>
          <w:rFonts w:ascii="Arial" w:hAnsi="Arial" w:cs="Arial"/>
          <w:sz w:val="20"/>
        </w:rPr>
        <w:t>é</w:t>
      </w:r>
      <w:r w:rsidR="00805AE2" w:rsidRPr="00A2499E">
        <w:rPr>
          <w:rFonts w:ascii="Arial" w:hAnsi="Arial" w:cs="Arial"/>
          <w:sz w:val="20"/>
        </w:rPr>
        <w:t xml:space="preserve"> </w:t>
      </w:r>
      <w:r w:rsidR="00BF2F1C" w:rsidRPr="00A2499E">
        <w:rPr>
          <w:rFonts w:ascii="Arial" w:hAnsi="Arial" w:cs="Arial"/>
          <w:b/>
          <w:sz w:val="20"/>
        </w:rPr>
        <w:t xml:space="preserve">cloudové kancelářské programy </w:t>
      </w:r>
      <w:r w:rsidR="00BF2F1C" w:rsidRPr="00A2499E">
        <w:rPr>
          <w:rFonts w:ascii="Arial" w:hAnsi="Arial" w:cs="Arial"/>
          <w:bCs/>
          <w:sz w:val="20"/>
        </w:rPr>
        <w:t>používalo ve stejném roce 37 % všech podniků a</w:t>
      </w:r>
      <w:r w:rsidR="00A2499E">
        <w:rPr>
          <w:rFonts w:ascii="Arial" w:hAnsi="Arial" w:cs="Arial"/>
          <w:bCs/>
          <w:sz w:val="20"/>
        </w:rPr>
        <w:t> </w:t>
      </w:r>
      <w:r w:rsidR="00805AE2" w:rsidRPr="00A2499E">
        <w:rPr>
          <w:rFonts w:ascii="Arial" w:hAnsi="Arial" w:cs="Arial"/>
          <w:b/>
          <w:sz w:val="20"/>
        </w:rPr>
        <w:t>internetová</w:t>
      </w:r>
      <w:r w:rsidR="00A2499E">
        <w:rPr>
          <w:rFonts w:ascii="Arial" w:hAnsi="Arial" w:cs="Arial"/>
          <w:b/>
          <w:sz w:val="20"/>
        </w:rPr>
        <w:t xml:space="preserve"> cloudová</w:t>
      </w:r>
      <w:r w:rsidR="00805AE2" w:rsidRPr="00A2499E">
        <w:rPr>
          <w:rFonts w:ascii="Arial" w:hAnsi="Arial" w:cs="Arial"/>
          <w:b/>
          <w:sz w:val="20"/>
        </w:rPr>
        <w:t xml:space="preserve"> úložiště</w:t>
      </w:r>
      <w:r w:rsidR="00C83587" w:rsidRPr="00A2499E">
        <w:rPr>
          <w:rFonts w:ascii="Arial" w:hAnsi="Arial" w:cs="Arial"/>
          <w:b/>
          <w:sz w:val="20"/>
        </w:rPr>
        <w:t xml:space="preserve"> </w:t>
      </w:r>
      <w:r w:rsidR="00C57709" w:rsidRPr="00A2499E">
        <w:rPr>
          <w:rFonts w:ascii="Arial" w:hAnsi="Arial" w:cs="Arial"/>
          <w:sz w:val="20"/>
        </w:rPr>
        <w:t>3</w:t>
      </w:r>
      <w:r w:rsidR="00BF2F1C" w:rsidRPr="00A2499E">
        <w:rPr>
          <w:rFonts w:ascii="Arial" w:hAnsi="Arial" w:cs="Arial"/>
          <w:sz w:val="20"/>
        </w:rPr>
        <w:t>6</w:t>
      </w:r>
      <w:r w:rsidR="000425C5" w:rsidRPr="00A2499E">
        <w:rPr>
          <w:rFonts w:ascii="Arial" w:hAnsi="Arial" w:cs="Arial"/>
          <w:sz w:val="20"/>
        </w:rPr>
        <w:t> </w:t>
      </w:r>
      <w:r w:rsidR="00805AE2" w:rsidRPr="00A2499E">
        <w:rPr>
          <w:rFonts w:ascii="Arial" w:hAnsi="Arial" w:cs="Arial"/>
          <w:sz w:val="20"/>
        </w:rPr>
        <w:t>% podniků</w:t>
      </w:r>
      <w:r w:rsidR="00A2499E" w:rsidRPr="00A2499E">
        <w:rPr>
          <w:rFonts w:ascii="Arial" w:hAnsi="Arial" w:cs="Arial"/>
          <w:sz w:val="20"/>
        </w:rPr>
        <w:t>. V obou případech jde o</w:t>
      </w:r>
      <w:r w:rsidR="00C83587" w:rsidRPr="00A2499E">
        <w:rPr>
          <w:rFonts w:ascii="Arial" w:hAnsi="Arial" w:cs="Arial"/>
          <w:sz w:val="20"/>
        </w:rPr>
        <w:t xml:space="preserve"> více než dvě třetiny </w:t>
      </w:r>
      <w:r w:rsidR="00A2499E" w:rsidRPr="00A2499E">
        <w:rPr>
          <w:rFonts w:ascii="Arial" w:hAnsi="Arial" w:cs="Arial"/>
          <w:sz w:val="20"/>
        </w:rPr>
        <w:t xml:space="preserve">podniků používajících </w:t>
      </w:r>
      <w:r w:rsidR="00C83587" w:rsidRPr="00A2499E">
        <w:rPr>
          <w:rFonts w:ascii="Arial" w:hAnsi="Arial" w:cs="Arial"/>
          <w:sz w:val="20"/>
        </w:rPr>
        <w:t xml:space="preserve">cloudové </w:t>
      </w:r>
      <w:r w:rsidR="00D07B55" w:rsidRPr="00A2499E">
        <w:rPr>
          <w:rFonts w:ascii="Arial" w:hAnsi="Arial" w:cs="Arial"/>
          <w:sz w:val="20"/>
        </w:rPr>
        <w:t>s</w:t>
      </w:r>
      <w:r w:rsidR="00C83587" w:rsidRPr="00A2499E">
        <w:rPr>
          <w:rFonts w:ascii="Arial" w:hAnsi="Arial" w:cs="Arial"/>
          <w:sz w:val="20"/>
        </w:rPr>
        <w:t>lužby</w:t>
      </w:r>
      <w:r w:rsidR="00805AE2" w:rsidRPr="00A2499E">
        <w:rPr>
          <w:rFonts w:ascii="Arial" w:hAnsi="Arial" w:cs="Arial"/>
          <w:sz w:val="20"/>
        </w:rPr>
        <w:t>.</w:t>
      </w:r>
    </w:p>
    <w:p w14:paraId="398CAEF3" w14:textId="00EA7922" w:rsidR="005A2211" w:rsidRPr="003C44CF" w:rsidRDefault="00C83587" w:rsidP="00CF0E5C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3C44CF">
        <w:rPr>
          <w:rFonts w:ascii="Arial" w:hAnsi="Arial" w:cs="Arial"/>
          <w:sz w:val="20"/>
        </w:rPr>
        <w:t>2</w:t>
      </w:r>
      <w:r w:rsidR="00AE6A07" w:rsidRPr="003C44CF">
        <w:rPr>
          <w:rFonts w:ascii="Arial" w:hAnsi="Arial" w:cs="Arial"/>
          <w:sz w:val="20"/>
        </w:rPr>
        <w:t>9</w:t>
      </w:r>
      <w:r w:rsidRPr="003C44CF">
        <w:rPr>
          <w:rFonts w:ascii="Arial" w:hAnsi="Arial" w:cs="Arial"/>
          <w:sz w:val="20"/>
        </w:rPr>
        <w:t xml:space="preserve"> % všech podniků s 10 a více zaměstnanci v</w:t>
      </w:r>
      <w:r w:rsidR="00364712" w:rsidRPr="003C44CF">
        <w:rPr>
          <w:rFonts w:ascii="Arial" w:hAnsi="Arial" w:cs="Arial"/>
          <w:sz w:val="20"/>
        </w:rPr>
        <w:t> </w:t>
      </w:r>
      <w:r w:rsidRPr="003C44CF">
        <w:rPr>
          <w:rFonts w:ascii="Arial" w:hAnsi="Arial" w:cs="Arial"/>
          <w:sz w:val="20"/>
        </w:rPr>
        <w:t>Česku</w:t>
      </w:r>
      <w:r w:rsidR="00364712" w:rsidRPr="003C44CF">
        <w:rPr>
          <w:rFonts w:ascii="Arial" w:hAnsi="Arial" w:cs="Arial"/>
          <w:sz w:val="20"/>
        </w:rPr>
        <w:t>,</w:t>
      </w:r>
      <w:r w:rsidR="00633EF4" w:rsidRPr="003C44CF">
        <w:rPr>
          <w:rFonts w:ascii="Arial" w:hAnsi="Arial" w:cs="Arial"/>
          <w:sz w:val="20"/>
        </w:rPr>
        <w:t xml:space="preserve"> a tedy více než polovina</w:t>
      </w:r>
      <w:r w:rsidR="00364712" w:rsidRPr="003C44CF">
        <w:rPr>
          <w:rFonts w:ascii="Arial" w:hAnsi="Arial" w:cs="Arial"/>
          <w:sz w:val="20"/>
        </w:rPr>
        <w:t xml:space="preserve"> (53 %)</w:t>
      </w:r>
      <w:r w:rsidR="00633EF4" w:rsidRPr="003C44CF">
        <w:rPr>
          <w:rFonts w:ascii="Arial" w:hAnsi="Arial" w:cs="Arial"/>
          <w:sz w:val="20"/>
        </w:rPr>
        <w:t xml:space="preserve"> podniků, které používají cloudové služb</w:t>
      </w:r>
      <w:r w:rsidR="00364712" w:rsidRPr="003C44CF">
        <w:rPr>
          <w:rFonts w:ascii="Arial" w:hAnsi="Arial" w:cs="Arial"/>
          <w:sz w:val="20"/>
        </w:rPr>
        <w:t>y,</w:t>
      </w:r>
      <w:r w:rsidR="00AE6A07" w:rsidRPr="003C44CF">
        <w:rPr>
          <w:rFonts w:ascii="Arial" w:hAnsi="Arial" w:cs="Arial"/>
          <w:sz w:val="20"/>
        </w:rPr>
        <w:t xml:space="preserve"> v roce 2025</w:t>
      </w:r>
      <w:r w:rsidRPr="003C44CF">
        <w:rPr>
          <w:rFonts w:ascii="Arial" w:hAnsi="Arial" w:cs="Arial"/>
          <w:sz w:val="20"/>
        </w:rPr>
        <w:t xml:space="preserve"> plat</w:t>
      </w:r>
      <w:r w:rsidR="00AE6A07" w:rsidRPr="003C44CF">
        <w:rPr>
          <w:rFonts w:ascii="Arial" w:hAnsi="Arial" w:cs="Arial"/>
          <w:sz w:val="20"/>
        </w:rPr>
        <w:t>il</w:t>
      </w:r>
      <w:r w:rsidR="008E423C" w:rsidRPr="003C44CF">
        <w:rPr>
          <w:rFonts w:ascii="Arial" w:hAnsi="Arial" w:cs="Arial"/>
          <w:sz w:val="20"/>
        </w:rPr>
        <w:t>o</w:t>
      </w:r>
      <w:r w:rsidRPr="003C44CF">
        <w:rPr>
          <w:rFonts w:ascii="Arial" w:hAnsi="Arial" w:cs="Arial"/>
          <w:sz w:val="20"/>
        </w:rPr>
        <w:t xml:space="preserve"> za </w:t>
      </w:r>
      <w:r w:rsidR="000425C5" w:rsidRPr="003C44CF">
        <w:rPr>
          <w:rFonts w:ascii="Arial" w:hAnsi="Arial" w:cs="Arial"/>
          <w:sz w:val="20"/>
        </w:rPr>
        <w:t xml:space="preserve">cloudový </w:t>
      </w:r>
      <w:r w:rsidRPr="003C44CF">
        <w:rPr>
          <w:rFonts w:ascii="Arial" w:hAnsi="Arial" w:cs="Arial"/>
          <w:b/>
          <w:sz w:val="20"/>
        </w:rPr>
        <w:t>bezpečnostní software</w:t>
      </w:r>
      <w:r w:rsidRPr="003C44CF">
        <w:rPr>
          <w:rFonts w:ascii="Arial" w:hAnsi="Arial" w:cs="Arial"/>
          <w:sz w:val="20"/>
        </w:rPr>
        <w:t>, tedy např. za antivir nebo správu přístupu do sítě.</w:t>
      </w:r>
      <w:r w:rsidR="00805AE2" w:rsidRPr="003C44CF">
        <w:rPr>
          <w:rFonts w:ascii="Arial" w:hAnsi="Arial" w:cs="Arial"/>
          <w:sz w:val="20"/>
        </w:rPr>
        <w:t xml:space="preserve"> </w:t>
      </w:r>
      <w:r w:rsidR="005A2211" w:rsidRPr="003C44CF">
        <w:rPr>
          <w:rFonts w:ascii="Arial" w:hAnsi="Arial" w:cs="Arial"/>
          <w:b/>
          <w:sz w:val="20"/>
        </w:rPr>
        <w:t>Finanční nebo účetní cloudové aplikace</w:t>
      </w:r>
      <w:r w:rsidR="005A2211" w:rsidRPr="003C44CF">
        <w:rPr>
          <w:rFonts w:ascii="Arial" w:hAnsi="Arial" w:cs="Arial"/>
          <w:sz w:val="20"/>
        </w:rPr>
        <w:t xml:space="preserve"> používalo </w:t>
      </w:r>
      <w:r w:rsidR="000425C5" w:rsidRPr="003C44CF">
        <w:rPr>
          <w:rFonts w:ascii="Arial" w:hAnsi="Arial" w:cs="Arial"/>
          <w:sz w:val="20"/>
        </w:rPr>
        <w:t>4</w:t>
      </w:r>
      <w:r w:rsidR="00D82156" w:rsidRPr="003C44CF">
        <w:rPr>
          <w:rFonts w:ascii="Arial" w:hAnsi="Arial" w:cs="Arial"/>
          <w:sz w:val="20"/>
        </w:rPr>
        <w:t>9</w:t>
      </w:r>
      <w:r w:rsidR="000425C5" w:rsidRPr="003C44CF">
        <w:rPr>
          <w:rFonts w:ascii="Arial" w:hAnsi="Arial" w:cs="Arial"/>
          <w:sz w:val="20"/>
        </w:rPr>
        <w:t xml:space="preserve"> % subjektů používajících cloudové služby (</w:t>
      </w:r>
      <w:r w:rsidR="005A2211" w:rsidRPr="003C44CF">
        <w:rPr>
          <w:rFonts w:ascii="Arial" w:hAnsi="Arial" w:cs="Arial"/>
          <w:sz w:val="20"/>
        </w:rPr>
        <w:t>2</w:t>
      </w:r>
      <w:r w:rsidR="00D82156" w:rsidRPr="003C44CF">
        <w:rPr>
          <w:rFonts w:ascii="Arial" w:hAnsi="Arial" w:cs="Arial"/>
          <w:sz w:val="20"/>
        </w:rPr>
        <w:t>7</w:t>
      </w:r>
      <w:r w:rsidR="005A2211" w:rsidRPr="003C44CF">
        <w:rPr>
          <w:rFonts w:ascii="Arial" w:hAnsi="Arial" w:cs="Arial"/>
          <w:sz w:val="20"/>
        </w:rPr>
        <w:t xml:space="preserve"> % všech podnik</w:t>
      </w:r>
      <w:r w:rsidR="00D82156" w:rsidRPr="003C44CF">
        <w:rPr>
          <w:rFonts w:ascii="Arial" w:hAnsi="Arial" w:cs="Arial"/>
          <w:sz w:val="20"/>
        </w:rPr>
        <w:t>ů</w:t>
      </w:r>
      <w:r w:rsidR="000425C5" w:rsidRPr="003C44CF">
        <w:rPr>
          <w:rFonts w:ascii="Arial" w:hAnsi="Arial" w:cs="Arial"/>
          <w:sz w:val="20"/>
        </w:rPr>
        <w:t>)</w:t>
      </w:r>
      <w:r w:rsidR="005A2211" w:rsidRPr="003C44CF">
        <w:rPr>
          <w:rFonts w:ascii="Arial" w:hAnsi="Arial" w:cs="Arial"/>
          <w:sz w:val="20"/>
        </w:rPr>
        <w:t xml:space="preserve">. Podobně často používaly tuzemské podniky cloudové systémy pro práci </w:t>
      </w:r>
      <w:r w:rsidR="005A2211" w:rsidRPr="003C44CF">
        <w:rPr>
          <w:rFonts w:ascii="Arial" w:hAnsi="Arial" w:cs="Arial"/>
          <w:b/>
          <w:sz w:val="20"/>
        </w:rPr>
        <w:t>s databázemi</w:t>
      </w:r>
      <w:r w:rsidR="005A2211" w:rsidRPr="003C44CF">
        <w:rPr>
          <w:rFonts w:ascii="Arial" w:hAnsi="Arial" w:cs="Arial"/>
          <w:sz w:val="20"/>
        </w:rPr>
        <w:t xml:space="preserve"> (</w:t>
      </w:r>
      <w:r w:rsidR="00D82156" w:rsidRPr="003C44CF">
        <w:rPr>
          <w:rFonts w:ascii="Arial" w:hAnsi="Arial" w:cs="Arial"/>
          <w:sz w:val="20"/>
        </w:rPr>
        <w:t>23</w:t>
      </w:r>
      <w:r w:rsidR="00CF0E5C" w:rsidRPr="003C44CF">
        <w:rPr>
          <w:rFonts w:ascii="Arial" w:hAnsi="Arial" w:cs="Arial"/>
          <w:sz w:val="20"/>
        </w:rPr>
        <w:t> </w:t>
      </w:r>
      <w:r w:rsidR="005A2211" w:rsidRPr="003C44CF">
        <w:rPr>
          <w:rFonts w:ascii="Arial" w:hAnsi="Arial" w:cs="Arial"/>
          <w:sz w:val="20"/>
        </w:rPr>
        <w:t>% všech podniků; 4</w:t>
      </w:r>
      <w:r w:rsidR="003C44CF" w:rsidRPr="003C44CF">
        <w:rPr>
          <w:rFonts w:ascii="Arial" w:hAnsi="Arial" w:cs="Arial"/>
          <w:sz w:val="20"/>
        </w:rPr>
        <w:t>2</w:t>
      </w:r>
      <w:r w:rsidR="005A2211" w:rsidRPr="003C44CF">
        <w:rPr>
          <w:rFonts w:ascii="Arial" w:hAnsi="Arial" w:cs="Arial"/>
          <w:sz w:val="20"/>
        </w:rPr>
        <w:t xml:space="preserve"> % podniků používajících cloud).</w:t>
      </w:r>
    </w:p>
    <w:p w14:paraId="3F039D4A" w14:textId="77777777" w:rsidR="00A64544" w:rsidRPr="00A64544" w:rsidRDefault="00BF305A" w:rsidP="000425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A64544">
        <w:rPr>
          <w:rFonts w:ascii="Arial" w:hAnsi="Arial" w:cs="Arial"/>
          <w:sz w:val="20"/>
        </w:rPr>
        <w:t>Cloudový software pro řízení a plánování podnikových zdrojů, tzv.</w:t>
      </w:r>
      <w:r w:rsidR="00805AE2" w:rsidRPr="00A64544">
        <w:rPr>
          <w:rFonts w:ascii="Arial" w:hAnsi="Arial" w:cs="Arial"/>
          <w:sz w:val="20"/>
        </w:rPr>
        <w:t xml:space="preserve"> </w:t>
      </w:r>
      <w:r w:rsidR="00805AE2" w:rsidRPr="00A64544">
        <w:rPr>
          <w:rFonts w:ascii="Arial" w:hAnsi="Arial" w:cs="Arial"/>
          <w:b/>
          <w:sz w:val="20"/>
        </w:rPr>
        <w:t xml:space="preserve">ERP </w:t>
      </w:r>
      <w:r w:rsidR="00CF0E5C" w:rsidRPr="00A64544">
        <w:rPr>
          <w:rFonts w:ascii="Arial" w:hAnsi="Arial" w:cs="Arial"/>
          <w:sz w:val="20"/>
        </w:rPr>
        <w:t>v</w:t>
      </w:r>
      <w:r w:rsidR="006E243F" w:rsidRPr="00A64544">
        <w:rPr>
          <w:rFonts w:ascii="Arial" w:hAnsi="Arial" w:cs="Arial"/>
          <w:sz w:val="20"/>
        </w:rPr>
        <w:t> Česku v</w:t>
      </w:r>
      <w:r w:rsidR="00CF0E5C" w:rsidRPr="00A64544">
        <w:rPr>
          <w:rFonts w:ascii="Arial" w:hAnsi="Arial" w:cs="Arial"/>
          <w:sz w:val="20"/>
        </w:rPr>
        <w:t xml:space="preserve"> roce 202</w:t>
      </w:r>
      <w:r w:rsidRPr="00A64544">
        <w:rPr>
          <w:rFonts w:ascii="Arial" w:hAnsi="Arial" w:cs="Arial"/>
          <w:sz w:val="20"/>
        </w:rPr>
        <w:t xml:space="preserve">5 </w:t>
      </w:r>
      <w:r w:rsidR="00CF0E5C" w:rsidRPr="00A64544">
        <w:rPr>
          <w:rFonts w:ascii="Arial" w:hAnsi="Arial" w:cs="Arial"/>
          <w:sz w:val="20"/>
        </w:rPr>
        <w:t xml:space="preserve">používalo </w:t>
      </w:r>
      <w:r w:rsidRPr="00A64544">
        <w:rPr>
          <w:rFonts w:ascii="Arial" w:hAnsi="Arial" w:cs="Arial"/>
          <w:sz w:val="20"/>
        </w:rPr>
        <w:t>16</w:t>
      </w:r>
      <w:r w:rsidR="006E243F" w:rsidRPr="00A64544">
        <w:rPr>
          <w:rFonts w:ascii="Arial" w:hAnsi="Arial" w:cs="Arial"/>
          <w:sz w:val="20"/>
        </w:rPr>
        <w:t> </w:t>
      </w:r>
      <w:r w:rsidR="00805AE2" w:rsidRPr="00A64544">
        <w:rPr>
          <w:rFonts w:ascii="Arial" w:hAnsi="Arial" w:cs="Arial"/>
          <w:sz w:val="20"/>
        </w:rPr>
        <w:t>%</w:t>
      </w:r>
      <w:r w:rsidR="005A2211" w:rsidRPr="00A64544">
        <w:rPr>
          <w:rFonts w:ascii="Arial" w:hAnsi="Arial" w:cs="Arial"/>
          <w:sz w:val="20"/>
        </w:rPr>
        <w:t xml:space="preserve"> podniků</w:t>
      </w:r>
      <w:r w:rsidR="00D67ECC" w:rsidRPr="00A64544">
        <w:rPr>
          <w:rFonts w:ascii="Arial" w:hAnsi="Arial" w:cs="Arial"/>
          <w:sz w:val="20"/>
        </w:rPr>
        <w:t xml:space="preserve"> a 15 % podniků používalo cloudový software pro řízení vztahů se zákazníky</w:t>
      </w:r>
      <w:r w:rsidR="001F5025" w:rsidRPr="00A64544">
        <w:rPr>
          <w:rFonts w:ascii="Arial" w:hAnsi="Arial" w:cs="Arial"/>
          <w:sz w:val="20"/>
        </w:rPr>
        <w:t>, tzv.</w:t>
      </w:r>
      <w:r w:rsidR="00D67ECC" w:rsidRPr="00A64544">
        <w:rPr>
          <w:rFonts w:ascii="Arial" w:hAnsi="Arial" w:cs="Arial"/>
          <w:sz w:val="20"/>
        </w:rPr>
        <w:t xml:space="preserve"> </w:t>
      </w:r>
      <w:r w:rsidR="00805AE2" w:rsidRPr="00A64544">
        <w:rPr>
          <w:rFonts w:ascii="Arial" w:hAnsi="Arial" w:cs="Arial"/>
          <w:b/>
          <w:sz w:val="20"/>
        </w:rPr>
        <w:t>CRM</w:t>
      </w:r>
      <w:r w:rsidR="001F5025" w:rsidRPr="00A64544">
        <w:rPr>
          <w:rFonts w:ascii="Arial" w:hAnsi="Arial" w:cs="Arial"/>
          <w:b/>
          <w:sz w:val="20"/>
        </w:rPr>
        <w:t xml:space="preserve">. </w:t>
      </w:r>
    </w:p>
    <w:p w14:paraId="2980E801" w14:textId="46C95809" w:rsidR="00805AE2" w:rsidRPr="0014132E" w:rsidRDefault="001E2FFE" w:rsidP="000425C5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14132E">
        <w:rPr>
          <w:rFonts w:ascii="Arial" w:hAnsi="Arial" w:cs="Arial"/>
          <w:sz w:val="20"/>
        </w:rPr>
        <w:t>1</w:t>
      </w:r>
      <w:r w:rsidR="00B42041" w:rsidRPr="0014132E">
        <w:rPr>
          <w:rFonts w:ascii="Arial" w:hAnsi="Arial" w:cs="Arial"/>
          <w:sz w:val="20"/>
        </w:rPr>
        <w:t>3</w:t>
      </w:r>
      <w:r w:rsidR="00805AE2" w:rsidRPr="0014132E">
        <w:rPr>
          <w:rFonts w:ascii="Arial" w:hAnsi="Arial" w:cs="Arial"/>
          <w:sz w:val="20"/>
        </w:rPr>
        <w:t xml:space="preserve"> % firem </w:t>
      </w:r>
      <w:r w:rsidRPr="0014132E">
        <w:rPr>
          <w:rFonts w:ascii="Arial" w:hAnsi="Arial" w:cs="Arial"/>
          <w:sz w:val="20"/>
        </w:rPr>
        <w:t xml:space="preserve">v Česku </w:t>
      </w:r>
      <w:r w:rsidR="00B42041" w:rsidRPr="0014132E">
        <w:rPr>
          <w:rFonts w:ascii="Arial" w:hAnsi="Arial" w:cs="Arial"/>
          <w:sz w:val="20"/>
        </w:rPr>
        <w:t xml:space="preserve">platilo </w:t>
      </w:r>
      <w:r w:rsidR="00805AE2" w:rsidRPr="0014132E">
        <w:rPr>
          <w:rFonts w:ascii="Arial" w:hAnsi="Arial" w:cs="Arial"/>
          <w:sz w:val="20"/>
        </w:rPr>
        <w:t>v roce 202</w:t>
      </w:r>
      <w:r w:rsidR="00B42041" w:rsidRPr="0014132E">
        <w:rPr>
          <w:rFonts w:ascii="Arial" w:hAnsi="Arial" w:cs="Arial"/>
          <w:sz w:val="20"/>
        </w:rPr>
        <w:t>5</w:t>
      </w:r>
      <w:r w:rsidR="00805AE2" w:rsidRPr="0014132E">
        <w:rPr>
          <w:rFonts w:ascii="Arial" w:hAnsi="Arial" w:cs="Arial"/>
          <w:sz w:val="20"/>
        </w:rPr>
        <w:t xml:space="preserve"> za cloudový</w:t>
      </w:r>
      <w:r w:rsidR="00805AE2" w:rsidRPr="0014132E">
        <w:rPr>
          <w:rFonts w:ascii="Arial" w:hAnsi="Arial" w:cs="Arial"/>
          <w:b/>
          <w:sz w:val="20"/>
        </w:rPr>
        <w:t xml:space="preserve"> výpočetní výkon</w:t>
      </w:r>
      <w:r w:rsidR="00805AE2" w:rsidRPr="0014132E">
        <w:rPr>
          <w:rFonts w:ascii="Arial" w:hAnsi="Arial" w:cs="Arial"/>
          <w:sz w:val="20"/>
        </w:rPr>
        <w:t xml:space="preserve"> pro provoz vlastních firemních aplikací</w:t>
      </w:r>
      <w:r w:rsidR="000F1038" w:rsidRPr="0014132E">
        <w:rPr>
          <w:rFonts w:ascii="Arial" w:hAnsi="Arial" w:cs="Arial"/>
          <w:sz w:val="20"/>
        </w:rPr>
        <w:t xml:space="preserve">, tedy např. za výkon procesoru, paměť nebo </w:t>
      </w:r>
      <w:r w:rsidR="00E72641" w:rsidRPr="0014132E">
        <w:rPr>
          <w:rFonts w:ascii="Arial" w:hAnsi="Arial" w:cs="Arial"/>
          <w:sz w:val="20"/>
        </w:rPr>
        <w:t>úložiště z datových center poskytovatelů cloudových služeb</w:t>
      </w:r>
      <w:r w:rsidR="000F1038" w:rsidRPr="0014132E">
        <w:rPr>
          <w:rFonts w:ascii="Arial" w:hAnsi="Arial" w:cs="Arial"/>
          <w:sz w:val="20"/>
        </w:rPr>
        <w:t>.</w:t>
      </w:r>
      <w:r w:rsidR="00805AE2" w:rsidRPr="0014132E">
        <w:rPr>
          <w:rFonts w:ascii="Arial" w:hAnsi="Arial" w:cs="Arial"/>
          <w:sz w:val="20"/>
        </w:rPr>
        <w:t xml:space="preserve"> </w:t>
      </w:r>
      <w:r w:rsidRPr="0014132E">
        <w:rPr>
          <w:rFonts w:ascii="Arial" w:hAnsi="Arial" w:cs="Arial"/>
          <w:sz w:val="20"/>
        </w:rPr>
        <w:t>8</w:t>
      </w:r>
      <w:r w:rsidR="00805AE2" w:rsidRPr="0014132E">
        <w:rPr>
          <w:rFonts w:ascii="Arial" w:hAnsi="Arial" w:cs="Arial"/>
          <w:sz w:val="20"/>
        </w:rPr>
        <w:t xml:space="preserve"> % subjektů</w:t>
      </w:r>
      <w:r w:rsidRPr="0014132E">
        <w:rPr>
          <w:rFonts w:ascii="Arial" w:hAnsi="Arial" w:cs="Arial"/>
          <w:sz w:val="20"/>
        </w:rPr>
        <w:t xml:space="preserve"> </w:t>
      </w:r>
      <w:r w:rsidR="006F581C" w:rsidRPr="0014132E">
        <w:rPr>
          <w:rFonts w:ascii="Arial" w:hAnsi="Arial" w:cs="Arial"/>
          <w:sz w:val="20"/>
        </w:rPr>
        <w:t xml:space="preserve">pak </w:t>
      </w:r>
      <w:r w:rsidR="00805AE2" w:rsidRPr="0014132E">
        <w:rPr>
          <w:rFonts w:ascii="Arial" w:hAnsi="Arial" w:cs="Arial"/>
          <w:sz w:val="20"/>
        </w:rPr>
        <w:t xml:space="preserve">používalo </w:t>
      </w:r>
      <w:r w:rsidR="00805AE2" w:rsidRPr="0014132E">
        <w:rPr>
          <w:rFonts w:ascii="Arial" w:hAnsi="Arial" w:cs="Arial"/>
          <w:b/>
          <w:sz w:val="20"/>
        </w:rPr>
        <w:t>výpočetní platformu</w:t>
      </w:r>
      <w:r w:rsidR="00805AE2" w:rsidRPr="0014132E">
        <w:rPr>
          <w:rFonts w:ascii="Arial" w:hAnsi="Arial" w:cs="Arial"/>
          <w:sz w:val="20"/>
        </w:rPr>
        <w:t xml:space="preserve"> poskytující </w:t>
      </w:r>
      <w:r w:rsidR="006F581C" w:rsidRPr="0014132E">
        <w:rPr>
          <w:rFonts w:ascii="Arial" w:hAnsi="Arial" w:cs="Arial"/>
          <w:sz w:val="20"/>
        </w:rPr>
        <w:t xml:space="preserve">prostředí pro </w:t>
      </w:r>
      <w:r w:rsidR="0014132E" w:rsidRPr="0014132E">
        <w:rPr>
          <w:rFonts w:ascii="Arial" w:hAnsi="Arial" w:cs="Arial"/>
          <w:sz w:val="20"/>
        </w:rPr>
        <w:t>vývoj, testování a</w:t>
      </w:r>
      <w:r w:rsidR="004A0336">
        <w:rPr>
          <w:rFonts w:ascii="Arial" w:hAnsi="Arial" w:cs="Arial"/>
          <w:sz w:val="20"/>
        </w:rPr>
        <w:t> </w:t>
      </w:r>
      <w:r w:rsidR="0014132E" w:rsidRPr="0014132E">
        <w:rPr>
          <w:rFonts w:ascii="Arial" w:hAnsi="Arial" w:cs="Arial"/>
          <w:sz w:val="20"/>
        </w:rPr>
        <w:t>nasazování aplikací</w:t>
      </w:r>
      <w:r w:rsidR="00AB2167">
        <w:rPr>
          <w:rFonts w:ascii="Arial" w:hAnsi="Arial" w:cs="Arial"/>
          <w:sz w:val="20"/>
        </w:rPr>
        <w:t>, tedy kompletní prostředí pro tvorbu softwaru.</w:t>
      </w:r>
    </w:p>
    <w:p w14:paraId="2E2BDE72" w14:textId="37DFA0AB" w:rsidR="00AE1037" w:rsidRPr="00AE1037" w:rsidRDefault="00AE1037" w:rsidP="00AE1037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Podniky v Česku</w:t>
      </w:r>
      <w:r w:rsidRPr="00AE1037">
        <w:rPr>
          <w:rFonts w:ascii="Arial" w:hAnsi="Arial" w:cs="Arial"/>
          <w:b/>
          <w:sz w:val="20"/>
          <w:szCs w:val="20"/>
        </w:rPr>
        <w:t xml:space="preserve"> obvykle nakupují a využívají více druhů cloudových služeb</w:t>
      </w:r>
      <w:r w:rsidRPr="00AE1037">
        <w:rPr>
          <w:rFonts w:ascii="Arial" w:hAnsi="Arial" w:cs="Arial"/>
          <w:sz w:val="20"/>
          <w:szCs w:val="20"/>
        </w:rPr>
        <w:t>. Jednu nebo dvě z deseti zjišťovaných cloudových služeb v roce 2025 používala čtvrtina podniků (24 %). 29 % podniků nakupovalo ve stejném roce tři nebo čtyři cloudové služby a dalších 23 % podniků používalo pět nebo šest cloudových služeb. Sedm nebo více z deseti cloudových služeb nakupovalo 24 % podniků. Platí, že s rostoucí velikostí podniku roste i podíl těch, které používají sedm či více cloudových služeb</w:t>
      </w:r>
      <w:r w:rsidR="00523D5E">
        <w:rPr>
          <w:rFonts w:ascii="Arial" w:hAnsi="Arial" w:cs="Arial"/>
          <w:sz w:val="20"/>
          <w:szCs w:val="20"/>
        </w:rPr>
        <w:t xml:space="preserve"> (v</w:t>
      </w:r>
      <w:r w:rsidRPr="00AE1037">
        <w:rPr>
          <w:rFonts w:ascii="Arial" w:hAnsi="Arial" w:cs="Arial"/>
          <w:sz w:val="20"/>
          <w:szCs w:val="20"/>
        </w:rPr>
        <w:t xml:space="preserve">elkých podniků </w:t>
      </w:r>
      <w:r w:rsidR="00230218">
        <w:rPr>
          <w:rFonts w:ascii="Arial" w:hAnsi="Arial" w:cs="Arial"/>
          <w:sz w:val="20"/>
          <w:szCs w:val="20"/>
        </w:rPr>
        <w:t>je</w:t>
      </w:r>
      <w:r w:rsidRPr="00AE1037">
        <w:rPr>
          <w:rFonts w:ascii="Arial" w:hAnsi="Arial" w:cs="Arial"/>
          <w:sz w:val="20"/>
          <w:szCs w:val="20"/>
        </w:rPr>
        <w:t xml:space="preserve"> 37 %</w:t>
      </w:r>
      <w:r w:rsidR="00523D5E">
        <w:rPr>
          <w:rFonts w:ascii="Arial" w:hAnsi="Arial" w:cs="Arial"/>
          <w:sz w:val="20"/>
          <w:szCs w:val="20"/>
        </w:rPr>
        <w:t>)</w:t>
      </w:r>
      <w:r w:rsidRPr="00AE1037">
        <w:rPr>
          <w:rFonts w:ascii="Arial" w:hAnsi="Arial" w:cs="Arial"/>
          <w:sz w:val="20"/>
          <w:szCs w:val="20"/>
        </w:rPr>
        <w:t>.</w:t>
      </w:r>
    </w:p>
    <w:p w14:paraId="51513505" w14:textId="256C0DC6" w:rsidR="00F416E7" w:rsidRPr="0058612A" w:rsidRDefault="008E0077" w:rsidP="0058612A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8612A">
        <w:rPr>
          <w:rFonts w:ascii="Arial" w:hAnsi="Arial" w:cs="Arial"/>
          <w:sz w:val="20"/>
          <w:szCs w:val="20"/>
        </w:rPr>
        <w:t>P</w:t>
      </w:r>
      <w:r w:rsidR="006C3A9D" w:rsidRPr="0058612A">
        <w:rPr>
          <w:rFonts w:ascii="Arial" w:hAnsi="Arial" w:cs="Arial"/>
          <w:sz w:val="20"/>
          <w:szCs w:val="20"/>
        </w:rPr>
        <w:t xml:space="preserve">oužívání placených cloudových služeb je </w:t>
      </w:r>
      <w:r w:rsidRPr="0058612A">
        <w:rPr>
          <w:rFonts w:ascii="Arial" w:hAnsi="Arial" w:cs="Arial"/>
          <w:sz w:val="20"/>
          <w:szCs w:val="20"/>
        </w:rPr>
        <w:t xml:space="preserve">poměrně rozšířené </w:t>
      </w:r>
      <w:r w:rsidR="006C3A9D" w:rsidRPr="0058612A">
        <w:rPr>
          <w:rFonts w:ascii="Arial" w:hAnsi="Arial" w:cs="Arial"/>
          <w:sz w:val="20"/>
          <w:szCs w:val="20"/>
        </w:rPr>
        <w:t>i v ostatních zemích EU</w:t>
      </w:r>
      <w:r w:rsidR="00132BF6" w:rsidRPr="0058612A">
        <w:rPr>
          <w:rFonts w:ascii="Arial" w:hAnsi="Arial" w:cs="Arial"/>
          <w:sz w:val="20"/>
          <w:szCs w:val="20"/>
        </w:rPr>
        <w:t>27</w:t>
      </w:r>
      <w:r w:rsidR="00C906C9" w:rsidRPr="0058612A">
        <w:rPr>
          <w:rFonts w:ascii="Arial" w:hAnsi="Arial" w:cs="Arial"/>
          <w:sz w:val="20"/>
          <w:szCs w:val="20"/>
        </w:rPr>
        <w:t xml:space="preserve">. </w:t>
      </w:r>
      <w:r w:rsidR="006C3A9D" w:rsidRPr="0058612A">
        <w:rPr>
          <w:rFonts w:ascii="Arial" w:hAnsi="Arial" w:cs="Arial"/>
          <w:sz w:val="20"/>
          <w:szCs w:val="20"/>
        </w:rPr>
        <w:t>V</w:t>
      </w:r>
      <w:r w:rsidR="00C906C9" w:rsidRPr="0058612A">
        <w:rPr>
          <w:rFonts w:ascii="Arial" w:hAnsi="Arial" w:cs="Arial"/>
          <w:sz w:val="20"/>
          <w:szCs w:val="20"/>
        </w:rPr>
        <w:t> </w:t>
      </w:r>
      <w:r w:rsidR="006C3A9D" w:rsidRPr="0058612A">
        <w:rPr>
          <w:rFonts w:ascii="Arial" w:hAnsi="Arial" w:cs="Arial"/>
          <w:sz w:val="20"/>
          <w:szCs w:val="20"/>
        </w:rPr>
        <w:t>roce</w:t>
      </w:r>
      <w:r w:rsidR="00C906C9" w:rsidRPr="0058612A">
        <w:rPr>
          <w:rFonts w:ascii="Arial" w:hAnsi="Arial" w:cs="Arial"/>
          <w:sz w:val="20"/>
          <w:szCs w:val="20"/>
        </w:rPr>
        <w:t xml:space="preserve"> 202</w:t>
      </w:r>
      <w:r w:rsidR="0006514F" w:rsidRPr="0058612A">
        <w:rPr>
          <w:rFonts w:ascii="Arial" w:hAnsi="Arial" w:cs="Arial"/>
          <w:sz w:val="20"/>
          <w:szCs w:val="20"/>
        </w:rPr>
        <w:t>5</w:t>
      </w:r>
      <w:r w:rsidR="006C3A9D" w:rsidRPr="0058612A">
        <w:rPr>
          <w:rFonts w:ascii="Arial" w:hAnsi="Arial" w:cs="Arial"/>
          <w:sz w:val="20"/>
          <w:szCs w:val="20"/>
        </w:rPr>
        <w:t xml:space="preserve"> využíval</w:t>
      </w:r>
      <w:r w:rsidR="00FD7DD7" w:rsidRPr="0058612A">
        <w:rPr>
          <w:rFonts w:ascii="Arial" w:hAnsi="Arial" w:cs="Arial"/>
          <w:sz w:val="20"/>
          <w:szCs w:val="20"/>
        </w:rPr>
        <w:t>o</w:t>
      </w:r>
      <w:r w:rsidR="006C3A9D" w:rsidRPr="0058612A">
        <w:rPr>
          <w:rFonts w:ascii="Arial" w:hAnsi="Arial" w:cs="Arial"/>
          <w:sz w:val="20"/>
          <w:szCs w:val="20"/>
        </w:rPr>
        <w:t xml:space="preserve"> placen</w:t>
      </w:r>
      <w:r w:rsidR="0006514F" w:rsidRPr="0058612A">
        <w:rPr>
          <w:rFonts w:ascii="Arial" w:hAnsi="Arial" w:cs="Arial"/>
          <w:sz w:val="20"/>
          <w:szCs w:val="20"/>
        </w:rPr>
        <w:t>é</w:t>
      </w:r>
      <w:r w:rsidR="006C3A9D" w:rsidRPr="0058612A">
        <w:rPr>
          <w:rFonts w:ascii="Arial" w:hAnsi="Arial" w:cs="Arial"/>
          <w:sz w:val="20"/>
          <w:szCs w:val="20"/>
        </w:rPr>
        <w:t xml:space="preserve"> cloud</w:t>
      </w:r>
      <w:r w:rsidR="0006514F" w:rsidRPr="0058612A">
        <w:rPr>
          <w:rFonts w:ascii="Arial" w:hAnsi="Arial" w:cs="Arial"/>
          <w:sz w:val="20"/>
          <w:szCs w:val="20"/>
        </w:rPr>
        <w:t>ové</w:t>
      </w:r>
      <w:r w:rsidR="006C3A9D" w:rsidRPr="0058612A">
        <w:rPr>
          <w:rFonts w:ascii="Arial" w:hAnsi="Arial" w:cs="Arial"/>
          <w:sz w:val="20"/>
          <w:szCs w:val="20"/>
        </w:rPr>
        <w:t xml:space="preserve"> </w:t>
      </w:r>
      <w:r w:rsidR="0006514F" w:rsidRPr="0058612A">
        <w:rPr>
          <w:rFonts w:ascii="Arial" w:hAnsi="Arial" w:cs="Arial"/>
          <w:sz w:val="20"/>
          <w:szCs w:val="20"/>
        </w:rPr>
        <w:t xml:space="preserve">služby </w:t>
      </w:r>
      <w:r w:rsidR="006C3A9D" w:rsidRPr="0058612A">
        <w:rPr>
          <w:rFonts w:ascii="Arial" w:hAnsi="Arial" w:cs="Arial"/>
          <w:b/>
          <w:bCs/>
          <w:sz w:val="20"/>
          <w:szCs w:val="20"/>
        </w:rPr>
        <w:t>v</w:t>
      </w:r>
      <w:r w:rsidRPr="0058612A">
        <w:rPr>
          <w:rFonts w:ascii="Arial" w:hAnsi="Arial" w:cs="Arial"/>
          <w:b/>
          <w:bCs/>
          <w:sz w:val="20"/>
          <w:szCs w:val="20"/>
        </w:rPr>
        <w:t> </w:t>
      </w:r>
      <w:r w:rsidR="006C3A9D" w:rsidRPr="0058612A">
        <w:rPr>
          <w:rFonts w:ascii="Arial" w:hAnsi="Arial" w:cs="Arial"/>
          <w:b/>
          <w:bCs/>
          <w:sz w:val="20"/>
          <w:szCs w:val="20"/>
        </w:rPr>
        <w:t>průměru</w:t>
      </w:r>
      <w:r w:rsidRPr="0058612A">
        <w:rPr>
          <w:rFonts w:ascii="Arial" w:hAnsi="Arial" w:cs="Arial"/>
          <w:b/>
          <w:bCs/>
          <w:sz w:val="20"/>
          <w:szCs w:val="20"/>
        </w:rPr>
        <w:t xml:space="preserve"> EU27</w:t>
      </w:r>
      <w:r w:rsidR="006C3A9D" w:rsidRPr="0058612A">
        <w:rPr>
          <w:rFonts w:ascii="Arial" w:hAnsi="Arial" w:cs="Arial"/>
          <w:b/>
          <w:bCs/>
          <w:sz w:val="20"/>
          <w:szCs w:val="20"/>
        </w:rPr>
        <w:t xml:space="preserve"> již</w:t>
      </w:r>
      <w:r w:rsidR="006C3A9D" w:rsidRPr="0058612A">
        <w:rPr>
          <w:rFonts w:ascii="Arial" w:hAnsi="Arial" w:cs="Arial"/>
          <w:sz w:val="20"/>
          <w:szCs w:val="20"/>
        </w:rPr>
        <w:t xml:space="preserve"> </w:t>
      </w:r>
      <w:r w:rsidR="0058612A" w:rsidRPr="0058612A">
        <w:rPr>
          <w:rFonts w:ascii="Arial" w:hAnsi="Arial" w:cs="Arial"/>
          <w:b/>
          <w:bCs/>
          <w:sz w:val="20"/>
          <w:szCs w:val="20"/>
        </w:rPr>
        <w:t>53</w:t>
      </w:r>
      <w:r w:rsidR="00FD7DD7" w:rsidRPr="0058612A">
        <w:rPr>
          <w:rFonts w:ascii="Arial" w:hAnsi="Arial" w:cs="Arial"/>
          <w:b/>
          <w:bCs/>
          <w:sz w:val="20"/>
          <w:szCs w:val="20"/>
        </w:rPr>
        <w:t xml:space="preserve"> % podniků</w:t>
      </w:r>
      <w:r w:rsidR="00FD7DD7" w:rsidRPr="0058612A">
        <w:rPr>
          <w:rFonts w:ascii="Arial" w:hAnsi="Arial" w:cs="Arial"/>
          <w:sz w:val="20"/>
          <w:szCs w:val="20"/>
        </w:rPr>
        <w:t xml:space="preserve">. </w:t>
      </w:r>
      <w:r w:rsidR="0058612A" w:rsidRPr="0058612A">
        <w:rPr>
          <w:rFonts w:ascii="Arial" w:hAnsi="Arial" w:cs="Arial"/>
          <w:sz w:val="20"/>
          <w:szCs w:val="20"/>
        </w:rPr>
        <w:t>Podniky</w:t>
      </w:r>
      <w:r w:rsidR="00617E73" w:rsidRPr="0058612A">
        <w:rPr>
          <w:rFonts w:ascii="Arial" w:hAnsi="Arial" w:cs="Arial"/>
          <w:sz w:val="20"/>
          <w:szCs w:val="20"/>
        </w:rPr>
        <w:t xml:space="preserve"> v Česku</w:t>
      </w:r>
      <w:r w:rsidR="00FD7DD7" w:rsidRPr="0058612A">
        <w:rPr>
          <w:rFonts w:ascii="Arial" w:hAnsi="Arial" w:cs="Arial"/>
          <w:sz w:val="20"/>
          <w:szCs w:val="20"/>
        </w:rPr>
        <w:t xml:space="preserve"> jsou tedy v tomto ukazateli</w:t>
      </w:r>
      <w:r w:rsidR="0058612A" w:rsidRPr="0058612A">
        <w:rPr>
          <w:rFonts w:ascii="Arial" w:hAnsi="Arial" w:cs="Arial"/>
          <w:sz w:val="20"/>
          <w:szCs w:val="20"/>
        </w:rPr>
        <w:t xml:space="preserve"> (55 %)</w:t>
      </w:r>
      <w:r w:rsidR="00FD7DD7" w:rsidRPr="0058612A">
        <w:rPr>
          <w:rFonts w:ascii="Arial" w:hAnsi="Arial" w:cs="Arial"/>
          <w:sz w:val="20"/>
          <w:szCs w:val="20"/>
        </w:rPr>
        <w:t xml:space="preserve"> </w:t>
      </w:r>
      <w:r w:rsidR="00FD7DD7" w:rsidRPr="0058612A">
        <w:rPr>
          <w:rFonts w:ascii="Arial" w:hAnsi="Arial" w:cs="Arial"/>
          <w:b/>
          <w:bCs/>
          <w:sz w:val="20"/>
          <w:szCs w:val="20"/>
        </w:rPr>
        <w:t>mírně nad průměrem Unie</w:t>
      </w:r>
      <w:r w:rsidR="00FD7DD7" w:rsidRPr="0058612A">
        <w:rPr>
          <w:rFonts w:ascii="Arial" w:hAnsi="Arial" w:cs="Arial"/>
          <w:sz w:val="20"/>
          <w:szCs w:val="20"/>
        </w:rPr>
        <w:t xml:space="preserve">. </w:t>
      </w:r>
      <w:r w:rsidR="0058612A">
        <w:rPr>
          <w:rFonts w:ascii="Arial" w:hAnsi="Arial" w:cs="Arial"/>
          <w:sz w:val="20"/>
          <w:szCs w:val="20"/>
        </w:rPr>
        <w:t>Za cloudové služby platí</w:t>
      </w:r>
      <w:r w:rsidR="00FD7DD7" w:rsidRPr="0058612A">
        <w:rPr>
          <w:rFonts w:ascii="Arial" w:hAnsi="Arial" w:cs="Arial"/>
          <w:sz w:val="20"/>
          <w:szCs w:val="20"/>
        </w:rPr>
        <w:t xml:space="preserve"> nejčastěji podniky</w:t>
      </w:r>
      <w:r w:rsidR="002F77B1" w:rsidRPr="0058612A">
        <w:rPr>
          <w:rFonts w:ascii="Arial" w:hAnsi="Arial" w:cs="Arial"/>
          <w:sz w:val="20"/>
          <w:szCs w:val="20"/>
        </w:rPr>
        <w:t xml:space="preserve"> v</w:t>
      </w:r>
      <w:r w:rsidR="0058612A" w:rsidRPr="0058612A">
        <w:rPr>
          <w:rFonts w:ascii="Arial" w:hAnsi="Arial" w:cs="Arial"/>
          <w:sz w:val="20"/>
          <w:szCs w:val="20"/>
        </w:rPr>
        <w:t>e Finsku (79 %), v Itálii (76 %) nebo na Maltě (75 %)</w:t>
      </w:r>
      <w:r w:rsidR="0058612A">
        <w:rPr>
          <w:rFonts w:ascii="Arial" w:hAnsi="Arial" w:cs="Arial"/>
          <w:sz w:val="20"/>
          <w:szCs w:val="20"/>
        </w:rPr>
        <w:t>, nejméně často naopak podniky v Bulharsku (18 %)</w:t>
      </w:r>
      <w:r w:rsidR="002B40F6" w:rsidRPr="0058612A">
        <w:rPr>
          <w:rFonts w:ascii="Arial" w:hAnsi="Arial" w:cs="Arial"/>
          <w:sz w:val="20"/>
          <w:szCs w:val="20"/>
        </w:rPr>
        <w:t>.</w:t>
      </w:r>
      <w:r w:rsidR="00F416E7" w:rsidRPr="0058612A">
        <w:rPr>
          <w:rFonts w:ascii="Arial" w:hAnsi="Arial" w:cs="Arial"/>
          <w:sz w:val="20"/>
          <w:szCs w:val="20"/>
        </w:rPr>
        <w:t xml:space="preserve"> </w:t>
      </w:r>
      <w:r w:rsidR="006C3A9D" w:rsidRPr="0058612A">
        <w:rPr>
          <w:rFonts w:ascii="Arial" w:hAnsi="Arial" w:cs="Arial"/>
          <w:sz w:val="20"/>
          <w:szCs w:val="20"/>
        </w:rPr>
        <w:t>Stejně jako v Česk</w:t>
      </w:r>
      <w:r w:rsidR="0058612A" w:rsidRPr="0058612A">
        <w:rPr>
          <w:rFonts w:ascii="Arial" w:hAnsi="Arial" w:cs="Arial"/>
          <w:sz w:val="20"/>
          <w:szCs w:val="20"/>
        </w:rPr>
        <w:t>u</w:t>
      </w:r>
      <w:r w:rsidRPr="0058612A">
        <w:rPr>
          <w:rFonts w:ascii="Arial" w:hAnsi="Arial" w:cs="Arial"/>
          <w:sz w:val="20"/>
          <w:szCs w:val="20"/>
        </w:rPr>
        <w:t>,</w:t>
      </w:r>
      <w:r w:rsidR="006C3A9D" w:rsidRPr="0058612A">
        <w:rPr>
          <w:rFonts w:ascii="Arial" w:hAnsi="Arial" w:cs="Arial"/>
          <w:sz w:val="20"/>
          <w:szCs w:val="20"/>
        </w:rPr>
        <w:t xml:space="preserve"> i</w:t>
      </w:r>
      <w:r w:rsidR="00CF0E5C" w:rsidRPr="0058612A">
        <w:rPr>
          <w:rFonts w:ascii="Arial" w:hAnsi="Arial" w:cs="Arial"/>
          <w:sz w:val="20"/>
          <w:szCs w:val="20"/>
        </w:rPr>
        <w:t> </w:t>
      </w:r>
      <w:r w:rsidR="006C3A9D" w:rsidRPr="0058612A">
        <w:rPr>
          <w:rFonts w:ascii="Arial" w:hAnsi="Arial" w:cs="Arial"/>
          <w:sz w:val="20"/>
          <w:szCs w:val="20"/>
        </w:rPr>
        <w:t xml:space="preserve">v ostatních zemích EU platí, že placené </w:t>
      </w:r>
      <w:r w:rsidR="0058612A" w:rsidRPr="0058612A">
        <w:rPr>
          <w:rFonts w:ascii="Arial" w:hAnsi="Arial" w:cs="Arial"/>
          <w:sz w:val="20"/>
          <w:szCs w:val="20"/>
        </w:rPr>
        <w:t xml:space="preserve">cloudové </w:t>
      </w:r>
      <w:r w:rsidR="006C3A9D" w:rsidRPr="0058612A">
        <w:rPr>
          <w:rFonts w:ascii="Arial" w:hAnsi="Arial" w:cs="Arial"/>
          <w:sz w:val="20"/>
          <w:szCs w:val="20"/>
        </w:rPr>
        <w:t xml:space="preserve">služby využívají výrazně častěji velké </w:t>
      </w:r>
      <w:r w:rsidR="0058612A" w:rsidRPr="0058612A">
        <w:rPr>
          <w:rFonts w:ascii="Arial" w:hAnsi="Arial" w:cs="Arial"/>
          <w:sz w:val="20"/>
          <w:szCs w:val="20"/>
        </w:rPr>
        <w:t>podniky. Nejvíce velkých podniků používajících cloudové služby je v rámci EU ve Finsku (98 %).</w:t>
      </w:r>
      <w:r w:rsidR="00FE7C91" w:rsidRPr="0058612A">
        <w:rPr>
          <w:rFonts w:ascii="Arial" w:hAnsi="Arial" w:cs="Arial"/>
          <w:sz w:val="20"/>
          <w:szCs w:val="20"/>
        </w:rPr>
        <w:t xml:space="preserve"> </w:t>
      </w:r>
    </w:p>
    <w:p w14:paraId="336BE5AC" w14:textId="5429BA0C" w:rsidR="00EC59AC" w:rsidRPr="00E71E81" w:rsidRDefault="00FE7C91" w:rsidP="00246507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71E81">
        <w:rPr>
          <w:rFonts w:ascii="Arial" w:hAnsi="Arial" w:cs="Arial"/>
          <w:sz w:val="20"/>
          <w:szCs w:val="20"/>
        </w:rPr>
        <w:t>Z</w:t>
      </w:r>
      <w:r w:rsidR="00CB4392" w:rsidRPr="00E71E81">
        <w:rPr>
          <w:rFonts w:ascii="Arial" w:hAnsi="Arial" w:cs="Arial"/>
          <w:sz w:val="20"/>
          <w:szCs w:val="20"/>
        </w:rPr>
        <w:t xml:space="preserve"> druhů </w:t>
      </w:r>
      <w:r w:rsidRPr="00E71E81">
        <w:rPr>
          <w:rFonts w:ascii="Arial" w:hAnsi="Arial" w:cs="Arial"/>
          <w:sz w:val="20"/>
          <w:szCs w:val="20"/>
        </w:rPr>
        <w:t>placených cloudových služeb vévodí</w:t>
      </w:r>
      <w:r w:rsidR="00073609" w:rsidRPr="00E71E81">
        <w:rPr>
          <w:rFonts w:ascii="Arial" w:hAnsi="Arial" w:cs="Arial"/>
          <w:sz w:val="20"/>
          <w:szCs w:val="20"/>
        </w:rPr>
        <w:t xml:space="preserve"> i</w:t>
      </w:r>
      <w:r w:rsidRPr="00E71E81">
        <w:rPr>
          <w:rFonts w:ascii="Arial" w:hAnsi="Arial" w:cs="Arial"/>
          <w:sz w:val="20"/>
          <w:szCs w:val="20"/>
        </w:rPr>
        <w:t xml:space="preserve"> v evropském žebříčku využívání cloudové</w:t>
      </w:r>
      <w:r w:rsidR="00E71E81">
        <w:rPr>
          <w:rFonts w:ascii="Arial" w:hAnsi="Arial" w:cs="Arial"/>
          <w:sz w:val="20"/>
          <w:szCs w:val="20"/>
        </w:rPr>
        <w:t>ho e-mailu</w:t>
      </w:r>
      <w:r w:rsidR="00CB4392" w:rsidRPr="00E71E81">
        <w:rPr>
          <w:rFonts w:ascii="Arial" w:hAnsi="Arial" w:cs="Arial"/>
          <w:sz w:val="20"/>
          <w:szCs w:val="20"/>
        </w:rPr>
        <w:t xml:space="preserve"> (průměrně 45 % podniků v EU)</w:t>
      </w:r>
      <w:r w:rsidR="00FE4AC5" w:rsidRPr="00E71E81">
        <w:rPr>
          <w:rFonts w:ascii="Arial" w:hAnsi="Arial" w:cs="Arial"/>
          <w:sz w:val="20"/>
          <w:szCs w:val="20"/>
        </w:rPr>
        <w:t xml:space="preserve"> a dále pak</w:t>
      </w:r>
      <w:r w:rsidRPr="00E71E81">
        <w:rPr>
          <w:rFonts w:ascii="Arial" w:hAnsi="Arial" w:cs="Arial"/>
          <w:sz w:val="20"/>
          <w:szCs w:val="20"/>
        </w:rPr>
        <w:t xml:space="preserve"> ukládání dat </w:t>
      </w:r>
      <w:r w:rsidR="003F2864" w:rsidRPr="00E71E81">
        <w:rPr>
          <w:rFonts w:ascii="Arial" w:hAnsi="Arial" w:cs="Arial"/>
          <w:sz w:val="20"/>
          <w:szCs w:val="20"/>
        </w:rPr>
        <w:t xml:space="preserve">na </w:t>
      </w:r>
      <w:r w:rsidR="00420F30">
        <w:rPr>
          <w:rFonts w:ascii="Arial" w:hAnsi="Arial" w:cs="Arial"/>
          <w:sz w:val="20"/>
          <w:szCs w:val="20"/>
        </w:rPr>
        <w:t xml:space="preserve">internetovém </w:t>
      </w:r>
      <w:r w:rsidR="003F2864" w:rsidRPr="00E71E81">
        <w:rPr>
          <w:rFonts w:ascii="Arial" w:hAnsi="Arial" w:cs="Arial"/>
          <w:sz w:val="20"/>
          <w:szCs w:val="20"/>
        </w:rPr>
        <w:t>úložišti</w:t>
      </w:r>
      <w:r w:rsidRPr="00E71E81">
        <w:rPr>
          <w:rFonts w:ascii="Arial" w:hAnsi="Arial" w:cs="Arial"/>
          <w:sz w:val="20"/>
          <w:szCs w:val="20"/>
        </w:rPr>
        <w:t xml:space="preserve"> </w:t>
      </w:r>
      <w:r w:rsidR="00760B06" w:rsidRPr="00E71E81">
        <w:rPr>
          <w:rFonts w:ascii="Arial" w:hAnsi="Arial" w:cs="Arial"/>
          <w:sz w:val="20"/>
          <w:szCs w:val="20"/>
        </w:rPr>
        <w:t xml:space="preserve">a </w:t>
      </w:r>
      <w:r w:rsidR="00EC59AC" w:rsidRPr="00E71E81">
        <w:rPr>
          <w:rFonts w:ascii="Arial" w:hAnsi="Arial" w:cs="Arial"/>
          <w:sz w:val="20"/>
          <w:szCs w:val="20"/>
        </w:rPr>
        <w:t xml:space="preserve">používání </w:t>
      </w:r>
      <w:r w:rsidR="00760B06" w:rsidRPr="00E71E81">
        <w:rPr>
          <w:rFonts w:ascii="Arial" w:hAnsi="Arial" w:cs="Arial"/>
          <w:sz w:val="20"/>
          <w:szCs w:val="20"/>
        </w:rPr>
        <w:t>cloudov</w:t>
      </w:r>
      <w:r w:rsidR="00EC59AC" w:rsidRPr="00E71E81">
        <w:rPr>
          <w:rFonts w:ascii="Arial" w:hAnsi="Arial" w:cs="Arial"/>
          <w:sz w:val="20"/>
          <w:szCs w:val="20"/>
        </w:rPr>
        <w:t>ých</w:t>
      </w:r>
      <w:r w:rsidR="00760B06" w:rsidRPr="00E71E81">
        <w:rPr>
          <w:rFonts w:ascii="Arial" w:hAnsi="Arial" w:cs="Arial"/>
          <w:sz w:val="20"/>
          <w:szCs w:val="20"/>
        </w:rPr>
        <w:t xml:space="preserve"> kancelářsk</w:t>
      </w:r>
      <w:r w:rsidR="00EC59AC" w:rsidRPr="00E71E81">
        <w:rPr>
          <w:rFonts w:ascii="Arial" w:hAnsi="Arial" w:cs="Arial"/>
          <w:sz w:val="20"/>
          <w:szCs w:val="20"/>
        </w:rPr>
        <w:t>ých</w:t>
      </w:r>
      <w:r w:rsidR="00760B06" w:rsidRPr="00E71E81">
        <w:rPr>
          <w:rFonts w:ascii="Arial" w:hAnsi="Arial" w:cs="Arial"/>
          <w:sz w:val="20"/>
          <w:szCs w:val="20"/>
        </w:rPr>
        <w:t xml:space="preserve"> program</w:t>
      </w:r>
      <w:r w:rsidR="00EC59AC" w:rsidRPr="00E71E81">
        <w:rPr>
          <w:rFonts w:ascii="Arial" w:hAnsi="Arial" w:cs="Arial"/>
          <w:sz w:val="20"/>
          <w:szCs w:val="20"/>
        </w:rPr>
        <w:t>ů</w:t>
      </w:r>
      <w:r w:rsidR="00CB4392" w:rsidRPr="00E71E81">
        <w:rPr>
          <w:rFonts w:ascii="Arial" w:hAnsi="Arial" w:cs="Arial"/>
          <w:sz w:val="20"/>
          <w:szCs w:val="20"/>
        </w:rPr>
        <w:t xml:space="preserve"> (v obou případech 38 % podniků v EU)</w:t>
      </w:r>
      <w:r w:rsidRPr="00E71E81">
        <w:rPr>
          <w:rFonts w:ascii="Arial" w:hAnsi="Arial" w:cs="Arial"/>
          <w:sz w:val="20"/>
          <w:szCs w:val="20"/>
        </w:rPr>
        <w:t>.</w:t>
      </w:r>
      <w:r w:rsidR="00760B06" w:rsidRPr="00E71E81">
        <w:rPr>
          <w:rFonts w:ascii="Arial" w:hAnsi="Arial" w:cs="Arial"/>
          <w:sz w:val="20"/>
          <w:szCs w:val="20"/>
        </w:rPr>
        <w:t xml:space="preserve"> Pořadí ostatních typů cloudových služeb využívaných podniky v</w:t>
      </w:r>
      <w:r w:rsidR="00EC59AC" w:rsidRPr="00E71E81">
        <w:rPr>
          <w:rFonts w:ascii="Arial" w:hAnsi="Arial" w:cs="Arial"/>
          <w:sz w:val="20"/>
          <w:szCs w:val="20"/>
        </w:rPr>
        <w:t xml:space="preserve"> průměru </w:t>
      </w:r>
      <w:r w:rsidR="00760B06" w:rsidRPr="00E71E81">
        <w:rPr>
          <w:rFonts w:ascii="Arial" w:hAnsi="Arial" w:cs="Arial"/>
          <w:sz w:val="20"/>
          <w:szCs w:val="20"/>
        </w:rPr>
        <w:t>EU je totožné jako v</w:t>
      </w:r>
      <w:r w:rsidR="00EC59AC" w:rsidRPr="00E71E81">
        <w:rPr>
          <w:rFonts w:ascii="Arial" w:hAnsi="Arial" w:cs="Arial"/>
          <w:sz w:val="20"/>
          <w:szCs w:val="20"/>
        </w:rPr>
        <w:t> </w:t>
      </w:r>
      <w:r w:rsidR="00760B06" w:rsidRPr="00E71E81">
        <w:rPr>
          <w:rFonts w:ascii="Arial" w:hAnsi="Arial" w:cs="Arial"/>
          <w:sz w:val="20"/>
          <w:szCs w:val="20"/>
        </w:rPr>
        <w:t>ČR</w:t>
      </w:r>
      <w:r w:rsidR="00EC59AC" w:rsidRPr="00E71E81">
        <w:rPr>
          <w:rFonts w:ascii="Arial" w:hAnsi="Arial" w:cs="Arial"/>
          <w:sz w:val="20"/>
          <w:szCs w:val="20"/>
        </w:rPr>
        <w:t>.</w:t>
      </w:r>
      <w:r w:rsidR="00760B06" w:rsidRPr="00E71E81">
        <w:rPr>
          <w:rFonts w:ascii="Arial" w:hAnsi="Arial" w:cs="Arial"/>
          <w:sz w:val="20"/>
          <w:szCs w:val="20"/>
        </w:rPr>
        <w:t xml:space="preserve"> </w:t>
      </w:r>
    </w:p>
    <w:p w14:paraId="6C99FA71" w14:textId="77777777" w:rsidR="00F51FCB" w:rsidRDefault="00F51FC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3B810B6" w14:textId="4C68A29E" w:rsidR="001B04F3" w:rsidRDefault="001B04F3" w:rsidP="00EC59AC">
      <w:pPr>
        <w:autoSpaceDE w:val="0"/>
        <w:autoSpaceDN w:val="0"/>
        <w:adjustRightInd w:val="0"/>
        <w:spacing w:before="240"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9D6385">
        <w:rPr>
          <w:rFonts w:ascii="Arial" w:hAnsi="Arial" w:cs="Arial"/>
          <w:b/>
          <w:sz w:val="20"/>
          <w:szCs w:val="20"/>
        </w:rPr>
        <w:lastRenderedPageBreak/>
        <w:t xml:space="preserve">Graf </w:t>
      </w:r>
      <w:r w:rsidR="00190B67">
        <w:rPr>
          <w:rFonts w:ascii="Arial" w:hAnsi="Arial" w:cs="Arial"/>
          <w:b/>
          <w:sz w:val="20"/>
          <w:szCs w:val="20"/>
        </w:rPr>
        <w:t>9</w:t>
      </w:r>
      <w:r w:rsidRPr="009D638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9D6385">
        <w:rPr>
          <w:rFonts w:ascii="Arial" w:hAnsi="Arial" w:cs="Arial"/>
          <w:b/>
          <w:sz w:val="20"/>
          <w:szCs w:val="20"/>
        </w:rPr>
        <w:t xml:space="preserve">: </w:t>
      </w:r>
      <w:r w:rsidR="00426121">
        <w:rPr>
          <w:rFonts w:ascii="Arial" w:hAnsi="Arial" w:cs="Arial"/>
          <w:b/>
          <w:sz w:val="20"/>
          <w:szCs w:val="20"/>
        </w:rPr>
        <w:t>Podniky v Č</w:t>
      </w:r>
      <w:r w:rsidR="00165F4A">
        <w:rPr>
          <w:rFonts w:ascii="Arial" w:hAnsi="Arial" w:cs="Arial"/>
          <w:b/>
          <w:sz w:val="20"/>
          <w:szCs w:val="20"/>
        </w:rPr>
        <w:t>esku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14187">
        <w:rPr>
          <w:rFonts w:ascii="Arial" w:hAnsi="Arial" w:cs="Arial"/>
          <w:b/>
          <w:sz w:val="20"/>
          <w:szCs w:val="20"/>
        </w:rPr>
        <w:t>po</w:t>
      </w:r>
      <w:r>
        <w:rPr>
          <w:rFonts w:ascii="Arial" w:hAnsi="Arial" w:cs="Arial"/>
          <w:b/>
          <w:sz w:val="20"/>
          <w:szCs w:val="20"/>
        </w:rPr>
        <w:t>užívající placen</w:t>
      </w:r>
      <w:r w:rsidR="00426121">
        <w:rPr>
          <w:rFonts w:ascii="Arial" w:hAnsi="Arial" w:cs="Arial"/>
          <w:b/>
          <w:sz w:val="20"/>
          <w:szCs w:val="20"/>
        </w:rPr>
        <w:t>é</w:t>
      </w:r>
      <w:r w:rsidR="001E2FFE">
        <w:rPr>
          <w:rFonts w:ascii="Arial" w:hAnsi="Arial" w:cs="Arial"/>
          <w:b/>
          <w:sz w:val="20"/>
          <w:szCs w:val="20"/>
        </w:rPr>
        <w:t xml:space="preserve"> cloudové</w:t>
      </w:r>
      <w:r>
        <w:rPr>
          <w:rFonts w:ascii="Arial" w:hAnsi="Arial" w:cs="Arial"/>
          <w:b/>
          <w:sz w:val="20"/>
          <w:szCs w:val="20"/>
        </w:rPr>
        <w:t xml:space="preserve"> služb</w:t>
      </w:r>
      <w:r w:rsidR="00426121">
        <w:rPr>
          <w:rFonts w:ascii="Arial" w:hAnsi="Arial" w:cs="Arial"/>
          <w:b/>
          <w:sz w:val="20"/>
          <w:szCs w:val="20"/>
        </w:rPr>
        <w:t>y</w:t>
      </w:r>
    </w:p>
    <w:p w14:paraId="5C3F52BC" w14:textId="77777777" w:rsidR="00C34FAD" w:rsidRPr="004658BC" w:rsidRDefault="00C34FAD" w:rsidP="00C34FAD">
      <w:pPr>
        <w:autoSpaceDE w:val="0"/>
        <w:autoSpaceDN w:val="0"/>
        <w:adjustRightInd w:val="0"/>
        <w:spacing w:before="120" w:after="120" w:line="240" w:lineRule="auto"/>
        <w:ind w:right="-1"/>
        <w:rPr>
          <w:rFonts w:ascii="Arial" w:hAnsi="Arial" w:cs="Arial"/>
          <w:bCs/>
          <w:sz w:val="18"/>
        </w:rPr>
      </w:pPr>
      <w:r w:rsidRPr="004658BC">
        <w:rPr>
          <w:rFonts w:ascii="Arial" w:hAnsi="Arial" w:cs="Arial"/>
          <w:bCs/>
          <w:sz w:val="18"/>
        </w:rPr>
        <w:t>(% z celkového počtu podniků s 10+ zaměstnanci)</w:t>
      </w:r>
    </w:p>
    <w:p w14:paraId="1765CEB1" w14:textId="08C50188" w:rsidR="001B04F3" w:rsidRDefault="00A634DF" w:rsidP="001B04F3">
      <w:pPr>
        <w:autoSpaceDE w:val="0"/>
        <w:autoSpaceDN w:val="0"/>
        <w:adjustRightInd w:val="0"/>
        <w:spacing w:before="60" w:after="0" w:line="26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8D86DB1" wp14:editId="3EADE158">
            <wp:extent cx="6067425" cy="2895600"/>
            <wp:effectExtent l="0" t="0" r="0" b="0"/>
            <wp:docPr id="64558488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B12DC9" w14:textId="77777777" w:rsidR="00760B06" w:rsidRDefault="00760B06">
      <w:pPr>
        <w:spacing w:after="0" w:line="240" w:lineRule="auto"/>
        <w:rPr>
          <w:rFonts w:ascii="Arial" w:hAnsi="Arial" w:cs="Arial"/>
          <w:b/>
          <w:spacing w:val="-4"/>
          <w:sz w:val="20"/>
          <w:szCs w:val="20"/>
        </w:rPr>
      </w:pPr>
    </w:p>
    <w:p w14:paraId="045F135A" w14:textId="6036C3B4" w:rsidR="00BF2F1C" w:rsidRDefault="00BF2F1C" w:rsidP="00BF2F1C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spacing w:val="-8"/>
          <w:sz w:val="20"/>
          <w:szCs w:val="20"/>
        </w:rPr>
      </w:pPr>
      <w:r w:rsidRPr="000A7A07">
        <w:rPr>
          <w:rFonts w:ascii="Arial" w:hAnsi="Arial" w:cs="Arial"/>
          <w:b/>
          <w:spacing w:val="-8"/>
          <w:sz w:val="20"/>
          <w:szCs w:val="20"/>
        </w:rPr>
        <w:t xml:space="preserve">Graf </w:t>
      </w:r>
      <w:r>
        <w:rPr>
          <w:rFonts w:ascii="Arial" w:hAnsi="Arial" w:cs="Arial"/>
          <w:b/>
          <w:spacing w:val="-8"/>
          <w:sz w:val="20"/>
          <w:szCs w:val="20"/>
        </w:rPr>
        <w:t>9</w:t>
      </w:r>
      <w:r w:rsidRPr="000A7A07">
        <w:rPr>
          <w:rFonts w:ascii="Arial" w:hAnsi="Arial" w:cs="Arial"/>
          <w:b/>
          <w:spacing w:val="-8"/>
          <w:sz w:val="20"/>
          <w:szCs w:val="20"/>
        </w:rPr>
        <w:t>.</w:t>
      </w:r>
      <w:r>
        <w:rPr>
          <w:rFonts w:ascii="Arial" w:hAnsi="Arial" w:cs="Arial"/>
          <w:b/>
          <w:spacing w:val="-8"/>
          <w:sz w:val="20"/>
          <w:szCs w:val="20"/>
        </w:rPr>
        <w:t>2</w:t>
      </w:r>
      <w:r w:rsidRPr="000A7A07">
        <w:rPr>
          <w:rFonts w:ascii="Arial" w:hAnsi="Arial" w:cs="Arial"/>
          <w:b/>
          <w:spacing w:val="-8"/>
          <w:sz w:val="20"/>
          <w:szCs w:val="20"/>
        </w:rPr>
        <w:t xml:space="preserve">: </w:t>
      </w:r>
      <w:r w:rsidR="00E90E7E">
        <w:rPr>
          <w:rFonts w:ascii="Arial" w:hAnsi="Arial" w:cs="Arial"/>
          <w:b/>
          <w:spacing w:val="-8"/>
          <w:sz w:val="20"/>
          <w:szCs w:val="20"/>
        </w:rPr>
        <w:t>Druhy placených cloudových služeb používané p</w:t>
      </w:r>
      <w:r>
        <w:rPr>
          <w:rFonts w:ascii="Arial" w:hAnsi="Arial" w:cs="Arial"/>
          <w:b/>
          <w:spacing w:val="-8"/>
          <w:sz w:val="20"/>
          <w:szCs w:val="20"/>
        </w:rPr>
        <w:t>odniky v Česku a zemích EU27 v roce 2025</w:t>
      </w:r>
    </w:p>
    <w:p w14:paraId="4E76234F" w14:textId="77777777" w:rsidR="00BF2F1C" w:rsidRDefault="00BF2F1C" w:rsidP="00BF2F1C">
      <w:pPr>
        <w:spacing w:before="120" w:after="0" w:line="360" w:lineRule="auto"/>
        <w:rPr>
          <w:rFonts w:ascii="Arial" w:hAnsi="Arial" w:cs="Arial"/>
          <w:bCs/>
          <w:iCs/>
          <w:sz w:val="18"/>
          <w:szCs w:val="20"/>
        </w:rPr>
      </w:pPr>
      <w:r w:rsidRPr="0064262F">
        <w:rPr>
          <w:rFonts w:ascii="Arial" w:hAnsi="Arial" w:cs="Arial"/>
          <w:bCs/>
          <w:sz w:val="18"/>
          <w:szCs w:val="20"/>
        </w:rPr>
        <w:t>(% z celkového počtu podniků s 10+ zaměstnanci</w:t>
      </w:r>
      <w:r w:rsidRPr="00F15611">
        <w:rPr>
          <w:rFonts w:ascii="Arial" w:hAnsi="Arial" w:cs="Arial"/>
          <w:bCs/>
          <w:iCs/>
          <w:sz w:val="18"/>
          <w:szCs w:val="20"/>
        </w:rPr>
        <w:t>)</w:t>
      </w:r>
    </w:p>
    <w:p w14:paraId="25356FB5" w14:textId="77777777" w:rsidR="00BF2F1C" w:rsidRPr="0064262F" w:rsidRDefault="00BF2F1C" w:rsidP="00BF2F1C">
      <w:pPr>
        <w:spacing w:after="0" w:line="240" w:lineRule="auto"/>
        <w:rPr>
          <w:rFonts w:ascii="Arial" w:hAnsi="Arial" w:cs="Arial"/>
          <w:bCs/>
          <w:sz w:val="18"/>
          <w:szCs w:val="20"/>
        </w:rPr>
      </w:pPr>
      <w:r>
        <w:rPr>
          <w:noProof/>
        </w:rPr>
        <w:drawing>
          <wp:inline distT="0" distB="0" distL="0" distR="0" wp14:anchorId="0E0B3CB6" wp14:editId="4FE7F1B0">
            <wp:extent cx="5991225" cy="4486275"/>
            <wp:effectExtent l="0" t="0" r="0" b="9525"/>
            <wp:docPr id="65275362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FE5065" w14:textId="77777777" w:rsidR="00BF2F1C" w:rsidRDefault="00BF2F1C" w:rsidP="00760B06">
      <w:pPr>
        <w:autoSpaceDE w:val="0"/>
        <w:autoSpaceDN w:val="0"/>
        <w:adjustRightInd w:val="0"/>
        <w:spacing w:before="60" w:after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71A0039C" w14:textId="77777777" w:rsidR="00BF2F1C" w:rsidRDefault="00BF2F1C" w:rsidP="00760B06">
      <w:pPr>
        <w:autoSpaceDE w:val="0"/>
        <w:autoSpaceDN w:val="0"/>
        <w:adjustRightInd w:val="0"/>
        <w:spacing w:before="60" w:after="0" w:line="26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7936395B" w14:textId="5D098D1C" w:rsidR="00760B06" w:rsidRDefault="00BF2F1C" w:rsidP="00BF2F1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760B06" w:rsidRPr="009D6385">
        <w:rPr>
          <w:rFonts w:ascii="Arial" w:hAnsi="Arial" w:cs="Arial"/>
          <w:b/>
          <w:sz w:val="20"/>
          <w:szCs w:val="20"/>
        </w:rPr>
        <w:lastRenderedPageBreak/>
        <w:t xml:space="preserve">Graf </w:t>
      </w:r>
      <w:r w:rsidR="00190B67">
        <w:rPr>
          <w:rFonts w:ascii="Arial" w:hAnsi="Arial" w:cs="Arial"/>
          <w:b/>
          <w:sz w:val="20"/>
          <w:szCs w:val="20"/>
        </w:rPr>
        <w:t>9</w:t>
      </w:r>
      <w:r w:rsidR="00760B06" w:rsidRPr="009D638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="00760B06" w:rsidRPr="009D6385">
        <w:rPr>
          <w:rFonts w:ascii="Arial" w:hAnsi="Arial" w:cs="Arial"/>
          <w:b/>
          <w:sz w:val="20"/>
          <w:szCs w:val="20"/>
        </w:rPr>
        <w:t xml:space="preserve">: </w:t>
      </w:r>
      <w:r w:rsidR="00CF0E5C">
        <w:rPr>
          <w:rFonts w:ascii="Arial" w:hAnsi="Arial" w:cs="Arial"/>
          <w:b/>
          <w:sz w:val="20"/>
          <w:szCs w:val="20"/>
        </w:rPr>
        <w:t>Podniky v Č</w:t>
      </w:r>
      <w:r w:rsidR="006273FB">
        <w:rPr>
          <w:rFonts w:ascii="Arial" w:hAnsi="Arial" w:cs="Arial"/>
          <w:b/>
          <w:sz w:val="20"/>
          <w:szCs w:val="20"/>
        </w:rPr>
        <w:t>esku</w:t>
      </w:r>
      <w:r w:rsidR="00CF0E5C">
        <w:rPr>
          <w:rFonts w:ascii="Arial" w:hAnsi="Arial" w:cs="Arial"/>
          <w:b/>
          <w:sz w:val="20"/>
          <w:szCs w:val="20"/>
        </w:rPr>
        <w:t xml:space="preserve"> podle poč</w:t>
      </w:r>
      <w:r w:rsidR="00760B06">
        <w:rPr>
          <w:rFonts w:ascii="Arial" w:hAnsi="Arial" w:cs="Arial"/>
          <w:b/>
          <w:sz w:val="20"/>
          <w:szCs w:val="20"/>
        </w:rPr>
        <w:t>t</w:t>
      </w:r>
      <w:r w:rsidR="00CF0E5C">
        <w:rPr>
          <w:rFonts w:ascii="Arial" w:hAnsi="Arial" w:cs="Arial"/>
          <w:b/>
          <w:sz w:val="20"/>
          <w:szCs w:val="20"/>
        </w:rPr>
        <w:t>u</w:t>
      </w:r>
      <w:r w:rsidR="00760B06">
        <w:rPr>
          <w:rFonts w:ascii="Arial" w:hAnsi="Arial" w:cs="Arial"/>
          <w:b/>
          <w:sz w:val="20"/>
          <w:szCs w:val="20"/>
        </w:rPr>
        <w:t xml:space="preserve"> </w:t>
      </w:r>
      <w:r w:rsidR="0063231F">
        <w:rPr>
          <w:rFonts w:ascii="Arial" w:hAnsi="Arial" w:cs="Arial"/>
          <w:b/>
          <w:sz w:val="20"/>
          <w:szCs w:val="20"/>
        </w:rPr>
        <w:t xml:space="preserve">druhů </w:t>
      </w:r>
      <w:r w:rsidR="00214187">
        <w:rPr>
          <w:rFonts w:ascii="Arial" w:hAnsi="Arial" w:cs="Arial"/>
          <w:b/>
          <w:sz w:val="20"/>
          <w:szCs w:val="20"/>
        </w:rPr>
        <w:t>používaných placených</w:t>
      </w:r>
      <w:r w:rsidR="00CF0E5C">
        <w:rPr>
          <w:rFonts w:ascii="Arial" w:hAnsi="Arial" w:cs="Arial"/>
          <w:b/>
          <w:sz w:val="20"/>
          <w:szCs w:val="20"/>
        </w:rPr>
        <w:t xml:space="preserve"> </w:t>
      </w:r>
      <w:r w:rsidR="00760B06">
        <w:rPr>
          <w:rFonts w:ascii="Arial" w:hAnsi="Arial" w:cs="Arial"/>
          <w:b/>
          <w:sz w:val="20"/>
          <w:szCs w:val="20"/>
        </w:rPr>
        <w:t>cloudových služeb</w:t>
      </w:r>
      <w:r w:rsidR="006273FB">
        <w:rPr>
          <w:rFonts w:ascii="Arial" w:hAnsi="Arial" w:cs="Arial"/>
          <w:b/>
          <w:sz w:val="20"/>
          <w:szCs w:val="20"/>
        </w:rPr>
        <w:t xml:space="preserve"> v roce 2025</w:t>
      </w:r>
    </w:p>
    <w:p w14:paraId="295BB2DF" w14:textId="445CBB32" w:rsidR="006273FB" w:rsidRPr="004658BC" w:rsidRDefault="006273FB" w:rsidP="006273FB">
      <w:pPr>
        <w:autoSpaceDE w:val="0"/>
        <w:autoSpaceDN w:val="0"/>
        <w:adjustRightInd w:val="0"/>
        <w:spacing w:before="120" w:after="120" w:line="240" w:lineRule="auto"/>
        <w:ind w:right="-1"/>
        <w:rPr>
          <w:rFonts w:ascii="Arial" w:hAnsi="Arial" w:cs="Arial"/>
          <w:bCs/>
          <w:sz w:val="18"/>
        </w:rPr>
      </w:pPr>
      <w:r w:rsidRPr="004658BC">
        <w:rPr>
          <w:rFonts w:ascii="Arial" w:hAnsi="Arial" w:cs="Arial"/>
          <w:bCs/>
          <w:sz w:val="18"/>
        </w:rPr>
        <w:t>(% z počtu podniků s 10+ zaměstnanci</w:t>
      </w:r>
      <w:r>
        <w:rPr>
          <w:rFonts w:ascii="Arial" w:hAnsi="Arial" w:cs="Arial"/>
          <w:bCs/>
          <w:sz w:val="18"/>
        </w:rPr>
        <w:t xml:space="preserve"> </w:t>
      </w:r>
      <w:r w:rsidRPr="006273FB">
        <w:rPr>
          <w:rFonts w:ascii="Arial" w:hAnsi="Arial" w:cs="Arial"/>
          <w:bCs/>
          <w:sz w:val="18"/>
          <w:u w:val="single"/>
        </w:rPr>
        <w:t>používajících placené cloudové služby</w:t>
      </w:r>
      <w:r w:rsidRPr="004658BC">
        <w:rPr>
          <w:rFonts w:ascii="Arial" w:hAnsi="Arial" w:cs="Arial"/>
          <w:bCs/>
          <w:sz w:val="18"/>
        </w:rPr>
        <w:t>)</w:t>
      </w:r>
    </w:p>
    <w:p w14:paraId="304340E2" w14:textId="0F93C7B3" w:rsidR="00760B06" w:rsidRDefault="00C54CDD" w:rsidP="00760B06">
      <w:pPr>
        <w:autoSpaceDE w:val="0"/>
        <w:autoSpaceDN w:val="0"/>
        <w:adjustRightInd w:val="0"/>
        <w:spacing w:before="60" w:after="0" w:line="26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360C704" wp14:editId="4EE2BC01">
            <wp:extent cx="6010275" cy="3638550"/>
            <wp:effectExtent l="0" t="0" r="0" b="0"/>
            <wp:docPr id="50015032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CFC70" w14:textId="3486571D" w:rsidR="00760B06" w:rsidRDefault="00760B06" w:rsidP="00760B06">
      <w:pPr>
        <w:autoSpaceDE w:val="0"/>
        <w:autoSpaceDN w:val="0"/>
        <w:adjustRightInd w:val="0"/>
        <w:spacing w:before="60" w:after="0" w:line="264" w:lineRule="auto"/>
        <w:rPr>
          <w:rFonts w:ascii="Arial" w:hAnsi="Arial" w:cs="Arial"/>
          <w:i/>
          <w:sz w:val="18"/>
          <w:szCs w:val="18"/>
        </w:rPr>
      </w:pPr>
    </w:p>
    <w:p w14:paraId="30EFF78A" w14:textId="03CA3A5B" w:rsidR="001B406F" w:rsidRDefault="00350B64" w:rsidP="00BF2F1C">
      <w:pPr>
        <w:spacing w:after="0" w:line="240" w:lineRule="auto"/>
        <w:rPr>
          <w:rFonts w:ascii="Arial" w:hAnsi="Arial" w:cs="Arial"/>
          <w:b/>
          <w:spacing w:val="-4"/>
          <w:sz w:val="20"/>
          <w:szCs w:val="20"/>
        </w:rPr>
      </w:pPr>
      <w:r w:rsidRPr="000A7A07">
        <w:rPr>
          <w:rFonts w:ascii="Arial" w:hAnsi="Arial" w:cs="Arial"/>
          <w:b/>
          <w:spacing w:val="-4"/>
          <w:sz w:val="20"/>
          <w:szCs w:val="20"/>
        </w:rPr>
        <w:t xml:space="preserve">Graf </w:t>
      </w:r>
      <w:r w:rsidR="00190B67">
        <w:rPr>
          <w:rFonts w:ascii="Arial" w:hAnsi="Arial" w:cs="Arial"/>
          <w:b/>
          <w:spacing w:val="-4"/>
          <w:sz w:val="20"/>
          <w:szCs w:val="20"/>
        </w:rPr>
        <w:t>9</w:t>
      </w:r>
      <w:r w:rsidRPr="000A7A07">
        <w:rPr>
          <w:rFonts w:ascii="Arial" w:hAnsi="Arial" w:cs="Arial"/>
          <w:b/>
          <w:spacing w:val="-4"/>
          <w:sz w:val="20"/>
          <w:szCs w:val="20"/>
        </w:rPr>
        <w:t>.</w:t>
      </w:r>
      <w:r w:rsidR="00BF2F1C">
        <w:rPr>
          <w:rFonts w:ascii="Arial" w:hAnsi="Arial" w:cs="Arial"/>
          <w:b/>
          <w:spacing w:val="-4"/>
          <w:sz w:val="20"/>
          <w:szCs w:val="20"/>
        </w:rPr>
        <w:t>4</w:t>
      </w:r>
      <w:r w:rsidRPr="000A7A07">
        <w:rPr>
          <w:rFonts w:ascii="Arial" w:hAnsi="Arial" w:cs="Arial"/>
          <w:b/>
          <w:spacing w:val="-4"/>
          <w:sz w:val="20"/>
          <w:szCs w:val="20"/>
        </w:rPr>
        <w:t xml:space="preserve">: </w:t>
      </w:r>
      <w:r w:rsidR="00426121">
        <w:rPr>
          <w:rFonts w:ascii="Arial" w:hAnsi="Arial" w:cs="Arial"/>
          <w:b/>
          <w:spacing w:val="-4"/>
          <w:sz w:val="20"/>
          <w:szCs w:val="20"/>
        </w:rPr>
        <w:t>Podnik</w:t>
      </w:r>
      <w:r w:rsidRPr="000A7A07">
        <w:rPr>
          <w:rFonts w:ascii="Arial" w:hAnsi="Arial" w:cs="Arial"/>
          <w:b/>
          <w:spacing w:val="-4"/>
          <w:sz w:val="20"/>
          <w:szCs w:val="20"/>
        </w:rPr>
        <w:t>y v zemích EU</w:t>
      </w:r>
      <w:r w:rsidR="0086432B">
        <w:rPr>
          <w:rFonts w:ascii="Arial" w:hAnsi="Arial" w:cs="Arial"/>
          <w:b/>
          <w:spacing w:val="-4"/>
          <w:sz w:val="20"/>
          <w:szCs w:val="20"/>
        </w:rPr>
        <w:t>27</w:t>
      </w:r>
      <w:r w:rsidRPr="000A7A0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214187">
        <w:rPr>
          <w:rFonts w:ascii="Arial" w:hAnsi="Arial" w:cs="Arial"/>
          <w:b/>
          <w:spacing w:val="-4"/>
          <w:sz w:val="20"/>
          <w:szCs w:val="20"/>
        </w:rPr>
        <w:t>po</w:t>
      </w:r>
      <w:r w:rsidRPr="000A7A07">
        <w:rPr>
          <w:rFonts w:ascii="Arial" w:hAnsi="Arial" w:cs="Arial"/>
          <w:b/>
          <w:spacing w:val="-4"/>
          <w:sz w:val="20"/>
          <w:szCs w:val="20"/>
        </w:rPr>
        <w:t>užívající placen</w:t>
      </w:r>
      <w:r w:rsidR="00426121">
        <w:rPr>
          <w:rFonts w:ascii="Arial" w:hAnsi="Arial" w:cs="Arial"/>
          <w:b/>
          <w:spacing w:val="-4"/>
          <w:sz w:val="20"/>
          <w:szCs w:val="20"/>
        </w:rPr>
        <w:t>é</w:t>
      </w:r>
      <w:r w:rsidRPr="000A7A0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8502F5">
        <w:rPr>
          <w:rFonts w:ascii="Arial" w:hAnsi="Arial" w:cs="Arial"/>
          <w:b/>
          <w:spacing w:val="-4"/>
          <w:sz w:val="20"/>
          <w:szCs w:val="20"/>
        </w:rPr>
        <w:t xml:space="preserve">cloudové </w:t>
      </w:r>
      <w:r w:rsidRPr="000A7A07">
        <w:rPr>
          <w:rFonts w:ascii="Arial" w:hAnsi="Arial" w:cs="Arial"/>
          <w:b/>
          <w:spacing w:val="-4"/>
          <w:sz w:val="20"/>
          <w:szCs w:val="20"/>
        </w:rPr>
        <w:t>služb</w:t>
      </w:r>
      <w:r w:rsidR="00426121">
        <w:rPr>
          <w:rFonts w:ascii="Arial" w:hAnsi="Arial" w:cs="Arial"/>
          <w:b/>
          <w:spacing w:val="-4"/>
          <w:sz w:val="20"/>
          <w:szCs w:val="20"/>
        </w:rPr>
        <w:t>y</w:t>
      </w:r>
      <w:r w:rsidR="0086432B">
        <w:rPr>
          <w:rFonts w:ascii="Arial" w:hAnsi="Arial" w:cs="Arial"/>
          <w:b/>
          <w:spacing w:val="-4"/>
          <w:sz w:val="20"/>
          <w:szCs w:val="20"/>
        </w:rPr>
        <w:t xml:space="preserve"> v roce</w:t>
      </w:r>
      <w:r w:rsidR="008502F5">
        <w:rPr>
          <w:rFonts w:ascii="Arial" w:hAnsi="Arial" w:cs="Arial"/>
          <w:b/>
          <w:spacing w:val="-4"/>
          <w:sz w:val="20"/>
          <w:szCs w:val="20"/>
        </w:rPr>
        <w:t xml:space="preserve"> 202</w:t>
      </w:r>
      <w:r w:rsidR="0086432B">
        <w:rPr>
          <w:rFonts w:ascii="Arial" w:hAnsi="Arial" w:cs="Arial"/>
          <w:b/>
          <w:spacing w:val="-4"/>
          <w:sz w:val="20"/>
          <w:szCs w:val="20"/>
        </w:rPr>
        <w:t>5</w:t>
      </w:r>
    </w:p>
    <w:p w14:paraId="2089108E" w14:textId="454CE596" w:rsidR="00FD4D8D" w:rsidRPr="00FD4D8D" w:rsidRDefault="00FD4D8D" w:rsidP="001B406F">
      <w:pPr>
        <w:autoSpaceDE w:val="0"/>
        <w:autoSpaceDN w:val="0"/>
        <w:adjustRightInd w:val="0"/>
        <w:spacing w:before="60" w:after="0" w:line="264" w:lineRule="auto"/>
        <w:rPr>
          <w:rFonts w:ascii="Arial" w:hAnsi="Arial" w:cs="Arial"/>
          <w:b/>
          <w:spacing w:val="-4"/>
          <w:sz w:val="20"/>
          <w:szCs w:val="20"/>
        </w:rPr>
      </w:pPr>
      <w:r w:rsidRPr="00FD4D8D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20082982" w14:textId="4B59E570" w:rsidR="00350B64" w:rsidRPr="000A7A07" w:rsidRDefault="004931B6" w:rsidP="00B36931">
      <w:pPr>
        <w:autoSpaceDE w:val="0"/>
        <w:autoSpaceDN w:val="0"/>
        <w:adjustRightInd w:val="0"/>
        <w:spacing w:before="60" w:after="0" w:line="264" w:lineRule="auto"/>
        <w:rPr>
          <w:rFonts w:ascii="Arial" w:hAnsi="Arial" w:cs="Arial"/>
          <w:b/>
          <w:sz w:val="10"/>
          <w:szCs w:val="10"/>
        </w:rPr>
      </w:pPr>
      <w:r>
        <w:rPr>
          <w:noProof/>
        </w:rPr>
        <w:drawing>
          <wp:inline distT="0" distB="0" distL="0" distR="0" wp14:anchorId="52C3E18A" wp14:editId="0EC0D0BA">
            <wp:extent cx="6096000" cy="4010025"/>
            <wp:effectExtent l="0" t="0" r="0" b="9525"/>
            <wp:docPr id="97402899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42D2382" w14:textId="77777777" w:rsidR="007B6976" w:rsidRDefault="007B6976" w:rsidP="00426121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spacing w:val="-8"/>
          <w:sz w:val="20"/>
          <w:szCs w:val="20"/>
        </w:rPr>
      </w:pPr>
    </w:p>
    <w:p w14:paraId="701A3034" w14:textId="0A902C12" w:rsidR="00DD30C6" w:rsidRDefault="00DD30C6" w:rsidP="00426121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DD30C6" w:rsidSect="004712D9">
      <w:pgSz w:w="11906" w:h="16838" w:code="9"/>
      <w:pgMar w:top="1134" w:right="1133" w:bottom="1418" w:left="1134" w:header="680" w:footer="680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74FA" w14:textId="77777777" w:rsidR="004C3924" w:rsidRDefault="004C3924" w:rsidP="00E71A58">
      <w:r>
        <w:separator/>
      </w:r>
    </w:p>
  </w:endnote>
  <w:endnote w:type="continuationSeparator" w:id="0">
    <w:p w14:paraId="4A35209A" w14:textId="77777777" w:rsidR="004C3924" w:rsidRDefault="004C392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34A4" w14:textId="77777777" w:rsidR="004C3924" w:rsidRDefault="004C3924" w:rsidP="00E71A58">
      <w:r>
        <w:separator/>
      </w:r>
    </w:p>
  </w:footnote>
  <w:footnote w:type="continuationSeparator" w:id="0">
    <w:p w14:paraId="6690C0D1" w14:textId="77777777" w:rsidR="004C3924" w:rsidRDefault="004C3924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82FA25BC"/>
    <w:lvl w:ilvl="0" w:tplc="3174A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831277">
    <w:abstractNumId w:val="3"/>
  </w:num>
  <w:num w:numId="2" w16cid:durableId="1334600247">
    <w:abstractNumId w:val="1"/>
  </w:num>
  <w:num w:numId="3" w16cid:durableId="1796219720">
    <w:abstractNumId w:val="2"/>
  </w:num>
  <w:num w:numId="4" w16cid:durableId="974331710">
    <w:abstractNumId w:val="0"/>
  </w:num>
  <w:num w:numId="5" w16cid:durableId="1291933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7504"/>
    <w:rsid w:val="0000767A"/>
    <w:rsid w:val="00010702"/>
    <w:rsid w:val="000157BF"/>
    <w:rsid w:val="00021D1D"/>
    <w:rsid w:val="00030019"/>
    <w:rsid w:val="00032B1B"/>
    <w:rsid w:val="000425C5"/>
    <w:rsid w:val="0004694F"/>
    <w:rsid w:val="000520F4"/>
    <w:rsid w:val="00052C6B"/>
    <w:rsid w:val="0006009E"/>
    <w:rsid w:val="00062EC5"/>
    <w:rsid w:val="0006514F"/>
    <w:rsid w:val="00065227"/>
    <w:rsid w:val="00065688"/>
    <w:rsid w:val="00073609"/>
    <w:rsid w:val="00082D90"/>
    <w:rsid w:val="00087127"/>
    <w:rsid w:val="00087634"/>
    <w:rsid w:val="000966D5"/>
    <w:rsid w:val="000A1183"/>
    <w:rsid w:val="000A17C4"/>
    <w:rsid w:val="000A5A25"/>
    <w:rsid w:val="000A61D2"/>
    <w:rsid w:val="000A7A07"/>
    <w:rsid w:val="000B2B3C"/>
    <w:rsid w:val="000B453B"/>
    <w:rsid w:val="000C3408"/>
    <w:rsid w:val="000F1038"/>
    <w:rsid w:val="000F4A96"/>
    <w:rsid w:val="001177A7"/>
    <w:rsid w:val="00126BB6"/>
    <w:rsid w:val="00132BF6"/>
    <w:rsid w:val="001405FA"/>
    <w:rsid w:val="0014132E"/>
    <w:rsid w:val="001425C3"/>
    <w:rsid w:val="00143453"/>
    <w:rsid w:val="0015035A"/>
    <w:rsid w:val="001538DB"/>
    <w:rsid w:val="00155098"/>
    <w:rsid w:val="00163793"/>
    <w:rsid w:val="0016380A"/>
    <w:rsid w:val="0016474D"/>
    <w:rsid w:val="00165F4A"/>
    <w:rsid w:val="001714F2"/>
    <w:rsid w:val="0017248F"/>
    <w:rsid w:val="00174CC3"/>
    <w:rsid w:val="00176D7F"/>
    <w:rsid w:val="00185010"/>
    <w:rsid w:val="00190B67"/>
    <w:rsid w:val="00194F66"/>
    <w:rsid w:val="001A552F"/>
    <w:rsid w:val="001A6A99"/>
    <w:rsid w:val="001B04F3"/>
    <w:rsid w:val="001B2719"/>
    <w:rsid w:val="001B3110"/>
    <w:rsid w:val="001B406F"/>
    <w:rsid w:val="001C0A1A"/>
    <w:rsid w:val="001C56AF"/>
    <w:rsid w:val="001D1174"/>
    <w:rsid w:val="001D52FD"/>
    <w:rsid w:val="001E0078"/>
    <w:rsid w:val="001E09E0"/>
    <w:rsid w:val="001E2FFE"/>
    <w:rsid w:val="001F3765"/>
    <w:rsid w:val="001F389B"/>
    <w:rsid w:val="001F4597"/>
    <w:rsid w:val="001F5025"/>
    <w:rsid w:val="00207B10"/>
    <w:rsid w:val="00212935"/>
    <w:rsid w:val="00214187"/>
    <w:rsid w:val="0022139E"/>
    <w:rsid w:val="002252E0"/>
    <w:rsid w:val="002255F6"/>
    <w:rsid w:val="00230218"/>
    <w:rsid w:val="00236443"/>
    <w:rsid w:val="002364D1"/>
    <w:rsid w:val="002403F1"/>
    <w:rsid w:val="002436BA"/>
    <w:rsid w:val="00244A15"/>
    <w:rsid w:val="0024799E"/>
    <w:rsid w:val="0025584E"/>
    <w:rsid w:val="00271F6C"/>
    <w:rsid w:val="00276634"/>
    <w:rsid w:val="00283D3E"/>
    <w:rsid w:val="0028698F"/>
    <w:rsid w:val="002B40F6"/>
    <w:rsid w:val="002C31D3"/>
    <w:rsid w:val="002C43BD"/>
    <w:rsid w:val="002D400B"/>
    <w:rsid w:val="002D4DF8"/>
    <w:rsid w:val="002D7D0D"/>
    <w:rsid w:val="002E02A1"/>
    <w:rsid w:val="002F2C31"/>
    <w:rsid w:val="002F77B1"/>
    <w:rsid w:val="00302F34"/>
    <w:rsid w:val="00304771"/>
    <w:rsid w:val="00306C5B"/>
    <w:rsid w:val="003072EC"/>
    <w:rsid w:val="003209D6"/>
    <w:rsid w:val="0032353C"/>
    <w:rsid w:val="0033194D"/>
    <w:rsid w:val="00343E00"/>
    <w:rsid w:val="00350B64"/>
    <w:rsid w:val="00351377"/>
    <w:rsid w:val="00356450"/>
    <w:rsid w:val="00364712"/>
    <w:rsid w:val="003657F3"/>
    <w:rsid w:val="00370FF5"/>
    <w:rsid w:val="00377F03"/>
    <w:rsid w:val="00380231"/>
    <w:rsid w:val="00381543"/>
    <w:rsid w:val="00383428"/>
    <w:rsid w:val="003853C4"/>
    <w:rsid w:val="00385D98"/>
    <w:rsid w:val="00386083"/>
    <w:rsid w:val="00393AFD"/>
    <w:rsid w:val="0039546B"/>
    <w:rsid w:val="003A0365"/>
    <w:rsid w:val="003A2B4D"/>
    <w:rsid w:val="003A327C"/>
    <w:rsid w:val="003A3BE3"/>
    <w:rsid w:val="003A478C"/>
    <w:rsid w:val="003A5525"/>
    <w:rsid w:val="003A6B38"/>
    <w:rsid w:val="003B41A4"/>
    <w:rsid w:val="003B5A32"/>
    <w:rsid w:val="003C343C"/>
    <w:rsid w:val="003C3F8D"/>
    <w:rsid w:val="003C44CF"/>
    <w:rsid w:val="003D5AF9"/>
    <w:rsid w:val="003F21CD"/>
    <w:rsid w:val="003F2864"/>
    <w:rsid w:val="003F313C"/>
    <w:rsid w:val="00410E57"/>
    <w:rsid w:val="00412C84"/>
    <w:rsid w:val="00413550"/>
    <w:rsid w:val="00414240"/>
    <w:rsid w:val="00420F30"/>
    <w:rsid w:val="00426121"/>
    <w:rsid w:val="0043194A"/>
    <w:rsid w:val="004349CD"/>
    <w:rsid w:val="00440942"/>
    <w:rsid w:val="00445C13"/>
    <w:rsid w:val="00454953"/>
    <w:rsid w:val="004658BC"/>
    <w:rsid w:val="004712D9"/>
    <w:rsid w:val="0048139F"/>
    <w:rsid w:val="00483583"/>
    <w:rsid w:val="00492224"/>
    <w:rsid w:val="004931B6"/>
    <w:rsid w:val="00497A61"/>
    <w:rsid w:val="004A0336"/>
    <w:rsid w:val="004A77DF"/>
    <w:rsid w:val="004B55B7"/>
    <w:rsid w:val="004C0ECD"/>
    <w:rsid w:val="004C3867"/>
    <w:rsid w:val="004C3924"/>
    <w:rsid w:val="004C4CD0"/>
    <w:rsid w:val="004C70DC"/>
    <w:rsid w:val="004D0211"/>
    <w:rsid w:val="004D51F5"/>
    <w:rsid w:val="004E0606"/>
    <w:rsid w:val="004F06F5"/>
    <w:rsid w:val="004F0DF9"/>
    <w:rsid w:val="004F140C"/>
    <w:rsid w:val="004F33A0"/>
    <w:rsid w:val="004F4666"/>
    <w:rsid w:val="00503336"/>
    <w:rsid w:val="00503997"/>
    <w:rsid w:val="00504438"/>
    <w:rsid w:val="005068F4"/>
    <w:rsid w:val="005108C0"/>
    <w:rsid w:val="00511873"/>
    <w:rsid w:val="00513B7E"/>
    <w:rsid w:val="00523D5E"/>
    <w:rsid w:val="00525137"/>
    <w:rsid w:val="005251DD"/>
    <w:rsid w:val="005260D5"/>
    <w:rsid w:val="00526B60"/>
    <w:rsid w:val="00530C4C"/>
    <w:rsid w:val="00534D7E"/>
    <w:rsid w:val="00536123"/>
    <w:rsid w:val="00553139"/>
    <w:rsid w:val="00583FFD"/>
    <w:rsid w:val="00585475"/>
    <w:rsid w:val="0058612A"/>
    <w:rsid w:val="005907FE"/>
    <w:rsid w:val="00593152"/>
    <w:rsid w:val="005A21E0"/>
    <w:rsid w:val="005A2211"/>
    <w:rsid w:val="005B4204"/>
    <w:rsid w:val="005B5CCD"/>
    <w:rsid w:val="005C6E3A"/>
    <w:rsid w:val="005D5802"/>
    <w:rsid w:val="005E0F65"/>
    <w:rsid w:val="005E3A81"/>
    <w:rsid w:val="005E774B"/>
    <w:rsid w:val="005F419A"/>
    <w:rsid w:val="005F7FA5"/>
    <w:rsid w:val="00603FB4"/>
    <w:rsid w:val="00604307"/>
    <w:rsid w:val="0060487F"/>
    <w:rsid w:val="006123F0"/>
    <w:rsid w:val="006136BF"/>
    <w:rsid w:val="00617E73"/>
    <w:rsid w:val="006228F1"/>
    <w:rsid w:val="00624093"/>
    <w:rsid w:val="006273FB"/>
    <w:rsid w:val="0063231F"/>
    <w:rsid w:val="00633EF4"/>
    <w:rsid w:val="00634F75"/>
    <w:rsid w:val="0064036A"/>
    <w:rsid w:val="006404A7"/>
    <w:rsid w:val="006451E4"/>
    <w:rsid w:val="00657968"/>
    <w:rsid w:val="00657E87"/>
    <w:rsid w:val="0066178B"/>
    <w:rsid w:val="00664CFA"/>
    <w:rsid w:val="006710C9"/>
    <w:rsid w:val="00675E37"/>
    <w:rsid w:val="0068260E"/>
    <w:rsid w:val="00684ECC"/>
    <w:rsid w:val="00693C50"/>
    <w:rsid w:val="006953D1"/>
    <w:rsid w:val="006958FE"/>
    <w:rsid w:val="00695BEF"/>
    <w:rsid w:val="006977F6"/>
    <w:rsid w:val="00697A13"/>
    <w:rsid w:val="006A09CC"/>
    <w:rsid w:val="006A109C"/>
    <w:rsid w:val="006B78D8"/>
    <w:rsid w:val="006C113F"/>
    <w:rsid w:val="006C3A9D"/>
    <w:rsid w:val="006D0119"/>
    <w:rsid w:val="006D2F3D"/>
    <w:rsid w:val="006D61F6"/>
    <w:rsid w:val="006E243F"/>
    <w:rsid w:val="006E279A"/>
    <w:rsid w:val="006E313B"/>
    <w:rsid w:val="006E60FD"/>
    <w:rsid w:val="006E7DE3"/>
    <w:rsid w:val="006F581C"/>
    <w:rsid w:val="00700793"/>
    <w:rsid w:val="007211F5"/>
    <w:rsid w:val="007212FE"/>
    <w:rsid w:val="00730AE8"/>
    <w:rsid w:val="00741493"/>
    <w:rsid w:val="00745206"/>
    <w:rsid w:val="00752180"/>
    <w:rsid w:val="00754C9E"/>
    <w:rsid w:val="00755D3A"/>
    <w:rsid w:val="007609C6"/>
    <w:rsid w:val="00760B06"/>
    <w:rsid w:val="00761B3D"/>
    <w:rsid w:val="00764DDB"/>
    <w:rsid w:val="00765BFF"/>
    <w:rsid w:val="00771AF1"/>
    <w:rsid w:val="00776527"/>
    <w:rsid w:val="00776DA8"/>
    <w:rsid w:val="00782139"/>
    <w:rsid w:val="00785B2D"/>
    <w:rsid w:val="00786808"/>
    <w:rsid w:val="00792CD7"/>
    <w:rsid w:val="007A043B"/>
    <w:rsid w:val="007A5C36"/>
    <w:rsid w:val="007A68D4"/>
    <w:rsid w:val="007B6976"/>
    <w:rsid w:val="007C3F6A"/>
    <w:rsid w:val="007D7174"/>
    <w:rsid w:val="007E3D24"/>
    <w:rsid w:val="007E7E61"/>
    <w:rsid w:val="007F0845"/>
    <w:rsid w:val="007F3304"/>
    <w:rsid w:val="007F3F00"/>
    <w:rsid w:val="00805AE2"/>
    <w:rsid w:val="00821FF6"/>
    <w:rsid w:val="00824F3C"/>
    <w:rsid w:val="0083143E"/>
    <w:rsid w:val="00831E32"/>
    <w:rsid w:val="00834FAA"/>
    <w:rsid w:val="00836086"/>
    <w:rsid w:val="00841163"/>
    <w:rsid w:val="00847B2C"/>
    <w:rsid w:val="008502F5"/>
    <w:rsid w:val="00852B8E"/>
    <w:rsid w:val="008547E9"/>
    <w:rsid w:val="0086432B"/>
    <w:rsid w:val="00872ED0"/>
    <w:rsid w:val="00875FCC"/>
    <w:rsid w:val="00876086"/>
    <w:rsid w:val="0088436B"/>
    <w:rsid w:val="0089302D"/>
    <w:rsid w:val="008A67AE"/>
    <w:rsid w:val="008B7185"/>
    <w:rsid w:val="008B7C02"/>
    <w:rsid w:val="008C0E88"/>
    <w:rsid w:val="008D2A16"/>
    <w:rsid w:val="008E0077"/>
    <w:rsid w:val="008E31FF"/>
    <w:rsid w:val="008E423C"/>
    <w:rsid w:val="008F0FD2"/>
    <w:rsid w:val="008F2D3B"/>
    <w:rsid w:val="008F3478"/>
    <w:rsid w:val="008F41A9"/>
    <w:rsid w:val="008F715B"/>
    <w:rsid w:val="009003A8"/>
    <w:rsid w:val="00902176"/>
    <w:rsid w:val="00902EFF"/>
    <w:rsid w:val="00912A22"/>
    <w:rsid w:val="00921F14"/>
    <w:rsid w:val="00924C70"/>
    <w:rsid w:val="009263D3"/>
    <w:rsid w:val="0094427A"/>
    <w:rsid w:val="009448F7"/>
    <w:rsid w:val="00946438"/>
    <w:rsid w:val="0095114B"/>
    <w:rsid w:val="009555DA"/>
    <w:rsid w:val="0097016B"/>
    <w:rsid w:val="00974923"/>
    <w:rsid w:val="0098620F"/>
    <w:rsid w:val="00987E97"/>
    <w:rsid w:val="009B1D2E"/>
    <w:rsid w:val="009B6165"/>
    <w:rsid w:val="009B6FD3"/>
    <w:rsid w:val="009B7B54"/>
    <w:rsid w:val="009C35CE"/>
    <w:rsid w:val="009D3937"/>
    <w:rsid w:val="009D6385"/>
    <w:rsid w:val="009E56C4"/>
    <w:rsid w:val="009F0142"/>
    <w:rsid w:val="009F682E"/>
    <w:rsid w:val="00A00089"/>
    <w:rsid w:val="00A0257D"/>
    <w:rsid w:val="00A10D66"/>
    <w:rsid w:val="00A1266C"/>
    <w:rsid w:val="00A23E43"/>
    <w:rsid w:val="00A2499E"/>
    <w:rsid w:val="00A27AB9"/>
    <w:rsid w:val="00A321F9"/>
    <w:rsid w:val="00A33E2F"/>
    <w:rsid w:val="00A42547"/>
    <w:rsid w:val="00A46DE0"/>
    <w:rsid w:val="00A47758"/>
    <w:rsid w:val="00A57E04"/>
    <w:rsid w:val="00A61218"/>
    <w:rsid w:val="00A62CE1"/>
    <w:rsid w:val="00A634DF"/>
    <w:rsid w:val="00A64544"/>
    <w:rsid w:val="00A73823"/>
    <w:rsid w:val="00A75E40"/>
    <w:rsid w:val="00A857C0"/>
    <w:rsid w:val="00A95049"/>
    <w:rsid w:val="00AA559A"/>
    <w:rsid w:val="00AB2167"/>
    <w:rsid w:val="00AB2AF1"/>
    <w:rsid w:val="00AB76F3"/>
    <w:rsid w:val="00AC77ED"/>
    <w:rsid w:val="00AD306C"/>
    <w:rsid w:val="00AE1037"/>
    <w:rsid w:val="00AE6A07"/>
    <w:rsid w:val="00AF2A1B"/>
    <w:rsid w:val="00AF6629"/>
    <w:rsid w:val="00B06790"/>
    <w:rsid w:val="00B112AC"/>
    <w:rsid w:val="00B13A45"/>
    <w:rsid w:val="00B13F76"/>
    <w:rsid w:val="00B14740"/>
    <w:rsid w:val="00B17E71"/>
    <w:rsid w:val="00B17FDE"/>
    <w:rsid w:val="00B20454"/>
    <w:rsid w:val="00B21D75"/>
    <w:rsid w:val="00B25120"/>
    <w:rsid w:val="00B30671"/>
    <w:rsid w:val="00B32DDB"/>
    <w:rsid w:val="00B33BAA"/>
    <w:rsid w:val="00B35AB7"/>
    <w:rsid w:val="00B36931"/>
    <w:rsid w:val="00B42041"/>
    <w:rsid w:val="00B52B14"/>
    <w:rsid w:val="00B6608F"/>
    <w:rsid w:val="00B73150"/>
    <w:rsid w:val="00B75242"/>
    <w:rsid w:val="00B76D1E"/>
    <w:rsid w:val="00B8624C"/>
    <w:rsid w:val="00B93FDB"/>
    <w:rsid w:val="00B95940"/>
    <w:rsid w:val="00BA3157"/>
    <w:rsid w:val="00BA6B9E"/>
    <w:rsid w:val="00BA7727"/>
    <w:rsid w:val="00BB4475"/>
    <w:rsid w:val="00BC7AAE"/>
    <w:rsid w:val="00BD258B"/>
    <w:rsid w:val="00BD366B"/>
    <w:rsid w:val="00BD3D9B"/>
    <w:rsid w:val="00BD6D50"/>
    <w:rsid w:val="00BD768E"/>
    <w:rsid w:val="00BE48A7"/>
    <w:rsid w:val="00BE4F7C"/>
    <w:rsid w:val="00BF26A1"/>
    <w:rsid w:val="00BF2F1C"/>
    <w:rsid w:val="00BF305A"/>
    <w:rsid w:val="00C0475C"/>
    <w:rsid w:val="00C174B8"/>
    <w:rsid w:val="00C21F94"/>
    <w:rsid w:val="00C24A32"/>
    <w:rsid w:val="00C33878"/>
    <w:rsid w:val="00C346DB"/>
    <w:rsid w:val="00C34FAD"/>
    <w:rsid w:val="00C41DEA"/>
    <w:rsid w:val="00C54CDD"/>
    <w:rsid w:val="00C57709"/>
    <w:rsid w:val="00C74820"/>
    <w:rsid w:val="00C83587"/>
    <w:rsid w:val="00C847A8"/>
    <w:rsid w:val="00C906C9"/>
    <w:rsid w:val="00C90CF4"/>
    <w:rsid w:val="00C93389"/>
    <w:rsid w:val="00CA0C7F"/>
    <w:rsid w:val="00CA1E73"/>
    <w:rsid w:val="00CB35AC"/>
    <w:rsid w:val="00CB4392"/>
    <w:rsid w:val="00CC06AB"/>
    <w:rsid w:val="00CC0868"/>
    <w:rsid w:val="00CC318F"/>
    <w:rsid w:val="00CC3BEE"/>
    <w:rsid w:val="00CC61F7"/>
    <w:rsid w:val="00CD2253"/>
    <w:rsid w:val="00CD57C7"/>
    <w:rsid w:val="00CE5378"/>
    <w:rsid w:val="00CF08B3"/>
    <w:rsid w:val="00CF0E5C"/>
    <w:rsid w:val="00CF1B69"/>
    <w:rsid w:val="00CF51EC"/>
    <w:rsid w:val="00CF7542"/>
    <w:rsid w:val="00D040DD"/>
    <w:rsid w:val="00D0616B"/>
    <w:rsid w:val="00D07B55"/>
    <w:rsid w:val="00D1416F"/>
    <w:rsid w:val="00D1684A"/>
    <w:rsid w:val="00D26062"/>
    <w:rsid w:val="00D430FB"/>
    <w:rsid w:val="00D57B0B"/>
    <w:rsid w:val="00D6015A"/>
    <w:rsid w:val="00D67ECC"/>
    <w:rsid w:val="00D769F7"/>
    <w:rsid w:val="00D77008"/>
    <w:rsid w:val="00D82156"/>
    <w:rsid w:val="00D91250"/>
    <w:rsid w:val="00D96E67"/>
    <w:rsid w:val="00DB6456"/>
    <w:rsid w:val="00DB6B38"/>
    <w:rsid w:val="00DC59D4"/>
    <w:rsid w:val="00DC5B3B"/>
    <w:rsid w:val="00DD111E"/>
    <w:rsid w:val="00DD1CED"/>
    <w:rsid w:val="00DD30C6"/>
    <w:rsid w:val="00DD6712"/>
    <w:rsid w:val="00DE1847"/>
    <w:rsid w:val="00E01C0E"/>
    <w:rsid w:val="00E02D2F"/>
    <w:rsid w:val="00E03679"/>
    <w:rsid w:val="00E04694"/>
    <w:rsid w:val="00E046ED"/>
    <w:rsid w:val="00E16FB1"/>
    <w:rsid w:val="00E17594"/>
    <w:rsid w:val="00E20E07"/>
    <w:rsid w:val="00E24D54"/>
    <w:rsid w:val="00E26296"/>
    <w:rsid w:val="00E3531D"/>
    <w:rsid w:val="00E56CDB"/>
    <w:rsid w:val="00E629FE"/>
    <w:rsid w:val="00E65221"/>
    <w:rsid w:val="00E71A58"/>
    <w:rsid w:val="00E71AB4"/>
    <w:rsid w:val="00E71E81"/>
    <w:rsid w:val="00E72641"/>
    <w:rsid w:val="00E90E7E"/>
    <w:rsid w:val="00E90F2B"/>
    <w:rsid w:val="00E91727"/>
    <w:rsid w:val="00EA0C68"/>
    <w:rsid w:val="00EA6095"/>
    <w:rsid w:val="00EC2DA6"/>
    <w:rsid w:val="00EC59AC"/>
    <w:rsid w:val="00EC7132"/>
    <w:rsid w:val="00ED047A"/>
    <w:rsid w:val="00EE01F9"/>
    <w:rsid w:val="00EE3E78"/>
    <w:rsid w:val="00EF1F5A"/>
    <w:rsid w:val="00EF31A3"/>
    <w:rsid w:val="00EF34B0"/>
    <w:rsid w:val="00F02463"/>
    <w:rsid w:val="00F02F41"/>
    <w:rsid w:val="00F04811"/>
    <w:rsid w:val="00F0488C"/>
    <w:rsid w:val="00F15611"/>
    <w:rsid w:val="00F15BEF"/>
    <w:rsid w:val="00F226D7"/>
    <w:rsid w:val="00F24BE5"/>
    <w:rsid w:val="00F24FAA"/>
    <w:rsid w:val="00F26695"/>
    <w:rsid w:val="00F27EEF"/>
    <w:rsid w:val="00F3364D"/>
    <w:rsid w:val="00F351DA"/>
    <w:rsid w:val="00F37CAE"/>
    <w:rsid w:val="00F416E7"/>
    <w:rsid w:val="00F4274E"/>
    <w:rsid w:val="00F42C99"/>
    <w:rsid w:val="00F462E3"/>
    <w:rsid w:val="00F51FCB"/>
    <w:rsid w:val="00F57E0A"/>
    <w:rsid w:val="00F63DDE"/>
    <w:rsid w:val="00F63FB7"/>
    <w:rsid w:val="00F66522"/>
    <w:rsid w:val="00F673AE"/>
    <w:rsid w:val="00F71CB0"/>
    <w:rsid w:val="00F71D0C"/>
    <w:rsid w:val="00F73A0C"/>
    <w:rsid w:val="00F81623"/>
    <w:rsid w:val="00F97AA8"/>
    <w:rsid w:val="00FA6316"/>
    <w:rsid w:val="00FA7E26"/>
    <w:rsid w:val="00FB23BB"/>
    <w:rsid w:val="00FC0444"/>
    <w:rsid w:val="00FC0E5F"/>
    <w:rsid w:val="00FC49C7"/>
    <w:rsid w:val="00FC56DE"/>
    <w:rsid w:val="00FD4D8D"/>
    <w:rsid w:val="00FD7DD7"/>
    <w:rsid w:val="00FE2F78"/>
    <w:rsid w:val="00FE4AC5"/>
    <w:rsid w:val="00FE7C91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B710D60"/>
  <w15:docId w15:val="{37BC94D7-A232-4468-AA68-700F2BAB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76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76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768E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6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68E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D7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D7D0D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D7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66711238572421E-2"/>
          <c:y val="1.136101310778289E-2"/>
          <c:w val="0.95707553046871696"/>
          <c:h val="0.73421846940185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cloud!$D$1</c:f>
              <c:strCache>
                <c:ptCount val="1"/>
                <c:pt idx="0">
                  <c:v> 2017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cloud!$D$2:$D$5</c:f>
              <c:numCache>
                <c:formatCode>0%</c:formatCode>
                <c:ptCount val="4"/>
                <c:pt idx="0">
                  <c:v>0.22</c:v>
                </c:pt>
                <c:pt idx="1">
                  <c:v>0.2</c:v>
                </c:pt>
                <c:pt idx="2">
                  <c:v>0.27500000000000002</c:v>
                </c:pt>
                <c:pt idx="3">
                  <c:v>0.38700000000000001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EE-4014-B0B8-E03906073CF0}"/>
            </c:ext>
          </c:extLst>
        </c:ser>
        <c:ser>
          <c:idx val="1"/>
          <c:order val="1"/>
          <c:tx>
            <c:strRef>
              <c:f>cloud!$F$1</c:f>
              <c:strCache>
                <c:ptCount val="1"/>
                <c:pt idx="0">
                  <c:v> 2020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cloud!$F$2:$F$5</c:f>
              <c:numCache>
                <c:formatCode>0%</c:formatCode>
                <c:ptCount val="4"/>
                <c:pt idx="0">
                  <c:v>0.28799999999999998</c:v>
                </c:pt>
                <c:pt idx="1">
                  <c:v>0.25700000000000001</c:v>
                </c:pt>
                <c:pt idx="2">
                  <c:v>0.36899999999999999</c:v>
                </c:pt>
                <c:pt idx="3">
                  <c:v>0.55700000000000005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EE-4014-B0B8-E03906073CF0}"/>
            </c:ext>
          </c:extLst>
        </c:ser>
        <c:ser>
          <c:idx val="2"/>
          <c:order val="2"/>
          <c:tx>
            <c:strRef>
              <c:f>cloud!$H$1</c:f>
              <c:strCache>
                <c:ptCount val="1"/>
                <c:pt idx="0">
                  <c:v> 2023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cloud!$H$2:$H$5</c:f>
              <c:numCache>
                <c:formatCode>0%</c:formatCode>
                <c:ptCount val="4"/>
                <c:pt idx="0">
                  <c:v>0.47099999999999997</c:v>
                </c:pt>
                <c:pt idx="1">
                  <c:v>0.42899999999999999</c:v>
                </c:pt>
                <c:pt idx="2">
                  <c:v>0.6</c:v>
                </c:pt>
                <c:pt idx="3">
                  <c:v>0.78900000000000003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EE-4014-B0B8-E03906073CF0}"/>
            </c:ext>
          </c:extLst>
        </c:ser>
        <c:ser>
          <c:idx val="3"/>
          <c:order val="3"/>
          <c:tx>
            <c:strRef>
              <c:f>cloud!$I$1</c:f>
              <c:strCache>
                <c:ptCount val="1"/>
                <c:pt idx="0">
                  <c:v> 2025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cloud!$I$2:$I$5</c:f>
              <c:numCache>
                <c:formatCode>0%</c:formatCode>
                <c:ptCount val="4"/>
                <c:pt idx="0">
                  <c:v>0.54900000000000004</c:v>
                </c:pt>
                <c:pt idx="1">
                  <c:v>0.50600000000000001</c:v>
                </c:pt>
                <c:pt idx="2">
                  <c:v>0.67900000000000005</c:v>
                </c:pt>
                <c:pt idx="3">
                  <c:v>0.85799999999999998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EE-4014-B0B8-E03906073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21584676188732219"/>
          <c:y val="0.93170977706410774"/>
          <c:w val="0.57218244521760364"/>
          <c:h val="4.86342032798725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311004904101724"/>
          <c:y val="3.8495203515259938E-2"/>
          <c:w val="0.61858650394532699"/>
          <c:h val="0.94044504305382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cloud!$B$21</c:f>
              <c:strCache>
                <c:ptCount val="1"/>
                <c:pt idx="0">
                  <c:v> EU27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cloud!$A$22:$A$31</c:f>
              <c:strCache>
                <c:ptCount val="10"/>
                <c:pt idx="0">
                  <c:v>e-mail</c:v>
                </c:pt>
                <c:pt idx="1">
                  <c:v>kancelářské programy</c:v>
                </c:pt>
                <c:pt idx="2">
                  <c:v>internetové úložiště</c:v>
                </c:pt>
                <c:pt idx="3">
                  <c:v>bezpečnostní software</c:v>
                </c:pt>
                <c:pt idx="4">
                  <c:v>finanční nebo účetní aplikace</c:v>
                </c:pt>
                <c:pt idx="5">
                  <c:v>databázový systém</c:v>
                </c:pt>
                <c:pt idx="6">
                  <c:v>software pro řízení 
a plánování podnikových zdrojů 
(tzv. ERP)</c:v>
                </c:pt>
                <c:pt idx="7">
                  <c:v>software pro řízení vztahů 
se zákazníky (tzv. CRM)</c:v>
                </c:pt>
                <c:pt idx="8">
                  <c:v>výpočetní výkon</c:v>
                </c:pt>
                <c:pt idx="9">
                  <c:v>výpočetní platforma pro vývoj 
a testování aplikací</c:v>
                </c:pt>
              </c:strCache>
            </c:strRef>
          </c:cat>
          <c:val>
            <c:numRef>
              <c:f>cloud!$B$22:$B$31</c:f>
              <c:numCache>
                <c:formatCode>0%</c:formatCode>
                <c:ptCount val="10"/>
                <c:pt idx="0">
                  <c:v>0.44900000000000001</c:v>
                </c:pt>
                <c:pt idx="1">
                  <c:v>0.378</c:v>
                </c:pt>
                <c:pt idx="2">
                  <c:v>0.377</c:v>
                </c:pt>
                <c:pt idx="3">
                  <c:v>0.34499999999999997</c:v>
                </c:pt>
                <c:pt idx="4">
                  <c:v>0.307</c:v>
                </c:pt>
                <c:pt idx="5">
                  <c:v>0.24</c:v>
                </c:pt>
                <c:pt idx="6">
                  <c:v>0.159</c:v>
                </c:pt>
                <c:pt idx="7">
                  <c:v>0.14699999999999999</c:v>
                </c:pt>
                <c:pt idx="8">
                  <c:v>0.14899999999999999</c:v>
                </c:pt>
                <c:pt idx="9">
                  <c:v>0.13800000000000001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9E-471D-94B3-1B6FE483D7B2}"/>
            </c:ext>
          </c:extLst>
        </c:ser>
        <c:ser>
          <c:idx val="1"/>
          <c:order val="1"/>
          <c:tx>
            <c:strRef>
              <c:f>cloud!$C$21</c:f>
              <c:strCache>
                <c:ptCount val="1"/>
                <c:pt idx="0">
                  <c:v> Česko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cloud!$A$22:$A$31</c:f>
              <c:strCache>
                <c:ptCount val="10"/>
                <c:pt idx="0">
                  <c:v>e-mail</c:v>
                </c:pt>
                <c:pt idx="1">
                  <c:v>kancelářské programy</c:v>
                </c:pt>
                <c:pt idx="2">
                  <c:v>internetové úložiště</c:v>
                </c:pt>
                <c:pt idx="3">
                  <c:v>bezpečnostní software</c:v>
                </c:pt>
                <c:pt idx="4">
                  <c:v>finanční nebo účetní aplikace</c:v>
                </c:pt>
                <c:pt idx="5">
                  <c:v>databázový systém</c:v>
                </c:pt>
                <c:pt idx="6">
                  <c:v>software pro řízení 
a plánování podnikových zdrojů 
(tzv. ERP)</c:v>
                </c:pt>
                <c:pt idx="7">
                  <c:v>software pro řízení vztahů 
se zákazníky (tzv. CRM)</c:v>
                </c:pt>
                <c:pt idx="8">
                  <c:v>výpočetní výkon</c:v>
                </c:pt>
                <c:pt idx="9">
                  <c:v>výpočetní platforma pro vývoj 
a testování aplikací</c:v>
                </c:pt>
              </c:strCache>
            </c:strRef>
          </c:cat>
          <c:val>
            <c:numRef>
              <c:f>cloud!$C$22:$C$31</c:f>
              <c:numCache>
                <c:formatCode>0%</c:formatCode>
                <c:ptCount val="10"/>
                <c:pt idx="0">
                  <c:v>0.49299999999999999</c:v>
                </c:pt>
                <c:pt idx="1">
                  <c:v>0.371</c:v>
                </c:pt>
                <c:pt idx="2">
                  <c:v>0.36099999999999999</c:v>
                </c:pt>
                <c:pt idx="3">
                  <c:v>0.28799999999999998</c:v>
                </c:pt>
                <c:pt idx="4">
                  <c:v>0.26600000000000001</c:v>
                </c:pt>
                <c:pt idx="5">
                  <c:v>0.22800000000000001</c:v>
                </c:pt>
                <c:pt idx="6">
                  <c:v>0.16200000000000001</c:v>
                </c:pt>
                <c:pt idx="7">
                  <c:v>0.15</c:v>
                </c:pt>
                <c:pt idx="8">
                  <c:v>0.13200000000000001</c:v>
                </c:pt>
                <c:pt idx="9">
                  <c:v>8.2000000000000003E-2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9E-471D-94B3-1B6FE483D7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47080512"/>
        <c:axId val="1247078016"/>
      </c:barChart>
      <c:catAx>
        <c:axId val="1247080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78016"/>
        <c:crosses val="autoZero"/>
        <c:auto val="1"/>
        <c:lblAlgn val="ctr"/>
        <c:lblOffset val="100"/>
        <c:noMultiLvlLbl val="0"/>
      </c:catAx>
      <c:valAx>
        <c:axId val="1247078016"/>
        <c:scaling>
          <c:orientation val="minMax"/>
        </c:scaling>
        <c:delete val="1"/>
        <c:axPos val="b"/>
        <c:numFmt formatCode="0%" sourceLinked="0"/>
        <c:majorTickMark val="out"/>
        <c:minorTickMark val="none"/>
        <c:tickLblPos val="nextTo"/>
        <c:crossAx val="1247080512"/>
        <c:crosses val="max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9140619361798301"/>
          <c:y val="0.3908089998854834"/>
          <c:w val="9.4095867592484242E-2"/>
          <c:h val="0.12790420390989773"/>
        </c:manualLayout>
      </c:layout>
      <c:overlay val="0"/>
      <c:spPr>
        <a:noFill/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66711238572421E-2"/>
          <c:y val="1.136101310778289E-2"/>
          <c:w val="0.95707553046871696"/>
          <c:h val="0.7557458045017100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cloud!$B$75</c:f>
              <c:strCache>
                <c:ptCount val="1"/>
                <c:pt idx="0">
                  <c:v> jeden nebo dva druhy služeb 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cloud!$A$76:$A$79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cloud!$B$76:$B$79</c:f>
              <c:numCache>
                <c:formatCode>0%</c:formatCode>
                <c:ptCount val="4"/>
                <c:pt idx="0">
                  <c:v>0.24399999999999999</c:v>
                </c:pt>
                <c:pt idx="1">
                  <c:v>0.26200000000000001</c:v>
                </c:pt>
                <c:pt idx="2">
                  <c:v>0.21400000000000002</c:v>
                </c:pt>
                <c:pt idx="3">
                  <c:v>0.15000000000000002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A2-4411-985D-AF84D474E654}"/>
            </c:ext>
          </c:extLst>
        </c:ser>
        <c:ser>
          <c:idx val="1"/>
          <c:order val="1"/>
          <c:tx>
            <c:strRef>
              <c:f>cloud!$C$75</c:f>
              <c:strCache>
                <c:ptCount val="1"/>
                <c:pt idx="0">
                  <c:v> tři nebo čtyři druhy služeb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cloud!$A$76:$A$79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cloud!$C$76:$C$79</c:f>
              <c:numCache>
                <c:formatCode>0%</c:formatCode>
                <c:ptCount val="4"/>
                <c:pt idx="0">
                  <c:v>0.28500000000000003</c:v>
                </c:pt>
                <c:pt idx="1">
                  <c:v>0.29500000000000004</c:v>
                </c:pt>
                <c:pt idx="2">
                  <c:v>0.245</c:v>
                </c:pt>
                <c:pt idx="3">
                  <c:v>0.29499999999999998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A2-4411-985D-AF84D474E654}"/>
            </c:ext>
          </c:extLst>
        </c:ser>
        <c:ser>
          <c:idx val="2"/>
          <c:order val="2"/>
          <c:tx>
            <c:strRef>
              <c:f>cloud!$D$75</c:f>
              <c:strCache>
                <c:ptCount val="1"/>
                <c:pt idx="0">
                  <c:v> pět nebo šest druhů služeb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cloud!$A$76:$A$79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cloud!$D$76:$D$79</c:f>
              <c:numCache>
                <c:formatCode>0%</c:formatCode>
                <c:ptCount val="4"/>
                <c:pt idx="0">
                  <c:v>0.22900000000000001</c:v>
                </c:pt>
                <c:pt idx="1">
                  <c:v>0.23699999999999999</c:v>
                </c:pt>
                <c:pt idx="2">
                  <c:v>0.217</c:v>
                </c:pt>
                <c:pt idx="3">
                  <c:v>0.188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A2-4411-985D-AF84D474E654}"/>
            </c:ext>
          </c:extLst>
        </c:ser>
        <c:ser>
          <c:idx val="3"/>
          <c:order val="3"/>
          <c:tx>
            <c:strRef>
              <c:f>cloud!$E$75</c:f>
              <c:strCache>
                <c:ptCount val="1"/>
                <c:pt idx="0">
                  <c:v> sedm nebo více druhů služeb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cloud!$A$76:$A$79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cloud!$E$76:$E$79</c:f>
              <c:numCache>
                <c:formatCode>0%</c:formatCode>
                <c:ptCount val="4"/>
                <c:pt idx="0">
                  <c:v>0.24099999999999999</c:v>
                </c:pt>
                <c:pt idx="1">
                  <c:v>0.20599999999999999</c:v>
                </c:pt>
                <c:pt idx="2">
                  <c:v>0.32300000000000001</c:v>
                </c:pt>
                <c:pt idx="3">
                  <c:v>0.36799999999999999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A2-4411-985D-AF84D474E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8.9899809035498563E-3"/>
          <c:y val="0.93170977706410774"/>
          <c:w val="0.98567958075008066"/>
          <c:h val="5.9982184045176169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683003409620524E-2"/>
          <c:y val="5.0926113016659169E-2"/>
          <c:w val="0.91823345080737517"/>
          <c:h val="0.63002296587926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cloud!$B$33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E1-47E2-9D77-666CF5BA5F8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FE1-47E2-9D77-666CF5BA5F85}"/>
              </c:ext>
            </c:extLst>
          </c:dPt>
          <c:dPt>
            <c:idx val="10"/>
            <c:invertIfNegative val="0"/>
            <c:bubble3D val="0"/>
            <c:spPr>
              <a:solidFill>
                <a:srgbClr val="009CB5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3FE1-47E2-9D77-666CF5BA5F85}"/>
              </c:ext>
            </c:extLst>
          </c:dPt>
          <c:dPt>
            <c:idx val="13"/>
            <c:invertIfNegative val="0"/>
            <c:bubble3D val="0"/>
            <c:spPr>
              <a:solidFill>
                <a:srgbClr val="009CB5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3FE1-47E2-9D77-666CF5BA5F85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7-3FE1-47E2-9D77-666CF5BA5F85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9-3FE1-47E2-9D77-666CF5BA5F85}"/>
              </c:ext>
            </c:extLst>
          </c:dPt>
          <c:cat>
            <c:strRef>
              <c:f>cloud!$A$34:$A$61</c:f>
              <c:strCache>
                <c:ptCount val="28"/>
                <c:pt idx="0">
                  <c:v>Finsko</c:v>
                </c:pt>
                <c:pt idx="1">
                  <c:v>Itálie</c:v>
                </c:pt>
                <c:pt idx="2">
                  <c:v>Malta</c:v>
                </c:pt>
                <c:pt idx="3">
                  <c:v>Irsko</c:v>
                </c:pt>
                <c:pt idx="4">
                  <c:v>Švédsko</c:v>
                </c:pt>
                <c:pt idx="5">
                  <c:v>Dánsko</c:v>
                </c:pt>
                <c:pt idx="6">
                  <c:v>Nizozemsko</c:v>
                </c:pt>
                <c:pt idx="7">
                  <c:v>Belgie</c:v>
                </c:pt>
                <c:pt idx="8">
                  <c:v>Estonsko</c:v>
                </c:pt>
                <c:pt idx="9">
                  <c:v>Litva</c:v>
                </c:pt>
                <c:pt idx="10">
                  <c:v>Česko</c:v>
                </c:pt>
                <c:pt idx="11">
                  <c:v>Polsko</c:v>
                </c:pt>
                <c:pt idx="12">
                  <c:v>Německo</c:v>
                </c:pt>
                <c:pt idx="13">
                  <c:v>EU27</c:v>
                </c:pt>
                <c:pt idx="14">
                  <c:v>Rakousko</c:v>
                </c:pt>
                <c:pt idx="15">
                  <c:v>Kypr</c:v>
                </c:pt>
                <c:pt idx="16">
                  <c:v>Slovinsko</c:v>
                </c:pt>
                <c:pt idx="17">
                  <c:v>Maďarsko</c:v>
                </c:pt>
                <c:pt idx="18">
                  <c:v>Lucembursko</c:v>
                </c:pt>
                <c:pt idx="19">
                  <c:v>Chorvatsko</c:v>
                </c:pt>
                <c:pt idx="20">
                  <c:v>Lotyšsko</c:v>
                </c:pt>
                <c:pt idx="21">
                  <c:v>Španělsko</c:v>
                </c:pt>
                <c:pt idx="22">
                  <c:v>Francie</c:v>
                </c:pt>
                <c:pt idx="23">
                  <c:v>Portugalsko</c:v>
                </c:pt>
                <c:pt idx="24">
                  <c:v>Slovensko</c:v>
                </c:pt>
                <c:pt idx="25">
                  <c:v>Rumunsko</c:v>
                </c:pt>
                <c:pt idx="26">
                  <c:v>Řecko</c:v>
                </c:pt>
                <c:pt idx="27">
                  <c:v>Bulharsko</c:v>
                </c:pt>
              </c:strCache>
            </c:strRef>
          </c:cat>
          <c:val>
            <c:numRef>
              <c:f>cloud!$B$34:$B$61</c:f>
              <c:numCache>
                <c:formatCode>0%</c:formatCode>
                <c:ptCount val="28"/>
                <c:pt idx="0">
                  <c:v>0.79205800000000015</c:v>
                </c:pt>
                <c:pt idx="1">
                  <c:v>0.75604800000000016</c:v>
                </c:pt>
                <c:pt idx="2">
                  <c:v>0.74865499999999996</c:v>
                </c:pt>
                <c:pt idx="3">
                  <c:v>0.73038999999999998</c:v>
                </c:pt>
                <c:pt idx="4">
                  <c:v>0.71996099999999996</c:v>
                </c:pt>
                <c:pt idx="5">
                  <c:v>0.68882699999999997</c:v>
                </c:pt>
                <c:pt idx="6">
                  <c:v>0.684894</c:v>
                </c:pt>
                <c:pt idx="7">
                  <c:v>0.61623000000000006</c:v>
                </c:pt>
                <c:pt idx="8">
                  <c:v>0.60663100000000003</c:v>
                </c:pt>
                <c:pt idx="9">
                  <c:v>0.58055999999999996</c:v>
                </c:pt>
                <c:pt idx="10">
                  <c:v>0.54900499999999997</c:v>
                </c:pt>
                <c:pt idx="11">
                  <c:v>0.54705300000000001</c:v>
                </c:pt>
                <c:pt idx="12">
                  <c:v>0.53910800000000003</c:v>
                </c:pt>
                <c:pt idx="13">
                  <c:v>0.52739999999999998</c:v>
                </c:pt>
                <c:pt idx="14">
                  <c:v>0.52083599999999997</c:v>
                </c:pt>
                <c:pt idx="15">
                  <c:v>0.51378800000000002</c:v>
                </c:pt>
                <c:pt idx="16">
                  <c:v>0.48036200000000001</c:v>
                </c:pt>
                <c:pt idx="17">
                  <c:v>0.47958800000000001</c:v>
                </c:pt>
                <c:pt idx="18">
                  <c:v>0.47703000000000001</c:v>
                </c:pt>
                <c:pt idx="19">
                  <c:v>0.46611000000000002</c:v>
                </c:pt>
                <c:pt idx="20">
                  <c:v>0.44084400000000001</c:v>
                </c:pt>
                <c:pt idx="21">
                  <c:v>0.41649599999999998</c:v>
                </c:pt>
                <c:pt idx="22">
                  <c:v>0.40407799999999999</c:v>
                </c:pt>
                <c:pt idx="23">
                  <c:v>0.38708399999999998</c:v>
                </c:pt>
                <c:pt idx="24">
                  <c:v>0.36438199999999993</c:v>
                </c:pt>
                <c:pt idx="25">
                  <c:v>0.24935499999999997</c:v>
                </c:pt>
                <c:pt idx="26">
                  <c:v>0.24330599999999999</c:v>
                </c:pt>
                <c:pt idx="27">
                  <c:v>0.17833099999999999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FE1-47E2-9D77-666CF5BA5F85}"/>
            </c:ext>
          </c:extLst>
        </c:ser>
        <c:ser>
          <c:idx val="1"/>
          <c:order val="1"/>
          <c:tx>
            <c:strRef>
              <c:f>cloud!$C$33</c:f>
              <c:strCache>
                <c:ptCount val="1"/>
                <c:pt idx="0">
                  <c:v> z toho velké podniky</c:v>
                </c:pt>
              </c:strCache>
            </c:strRef>
          </c:tx>
          <c:spPr>
            <a:solidFill>
              <a:srgbClr val="9FC9D7"/>
            </a:solidFill>
            <a:ln w="25400">
              <a:noFill/>
            </a:ln>
          </c:spPr>
          <c:invertIfNegative val="0"/>
          <c:dPt>
            <c:idx val="6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C-3FE1-47E2-9D77-666CF5BA5F85}"/>
              </c:ext>
            </c:extLst>
          </c:dPt>
          <c:dPt>
            <c:idx val="8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E-3FE1-47E2-9D77-666CF5BA5F85}"/>
              </c:ext>
            </c:extLst>
          </c:dPt>
          <c:dPt>
            <c:idx val="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0-3FE1-47E2-9D77-666CF5BA5F85}"/>
              </c:ext>
            </c:extLst>
          </c:dPt>
          <c:dPt>
            <c:idx val="10"/>
            <c:invertIfNegative val="0"/>
            <c:bubble3D val="0"/>
            <c:spPr>
              <a:solidFill>
                <a:srgbClr val="9FC9D7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2-3FE1-47E2-9D77-666CF5BA5F85}"/>
              </c:ext>
            </c:extLst>
          </c:dPt>
          <c:dPt>
            <c:idx val="12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4-3FE1-47E2-9D77-666CF5BA5F85}"/>
              </c:ext>
            </c:extLst>
          </c:dPt>
          <c:dPt>
            <c:idx val="13"/>
            <c:invertIfNegative val="0"/>
            <c:bubble3D val="0"/>
            <c:spPr>
              <a:solidFill>
                <a:srgbClr val="9FC9D7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6-3FE1-47E2-9D77-666CF5BA5F85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8-3FE1-47E2-9D77-666CF5BA5F85}"/>
              </c:ext>
            </c:extLst>
          </c:dPt>
          <c:dPt>
            <c:idx val="17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A-3FE1-47E2-9D77-666CF5BA5F85}"/>
              </c:ext>
            </c:extLst>
          </c:dPt>
          <c:dPt>
            <c:idx val="1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C-3FE1-47E2-9D77-666CF5BA5F85}"/>
              </c:ext>
            </c:extLst>
          </c:dPt>
          <c:dPt>
            <c:idx val="20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E-3FE1-47E2-9D77-666CF5BA5F85}"/>
              </c:ext>
            </c:extLst>
          </c:dPt>
          <c:dPt>
            <c:idx val="21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20-3FE1-47E2-9D77-666CF5BA5F85}"/>
              </c:ext>
            </c:extLst>
          </c:dPt>
          <c:cat>
            <c:strRef>
              <c:f>cloud!$A$34:$A$61</c:f>
              <c:strCache>
                <c:ptCount val="28"/>
                <c:pt idx="0">
                  <c:v>Finsko</c:v>
                </c:pt>
                <c:pt idx="1">
                  <c:v>Itálie</c:v>
                </c:pt>
                <c:pt idx="2">
                  <c:v>Malta</c:v>
                </c:pt>
                <c:pt idx="3">
                  <c:v>Irsko</c:v>
                </c:pt>
                <c:pt idx="4">
                  <c:v>Švédsko</c:v>
                </c:pt>
                <c:pt idx="5">
                  <c:v>Dánsko</c:v>
                </c:pt>
                <c:pt idx="6">
                  <c:v>Nizozemsko</c:v>
                </c:pt>
                <c:pt idx="7">
                  <c:v>Belgie</c:v>
                </c:pt>
                <c:pt idx="8">
                  <c:v>Estonsko</c:v>
                </c:pt>
                <c:pt idx="9">
                  <c:v>Litva</c:v>
                </c:pt>
                <c:pt idx="10">
                  <c:v>Česko</c:v>
                </c:pt>
                <c:pt idx="11">
                  <c:v>Polsko</c:v>
                </c:pt>
                <c:pt idx="12">
                  <c:v>Německo</c:v>
                </c:pt>
                <c:pt idx="13">
                  <c:v>EU27</c:v>
                </c:pt>
                <c:pt idx="14">
                  <c:v>Rakousko</c:v>
                </c:pt>
                <c:pt idx="15">
                  <c:v>Kypr</c:v>
                </c:pt>
                <c:pt idx="16">
                  <c:v>Slovinsko</c:v>
                </c:pt>
                <c:pt idx="17">
                  <c:v>Maďarsko</c:v>
                </c:pt>
                <c:pt idx="18">
                  <c:v>Lucembursko</c:v>
                </c:pt>
                <c:pt idx="19">
                  <c:v>Chorvatsko</c:v>
                </c:pt>
                <c:pt idx="20">
                  <c:v>Lotyšsko</c:v>
                </c:pt>
                <c:pt idx="21">
                  <c:v>Španělsko</c:v>
                </c:pt>
                <c:pt idx="22">
                  <c:v>Francie</c:v>
                </c:pt>
                <c:pt idx="23">
                  <c:v>Portugalsko</c:v>
                </c:pt>
                <c:pt idx="24">
                  <c:v>Slovensko</c:v>
                </c:pt>
                <c:pt idx="25">
                  <c:v>Rumunsko</c:v>
                </c:pt>
                <c:pt idx="26">
                  <c:v>Řecko</c:v>
                </c:pt>
                <c:pt idx="27">
                  <c:v>Bulharsko</c:v>
                </c:pt>
              </c:strCache>
            </c:strRef>
          </c:cat>
          <c:val>
            <c:numRef>
              <c:f>cloud!$C$34:$C$61</c:f>
              <c:numCache>
                <c:formatCode>0%</c:formatCode>
                <c:ptCount val="28"/>
                <c:pt idx="0">
                  <c:v>0.97977800000000004</c:v>
                </c:pt>
                <c:pt idx="1">
                  <c:v>0.90888199999999997</c:v>
                </c:pt>
                <c:pt idx="2">
                  <c:v>0.918045</c:v>
                </c:pt>
                <c:pt idx="3">
                  <c:v>0.94153900000000001</c:v>
                </c:pt>
                <c:pt idx="4">
                  <c:v>0.94354899999999997</c:v>
                </c:pt>
                <c:pt idx="5">
                  <c:v>0.92359199999999997</c:v>
                </c:pt>
                <c:pt idx="6">
                  <c:v>0.9083</c:v>
                </c:pt>
                <c:pt idx="7">
                  <c:v>0.934728</c:v>
                </c:pt>
                <c:pt idx="8">
                  <c:v>0.92903199999999997</c:v>
                </c:pt>
                <c:pt idx="9">
                  <c:v>0.91008800000000001</c:v>
                </c:pt>
                <c:pt idx="10">
                  <c:v>0.85885599999999995</c:v>
                </c:pt>
                <c:pt idx="11">
                  <c:v>0.897899</c:v>
                </c:pt>
                <c:pt idx="12">
                  <c:v>0.85580999999999996</c:v>
                </c:pt>
                <c:pt idx="13">
                  <c:v>0.846665</c:v>
                </c:pt>
                <c:pt idx="14">
                  <c:v>0.887463</c:v>
                </c:pt>
                <c:pt idx="15">
                  <c:v>0.82829900000000001</c:v>
                </c:pt>
                <c:pt idx="16">
                  <c:v>0.90181299999999998</c:v>
                </c:pt>
                <c:pt idx="17">
                  <c:v>0.87953499999999996</c:v>
                </c:pt>
                <c:pt idx="18">
                  <c:v>0.70988300000000004</c:v>
                </c:pt>
                <c:pt idx="19">
                  <c:v>0.84589400000000003</c:v>
                </c:pt>
                <c:pt idx="20">
                  <c:v>0.83408099999999996</c:v>
                </c:pt>
                <c:pt idx="21">
                  <c:v>0.80904699999999996</c:v>
                </c:pt>
                <c:pt idx="22">
                  <c:v>0.84652799999999995</c:v>
                </c:pt>
                <c:pt idx="23">
                  <c:v>0.80102799999999996</c:v>
                </c:pt>
                <c:pt idx="24">
                  <c:v>0.66253600000000001</c:v>
                </c:pt>
                <c:pt idx="25">
                  <c:v>0.481655</c:v>
                </c:pt>
                <c:pt idx="26">
                  <c:v>0.72474099999999997</c:v>
                </c:pt>
                <c:pt idx="27">
                  <c:v>0.49122199999999999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3FE1-47E2-9D77-666CF5BA5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1817498010042999"/>
          <c:y val="0.93220947898099249"/>
          <c:w val="0.36966269858883205"/>
          <c:h val="4.827833089345601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DA27FD69-5C1A-B280-4421-F81947D0F0A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EB7BC941-C09A-40D3-DA24-E447FD223AD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E6472021-E146-C5A4-251A-645F05DFD5C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BA1588CA-9CB0-B6AC-7C77-FAE36F0D020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>
          <a:extLst xmlns:a="http://schemas.openxmlformats.org/drawingml/2006/main">
            <a:ext uri="{FF2B5EF4-FFF2-40B4-BE49-F238E27FC236}">
              <a16:creationId xmlns:a16="http://schemas.microsoft.com/office/drawing/2014/main" id="{B622B59E-8845-CFB6-F02A-87BFDF057519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>
          <a:extLst xmlns:a="http://schemas.openxmlformats.org/drawingml/2006/main">
            <a:ext uri="{FF2B5EF4-FFF2-40B4-BE49-F238E27FC236}">
              <a16:creationId xmlns:a16="http://schemas.microsoft.com/office/drawing/2014/main" id="{E79578DE-EFF5-C9A2-BD3B-CC154FB4765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>
          <a:extLst xmlns:a="http://schemas.openxmlformats.org/drawingml/2006/main">
            <a:ext uri="{FF2B5EF4-FFF2-40B4-BE49-F238E27FC236}">
              <a16:creationId xmlns:a16="http://schemas.microsoft.com/office/drawing/2014/main" id="{37CA5FB3-5A23-D4BE-8CDA-2E7F06664389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>
          <a:extLst xmlns:a="http://schemas.openxmlformats.org/drawingml/2006/main">
            <a:ext uri="{FF2B5EF4-FFF2-40B4-BE49-F238E27FC236}">
              <a16:creationId xmlns:a16="http://schemas.microsoft.com/office/drawing/2014/main" id="{9EE58BE8-2997-7127-01B4-BDC04E7487F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>
          <a:extLst xmlns:a="http://schemas.openxmlformats.org/drawingml/2006/main">
            <a:ext uri="{FF2B5EF4-FFF2-40B4-BE49-F238E27FC236}">
              <a16:creationId xmlns:a16="http://schemas.microsoft.com/office/drawing/2014/main" id="{F1E84101-07A8-592F-E8FD-651C5D15F23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>
          <a:extLst xmlns:a="http://schemas.openxmlformats.org/drawingml/2006/main">
            <a:ext uri="{FF2B5EF4-FFF2-40B4-BE49-F238E27FC236}">
              <a16:creationId xmlns:a16="http://schemas.microsoft.com/office/drawing/2014/main" id="{A9384A00-C485-D59E-FDCB-87A51DCF34F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D9A1253D-8619-0823-32F9-705EE83BEB3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C73EF521-96DC-8E01-CBB2-EE361744552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CSU_OBECNÉ">
    <a:dk1>
      <a:sysClr val="windowText" lastClr="000000"/>
    </a:dk1>
    <a:lt1>
      <a:sysClr val="window" lastClr="FFFFFF"/>
    </a:lt1>
    <a:dk2>
      <a:srgbClr val="DEE6F6"/>
    </a:dk2>
    <a:lt2>
      <a:srgbClr val="DEE6F6"/>
    </a:lt2>
    <a:accent1>
      <a:srgbClr val="0085BC"/>
    </a:accent1>
    <a:accent2>
      <a:srgbClr val="174F70"/>
    </a:accent2>
    <a:accent3>
      <a:srgbClr val="BC091B"/>
    </a:accent3>
    <a:accent4>
      <a:srgbClr val="009CB5"/>
    </a:accent4>
    <a:accent5>
      <a:srgbClr val="BC5B80"/>
    </a:accent5>
    <a:accent6>
      <a:srgbClr val="85898E"/>
    </a:accent6>
    <a:hlink>
      <a:srgbClr val="0085BC"/>
    </a:hlink>
    <a:folHlink>
      <a:srgbClr val="174F70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C69D-6CF4-4B0D-94B0-79FBADA6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176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95</cp:revision>
  <cp:lastPrinted>2022-01-10T08:06:00Z</cp:lastPrinted>
  <dcterms:created xsi:type="dcterms:W3CDTF">2025-11-20T16:45:00Z</dcterms:created>
  <dcterms:modified xsi:type="dcterms:W3CDTF">2026-01-09T11:59:00Z</dcterms:modified>
</cp:coreProperties>
</file>