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641938" w:rsidRDefault="00BB64DB" w:rsidP="00694914">
      <w:pPr>
        <w:pStyle w:val="Nadpis1"/>
        <w:numPr>
          <w:ilvl w:val="0"/>
          <w:numId w:val="17"/>
        </w:numPr>
      </w:pPr>
      <w:bookmarkStart w:id="0" w:name="_Toc430189793"/>
      <w:bookmarkStart w:id="1" w:name="_Toc463969176"/>
      <w:r w:rsidRPr="00641938">
        <w:t>KNIHY A TISK</w:t>
      </w:r>
      <w:bookmarkEnd w:id="0"/>
      <w:bookmarkEnd w:id="1"/>
    </w:p>
    <w:p w:rsidR="00BB64DB" w:rsidRPr="007D12C6" w:rsidRDefault="00BB64DB" w:rsidP="00BB64DB">
      <w:pPr>
        <w:pStyle w:val="Titulek"/>
        <w:keepNext/>
        <w:jc w:val="right"/>
        <w:rPr>
          <w:color w:val="000000" w:themeColor="text1"/>
          <w:sz w:val="22"/>
          <w:szCs w:val="22"/>
        </w:rPr>
      </w:pPr>
      <w:bookmarkStart w:id="2" w:name="_Toc464832047"/>
      <w:r w:rsidRPr="007D12C6">
        <w:rPr>
          <w:color w:val="000000" w:themeColor="text1"/>
          <w:sz w:val="22"/>
          <w:szCs w:val="22"/>
        </w:rPr>
        <w:t xml:space="preserve">Tabulka </w:t>
      </w:r>
      <w:r w:rsidR="004D6537" w:rsidRPr="007D12C6">
        <w:rPr>
          <w:color w:val="000000" w:themeColor="text1"/>
          <w:sz w:val="22"/>
          <w:szCs w:val="22"/>
        </w:rPr>
        <w:fldChar w:fldCharType="begin"/>
      </w:r>
      <w:r w:rsidRPr="007D12C6">
        <w:rPr>
          <w:color w:val="000000" w:themeColor="text1"/>
          <w:sz w:val="22"/>
          <w:szCs w:val="22"/>
        </w:rPr>
        <w:instrText xml:space="preserve"> SEQ Tabulka \* ARABIC </w:instrText>
      </w:r>
      <w:r w:rsidR="004D6537" w:rsidRPr="007D12C6">
        <w:rPr>
          <w:color w:val="000000" w:themeColor="text1"/>
          <w:sz w:val="22"/>
          <w:szCs w:val="22"/>
        </w:rPr>
        <w:fldChar w:fldCharType="separate"/>
      </w:r>
      <w:r w:rsidR="003D241B">
        <w:rPr>
          <w:noProof/>
          <w:color w:val="000000" w:themeColor="text1"/>
          <w:sz w:val="22"/>
          <w:szCs w:val="22"/>
        </w:rPr>
        <w:t>4</w:t>
      </w:r>
      <w:r w:rsidR="004D6537" w:rsidRPr="007D12C6">
        <w:rPr>
          <w:color w:val="000000" w:themeColor="text1"/>
          <w:sz w:val="22"/>
          <w:szCs w:val="22"/>
        </w:rPr>
        <w:fldChar w:fldCharType="end"/>
      </w:r>
      <w:r w:rsidRPr="007D12C6">
        <w:rPr>
          <w:color w:val="000000" w:themeColor="text1"/>
          <w:sz w:val="22"/>
          <w:szCs w:val="22"/>
        </w:rPr>
        <w:t xml:space="preserve"> </w:t>
      </w:r>
      <w:r w:rsidRPr="007D12C6">
        <w:rPr>
          <w:b w:val="0"/>
          <w:color w:val="000000" w:themeColor="text1"/>
          <w:sz w:val="22"/>
          <w:szCs w:val="22"/>
        </w:rPr>
        <w:t>Vymezení oblasti knih a tisku podle klasifikace NACE</w:t>
      </w:r>
      <w:bookmarkEnd w:id="2"/>
    </w:p>
    <w:tbl>
      <w:tblPr>
        <w:tblW w:w="6520" w:type="dxa"/>
        <w:tblInd w:w="3189" w:type="dxa"/>
        <w:tblCellMar>
          <w:left w:w="70" w:type="dxa"/>
          <w:right w:w="70" w:type="dxa"/>
        </w:tblCellMar>
        <w:tblLook w:val="04A0"/>
      </w:tblPr>
      <w:tblGrid>
        <w:gridCol w:w="1843"/>
        <w:gridCol w:w="4677"/>
      </w:tblGrid>
      <w:tr w:rsidR="00BB64DB" w:rsidRPr="0088106E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12C6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D12C6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12C6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58.11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Vydávání knih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58.13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Vydávání novin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58.14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Vydávání časopisů a ostatních periodických publikací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63.91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Činnosti zpravodajských tiskových kanceláří a agentur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74.30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Překladatelské a tlumočnické činnosti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47.61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 xml:space="preserve">Maloobchod s knihami 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47.62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Maloobchod s novinami, časopisy a papírnickým zbožím</w:t>
            </w:r>
          </w:p>
        </w:tc>
      </w:tr>
    </w:tbl>
    <w:p w:rsidR="00BB64DB" w:rsidRPr="00B508F7" w:rsidRDefault="00BB64DB" w:rsidP="00BB64DB">
      <w:r>
        <w:br/>
        <w:t>Vydávání a distribuce tiskovin je jednou z nejstarších ekonomických činností v</w:t>
      </w:r>
      <w:r w:rsidR="005D1937">
        <w:t> audiovizuálním a mediálním sektoru</w:t>
      </w:r>
      <w:r>
        <w:t>. Na území dnešní České republiky aktivně působí soukromí vydavatelé již několik staletí,</w:t>
      </w:r>
      <w:r w:rsidR="00B508F7">
        <w:t xml:space="preserve"> pokud pomineme </w:t>
      </w:r>
      <w:r>
        <w:t xml:space="preserve">redukci a státní monopolizaci vydavatelství v období komunistického režimu. Po roce 1989 došlo opět k velkému nárůstu soukromých subjektů působících jak v oblasti periodického tisku, tak v oblasti knih. Zejména v oblasti knižního vydavatelství jsou v současnosti </w:t>
      </w:r>
      <w:r w:rsidR="00A96EFF">
        <w:t>vydavatelské</w:t>
      </w:r>
      <w:r>
        <w:t xml:space="preserve"> subjekty v ČR mimořádně aktivní</w:t>
      </w:r>
      <w:r w:rsidR="00282CCA">
        <w:t> </w:t>
      </w:r>
      <w:r>
        <w:t>a</w:t>
      </w:r>
      <w:r w:rsidR="00282CCA">
        <w:t> </w:t>
      </w:r>
      <w:r>
        <w:t>v počtu vydaných knih na obyvatele obsazují přední příčky ve světovém žebříčku IPA</w:t>
      </w:r>
      <w:r>
        <w:rPr>
          <w:rStyle w:val="Znakapoznpodarou"/>
        </w:rPr>
        <w:footnoteReference w:id="1"/>
      </w:r>
      <w:r w:rsidR="00042E63">
        <w:t xml:space="preserve"> (</w:t>
      </w:r>
      <w:r w:rsidR="00FD3B1F">
        <w:t>Debnár, 2015</w:t>
      </w:r>
      <w:r w:rsidR="00042E63">
        <w:t>).</w:t>
      </w:r>
    </w:p>
    <w:p w:rsidR="00BB64DB" w:rsidRDefault="00B508F7" w:rsidP="00BB64DB">
      <w:pPr>
        <w:ind w:firstLine="708"/>
      </w:pPr>
      <w:r>
        <w:t xml:space="preserve"> </w:t>
      </w:r>
      <w:r w:rsidR="00BB64DB">
        <w:t>V rámci výchozí definice jsou činnosti vydávání a maloobchodního prodeje novin, knih a časopisů vnímány jako jedna samostatná oblast</w:t>
      </w:r>
      <w:r>
        <w:t xml:space="preserve"> a zahrnují také </w:t>
      </w:r>
      <w:r w:rsidR="00D508CE">
        <w:t>maloobchod s papírenským</w:t>
      </w:r>
      <w:r>
        <w:t xml:space="preserve"> zboží</w:t>
      </w:r>
      <w:r w:rsidR="00D508CE">
        <w:t>m</w:t>
      </w:r>
      <w:r>
        <w:t>, kte</w:t>
      </w:r>
      <w:r w:rsidR="00D508CE">
        <w:t>rý</w:t>
      </w:r>
      <w:r>
        <w:t xml:space="preserve"> bohužel nejde na čtyřmístné úrovni</w:t>
      </w:r>
      <w:r w:rsidR="00D508CE">
        <w:t xml:space="preserve"> klasifikace NACE z příslušné kategorie</w:t>
      </w:r>
      <w:r>
        <w:t xml:space="preserve"> vyčlenit</w:t>
      </w:r>
      <w:r w:rsidR="00BB64DB">
        <w:t>. Do oblasti</w:t>
      </w:r>
      <w:r>
        <w:t xml:space="preserve"> knih a tisku</w:t>
      </w:r>
      <w:r w:rsidR="00BB64DB">
        <w:t xml:space="preserve"> spadají také činnosti zpravodajských a tiskových agentur, překladatelů a tlumočníků. Po nastínění všeobecné charakteristiky této oblasti budou periodickému tisku (noviny</w:t>
      </w:r>
      <w:r w:rsidR="00282CCA">
        <w:t> </w:t>
      </w:r>
      <w:r w:rsidR="00BB64DB">
        <w:t>a</w:t>
      </w:r>
      <w:r w:rsidR="00282CCA">
        <w:t> </w:t>
      </w:r>
      <w:r w:rsidR="00BB64DB">
        <w:t>časopisy) a neperiodickým publikacím (knihy) věnované samostatné podkapitoly.</w:t>
      </w:r>
    </w:p>
    <w:p w:rsidR="00BB64DB" w:rsidRDefault="00BB64DB" w:rsidP="00BB64DB">
      <w:pPr>
        <w:ind w:firstLine="708"/>
      </w:pPr>
      <w:r>
        <w:t>Trh knižních vydavatelů a vydavatelů periodik v České republice se liší zejména podílem monopolizace trhu. Zatímco nejčtenější periodika spadají pod několik velkých vydavatelských domů, v oblasti knižního vydavatelství zatím neexistují velcí vydavatelé, kteří by ovládali trh z hlediska prodeje</w:t>
      </w:r>
      <w:r w:rsidR="00282CCA">
        <w:t> </w:t>
      </w:r>
      <w:r>
        <w:t>a</w:t>
      </w:r>
      <w:r w:rsidR="00282CCA">
        <w:t> </w:t>
      </w:r>
      <w:r>
        <w:t>p</w:t>
      </w:r>
      <w:r w:rsidR="00FD3B1F">
        <w:t>očtu vydaných titulů (SČKN, 2015</w:t>
      </w:r>
      <w:r>
        <w:t>). Každoroční objem trhu knih a periodických publikací se dá velmi dobře analyzovat na základě počtu vydaných titulů vzhledem k</w:t>
      </w:r>
      <w:r w:rsidR="00B508F7">
        <w:t xml:space="preserve"> zákonné </w:t>
      </w:r>
      <w:r>
        <w:t>povinnosti vydavatelů zasílat aktuální výtisky Národní knihovně České republiky a jiným institucím.</w:t>
      </w:r>
      <w:r w:rsidR="002B21CF">
        <w:t xml:space="preserve"> Specifika v</w:t>
      </w:r>
      <w:r w:rsidR="003A5CE5">
        <w:t>ydávaných titulů budou rozebrána</w:t>
      </w:r>
      <w:r w:rsidR="002B21CF">
        <w:t xml:space="preserve"> v samostatných podkapitolách.</w:t>
      </w:r>
      <w:r>
        <w:t xml:space="preserve"> Údaje o vydaných periodických</w:t>
      </w:r>
      <w:r w:rsidR="00282CCA">
        <w:t> </w:t>
      </w:r>
      <w:r>
        <w:t>a</w:t>
      </w:r>
      <w:r w:rsidR="00282CCA">
        <w:t> </w:t>
      </w:r>
      <w:r>
        <w:t>neperiodických</w:t>
      </w:r>
      <w:r w:rsidR="005D1937">
        <w:t xml:space="preserve"> titulech</w:t>
      </w:r>
      <w:r>
        <w:t xml:space="preserve"> sbírá od</w:t>
      </w:r>
      <w:r w:rsidR="00313494">
        <w:t> </w:t>
      </w:r>
      <w:r>
        <w:t>Národní knihovny České republiky každoročně prostřednictvím ročních výkazů NIPOS.</w:t>
      </w:r>
    </w:p>
    <w:p w:rsidR="00BB64DB" w:rsidRPr="00F06890" w:rsidRDefault="00BB64DB" w:rsidP="00683DBB">
      <w:pPr>
        <w:ind w:firstLine="708"/>
      </w:pPr>
      <w:r w:rsidRPr="00FD3B1F">
        <w:t xml:space="preserve">Přehled o příjmech subjektů v oblasti </w:t>
      </w:r>
      <w:r w:rsidR="00BA414E" w:rsidRPr="00FD3B1F">
        <w:t>k</w:t>
      </w:r>
      <w:r w:rsidRPr="00FD3B1F">
        <w:t xml:space="preserve">nih a tisku podle výchozí definice ukazuje </w:t>
      </w:r>
      <w:r w:rsidR="00015D27" w:rsidRPr="00015D27">
        <w:t xml:space="preserve">Graf </w:t>
      </w:r>
      <w:r w:rsidR="002F7B33">
        <w:t>7</w:t>
      </w:r>
      <w:r w:rsidRPr="00015D27">
        <w:t>.</w:t>
      </w:r>
      <w:r w:rsidRPr="00FD3B1F">
        <w:t xml:space="preserve"> Prezentovaná časová řada zachycuje kontinuální prop</w:t>
      </w:r>
      <w:r w:rsidR="00BA414E" w:rsidRPr="00FD3B1F">
        <w:t>ad příjmů z činností v oblasti k</w:t>
      </w:r>
      <w:r w:rsidRPr="00FD3B1F">
        <w:t>n</w:t>
      </w:r>
      <w:r w:rsidR="00FD3B1F" w:rsidRPr="00FD3B1F">
        <w:t>ih a tisku mezi lety 2008 a 2014</w:t>
      </w:r>
      <w:r w:rsidRPr="00FD3B1F">
        <w:t xml:space="preserve">. Jako vysvětlení tohoto trendu se nabízí omezení výdajů spotřebitelů za knihy a periodické </w:t>
      </w:r>
      <w:r w:rsidRPr="00FD3B1F">
        <w:lastRenderedPageBreak/>
        <w:t>publikace v důsledku ekonomické krize a změna spotřebitelských návyků spojených s rozvojem online zpravodajství.</w:t>
      </w:r>
      <w:r w:rsidR="00FD3B1F" w:rsidRPr="00FD3B1F">
        <w:t xml:space="preserve"> V posledních dvou sledovaných letech se však pokles příjmů, v souladu s oživením ekonomiky, začíná pomalu zastavovat. </w:t>
      </w:r>
      <w:r w:rsidRPr="00FD3B1F">
        <w:t xml:space="preserve">Celkové </w:t>
      </w:r>
      <w:r w:rsidR="00A96EFF" w:rsidRPr="00FD3B1F">
        <w:t>příjmy</w:t>
      </w:r>
      <w:r w:rsidRPr="00FD3B1F">
        <w:t xml:space="preserve"> </w:t>
      </w:r>
      <w:r w:rsidR="00042B50" w:rsidRPr="00FD3B1F">
        <w:t xml:space="preserve">ekonomických subjektů s převažující činností </w:t>
      </w:r>
      <w:r w:rsidRPr="00FD3B1F">
        <w:t xml:space="preserve">v oblasti </w:t>
      </w:r>
      <w:r w:rsidR="00042B50" w:rsidRPr="00FD3B1F">
        <w:t>k</w:t>
      </w:r>
      <w:r w:rsidRPr="00FD3B1F">
        <w:t>nih a tisku dos</w:t>
      </w:r>
      <w:r w:rsidR="00683DBB" w:rsidRPr="00FD3B1F">
        <w:t>áhly v </w:t>
      </w:r>
      <w:r w:rsidR="00FD3B1F" w:rsidRPr="00FD3B1F">
        <w:t>roce 2014 velikosti</w:t>
      </w:r>
      <w:r w:rsidR="00FD3B1F">
        <w:t xml:space="preserve"> 40,2</w:t>
      </w:r>
      <w:r w:rsidR="00683DBB">
        <w:t xml:space="preserve"> </w:t>
      </w:r>
      <w:r>
        <w:t>mld. Kč.</w:t>
      </w:r>
    </w:p>
    <w:p w:rsidR="00BB64DB" w:rsidRPr="005366C7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015D27">
        <w:rPr>
          <w:color w:val="000000" w:themeColor="text1"/>
          <w:sz w:val="22"/>
          <w:szCs w:val="22"/>
        </w:rPr>
        <w:t xml:space="preserve">Graf </w:t>
      </w:r>
      <w:r w:rsidR="001A4BAA">
        <w:rPr>
          <w:color w:val="000000" w:themeColor="text1"/>
          <w:sz w:val="22"/>
          <w:szCs w:val="22"/>
        </w:rPr>
        <w:t>7</w:t>
      </w:r>
      <w:r w:rsidR="002F7B33" w:rsidRPr="005366C7">
        <w:rPr>
          <w:color w:val="000000" w:themeColor="text1"/>
          <w:sz w:val="22"/>
          <w:szCs w:val="22"/>
        </w:rPr>
        <w:t xml:space="preserve"> </w:t>
      </w:r>
      <w:r w:rsidR="00522F08" w:rsidRPr="00522F08">
        <w:rPr>
          <w:b w:val="0"/>
          <w:color w:val="000000" w:themeColor="text1"/>
          <w:sz w:val="22"/>
          <w:szCs w:val="22"/>
        </w:rPr>
        <w:t>Příjmy</w:t>
      </w:r>
      <w:r w:rsidR="00B34A56" w:rsidRPr="005366C7">
        <w:rPr>
          <w:b w:val="0"/>
          <w:color w:val="000000" w:themeColor="text1"/>
          <w:sz w:val="22"/>
          <w:szCs w:val="22"/>
        </w:rPr>
        <w:t xml:space="preserve"> subjektů</w:t>
      </w:r>
      <w:r w:rsidR="00171D41">
        <w:rPr>
          <w:b w:val="0"/>
          <w:color w:val="000000" w:themeColor="text1"/>
          <w:sz w:val="22"/>
          <w:szCs w:val="22"/>
        </w:rPr>
        <w:t xml:space="preserve"> s převažující ekonomickou činností </w:t>
      </w:r>
      <w:r w:rsidR="00B34A56" w:rsidRPr="005366C7">
        <w:rPr>
          <w:b w:val="0"/>
          <w:color w:val="000000" w:themeColor="text1"/>
          <w:sz w:val="22"/>
          <w:szCs w:val="22"/>
        </w:rPr>
        <w:t>v oblasti k</w:t>
      </w:r>
      <w:r w:rsidRPr="005366C7">
        <w:rPr>
          <w:b w:val="0"/>
          <w:color w:val="000000" w:themeColor="text1"/>
          <w:sz w:val="22"/>
          <w:szCs w:val="22"/>
        </w:rPr>
        <w:t xml:space="preserve">nih a tisku </w:t>
      </w:r>
      <w:r w:rsidR="00B34A56" w:rsidRPr="005366C7">
        <w:rPr>
          <w:b w:val="0"/>
          <w:color w:val="000000" w:themeColor="text1"/>
          <w:sz w:val="22"/>
          <w:szCs w:val="22"/>
        </w:rPr>
        <w:t>(</w:t>
      </w:r>
      <w:r w:rsidRPr="005366C7">
        <w:rPr>
          <w:b w:val="0"/>
          <w:color w:val="000000" w:themeColor="text1"/>
          <w:sz w:val="22"/>
          <w:szCs w:val="22"/>
        </w:rPr>
        <w:t>v</w:t>
      </w:r>
      <w:r w:rsidR="00B34A56" w:rsidRPr="005366C7">
        <w:rPr>
          <w:b w:val="0"/>
          <w:color w:val="000000" w:themeColor="text1"/>
          <w:sz w:val="22"/>
          <w:szCs w:val="22"/>
        </w:rPr>
        <w:t xml:space="preserve"> mld.</w:t>
      </w:r>
      <w:r w:rsidRPr="005366C7">
        <w:rPr>
          <w:b w:val="0"/>
          <w:color w:val="000000" w:themeColor="text1"/>
          <w:sz w:val="22"/>
          <w:szCs w:val="22"/>
        </w:rPr>
        <w:t xml:space="preserve"> Kč</w:t>
      </w:r>
      <w:r w:rsidR="00B34A56" w:rsidRPr="005366C7">
        <w:rPr>
          <w:b w:val="0"/>
          <w:color w:val="000000" w:themeColor="text1"/>
          <w:sz w:val="22"/>
          <w:szCs w:val="22"/>
        </w:rPr>
        <w:t>)</w:t>
      </w:r>
      <w:r w:rsidR="00E32551">
        <w:rPr>
          <w:rStyle w:val="Znakapoznpodarou"/>
          <w:b w:val="0"/>
          <w:color w:val="000000" w:themeColor="text1"/>
          <w:sz w:val="22"/>
          <w:szCs w:val="22"/>
        </w:rPr>
        <w:footnoteReference w:id="2"/>
      </w:r>
    </w:p>
    <w:p w:rsidR="00BB64DB" w:rsidRDefault="00C12EC2" w:rsidP="00BB64DB">
      <w:pPr>
        <w:keepNext/>
      </w:pPr>
      <w:r w:rsidRPr="00C12EC2">
        <w:rPr>
          <w:noProof/>
        </w:rPr>
        <w:drawing>
          <wp:inline distT="0" distB="0" distL="0" distR="0">
            <wp:extent cx="6105525" cy="2057400"/>
            <wp:effectExtent l="0" t="0" r="0" b="0"/>
            <wp:docPr id="99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4DB" w:rsidRPr="005366C7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5366C7">
        <w:rPr>
          <w:b w:val="0"/>
          <w:color w:val="000000" w:themeColor="text1"/>
          <w:sz w:val="22"/>
          <w:szCs w:val="22"/>
        </w:rPr>
        <w:t>Zdroj:</w:t>
      </w:r>
      <w:r w:rsidR="00B508F7">
        <w:rPr>
          <w:b w:val="0"/>
          <w:color w:val="000000" w:themeColor="text1"/>
          <w:sz w:val="22"/>
          <w:szCs w:val="22"/>
        </w:rPr>
        <w:t xml:space="preserve"> Podniková strukturální statistika,</w:t>
      </w:r>
      <w:r w:rsidRPr="005366C7">
        <w:rPr>
          <w:b w:val="0"/>
          <w:color w:val="000000" w:themeColor="text1"/>
          <w:sz w:val="22"/>
          <w:szCs w:val="22"/>
        </w:rPr>
        <w:t xml:space="preserve"> ČSÚ</w:t>
      </w:r>
    </w:p>
    <w:p w:rsidR="00BB64DB" w:rsidRPr="00FD3B1F" w:rsidRDefault="00BB64DB" w:rsidP="00BB64DB">
      <w:r w:rsidRPr="00FD3B1F">
        <w:t xml:space="preserve">Výše zaměstnanosti v činnostech spadajících do oblasti </w:t>
      </w:r>
      <w:r w:rsidR="00BA414E" w:rsidRPr="00FD3B1F">
        <w:t>k</w:t>
      </w:r>
      <w:r w:rsidRPr="00FD3B1F">
        <w:t xml:space="preserve">nih a tisku v podstatě kopíruje vývoj </w:t>
      </w:r>
      <w:r w:rsidR="00BA414E" w:rsidRPr="00FD3B1F">
        <w:t>příjmů</w:t>
      </w:r>
      <w:r w:rsidRPr="00FD3B1F">
        <w:t xml:space="preserve"> podnik</w:t>
      </w:r>
      <w:r w:rsidR="00683DBB" w:rsidRPr="00FD3B1F">
        <w:t>ů v této oblasti. Mez</w:t>
      </w:r>
      <w:r w:rsidR="00A96EFF" w:rsidRPr="00FD3B1F">
        <w:t>i lety 2006</w:t>
      </w:r>
      <w:r w:rsidR="00FD3B1F" w:rsidRPr="00FD3B1F">
        <w:t xml:space="preserve"> a 2014</w:t>
      </w:r>
      <w:r w:rsidRPr="00FD3B1F">
        <w:t xml:space="preserve"> pokl</w:t>
      </w:r>
      <w:r w:rsidR="00042B50" w:rsidRPr="00FD3B1F">
        <w:t>esla zaměstnanost podle Podnikové strukturální statistiky</w:t>
      </w:r>
      <w:r w:rsidR="00A96EFF" w:rsidRPr="00FD3B1F">
        <w:t xml:space="preserve"> o </w:t>
      </w:r>
      <w:r w:rsidR="00FD3B1F" w:rsidRPr="00FD3B1F">
        <w:t>5</w:t>
      </w:r>
      <w:r w:rsidR="00A96EFF" w:rsidRPr="00FD3B1F">
        <w:t xml:space="preserve"> tis.</w:t>
      </w:r>
      <w:r w:rsidRPr="00FD3B1F">
        <w:t xml:space="preserve"> zaměstnanců a</w:t>
      </w:r>
      <w:r w:rsidR="00FD3B1F" w:rsidRPr="00FD3B1F">
        <w:t xml:space="preserve"> v roce 2014</w:t>
      </w:r>
      <w:r w:rsidR="00683DBB" w:rsidRPr="00FD3B1F">
        <w:t xml:space="preserve"> dosa</w:t>
      </w:r>
      <w:r w:rsidR="00FD3B1F" w:rsidRPr="00FD3B1F">
        <w:t>hovala výše 12,8</w:t>
      </w:r>
      <w:r w:rsidR="00683DBB" w:rsidRPr="00FD3B1F">
        <w:t xml:space="preserve"> tis.</w:t>
      </w:r>
      <w:r w:rsidRPr="00FD3B1F">
        <w:t xml:space="preserve"> zaměstnanců. Údaje zachycující zaměstnanost pro oblast knih a oblast tisku samostatně budou uvede</w:t>
      </w:r>
      <w:r w:rsidR="00B34A56" w:rsidRPr="00FD3B1F">
        <w:t>ny v příslušných podkapitolách.</w:t>
      </w:r>
    </w:p>
    <w:p w:rsidR="00BB64DB" w:rsidRPr="00683DBB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015D27">
        <w:rPr>
          <w:color w:val="000000" w:themeColor="text1"/>
          <w:sz w:val="22"/>
          <w:szCs w:val="22"/>
        </w:rPr>
        <w:t xml:space="preserve">Graf </w:t>
      </w:r>
      <w:r w:rsidR="001A4BAA">
        <w:rPr>
          <w:color w:val="000000" w:themeColor="text1"/>
          <w:sz w:val="22"/>
          <w:szCs w:val="22"/>
        </w:rPr>
        <w:t>8</w:t>
      </w:r>
      <w:r w:rsidR="002F7B33" w:rsidRPr="00015D27">
        <w:rPr>
          <w:color w:val="000000" w:themeColor="text1"/>
          <w:sz w:val="22"/>
          <w:szCs w:val="22"/>
        </w:rPr>
        <w:t xml:space="preserve"> </w:t>
      </w:r>
      <w:r w:rsidR="00522F08" w:rsidRPr="00015D27">
        <w:rPr>
          <w:b w:val="0"/>
          <w:color w:val="000000" w:themeColor="text1"/>
          <w:sz w:val="22"/>
          <w:szCs w:val="22"/>
        </w:rPr>
        <w:t>Počet</w:t>
      </w:r>
      <w:r w:rsidR="005366C7" w:rsidRPr="00015D27">
        <w:rPr>
          <w:b w:val="0"/>
          <w:color w:val="000000" w:themeColor="text1"/>
          <w:sz w:val="22"/>
          <w:szCs w:val="22"/>
        </w:rPr>
        <w:t xml:space="preserve"> zaměstnanců v oblasti k</w:t>
      </w:r>
      <w:r w:rsidRPr="00015D27">
        <w:rPr>
          <w:b w:val="0"/>
          <w:color w:val="000000" w:themeColor="text1"/>
          <w:sz w:val="22"/>
          <w:szCs w:val="22"/>
        </w:rPr>
        <w:t>nih a tisku (</w:t>
      </w:r>
      <w:r w:rsidR="005366C7" w:rsidRPr="00015D27">
        <w:rPr>
          <w:b w:val="0"/>
          <w:color w:val="000000" w:themeColor="text1"/>
          <w:sz w:val="22"/>
          <w:szCs w:val="22"/>
        </w:rPr>
        <w:t xml:space="preserve">v tis. osob, </w:t>
      </w:r>
      <w:r w:rsidRPr="00015D27">
        <w:rPr>
          <w:b w:val="0"/>
          <w:color w:val="000000" w:themeColor="text1"/>
          <w:sz w:val="22"/>
          <w:szCs w:val="22"/>
        </w:rPr>
        <w:t>přepočten</w:t>
      </w:r>
      <w:r w:rsidR="00683DBB" w:rsidRPr="00015D27">
        <w:rPr>
          <w:b w:val="0"/>
          <w:color w:val="000000" w:themeColor="text1"/>
          <w:sz w:val="22"/>
          <w:szCs w:val="22"/>
        </w:rPr>
        <w:t>o</w:t>
      </w:r>
      <w:r w:rsidRPr="00015D27">
        <w:rPr>
          <w:b w:val="0"/>
          <w:color w:val="000000" w:themeColor="text1"/>
          <w:sz w:val="22"/>
          <w:szCs w:val="22"/>
        </w:rPr>
        <w:t xml:space="preserve"> na počet plných úvazků)</w:t>
      </w:r>
    </w:p>
    <w:p w:rsidR="00BB64DB" w:rsidRDefault="00B277C2" w:rsidP="00BB64DB">
      <w:pPr>
        <w:keepNext/>
      </w:pPr>
      <w:r w:rsidRPr="00B277C2">
        <w:rPr>
          <w:noProof/>
        </w:rPr>
        <w:drawing>
          <wp:inline distT="0" distB="0" distL="0" distR="0">
            <wp:extent cx="6086475" cy="1962150"/>
            <wp:effectExtent l="0" t="0" r="0" b="0"/>
            <wp:docPr id="18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683DBB">
        <w:rPr>
          <w:b w:val="0"/>
          <w:color w:val="000000" w:themeColor="text1"/>
          <w:sz w:val="22"/>
          <w:szCs w:val="22"/>
        </w:rPr>
        <w:t>Zdroj: Podniková strukturální statistika, ČSÚ</w:t>
      </w:r>
    </w:p>
    <w:p w:rsidR="00754990" w:rsidRPr="00754990" w:rsidRDefault="00346445" w:rsidP="00754990">
      <w:pPr>
        <w:rPr>
          <w:lang w:eastAsia="en-US"/>
        </w:rPr>
      </w:pPr>
      <w:r>
        <w:rPr>
          <w:lang w:eastAsia="en-US"/>
        </w:rPr>
        <w:t>Údaje o počtu zaměstnanců ze Strukturální podnikové statistiky může v oblasti knih a tisku doplnit také odhad celkové zaměstnanosti z Výběrového šetření pracovn</w:t>
      </w:r>
      <w:r w:rsidR="00C96C58">
        <w:rPr>
          <w:lang w:eastAsia="en-US"/>
        </w:rPr>
        <w:t xml:space="preserve">ích sil. Pokud zohledníme všechny zaměstnané osoby (zaměstnance, podnikatele či pracovníky na dohody) bude se zaměstnanost v oblasti knih a tisku pohybovat okolo 32 tis. osob. Tento údaj lze dále dělit podle typu zaměstnání. </w:t>
      </w:r>
      <w:r w:rsidR="00E35EE2">
        <w:rPr>
          <w:lang w:eastAsia="en-US"/>
        </w:rPr>
        <w:t xml:space="preserve">Z Tabulky 5 je </w:t>
      </w:r>
      <w:r w:rsidR="008B64EB">
        <w:rPr>
          <w:lang w:eastAsia="en-US"/>
        </w:rPr>
        <w:t>zřejmé</w:t>
      </w:r>
      <w:r w:rsidR="00E35EE2">
        <w:rPr>
          <w:lang w:eastAsia="en-US"/>
        </w:rPr>
        <w:t xml:space="preserve">, </w:t>
      </w:r>
      <w:r w:rsidR="00E35EE2">
        <w:rPr>
          <w:lang w:eastAsia="en-US"/>
        </w:rPr>
        <w:lastRenderedPageBreak/>
        <w:t>že</w:t>
      </w:r>
      <w:r w:rsidR="008B64EB">
        <w:rPr>
          <w:lang w:eastAsia="en-US"/>
        </w:rPr>
        <w:t> </w:t>
      </w:r>
      <w:r w:rsidR="00E35EE2">
        <w:rPr>
          <w:lang w:eastAsia="en-US"/>
        </w:rPr>
        <w:t>o</w:t>
      </w:r>
      <w:r w:rsidR="00B02802">
        <w:rPr>
          <w:lang w:eastAsia="en-US"/>
        </w:rPr>
        <w:t> </w:t>
      </w:r>
      <w:r w:rsidR="00E35EE2">
        <w:rPr>
          <w:lang w:eastAsia="en-US"/>
        </w:rPr>
        <w:t>něco více osob se v oblasti knih a tisku věnovalo zaměstnáním „ne</w:t>
      </w:r>
      <w:r w:rsidR="00D508CE">
        <w:rPr>
          <w:lang w:eastAsia="en-US"/>
        </w:rPr>
        <w:t>-</w:t>
      </w:r>
      <w:r w:rsidR="00E35EE2">
        <w:rPr>
          <w:lang w:eastAsia="en-US"/>
        </w:rPr>
        <w:t>kulturního“ charakteru (přibližně</w:t>
      </w:r>
      <w:r w:rsidR="008B64EB">
        <w:rPr>
          <w:lang w:eastAsia="en-US"/>
        </w:rPr>
        <w:t> </w:t>
      </w:r>
      <w:r w:rsidR="00E35EE2">
        <w:rPr>
          <w:lang w:eastAsia="en-US"/>
        </w:rPr>
        <w:t>16</w:t>
      </w:r>
      <w:r w:rsidR="008B64EB">
        <w:rPr>
          <w:lang w:eastAsia="en-US"/>
        </w:rPr>
        <w:t> </w:t>
      </w:r>
      <w:r w:rsidR="00E35EE2">
        <w:rPr>
          <w:lang w:eastAsia="en-US"/>
        </w:rPr>
        <w:t>tis. osob) než kulturním zaměstnáním (přibližně 15 tis. osob).</w:t>
      </w:r>
      <w:r w:rsidR="006B2F7A">
        <w:rPr>
          <w:lang w:eastAsia="en-US"/>
        </w:rPr>
        <w:t xml:space="preserve"> Pokud se zaměříme pouze na spisovatele, novináře a jazykovědce (tedy osoby spadající svým zaměstnáním do kategorie CZ-ISCO 264) zjistíme, že tvoří stěžejní část celkového počtu osob s kulturním zaměstnáním (přibližně 13 tis.). Přibližně</w:t>
      </w:r>
      <w:r w:rsidR="008B64EB">
        <w:rPr>
          <w:lang w:eastAsia="en-US"/>
        </w:rPr>
        <w:t> </w:t>
      </w:r>
      <w:r w:rsidR="006B2F7A">
        <w:rPr>
          <w:lang w:eastAsia="en-US"/>
        </w:rPr>
        <w:t>1,5</w:t>
      </w:r>
      <w:r w:rsidR="008B64EB">
        <w:rPr>
          <w:lang w:eastAsia="en-US"/>
        </w:rPr>
        <w:t> </w:t>
      </w:r>
      <w:r w:rsidR="006B2F7A">
        <w:rPr>
          <w:lang w:eastAsia="en-US"/>
        </w:rPr>
        <w:t>tis. spisovatelů, novinářů a jazykovědců pracovalo také mimo odvětví kultury (tedy nejen mimo oblast knih a</w:t>
      </w:r>
      <w:r w:rsidR="00B02802">
        <w:rPr>
          <w:lang w:eastAsia="en-US"/>
        </w:rPr>
        <w:t> </w:t>
      </w:r>
      <w:r w:rsidR="006B2F7A">
        <w:rPr>
          <w:lang w:eastAsia="en-US"/>
        </w:rPr>
        <w:t>tisku, ale také mimo ostatní ekonomické činnosti spadající do odvětví kultury).</w:t>
      </w:r>
    </w:p>
    <w:p w:rsidR="00E35EE2" w:rsidRPr="00196AEC" w:rsidRDefault="00E35EE2" w:rsidP="00E35EE2">
      <w:pPr>
        <w:pStyle w:val="Titulek"/>
        <w:keepNext/>
        <w:jc w:val="left"/>
        <w:rPr>
          <w:b w:val="0"/>
          <w:color w:val="auto"/>
          <w:sz w:val="22"/>
          <w:szCs w:val="22"/>
        </w:rPr>
      </w:pPr>
      <w:bookmarkStart w:id="3" w:name="_Toc464832048"/>
      <w:r w:rsidRPr="00E35EE2">
        <w:rPr>
          <w:color w:val="auto"/>
          <w:sz w:val="22"/>
          <w:szCs w:val="22"/>
        </w:rPr>
        <w:t xml:space="preserve">Tabulka </w:t>
      </w:r>
      <w:r w:rsidR="004D6537" w:rsidRPr="00E35EE2">
        <w:rPr>
          <w:color w:val="auto"/>
          <w:sz w:val="22"/>
          <w:szCs w:val="22"/>
        </w:rPr>
        <w:fldChar w:fldCharType="begin"/>
      </w:r>
      <w:r w:rsidRPr="00E35EE2">
        <w:rPr>
          <w:color w:val="auto"/>
          <w:sz w:val="22"/>
          <w:szCs w:val="22"/>
        </w:rPr>
        <w:instrText xml:space="preserve"> SEQ Tabulka \* ARABIC </w:instrText>
      </w:r>
      <w:r w:rsidR="004D6537" w:rsidRPr="00E35EE2">
        <w:rPr>
          <w:color w:val="auto"/>
          <w:sz w:val="22"/>
          <w:szCs w:val="22"/>
        </w:rPr>
        <w:fldChar w:fldCharType="separate"/>
      </w:r>
      <w:r w:rsidR="003D241B">
        <w:rPr>
          <w:noProof/>
          <w:color w:val="auto"/>
          <w:sz w:val="22"/>
          <w:szCs w:val="22"/>
        </w:rPr>
        <w:t>5</w:t>
      </w:r>
      <w:r w:rsidR="004D6537" w:rsidRPr="00E35EE2">
        <w:rPr>
          <w:color w:val="auto"/>
          <w:sz w:val="22"/>
          <w:szCs w:val="22"/>
        </w:rPr>
        <w:fldChar w:fldCharType="end"/>
      </w:r>
      <w:r>
        <w:t xml:space="preserve"> </w:t>
      </w:r>
      <w:r>
        <w:rPr>
          <w:b w:val="0"/>
          <w:color w:val="auto"/>
          <w:sz w:val="22"/>
          <w:szCs w:val="22"/>
        </w:rPr>
        <w:t>Odhad počtu zaměstnaných osob v oblasti knih a tisku</w:t>
      </w:r>
      <w:r w:rsidR="007C4B02">
        <w:rPr>
          <w:b w:val="0"/>
          <w:color w:val="auto"/>
          <w:sz w:val="22"/>
          <w:szCs w:val="22"/>
        </w:rPr>
        <w:t xml:space="preserve"> v roce 2014</w:t>
      </w:r>
      <w:r w:rsidR="00DC44B4">
        <w:rPr>
          <w:b w:val="0"/>
          <w:color w:val="auto"/>
          <w:sz w:val="22"/>
          <w:szCs w:val="22"/>
        </w:rPr>
        <w:t xml:space="preserve"> v tis. osob</w:t>
      </w:r>
      <w:bookmarkEnd w:id="3"/>
    </w:p>
    <w:tbl>
      <w:tblPr>
        <w:tblW w:w="965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0"/>
        <w:gridCol w:w="1701"/>
        <w:gridCol w:w="1843"/>
        <w:gridCol w:w="1985"/>
        <w:gridCol w:w="1275"/>
      </w:tblGrid>
      <w:tr w:rsidR="005E330D" w:rsidRPr="00F419C2" w:rsidTr="0078588D">
        <w:trPr>
          <w:trHeight w:val="628"/>
        </w:trPr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F419C2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OBLAST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F419C2" w:rsidRPr="00F419C2" w:rsidRDefault="005E330D" w:rsidP="0078588D">
            <w:pPr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5E330D">
              <w:rPr>
                <w:rFonts w:asciiTheme="minorHAnsi" w:hAnsiTheme="minorHAnsi" w:cs="Arial"/>
                <w:szCs w:val="20"/>
              </w:rPr>
              <w:t>POVOLÁNÍ KULT. CHARAKTERU V KULT. ORGANIZACI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F419C2" w:rsidRPr="00F419C2" w:rsidRDefault="005E330D" w:rsidP="0078588D">
            <w:pPr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5E330D">
              <w:rPr>
                <w:rFonts w:asciiTheme="minorHAnsi" w:hAnsiTheme="minorHAnsi" w:cs="Arial"/>
                <w:szCs w:val="20"/>
              </w:rPr>
              <w:t>POVOLÁNÍ NEKULT. CHARAKTERU V KULT. ORGANIZACI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F419C2" w:rsidRPr="00F419C2" w:rsidRDefault="005E330D" w:rsidP="0078588D">
            <w:pPr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5E330D">
              <w:rPr>
                <w:rFonts w:asciiTheme="minorHAnsi" w:hAnsiTheme="minorHAnsi" w:cs="Arial"/>
                <w:szCs w:val="20"/>
              </w:rPr>
              <w:t>POVOLÁNÍ KULT. CHARAKTERU V NEKULT. ORGANIZACI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F419C2" w:rsidRPr="00F419C2" w:rsidRDefault="005E330D" w:rsidP="0078588D">
            <w:pPr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5E330D">
              <w:rPr>
                <w:rFonts w:asciiTheme="minorHAnsi" w:hAnsiTheme="minorHAnsi" w:cs="Arial"/>
                <w:szCs w:val="20"/>
              </w:rPr>
              <w:t>CELKEM</w:t>
            </w:r>
          </w:p>
        </w:tc>
      </w:tr>
      <w:tr w:rsidR="005E330D" w:rsidRPr="00F419C2" w:rsidTr="000A0FF8">
        <w:trPr>
          <w:trHeight w:val="300"/>
        </w:trPr>
        <w:tc>
          <w:tcPr>
            <w:tcW w:w="28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9C2" w:rsidRPr="00F419C2" w:rsidRDefault="00F419C2" w:rsidP="00F419C2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419C2">
              <w:rPr>
                <w:rFonts w:ascii="Calibri" w:hAnsi="Calibri"/>
                <w:color w:val="000000"/>
                <w:szCs w:val="20"/>
              </w:rPr>
              <w:t>Knihy a tisk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F419C2" w:rsidRDefault="00F419C2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F419C2">
              <w:rPr>
                <w:rFonts w:asciiTheme="minorHAnsi" w:hAnsiTheme="minorHAnsi"/>
                <w:color w:val="00000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F419C2" w:rsidRDefault="00F419C2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F419C2">
              <w:rPr>
                <w:rFonts w:asciiTheme="minorHAnsi" w:hAnsiTheme="minorHAnsi"/>
                <w:color w:val="000000"/>
                <w:szCs w:val="20"/>
              </w:rPr>
              <w:t>15,9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F419C2" w:rsidRDefault="00F419C2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F419C2">
              <w:rPr>
                <w:rFonts w:asciiTheme="minorHAnsi" w:hAnsiTheme="minorHAnsi"/>
                <w:color w:val="00000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F419C2" w:rsidRDefault="00F419C2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F419C2">
              <w:rPr>
                <w:rFonts w:asciiTheme="minorHAnsi" w:hAnsiTheme="minorHAnsi"/>
                <w:color w:val="000000"/>
                <w:szCs w:val="20"/>
              </w:rPr>
              <w:t>32,2</w:t>
            </w:r>
          </w:p>
        </w:tc>
      </w:tr>
      <w:tr w:rsidR="005E330D" w:rsidRPr="00F419C2" w:rsidTr="000A0FF8">
        <w:trPr>
          <w:trHeight w:val="544"/>
        </w:trPr>
        <w:tc>
          <w:tcPr>
            <w:tcW w:w="28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419C2" w:rsidRPr="00F419C2" w:rsidRDefault="00F419C2" w:rsidP="00F419C2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419C2">
              <w:rPr>
                <w:rFonts w:ascii="Calibri" w:hAnsi="Calibri"/>
                <w:color w:val="000000"/>
                <w:szCs w:val="20"/>
              </w:rPr>
              <w:t xml:space="preserve">z toho </w:t>
            </w:r>
            <w:r w:rsidR="007C4B02">
              <w:rPr>
                <w:rFonts w:ascii="Calibri" w:hAnsi="Calibri"/>
                <w:color w:val="000000"/>
                <w:szCs w:val="20"/>
              </w:rPr>
              <w:t>s</w:t>
            </w:r>
            <w:r w:rsidRPr="00F419C2">
              <w:rPr>
                <w:rFonts w:ascii="Calibri" w:hAnsi="Calibri"/>
                <w:color w:val="000000"/>
                <w:szCs w:val="20"/>
              </w:rPr>
              <w:t>pisovatelé, novináři a jazykovědci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F419C2" w:rsidRDefault="00F419C2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F419C2">
              <w:rPr>
                <w:rFonts w:asciiTheme="minorHAnsi" w:hAnsiTheme="minorHAnsi"/>
                <w:color w:val="000000"/>
                <w:szCs w:val="20"/>
              </w:rPr>
              <w:t>13,3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F419C2" w:rsidRDefault="004B288C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F419C2" w:rsidRDefault="00F419C2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F419C2">
              <w:rPr>
                <w:rFonts w:asciiTheme="minorHAnsi" w:hAnsiTheme="minorHAnsi"/>
                <w:color w:val="00000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F419C2" w:rsidRDefault="00F419C2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F419C2">
              <w:rPr>
                <w:rFonts w:asciiTheme="minorHAnsi" w:hAnsiTheme="minorHAnsi"/>
                <w:color w:val="000000"/>
                <w:szCs w:val="20"/>
              </w:rPr>
              <w:t>14,7</w:t>
            </w:r>
          </w:p>
        </w:tc>
      </w:tr>
    </w:tbl>
    <w:p w:rsidR="005E330D" w:rsidRDefault="007C4B02" w:rsidP="004F4DFA">
      <w:pPr>
        <w:pStyle w:val="Titulek"/>
        <w:spacing w:before="120"/>
        <w:jc w:val="lef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Zdroj: Výběrové šetření pracovních sil, ČSÚ</w:t>
      </w:r>
    </w:p>
    <w:p w:rsidR="007C4B02" w:rsidRDefault="006B2F7A" w:rsidP="009F4056">
      <w:r>
        <w:t xml:space="preserve">Posledním doplňujícím </w:t>
      </w:r>
      <w:r w:rsidR="007C4B02">
        <w:t>údajem</w:t>
      </w:r>
      <w:r>
        <w:t>, který lze zmínit</w:t>
      </w:r>
      <w:r w:rsidR="007C4B02">
        <w:t xml:space="preserve"> v rámci statistiky zaměstnanosti v oblasti knih a tisku</w:t>
      </w:r>
      <w:r>
        <w:t>, je údaj o průměrné</w:t>
      </w:r>
      <w:r w:rsidR="000A0FF8">
        <w:t xml:space="preserve"> mzdě (platu), </w:t>
      </w:r>
      <w:r>
        <w:t>pocházející z</w:t>
      </w:r>
      <w:r w:rsidR="007C4B02">
        <w:t> Informačního systému o průměrném výdělku</w:t>
      </w:r>
      <w:r w:rsidR="000A0FF8">
        <w:t xml:space="preserve"> (ISPV)</w:t>
      </w:r>
      <w:r>
        <w:t>.</w:t>
      </w:r>
      <w:r w:rsidR="004B288C">
        <w:t xml:space="preserve"> </w:t>
      </w:r>
      <w:r w:rsidR="007C4B02">
        <w:t xml:space="preserve">Tento </w:t>
      </w:r>
      <w:r w:rsidR="00676E88">
        <w:t>údaj</w:t>
      </w:r>
      <w:r w:rsidR="007C4B02">
        <w:t xml:space="preserve"> však zahrnuje pouze zaměstnance ve mzdové a platové sféře, nikoliv podnikatele a pracovn</w:t>
      </w:r>
      <w:r w:rsidR="000A0FF8">
        <w:t>íky na dohodu. Do</w:t>
      </w:r>
      <w:r w:rsidR="00313494">
        <w:t> </w:t>
      </w:r>
      <w:r w:rsidR="004B288C">
        <w:t xml:space="preserve">takto vymezené </w:t>
      </w:r>
      <w:r w:rsidR="000A0FF8">
        <w:t>kategorie spisovatelů, novinářů a jazykovědců</w:t>
      </w:r>
      <w:r w:rsidR="00A61DF0">
        <w:t xml:space="preserve"> </w:t>
      </w:r>
      <w:r w:rsidR="000A0FF8">
        <w:t>spadalo v </w:t>
      </w:r>
      <w:r w:rsidR="00B02802">
        <w:t>roce 2014 podle ISPV necelých 6 </w:t>
      </w:r>
      <w:r w:rsidR="000A0FF8">
        <w:t>tis. zaměstnanců a jejich průměrná hrubá mzda (plat</w:t>
      </w:r>
      <w:r w:rsidR="00A61DF0">
        <w:t>) dosahovala výše 30,6 tis. Kč.</w:t>
      </w:r>
      <w:r w:rsidR="004B288C">
        <w:t xml:space="preserve"> Do počtů jsou zahrnuti pouze zaměstnanci ve mzdové a platové sféře, jejichž týdenní pracov</w:t>
      </w:r>
      <w:r w:rsidR="00B02802">
        <w:t>ní doba tvořila min. 30 hodin a u </w:t>
      </w:r>
      <w:r w:rsidR="004B288C">
        <w:t>zaměstnavatele pracovali min. jeden měsíc.</w:t>
      </w:r>
    </w:p>
    <w:p w:rsidR="00BB64DB" w:rsidRDefault="00700384" w:rsidP="009F4056">
      <w:r>
        <w:tab/>
      </w:r>
      <w:r w:rsidR="00BB64DB">
        <w:t xml:space="preserve">Také trh s knihami a periodickým tiskem v posledních letech formuje digitalizace a rozvoj internetu. Zatímco čtení zpráv a článků přes internet je v české populaci </w:t>
      </w:r>
      <w:r w:rsidR="00B508F7">
        <w:t xml:space="preserve">značně rozšířené </w:t>
      </w:r>
      <w:r w:rsidR="00BB64DB">
        <w:t xml:space="preserve">a zvýšená obliba četby zpravodajských serverů může do budoucna znamenat určitou hrozbu pro budoucnost </w:t>
      </w:r>
      <w:r w:rsidR="00B508F7">
        <w:t>tisku</w:t>
      </w:r>
      <w:r w:rsidR="00BB64DB">
        <w:t>, e-booky</w:t>
      </w:r>
      <w:r w:rsidR="00B6348E">
        <w:t>, soudě dle současného postavení na trhu,</w:t>
      </w:r>
      <w:r w:rsidR="00BB64DB">
        <w:t xml:space="preserve"> nejsou zatím příliš velkým konkurentem tištěným knihám</w:t>
      </w:r>
      <w:r w:rsidR="00B6348E">
        <w:t xml:space="preserve"> (SČKN, 2015)</w:t>
      </w:r>
      <w:r w:rsidR="00BB64DB">
        <w:t xml:space="preserve">. V souvislosti s knihami je pak internet využíván spíše k objednání </w:t>
      </w:r>
      <w:r w:rsidR="00A96EFF">
        <w:t xml:space="preserve">fyzických </w:t>
      </w:r>
      <w:r w:rsidR="00BB64DB">
        <w:t xml:space="preserve">knižních titulů prostřednictvím online katalogu. V porovnání s dalšími oblastmi </w:t>
      </w:r>
      <w:r w:rsidR="00BB64DB" w:rsidRPr="005F71A6">
        <w:t>audiovizuálního</w:t>
      </w:r>
      <w:r w:rsidR="00282CCA" w:rsidRPr="005F71A6">
        <w:t> </w:t>
      </w:r>
      <w:r w:rsidR="00BB64DB" w:rsidRPr="005F71A6">
        <w:t>a</w:t>
      </w:r>
      <w:r w:rsidR="00282CCA" w:rsidRPr="005F71A6">
        <w:t> </w:t>
      </w:r>
      <w:r w:rsidR="00BB64DB" w:rsidRPr="005F71A6">
        <w:t xml:space="preserve">mediálního sektoru je využití internetu pro nákup </w:t>
      </w:r>
      <w:r w:rsidR="00BA414E" w:rsidRPr="005F71A6">
        <w:t>knih a tisku</w:t>
      </w:r>
      <w:r w:rsidR="00BB64DB" w:rsidRPr="005F71A6">
        <w:t xml:space="preserve"> v české populaci poměrně rozšířené. Jak je patrné z Grafu </w:t>
      </w:r>
      <w:r w:rsidR="002F7B33">
        <w:t>9</w:t>
      </w:r>
      <w:r w:rsidR="00BB64DB" w:rsidRPr="005F71A6">
        <w:t xml:space="preserve">, </w:t>
      </w:r>
      <w:r w:rsidR="005F71A6" w:rsidRPr="005F71A6">
        <w:t>necelých 17</w:t>
      </w:r>
      <w:r w:rsidR="00BB64DB" w:rsidRPr="005F71A6">
        <w:t xml:space="preserve"> % uživatelů nakupujících přes i</w:t>
      </w:r>
      <w:r w:rsidR="005F71A6" w:rsidRPr="005F71A6">
        <w:t>nternet v roce 2015</w:t>
      </w:r>
      <w:r w:rsidR="00BB64DB" w:rsidRPr="005F71A6">
        <w:t xml:space="preserve"> zakoupilo knihy, časopis či noviny prostřednictvím tohoto média.</w:t>
      </w:r>
    </w:p>
    <w:p w:rsidR="00BB64DB" w:rsidRPr="00042B50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5F71A6">
        <w:rPr>
          <w:color w:val="000000" w:themeColor="text1"/>
          <w:sz w:val="22"/>
          <w:szCs w:val="22"/>
        </w:rPr>
        <w:t xml:space="preserve">Graf </w:t>
      </w:r>
      <w:r w:rsidR="001A4BAA">
        <w:rPr>
          <w:color w:val="000000" w:themeColor="text1"/>
          <w:sz w:val="22"/>
          <w:szCs w:val="22"/>
        </w:rPr>
        <w:t>9</w:t>
      </w:r>
      <w:r w:rsidRPr="005F71A6">
        <w:rPr>
          <w:color w:val="000000" w:themeColor="text1"/>
          <w:sz w:val="22"/>
          <w:szCs w:val="22"/>
        </w:rPr>
        <w:t xml:space="preserve"> </w:t>
      </w:r>
      <w:r w:rsidR="00932900" w:rsidRPr="005F71A6">
        <w:rPr>
          <w:b w:val="0"/>
          <w:color w:val="000000" w:themeColor="text1"/>
          <w:sz w:val="22"/>
          <w:szCs w:val="22"/>
        </w:rPr>
        <w:t>Využití</w:t>
      </w:r>
      <w:r w:rsidR="00932900" w:rsidRPr="00042B50">
        <w:rPr>
          <w:b w:val="0"/>
          <w:color w:val="000000" w:themeColor="text1"/>
          <w:sz w:val="22"/>
          <w:szCs w:val="22"/>
        </w:rPr>
        <w:t xml:space="preserve"> internetu k nákupu zboží kulturního charakteru</w:t>
      </w:r>
      <w:r w:rsidR="002328DA">
        <w:rPr>
          <w:b w:val="0"/>
          <w:color w:val="000000" w:themeColor="text1"/>
          <w:sz w:val="22"/>
          <w:szCs w:val="22"/>
        </w:rPr>
        <w:t xml:space="preserve"> v roce 2015</w:t>
      </w:r>
    </w:p>
    <w:p w:rsidR="00BB64DB" w:rsidRDefault="00F64AB5" w:rsidP="001D41F6">
      <w:pPr>
        <w:keepNext/>
      </w:pPr>
      <w:r w:rsidRPr="00F64AB5">
        <w:rPr>
          <w:noProof/>
        </w:rPr>
        <w:drawing>
          <wp:inline distT="0" distB="0" distL="0" distR="0">
            <wp:extent cx="6086475" cy="1762125"/>
            <wp:effectExtent l="0" t="0" r="0" b="0"/>
            <wp:docPr id="102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64DB" w:rsidRPr="00042B50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042B50">
        <w:rPr>
          <w:b w:val="0"/>
          <w:color w:val="000000" w:themeColor="text1"/>
          <w:sz w:val="22"/>
          <w:szCs w:val="22"/>
        </w:rPr>
        <w:t xml:space="preserve">Zdroj: </w:t>
      </w:r>
      <w:r w:rsidR="00B508F7">
        <w:rPr>
          <w:b w:val="0"/>
          <w:color w:val="000000" w:themeColor="text1"/>
          <w:sz w:val="22"/>
          <w:szCs w:val="22"/>
        </w:rPr>
        <w:t xml:space="preserve">VŠIT, </w:t>
      </w:r>
      <w:r w:rsidRPr="00042B50">
        <w:rPr>
          <w:b w:val="0"/>
          <w:color w:val="000000" w:themeColor="text1"/>
          <w:sz w:val="22"/>
          <w:szCs w:val="22"/>
        </w:rPr>
        <w:t>ČSÚ</w:t>
      </w:r>
    </w:p>
    <w:p w:rsidR="00BB64DB" w:rsidRPr="00E23A58" w:rsidRDefault="00BB64DB" w:rsidP="00694914">
      <w:pPr>
        <w:pStyle w:val="Nadpis2"/>
        <w:numPr>
          <w:ilvl w:val="1"/>
          <w:numId w:val="17"/>
        </w:numPr>
      </w:pPr>
      <w:bookmarkStart w:id="4" w:name="_Toc430189794"/>
      <w:bookmarkStart w:id="5" w:name="_Toc463969177"/>
      <w:r w:rsidRPr="00E23A58">
        <w:lastRenderedPageBreak/>
        <w:t>KNIHY (NEPERIODICKÉ PUBLIKACE)</w:t>
      </w:r>
      <w:bookmarkEnd w:id="4"/>
      <w:bookmarkEnd w:id="5"/>
    </w:p>
    <w:p w:rsidR="00BB64DB" w:rsidRDefault="00BB64DB" w:rsidP="00641938">
      <w:r>
        <w:t>V případě analýzy samostatných trhů neperiodických a periodických publikací je otázkou, jak</w:t>
      </w:r>
      <w:r w:rsidR="008B64EB">
        <w:t> </w:t>
      </w:r>
      <w:r>
        <w:t>pracovat</w:t>
      </w:r>
      <w:r w:rsidR="00282CCA">
        <w:t> </w:t>
      </w:r>
      <w:r>
        <w:t>s</w:t>
      </w:r>
      <w:r w:rsidR="00282CCA">
        <w:t> </w:t>
      </w:r>
      <w:r>
        <w:t>činností překladatelů a tlumočníků stejně jako s činností tiskových agentur. Tyto činnosti nelze přiřadit pouze do jedné či druhé oblasti a hledat poměr</w:t>
      </w:r>
      <w:r w:rsidR="00673A17">
        <w:t>,</w:t>
      </w:r>
      <w:r>
        <w:t xml:space="preserve"> kterým se např. překladatelé podílí na překladu knih a na překladu periodik</w:t>
      </w:r>
      <w:r w:rsidR="00673A17">
        <w:t>,</w:t>
      </w:r>
      <w:r>
        <w:t xml:space="preserve"> by bylo velmi o</w:t>
      </w:r>
      <w:r w:rsidR="00BA414E">
        <w:t xml:space="preserve">btížné. Činnosti překladatelů, </w:t>
      </w:r>
      <w:r>
        <w:t>tlumočníků a tiskových agentur lze analyzovat pouze v</w:t>
      </w:r>
      <w:r w:rsidR="002C3743">
        <w:t> rámci celkové oblasti k</w:t>
      </w:r>
      <w:r w:rsidR="005F71A6">
        <w:t>nih</w:t>
      </w:r>
      <w:r>
        <w:t xml:space="preserve"> a tisk</w:t>
      </w:r>
      <w:r w:rsidR="005F71A6">
        <w:t>u</w:t>
      </w:r>
      <w:r>
        <w:t xml:space="preserve"> a proto budou z analýzy jednotlivých trhů (trhu</w:t>
      </w:r>
      <w:r w:rsidR="008B64EB">
        <w:t> </w:t>
      </w:r>
      <w:r>
        <w:t>s neperiodickými a trhu s period</w:t>
      </w:r>
      <w:r w:rsidR="00F100E0">
        <w:t xml:space="preserve">ickými publikacemi) vypuštěny. </w:t>
      </w:r>
      <w:r w:rsidR="007B04C3">
        <w:t>Následující analýzy</w:t>
      </w:r>
      <w:r>
        <w:t xml:space="preserve"> tak budou zahrnovat pouze činnosti vydavatelů a maloobchodu.</w:t>
      </w:r>
    </w:p>
    <w:p w:rsidR="00BB64DB" w:rsidRPr="00E23A58" w:rsidRDefault="00B414F8" w:rsidP="00694914">
      <w:pPr>
        <w:pStyle w:val="Nadpis3"/>
        <w:numPr>
          <w:ilvl w:val="2"/>
          <w:numId w:val="17"/>
        </w:numPr>
      </w:pPr>
      <w:bookmarkStart w:id="6" w:name="_Toc430189795"/>
      <w:bookmarkStart w:id="7" w:name="_Toc431475023"/>
      <w:bookmarkStart w:id="8" w:name="_Toc463969178"/>
      <w:r>
        <w:t>PŘÍJMY</w:t>
      </w:r>
      <w:r w:rsidR="00BB64DB" w:rsidRPr="00E23A58">
        <w:t xml:space="preserve"> A ZAMĚSTNANOST</w:t>
      </w:r>
      <w:bookmarkEnd w:id="6"/>
      <w:bookmarkEnd w:id="7"/>
      <w:bookmarkEnd w:id="8"/>
    </w:p>
    <w:p w:rsidR="002C3743" w:rsidRDefault="00BB64DB" w:rsidP="002C3743">
      <w:r>
        <w:t>Jak ukazuje Gra</w:t>
      </w:r>
      <w:r w:rsidR="005F71A6">
        <w:t xml:space="preserve">f </w:t>
      </w:r>
      <w:r w:rsidR="002F7B33">
        <w:t>10</w:t>
      </w:r>
      <w:r>
        <w:t>, vývoj příjmů z maloobchodních a vydavatelských činností koresponduje s tr</w:t>
      </w:r>
      <w:r w:rsidR="001D41F6">
        <w:t>endem platným pro celou oblast k</w:t>
      </w:r>
      <w:r>
        <w:t xml:space="preserve">nih a tisku a spočívá v dlouhodobém poklesu tržeb </w:t>
      </w:r>
      <w:r w:rsidR="005F71A6">
        <w:t>mezi lety 2007 a 2013</w:t>
      </w:r>
      <w:r>
        <w:t>.</w:t>
      </w:r>
      <w:r w:rsidR="005F71A6">
        <w:t xml:space="preserve"> V posledních letech se však propad příjmů pomalu zastavoval a mezi lety 2013 a 2014 došlo dokonce k mírnému růstu.</w:t>
      </w:r>
      <w:r>
        <w:t xml:space="preserve"> Podle </w:t>
      </w:r>
      <w:r w:rsidR="00673A17">
        <w:t xml:space="preserve">výsledků </w:t>
      </w:r>
      <w:r w:rsidR="001D41F6">
        <w:t>Podnikové strukturální statistiky</w:t>
      </w:r>
      <w:r>
        <w:t xml:space="preserve"> pak v </w:t>
      </w:r>
      <w:r w:rsidRPr="005F71A6">
        <w:t xml:space="preserve">roce </w:t>
      </w:r>
      <w:r w:rsidR="005F71A6" w:rsidRPr="005F71A6">
        <w:t>2014</w:t>
      </w:r>
      <w:r w:rsidRPr="005F71A6">
        <w:t xml:space="preserve"> zaznamenali vydavatelé</w:t>
      </w:r>
      <w:r w:rsidR="00B02802">
        <w:t xml:space="preserve"> a </w:t>
      </w:r>
      <w:r>
        <w:t>maloo</w:t>
      </w:r>
      <w:r w:rsidR="005F71A6">
        <w:t>bchodníci s knihami tržby 10,4</w:t>
      </w:r>
      <w:r>
        <w:t xml:space="preserve"> mld. Kč a na samotný maloobchod připadly příjmy ve výši 4,</w:t>
      </w:r>
      <w:r w:rsidR="005F71A6">
        <w:t>9</w:t>
      </w:r>
      <w:r>
        <w:t xml:space="preserve"> mld</w:t>
      </w:r>
      <w:r w:rsidR="00A20AC3">
        <w:t>. Kč.</w:t>
      </w:r>
      <w:r w:rsidR="00493CD1">
        <w:t xml:space="preserve"> Nutno podotknout, že se jedná </w:t>
      </w:r>
      <w:r w:rsidR="00B6348E">
        <w:t xml:space="preserve">pouze </w:t>
      </w:r>
      <w:r w:rsidR="00493CD1">
        <w:t>o tržby podniků s převažující čin</w:t>
      </w:r>
      <w:r w:rsidR="00B02802">
        <w:t>ností v oblasti vydavatelství a </w:t>
      </w:r>
      <w:r w:rsidR="00493CD1">
        <w:t>maloobchodu a že část knih může být distribuována a prodávána subjekty, které do těchto kategorií nespadají.</w:t>
      </w:r>
    </w:p>
    <w:p w:rsidR="00BB64DB" w:rsidRPr="00070E6A" w:rsidRDefault="00BB64DB" w:rsidP="002C3743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5F71A6">
        <w:rPr>
          <w:rFonts w:asciiTheme="minorHAnsi" w:hAnsiTheme="minorHAnsi"/>
          <w:b/>
          <w:color w:val="000000" w:themeColor="text1"/>
          <w:sz w:val="22"/>
          <w:szCs w:val="22"/>
        </w:rPr>
        <w:t xml:space="preserve">Graf </w:t>
      </w:r>
      <w:r w:rsidR="001A4BAA">
        <w:rPr>
          <w:rFonts w:asciiTheme="minorHAnsi" w:hAnsiTheme="minorHAnsi"/>
          <w:b/>
          <w:color w:val="000000" w:themeColor="text1"/>
          <w:sz w:val="22"/>
          <w:szCs w:val="22"/>
        </w:rPr>
        <w:t>10</w:t>
      </w:r>
      <w:r w:rsidR="002F7B33" w:rsidRPr="005F71A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B6FCF" w:rsidRPr="005F71A6">
        <w:rPr>
          <w:rFonts w:asciiTheme="minorHAnsi" w:hAnsiTheme="minorHAnsi"/>
          <w:color w:val="000000" w:themeColor="text1"/>
          <w:sz w:val="22"/>
          <w:szCs w:val="22"/>
        </w:rPr>
        <w:t>Příjmy</w:t>
      </w:r>
      <w:r w:rsidRPr="005F71A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30C8" w:rsidRPr="005F71A6">
        <w:rPr>
          <w:rFonts w:asciiTheme="minorHAnsi" w:hAnsiTheme="minorHAnsi"/>
          <w:color w:val="000000" w:themeColor="text1"/>
          <w:sz w:val="22"/>
          <w:szCs w:val="22"/>
        </w:rPr>
        <w:t xml:space="preserve">subjektů </w:t>
      </w:r>
      <w:r w:rsidR="00171D41">
        <w:rPr>
          <w:rFonts w:asciiTheme="minorHAnsi" w:hAnsiTheme="minorHAnsi"/>
          <w:color w:val="000000" w:themeColor="text1"/>
          <w:sz w:val="22"/>
          <w:szCs w:val="22"/>
        </w:rPr>
        <w:t xml:space="preserve">s převažující ekonomickou činností </w:t>
      </w:r>
      <w:r w:rsidRPr="005F71A6">
        <w:rPr>
          <w:rFonts w:asciiTheme="minorHAnsi" w:hAnsiTheme="minorHAnsi"/>
          <w:color w:val="000000" w:themeColor="text1"/>
          <w:sz w:val="22"/>
          <w:szCs w:val="22"/>
        </w:rPr>
        <w:t>v oblasti knih</w:t>
      </w:r>
      <w:r w:rsidR="002C3743" w:rsidRPr="005F71A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70E6A" w:rsidRPr="005F71A6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1D41F6" w:rsidRPr="005F71A6">
        <w:rPr>
          <w:rFonts w:asciiTheme="minorHAnsi" w:hAnsiTheme="minorHAnsi"/>
          <w:color w:val="000000" w:themeColor="text1"/>
          <w:sz w:val="22"/>
          <w:szCs w:val="22"/>
        </w:rPr>
        <w:t>v mld. Kč</w:t>
      </w:r>
      <w:r w:rsidR="00070E6A" w:rsidRPr="005F71A6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BB64DB" w:rsidRDefault="003D241B" w:rsidP="00BB64DB">
      <w:pPr>
        <w:keepNext/>
      </w:pPr>
      <w:r w:rsidRPr="003D241B">
        <w:rPr>
          <w:noProof/>
        </w:rPr>
        <w:drawing>
          <wp:inline distT="0" distB="0" distL="0" distR="0">
            <wp:extent cx="6210300" cy="2286000"/>
            <wp:effectExtent l="0" t="0" r="0" b="0"/>
            <wp:docPr id="1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64DB" w:rsidRPr="00070E6A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070E6A">
        <w:rPr>
          <w:b w:val="0"/>
          <w:color w:val="000000" w:themeColor="text1"/>
          <w:sz w:val="22"/>
          <w:szCs w:val="22"/>
        </w:rPr>
        <w:t xml:space="preserve">Zdroj: </w:t>
      </w:r>
      <w:r w:rsidR="00BD2F1E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070E6A">
        <w:rPr>
          <w:b w:val="0"/>
          <w:color w:val="000000" w:themeColor="text1"/>
          <w:sz w:val="22"/>
          <w:szCs w:val="22"/>
        </w:rPr>
        <w:t>ČSÚ</w:t>
      </w:r>
    </w:p>
    <w:p w:rsidR="00BB64DB" w:rsidRPr="001C76FC" w:rsidRDefault="00BB64DB" w:rsidP="00BB64DB">
      <w:r>
        <w:t>Přehled o vývoji zaměstnanosti v oblasti knižn</w:t>
      </w:r>
      <w:r w:rsidR="00493CD1">
        <w:t xml:space="preserve">ího vydavatelství </w:t>
      </w:r>
      <w:r w:rsidR="00F100E0">
        <w:t xml:space="preserve">a maloobchodu </w:t>
      </w:r>
      <w:r w:rsidR="000E44A0">
        <w:t xml:space="preserve">nabízí Graf </w:t>
      </w:r>
      <w:r w:rsidR="002F7B33">
        <w:t>11</w:t>
      </w:r>
      <w:r>
        <w:t xml:space="preserve">. </w:t>
      </w:r>
      <w:r w:rsidR="00F100E0">
        <w:t>Znatelnější</w:t>
      </w:r>
      <w:r w:rsidR="00313494">
        <w:t> </w:t>
      </w:r>
      <w:r w:rsidR="00F100E0">
        <w:t>p</w:t>
      </w:r>
      <w:r>
        <w:t xml:space="preserve">okles </w:t>
      </w:r>
      <w:r w:rsidR="004B288C">
        <w:t>počtu zaměstnanců</w:t>
      </w:r>
      <w:r>
        <w:t xml:space="preserve"> v</w:t>
      </w:r>
      <w:r w:rsidR="00F100E0">
        <w:t> této oblasti</w:t>
      </w:r>
      <w:r>
        <w:t xml:space="preserve"> proběhl </w:t>
      </w:r>
      <w:r w:rsidR="00641AB6">
        <w:t>mezi lety 2007</w:t>
      </w:r>
      <w:r>
        <w:t xml:space="preserve"> a 2008. </w:t>
      </w:r>
      <w:r w:rsidR="00F100E0">
        <w:t xml:space="preserve">Od roku 2009 </w:t>
      </w:r>
      <w:r w:rsidR="004B288C">
        <w:t>počet zaměstnanců</w:t>
      </w:r>
      <w:r>
        <w:t xml:space="preserve"> klesá spíše pozvolným tempem</w:t>
      </w:r>
      <w:r w:rsidR="00D862E2">
        <w:t xml:space="preserve"> a mezi lety 2011 a 2012 došlo dokonce k mírnému nárůstu. </w:t>
      </w:r>
      <w:r w:rsidR="00641AB6">
        <w:t>V roce 2014</w:t>
      </w:r>
      <w:r>
        <w:t xml:space="preserve"> pak dosahovala zaměstnanost</w:t>
      </w:r>
      <w:r w:rsidR="004B288C">
        <w:t xml:space="preserve"> v oblasti knižního vydavatelství a maloobchodu, vyjádřená přepočteným počtem zaměstnanců na plný úvazek</w:t>
      </w:r>
      <w:r>
        <w:t xml:space="preserve"> v oblasti knižního vydavatelství</w:t>
      </w:r>
      <w:r w:rsidR="00F100E0">
        <w:t xml:space="preserve"> a maloobchodu</w:t>
      </w:r>
      <w:r w:rsidR="004B288C">
        <w:t>,</w:t>
      </w:r>
      <w:r>
        <w:t xml:space="preserve"> výše</w:t>
      </w:r>
      <w:r w:rsidR="00313494">
        <w:t> </w:t>
      </w:r>
      <w:r w:rsidR="00641AB6">
        <w:t>3,4</w:t>
      </w:r>
      <w:r w:rsidR="00313494">
        <w:t> </w:t>
      </w:r>
      <w:r w:rsidR="00F100E0">
        <w:t>tis.</w:t>
      </w:r>
      <w:r>
        <w:t xml:space="preserve"> </w:t>
      </w:r>
      <w:r w:rsidR="004B288C">
        <w:t>zaměstnanců.</w:t>
      </w:r>
    </w:p>
    <w:p w:rsidR="00BB64DB" w:rsidRPr="00BF33BA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641AB6">
        <w:rPr>
          <w:color w:val="000000" w:themeColor="text1"/>
          <w:sz w:val="22"/>
          <w:szCs w:val="22"/>
        </w:rPr>
        <w:lastRenderedPageBreak/>
        <w:t xml:space="preserve">Graf </w:t>
      </w:r>
      <w:r w:rsidR="001A4BAA">
        <w:rPr>
          <w:color w:val="000000" w:themeColor="text1"/>
          <w:sz w:val="22"/>
          <w:szCs w:val="22"/>
        </w:rPr>
        <w:t>11</w:t>
      </w:r>
      <w:r w:rsidR="002F7B33" w:rsidRPr="00641AB6">
        <w:rPr>
          <w:color w:val="000000" w:themeColor="text1"/>
        </w:rPr>
        <w:t xml:space="preserve"> </w:t>
      </w:r>
      <w:r w:rsidR="002B6FCF" w:rsidRPr="00641AB6">
        <w:rPr>
          <w:b w:val="0"/>
          <w:color w:val="000000" w:themeColor="text1"/>
          <w:sz w:val="22"/>
          <w:szCs w:val="22"/>
        </w:rPr>
        <w:t>Počet</w:t>
      </w:r>
      <w:r w:rsidR="00BF33BA" w:rsidRPr="00641AB6">
        <w:rPr>
          <w:b w:val="0"/>
          <w:color w:val="000000" w:themeColor="text1"/>
          <w:sz w:val="22"/>
          <w:szCs w:val="22"/>
        </w:rPr>
        <w:t xml:space="preserve"> zaměstnanců v oblasti knižního vydavatelství </w:t>
      </w:r>
      <w:r w:rsidR="00F100E0" w:rsidRPr="00641AB6">
        <w:rPr>
          <w:b w:val="0"/>
          <w:color w:val="000000" w:themeColor="text1"/>
          <w:sz w:val="22"/>
          <w:szCs w:val="22"/>
        </w:rPr>
        <w:t xml:space="preserve">a maloobchodu </w:t>
      </w:r>
      <w:r w:rsidR="00BF33BA" w:rsidRPr="00641AB6">
        <w:rPr>
          <w:b w:val="0"/>
          <w:color w:val="000000" w:themeColor="text1"/>
          <w:sz w:val="22"/>
          <w:szCs w:val="22"/>
        </w:rPr>
        <w:t xml:space="preserve">(v tis. osob, přepočteno na </w:t>
      </w:r>
      <w:r w:rsidR="0044303F" w:rsidRPr="00641AB6">
        <w:rPr>
          <w:b w:val="0"/>
          <w:color w:val="000000" w:themeColor="text1"/>
          <w:sz w:val="22"/>
          <w:szCs w:val="22"/>
        </w:rPr>
        <w:t>plné prac.</w:t>
      </w:r>
      <w:r w:rsidR="00405FEB" w:rsidRPr="00641AB6">
        <w:rPr>
          <w:b w:val="0"/>
          <w:color w:val="000000" w:themeColor="text1"/>
          <w:sz w:val="22"/>
          <w:szCs w:val="22"/>
        </w:rPr>
        <w:t xml:space="preserve"> úvazky</w:t>
      </w:r>
      <w:r w:rsidR="00BF33BA" w:rsidRPr="00641AB6">
        <w:rPr>
          <w:b w:val="0"/>
          <w:color w:val="000000" w:themeColor="text1"/>
          <w:sz w:val="22"/>
          <w:szCs w:val="22"/>
        </w:rPr>
        <w:t>)</w:t>
      </w:r>
    </w:p>
    <w:p w:rsidR="00BB64DB" w:rsidRDefault="00953DFC" w:rsidP="00BB64DB">
      <w:pPr>
        <w:keepNext/>
      </w:pPr>
      <w:r w:rsidRPr="00953DFC">
        <w:rPr>
          <w:noProof/>
        </w:rPr>
        <w:drawing>
          <wp:inline distT="0" distB="0" distL="0" distR="0">
            <wp:extent cx="6105525" cy="2105025"/>
            <wp:effectExtent l="0" t="0" r="0" b="0"/>
            <wp:docPr id="111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64DB" w:rsidRPr="00BF33BA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BF33BA">
        <w:rPr>
          <w:b w:val="0"/>
          <w:color w:val="000000" w:themeColor="text1"/>
          <w:sz w:val="22"/>
          <w:szCs w:val="22"/>
        </w:rPr>
        <w:t xml:space="preserve">Zdroj: </w:t>
      </w:r>
      <w:r w:rsidR="00BD2F1E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BF33BA">
        <w:rPr>
          <w:b w:val="0"/>
          <w:color w:val="000000" w:themeColor="text1"/>
          <w:sz w:val="22"/>
          <w:szCs w:val="22"/>
        </w:rPr>
        <w:t>ČSÚ</w:t>
      </w:r>
    </w:p>
    <w:p w:rsidR="00BB64DB" w:rsidRDefault="00405FEB" w:rsidP="00BB64DB">
      <w:r>
        <w:t>Ú</w:t>
      </w:r>
      <w:r w:rsidR="00BB64DB">
        <w:t xml:space="preserve">daje o struktuře vydaných publikací </w:t>
      </w:r>
      <w:r>
        <w:t xml:space="preserve">je možné </w:t>
      </w:r>
      <w:r w:rsidR="00BB64DB">
        <w:t>analyzovat s velkou přesností. Počet vydaných knižních titulů je v rámci poměrně malého českého trhu vysoký a již něko</w:t>
      </w:r>
      <w:r w:rsidR="00070E6A">
        <w:t>lik let se pohyb</w:t>
      </w:r>
      <w:r w:rsidR="008E49E1">
        <w:t>uje mezi 17 – 19 tisíci vydanými tituly</w:t>
      </w:r>
      <w:r w:rsidR="00BB64DB">
        <w:t xml:space="preserve"> za rok</w:t>
      </w:r>
      <w:r w:rsidR="00D73DDD">
        <w:t xml:space="preserve">, jak je patrné z Grafu </w:t>
      </w:r>
      <w:r w:rsidR="002F7B33">
        <w:t>12</w:t>
      </w:r>
      <w:r w:rsidR="00BB64DB">
        <w:t>. Na tisíc o</w:t>
      </w:r>
      <w:r>
        <w:t>byvatel tak připadá více než 1,5</w:t>
      </w:r>
      <w:r w:rsidR="00BB64DB">
        <w:t xml:space="preserve"> titulu</w:t>
      </w:r>
      <w:r w:rsidR="00A7537C">
        <w:t>,</w:t>
      </w:r>
      <w:r w:rsidR="00BB64DB">
        <w:t xml:space="preserve"> čímž se v mezinárodním srovnání Česká republika řadí mezi země s nejvyšším počtem vydaných knižních titulů </w:t>
      </w:r>
      <w:r w:rsidR="00B02802">
        <w:t>v </w:t>
      </w:r>
      <w:r>
        <w:t>přepočtu</w:t>
      </w:r>
      <w:r w:rsidR="00BB64DB">
        <w:t xml:space="preserve"> na obyvatele.</w:t>
      </w:r>
      <w:r>
        <w:t xml:space="preserve"> </w:t>
      </w:r>
      <w:r w:rsidRPr="00535139">
        <w:rPr>
          <w:rFonts w:cs="Arial"/>
          <w:szCs w:val="20"/>
        </w:rPr>
        <w:t>V roce 2012 u nás vyšlo 1509 titulů na milion obyvatel</w:t>
      </w:r>
      <w:r w:rsidR="00D73DDD">
        <w:rPr>
          <w:rFonts w:cs="Arial"/>
          <w:szCs w:val="20"/>
        </w:rPr>
        <w:t xml:space="preserve"> a</w:t>
      </w:r>
      <w:r w:rsidRPr="00535139">
        <w:rPr>
          <w:rFonts w:cs="Arial"/>
          <w:szCs w:val="20"/>
        </w:rPr>
        <w:t xml:space="preserve"> podle dat asociace IPA </w:t>
      </w:r>
      <w:r w:rsidR="00D73DDD">
        <w:rPr>
          <w:rFonts w:cs="Arial"/>
          <w:szCs w:val="20"/>
        </w:rPr>
        <w:t xml:space="preserve">se tak </w:t>
      </w:r>
      <w:r w:rsidRPr="00535139">
        <w:rPr>
          <w:rFonts w:cs="Arial"/>
          <w:szCs w:val="20"/>
        </w:rPr>
        <w:t>Česká republika zařadila před země jako je Německo (1156 titulů) či Francie (1</w:t>
      </w:r>
      <w:r>
        <w:rPr>
          <w:rFonts w:cs="Arial"/>
          <w:szCs w:val="20"/>
        </w:rPr>
        <w:t xml:space="preserve">008 titulů). </w:t>
      </w:r>
      <w:r w:rsidR="00BB64DB">
        <w:t>Rozšiřující údaje lze získat z dat ze statistických výkazů o vydavateli, které každoročně přímo od vydavatelů sbírá NIPOS. Tato data reflektují mimo jiné tak</w:t>
      </w:r>
      <w:r w:rsidR="00070E6A">
        <w:t>é vydávání elektronických knih</w:t>
      </w:r>
      <w:r w:rsidR="00BB64DB">
        <w:t>.</w:t>
      </w:r>
      <w:r w:rsidR="00F35286">
        <w:t xml:space="preserve"> V roce 2014</w:t>
      </w:r>
      <w:r w:rsidR="00070E6A">
        <w:t xml:space="preserve"> bylo</w:t>
      </w:r>
      <w:r w:rsidR="00D862E2">
        <w:t xml:space="preserve"> v ČR</w:t>
      </w:r>
      <w:r w:rsidR="00070E6A">
        <w:t xml:space="preserve"> vydáno okolo 4 tis. elektronických titulů.</w:t>
      </w:r>
    </w:p>
    <w:p w:rsidR="00BB64DB" w:rsidRPr="00BF33BA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6A7884">
        <w:rPr>
          <w:color w:val="000000" w:themeColor="text1"/>
          <w:sz w:val="22"/>
          <w:szCs w:val="22"/>
        </w:rPr>
        <w:t xml:space="preserve">Graf </w:t>
      </w:r>
      <w:r w:rsidR="001A4BAA">
        <w:rPr>
          <w:color w:val="000000" w:themeColor="text1"/>
          <w:sz w:val="22"/>
          <w:szCs w:val="22"/>
        </w:rPr>
        <w:t>12</w:t>
      </w:r>
      <w:r w:rsidR="002F7B33" w:rsidRPr="006A7884">
        <w:rPr>
          <w:color w:val="000000" w:themeColor="text1"/>
          <w:sz w:val="22"/>
          <w:szCs w:val="22"/>
        </w:rPr>
        <w:t xml:space="preserve"> </w:t>
      </w:r>
      <w:r w:rsidR="002B6FCF" w:rsidRPr="006A7884">
        <w:rPr>
          <w:b w:val="0"/>
          <w:color w:val="000000" w:themeColor="text1"/>
          <w:sz w:val="22"/>
          <w:szCs w:val="22"/>
        </w:rPr>
        <w:t>Počet</w:t>
      </w:r>
      <w:r w:rsidRPr="00BF33BA">
        <w:rPr>
          <w:b w:val="0"/>
          <w:color w:val="000000" w:themeColor="text1"/>
          <w:sz w:val="22"/>
          <w:szCs w:val="22"/>
        </w:rPr>
        <w:t xml:space="preserve"> vydaných tištěných knižních titulů v České republice </w:t>
      </w:r>
      <w:r w:rsidR="00070E6A" w:rsidRPr="00BF33BA">
        <w:rPr>
          <w:b w:val="0"/>
          <w:color w:val="000000" w:themeColor="text1"/>
          <w:sz w:val="22"/>
          <w:szCs w:val="22"/>
        </w:rPr>
        <w:t>(v tis. titulů)</w:t>
      </w:r>
    </w:p>
    <w:p w:rsidR="00BB64DB" w:rsidRDefault="00D862E2" w:rsidP="00BB64DB">
      <w:pPr>
        <w:keepNext/>
      </w:pPr>
      <w:r w:rsidRPr="00D862E2">
        <w:rPr>
          <w:noProof/>
        </w:rPr>
        <w:drawing>
          <wp:inline distT="0" distB="0" distL="0" distR="0">
            <wp:extent cx="6105525" cy="2162175"/>
            <wp:effectExtent l="0" t="0" r="0" b="0"/>
            <wp:docPr id="1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64DB" w:rsidRPr="00BF33BA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BF33BA">
        <w:rPr>
          <w:b w:val="0"/>
          <w:color w:val="000000" w:themeColor="text1"/>
          <w:sz w:val="22"/>
          <w:szCs w:val="22"/>
        </w:rPr>
        <w:t>Zdroj: NIPOS</w:t>
      </w:r>
    </w:p>
    <w:p w:rsidR="00BB64DB" w:rsidRPr="00E23A58" w:rsidRDefault="00BB64DB" w:rsidP="00694914">
      <w:pPr>
        <w:pStyle w:val="Nadpis3"/>
        <w:numPr>
          <w:ilvl w:val="2"/>
          <w:numId w:val="17"/>
        </w:numPr>
      </w:pPr>
      <w:bookmarkStart w:id="9" w:name="_Toc430189796"/>
      <w:bookmarkStart w:id="10" w:name="_Toc431475024"/>
      <w:bookmarkStart w:id="11" w:name="_Toc463969179"/>
      <w:r w:rsidRPr="00E23A58">
        <w:t>POHLED SPOTŘEBITELE</w:t>
      </w:r>
      <w:bookmarkEnd w:id="9"/>
      <w:bookmarkEnd w:id="10"/>
      <w:bookmarkEnd w:id="11"/>
    </w:p>
    <w:p w:rsidR="00BB64DB" w:rsidRDefault="00BB64DB" w:rsidP="00BB64DB">
      <w:r>
        <w:t xml:space="preserve">Šetření </w:t>
      </w:r>
      <w:r w:rsidRPr="00F100E0">
        <w:t>Využívání informačních a komunikačních technologií v domácnostech a mezi jednotlivci</w:t>
      </w:r>
      <w:r>
        <w:t xml:space="preserve"> (VŠIT), které</w:t>
      </w:r>
      <w:r w:rsidR="00313494">
        <w:t> </w:t>
      </w:r>
      <w:r>
        <w:t xml:space="preserve">je pro tuto analýzu použito jako výchozí k zachycení měnících se návyků spotřebitelů v souvislosti s rozvojem internetu, nezahrnuje četbu knih mezi zkoumané aktivity. To může odpovídat samotné povaze četby elektronických knih, které bývají sice přes internet zakoupeny a staženy, jejich samotná četba však již </w:t>
      </w:r>
      <w:r>
        <w:lastRenderedPageBreak/>
        <w:t xml:space="preserve">probíhá offline pomocí čtecích zařízení či počítače. V rámci doplňujících zdrojů zkoumá současné návyky čtenářů knih studie </w:t>
      </w:r>
      <w:r w:rsidRPr="008E49E1">
        <w:t>Čtenáři a čtení v ČR</w:t>
      </w:r>
      <w:r>
        <w:rPr>
          <w:i/>
        </w:rPr>
        <w:t>,</w:t>
      </w:r>
      <w:r>
        <w:t xml:space="preserve"> n</w:t>
      </w:r>
      <w:r w:rsidR="008E49E1">
        <w:t>a jejímž vypracování se podílely</w:t>
      </w:r>
      <w:r>
        <w:t xml:space="preserve"> Akademie věd ČR, Ústav pro českou literaturu a Národní knihovna.</w:t>
      </w:r>
      <w:r w:rsidR="009E34B8">
        <w:t xml:space="preserve"> Tato studie zkoumá jednak celou populaci obyvatel ČR starších 15 let a dále pak jedince, kteří v daném roce nakoupili knihu.</w:t>
      </w:r>
      <w:r>
        <w:t xml:space="preserve"> Další informace o čtenářs</w:t>
      </w:r>
      <w:r w:rsidR="00F100E0">
        <w:t>kých návycích lze získat</w:t>
      </w:r>
      <w:r w:rsidR="00405FEB">
        <w:t> </w:t>
      </w:r>
      <w:r w:rsidR="00F100E0">
        <w:t>ze</w:t>
      </w:r>
      <w:r w:rsidR="00405FEB">
        <w:t> </w:t>
      </w:r>
      <w:r w:rsidRPr="008E49E1">
        <w:t>Zprávy</w:t>
      </w:r>
      <w:r w:rsidR="00405FEB">
        <w:t> </w:t>
      </w:r>
      <w:r w:rsidRPr="008E49E1">
        <w:t>o</w:t>
      </w:r>
      <w:r w:rsidR="00405FEB">
        <w:t> </w:t>
      </w:r>
      <w:r w:rsidRPr="008E49E1">
        <w:t>českém knižním trhu</w:t>
      </w:r>
      <w:r w:rsidR="00F100E0">
        <w:rPr>
          <w:i/>
        </w:rPr>
        <w:t xml:space="preserve">, </w:t>
      </w:r>
      <w:r w:rsidR="00F100E0">
        <w:t xml:space="preserve">kterou každoročně vydává </w:t>
      </w:r>
      <w:r w:rsidR="0014040A" w:rsidRPr="0014040A">
        <w:t xml:space="preserve">Svaz českých knihkupců a nakladatelů </w:t>
      </w:r>
      <w:r w:rsidR="0014040A">
        <w:t>(</w:t>
      </w:r>
      <w:r w:rsidR="00F100E0">
        <w:t>SČKN</w:t>
      </w:r>
      <w:r w:rsidR="0014040A">
        <w:t>)</w:t>
      </w:r>
      <w:r>
        <w:t>.</w:t>
      </w:r>
    </w:p>
    <w:p w:rsidR="000C3D1A" w:rsidRDefault="00BB64DB" w:rsidP="00BB64DB">
      <w:pPr>
        <w:ind w:firstLine="708"/>
      </w:pPr>
      <w:r w:rsidRPr="00A35492">
        <w:t>V souvislosti s nákupem a četbou knih je internet mezi českými spotřebiteli využíván více pro nákup knih přes internet než pro n</w:t>
      </w:r>
      <w:r w:rsidR="0014040A" w:rsidRPr="00A35492">
        <w:t>ákup</w:t>
      </w:r>
      <w:r w:rsidRPr="00A35492">
        <w:t xml:space="preserve"> elektronických knih. Zatímco tržby internetového prodeje knih se podle odhadu SČKN podílely </w:t>
      </w:r>
      <w:r w:rsidR="000C3D1A">
        <w:t xml:space="preserve">v roce 2014 </w:t>
      </w:r>
      <w:r w:rsidRPr="00A35492">
        <w:t xml:space="preserve">na celkových tržbách z prodeje </w:t>
      </w:r>
      <w:r w:rsidR="00D16B95">
        <w:t>zhruba 23</w:t>
      </w:r>
      <w:r w:rsidRPr="00A35492">
        <w:t xml:space="preserve"> %, podíl tržeb z prodeje e-</w:t>
      </w:r>
      <w:r w:rsidR="000C3D1A">
        <w:t>knih</w:t>
      </w:r>
      <w:r w:rsidRPr="00A35492">
        <w:t xml:space="preserve"> tvořil odhadem 1,7 % z celkov</w:t>
      </w:r>
      <w:r w:rsidR="00D16B95">
        <w:t>ého prodeje.</w:t>
      </w:r>
      <w:r w:rsidR="000C3D1A">
        <w:t xml:space="preserve"> Pro srovnání, v Evropě je prodej e-knih nejrozšířenější ve Velké Británii, kde tvořil 25 </w:t>
      </w:r>
      <w:r w:rsidR="000C3D1A">
        <w:rPr>
          <w:lang w:val="en-US"/>
        </w:rPr>
        <w:t>% pod</w:t>
      </w:r>
      <w:r w:rsidR="000C3D1A">
        <w:t>íl na trhu a dále pak v Německu, kde byl podíl</w:t>
      </w:r>
      <w:r w:rsidR="00141268">
        <w:t xml:space="preserve"> tržeb z</w:t>
      </w:r>
      <w:r w:rsidR="000C3D1A">
        <w:t xml:space="preserve"> prodeje e-knih na trhu desetiprocentní.</w:t>
      </w:r>
    </w:p>
    <w:p w:rsidR="00BB64DB" w:rsidRPr="00BD2F1E" w:rsidRDefault="00D16B95" w:rsidP="00BB64DB">
      <w:pPr>
        <w:ind w:firstLine="708"/>
      </w:pPr>
      <w:r>
        <w:t xml:space="preserve">Jak ukazuje Graf </w:t>
      </w:r>
      <w:r w:rsidR="002F7B33">
        <w:t>13</w:t>
      </w:r>
      <w:r w:rsidR="00BB64DB" w:rsidRPr="00A35492">
        <w:t>,</w:t>
      </w:r>
      <w:r w:rsidR="00513E5E">
        <w:t xml:space="preserve"> v ČR</w:t>
      </w:r>
      <w:r w:rsidR="00BB64DB" w:rsidRPr="00A35492">
        <w:t xml:space="preserve"> </w:t>
      </w:r>
      <w:r w:rsidR="00A35492" w:rsidRPr="00A35492">
        <w:t xml:space="preserve">internet použilo </w:t>
      </w:r>
      <w:r w:rsidR="004B13C0">
        <w:t xml:space="preserve">v roce 2013 </w:t>
      </w:r>
      <w:r w:rsidR="00A35492" w:rsidRPr="00A35492">
        <w:t xml:space="preserve">k nákupu knihy 25 </w:t>
      </w:r>
      <w:r w:rsidR="002C3AEA">
        <w:rPr>
          <w:lang w:val="en-US"/>
        </w:rPr>
        <w:t>%</w:t>
      </w:r>
      <w:r w:rsidR="00A35492" w:rsidRPr="00A35492">
        <w:t xml:space="preserve"> </w:t>
      </w:r>
      <w:r w:rsidR="009E34B8">
        <w:t>jedinců</w:t>
      </w:r>
      <w:r w:rsidR="00A35492" w:rsidRPr="00A35492">
        <w:t xml:space="preserve"> starš</w:t>
      </w:r>
      <w:r w:rsidR="00A35492">
        <w:t>ích 15 let</w:t>
      </w:r>
      <w:r w:rsidR="009E34B8">
        <w:t>, kteří v tomto roce zakoupili knihu</w:t>
      </w:r>
      <w:r w:rsidR="00A35492">
        <w:t xml:space="preserve">. Nákup knih v kamenném obchodě je </w:t>
      </w:r>
      <w:r w:rsidR="009E34B8">
        <w:t>však</w:t>
      </w:r>
      <w:r w:rsidR="00A35492">
        <w:t xml:space="preserve"> stále nejčastějším způsobem nabýván</w:t>
      </w:r>
      <w:r w:rsidR="002C3AEA">
        <w:t xml:space="preserve">í knih a v roce 2013 pořídilo knihu v tradičním knihkupectví 87 </w:t>
      </w:r>
      <w:r w:rsidR="002C3AEA">
        <w:rPr>
          <w:lang w:val="en-US"/>
        </w:rPr>
        <w:t>% v</w:t>
      </w:r>
      <w:r w:rsidR="002C3AEA">
        <w:t>šech nakupujících.</w:t>
      </w:r>
      <w:r w:rsidR="00405FEB">
        <w:t xml:space="preserve"> </w:t>
      </w:r>
      <w:r w:rsidR="00BD2F1E">
        <w:t xml:space="preserve">Z celkové české populace pak knihu v roce 2013 zakoupilo 48 </w:t>
      </w:r>
      <w:r w:rsidR="00BD2F1E">
        <w:rPr>
          <w:lang w:val="en-US"/>
        </w:rPr>
        <w:t xml:space="preserve">% </w:t>
      </w:r>
      <w:r w:rsidR="00BD2F1E" w:rsidRPr="00BD2F1E">
        <w:t>jedinců starších</w:t>
      </w:r>
      <w:r w:rsidR="00BD2F1E">
        <w:t xml:space="preserve"> 15 let</w:t>
      </w:r>
      <w:r w:rsidR="000E44A0">
        <w:t xml:space="preserve"> (Trávníček, 2013)</w:t>
      </w:r>
      <w:r w:rsidR="00BD2F1E">
        <w:t>.</w:t>
      </w:r>
    </w:p>
    <w:p w:rsidR="00BB64DB" w:rsidRPr="00A35492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0C3D1A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13</w:t>
      </w:r>
      <w:r w:rsidR="002F7B33" w:rsidRPr="000C3D1A">
        <w:rPr>
          <w:color w:val="auto"/>
          <w:sz w:val="22"/>
          <w:szCs w:val="22"/>
        </w:rPr>
        <w:t xml:space="preserve"> </w:t>
      </w:r>
      <w:r w:rsidR="009E34B8" w:rsidRPr="009E34B8">
        <w:rPr>
          <w:b w:val="0"/>
          <w:color w:val="auto"/>
          <w:sz w:val="22"/>
          <w:szCs w:val="22"/>
        </w:rPr>
        <w:t>Místa</w:t>
      </w:r>
      <w:r w:rsidR="009E34B8">
        <w:rPr>
          <w:color w:val="auto"/>
          <w:sz w:val="22"/>
          <w:szCs w:val="22"/>
        </w:rPr>
        <w:t xml:space="preserve"> </w:t>
      </w:r>
      <w:r w:rsidR="009E34B8">
        <w:rPr>
          <w:b w:val="0"/>
          <w:color w:val="auto"/>
          <w:sz w:val="22"/>
          <w:szCs w:val="22"/>
        </w:rPr>
        <w:t>pořízení</w:t>
      </w:r>
      <w:r w:rsidR="00A35492" w:rsidRPr="00A35492">
        <w:rPr>
          <w:b w:val="0"/>
          <w:color w:val="auto"/>
          <w:sz w:val="22"/>
          <w:szCs w:val="22"/>
        </w:rPr>
        <w:t xml:space="preserve"> knih v roce 2013 v ČR v populaci obyvatel starších 15 let (ti</w:t>
      </w:r>
      <w:r w:rsidR="00405FEB">
        <w:rPr>
          <w:b w:val="0"/>
          <w:color w:val="auto"/>
          <w:sz w:val="22"/>
          <w:szCs w:val="22"/>
        </w:rPr>
        <w:t>,</w:t>
      </w:r>
      <w:r w:rsidR="00A35492" w:rsidRPr="00A35492">
        <w:rPr>
          <w:b w:val="0"/>
          <w:color w:val="auto"/>
          <w:sz w:val="22"/>
          <w:szCs w:val="22"/>
        </w:rPr>
        <w:t xml:space="preserve"> kteří kupují knihy)</w:t>
      </w:r>
    </w:p>
    <w:p w:rsidR="00BB64DB" w:rsidRDefault="00141FE5" w:rsidP="00BB64DB">
      <w:pPr>
        <w:keepNext/>
        <w:jc w:val="center"/>
      </w:pPr>
      <w:r w:rsidRPr="00141FE5">
        <w:rPr>
          <w:noProof/>
        </w:rPr>
        <w:drawing>
          <wp:inline distT="0" distB="0" distL="0" distR="0">
            <wp:extent cx="6153150" cy="2228850"/>
            <wp:effectExtent l="0" t="0" r="0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1FE5" w:rsidRPr="002C3AEA" w:rsidRDefault="00BB64DB" w:rsidP="00141FE5">
      <w:pPr>
        <w:pStyle w:val="Titulek"/>
        <w:rPr>
          <w:b w:val="0"/>
          <w:color w:val="auto"/>
          <w:sz w:val="22"/>
          <w:szCs w:val="22"/>
        </w:rPr>
      </w:pPr>
      <w:r w:rsidRPr="002C3AEA">
        <w:rPr>
          <w:b w:val="0"/>
          <w:color w:val="auto"/>
          <w:sz w:val="22"/>
          <w:szCs w:val="22"/>
        </w:rPr>
        <w:t xml:space="preserve">Zdroj: </w:t>
      </w:r>
      <w:r w:rsidR="001C5D40">
        <w:rPr>
          <w:b w:val="0"/>
          <w:color w:val="auto"/>
          <w:sz w:val="22"/>
          <w:szCs w:val="22"/>
        </w:rPr>
        <w:t>Čtenáři a čtení</w:t>
      </w:r>
      <w:r w:rsidR="002A0381">
        <w:rPr>
          <w:b w:val="0"/>
          <w:color w:val="auto"/>
          <w:sz w:val="22"/>
          <w:szCs w:val="22"/>
        </w:rPr>
        <w:t xml:space="preserve"> v ČR</w:t>
      </w:r>
      <w:r w:rsidR="001C5D40">
        <w:rPr>
          <w:b w:val="0"/>
          <w:color w:val="auto"/>
          <w:sz w:val="22"/>
          <w:szCs w:val="22"/>
        </w:rPr>
        <w:t xml:space="preserve">, </w:t>
      </w:r>
      <w:r w:rsidR="0014040A" w:rsidRPr="002C3AEA">
        <w:rPr>
          <w:b w:val="0"/>
          <w:color w:val="auto"/>
          <w:sz w:val="22"/>
          <w:szCs w:val="22"/>
        </w:rPr>
        <w:t>Ústav pro českou literaturu AV ČR</w:t>
      </w:r>
    </w:p>
    <w:p w:rsidR="00BB64DB" w:rsidRPr="00141FE5" w:rsidRDefault="00BB64DB" w:rsidP="00141FE5">
      <w:pPr>
        <w:pStyle w:val="Titulek"/>
        <w:spacing w:line="360" w:lineRule="auto"/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</w:pPr>
      <w:r w:rsidRPr="00141FE5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 xml:space="preserve">Samotné čtení knih pak bylo v roce 2013 dle studie Čtenáři a čtení v ČR v české populaci velmi rozšířené – 84 % populace četlo v posledním roce knihu. Ve srovnání s výsledky předchozího šetření za rok 2010 ubylo v roce 2013 úplných nečtenářů o 5 </w:t>
      </w:r>
      <w:r w:rsidR="001919CC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>procentních bodů</w:t>
      </w:r>
      <w:r w:rsidRPr="00141FE5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>. Na druhou stranu se ve stejné míře snížil počet častých čtenářů, kteří přečtou ročně 13 a více knih. Celkově se pak v roce 2013 oproti roku 2010 zvýšil počet čtenářů, kteří čtou spíče sporadicky (1 – 6 knih ročně) či pravidelně (7</w:t>
      </w:r>
      <w:r w:rsidR="00BD2F1E" w:rsidRPr="00141FE5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 xml:space="preserve"> – </w:t>
      </w:r>
      <w:r w:rsidRPr="00141FE5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>12 knih ročně).</w:t>
      </w:r>
    </w:p>
    <w:p w:rsidR="00BB64DB" w:rsidRPr="002C3AEA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0C3D1A">
        <w:rPr>
          <w:color w:val="auto"/>
          <w:sz w:val="22"/>
          <w:szCs w:val="22"/>
        </w:rPr>
        <w:lastRenderedPageBreak/>
        <w:t xml:space="preserve">Graf </w:t>
      </w:r>
      <w:r w:rsidR="001A4BAA">
        <w:rPr>
          <w:color w:val="auto"/>
          <w:sz w:val="22"/>
          <w:szCs w:val="22"/>
        </w:rPr>
        <w:t>14</w:t>
      </w:r>
      <w:r w:rsidR="002F7B33" w:rsidRPr="000C3D1A">
        <w:rPr>
          <w:color w:val="auto"/>
          <w:sz w:val="22"/>
          <w:szCs w:val="22"/>
        </w:rPr>
        <w:t xml:space="preserve"> </w:t>
      </w:r>
      <w:r w:rsidR="00BD2F1E" w:rsidRPr="000C3D1A">
        <w:rPr>
          <w:b w:val="0"/>
          <w:color w:val="auto"/>
          <w:sz w:val="22"/>
          <w:szCs w:val="22"/>
        </w:rPr>
        <w:t>Četba</w:t>
      </w:r>
      <w:r w:rsidRPr="00BD2F1E">
        <w:rPr>
          <w:b w:val="0"/>
          <w:color w:val="auto"/>
          <w:sz w:val="22"/>
          <w:szCs w:val="22"/>
        </w:rPr>
        <w:t xml:space="preserve"> knih v roce 2010 a 2013</w:t>
      </w:r>
    </w:p>
    <w:p w:rsidR="00BB64DB" w:rsidRDefault="00BB64DB" w:rsidP="00BB64DB">
      <w:pPr>
        <w:pStyle w:val="Normlnweb"/>
        <w:keepNext/>
        <w:jc w:val="center"/>
      </w:pPr>
      <w:r w:rsidRPr="00B76B4A">
        <w:rPr>
          <w:noProof/>
        </w:rPr>
        <w:drawing>
          <wp:inline distT="0" distB="0" distL="0" distR="0">
            <wp:extent cx="6153150" cy="1809750"/>
            <wp:effectExtent l="0" t="0" r="0" b="0"/>
            <wp:docPr id="13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3AEA" w:rsidRPr="002C3AEA" w:rsidRDefault="002C3AEA" w:rsidP="002C3AEA">
      <w:pPr>
        <w:pStyle w:val="Titulek"/>
        <w:rPr>
          <w:b w:val="0"/>
          <w:color w:val="auto"/>
          <w:sz w:val="22"/>
          <w:szCs w:val="22"/>
        </w:rPr>
      </w:pPr>
      <w:bookmarkStart w:id="12" w:name="_Toc430189797"/>
      <w:r w:rsidRPr="002C3AEA">
        <w:rPr>
          <w:b w:val="0"/>
          <w:color w:val="auto"/>
          <w:sz w:val="22"/>
          <w:szCs w:val="22"/>
        </w:rPr>
        <w:t xml:space="preserve">Zdroj: </w:t>
      </w:r>
      <w:r w:rsidR="001C5D40">
        <w:rPr>
          <w:b w:val="0"/>
          <w:color w:val="auto"/>
          <w:sz w:val="22"/>
          <w:szCs w:val="22"/>
        </w:rPr>
        <w:t xml:space="preserve">Čtenáři a čtení v ČR, </w:t>
      </w:r>
      <w:r w:rsidRPr="002C3AEA">
        <w:rPr>
          <w:b w:val="0"/>
          <w:color w:val="auto"/>
          <w:sz w:val="22"/>
          <w:szCs w:val="22"/>
        </w:rPr>
        <w:t>Ústav pro českou literaturu AV ČR</w:t>
      </w:r>
    </w:p>
    <w:p w:rsidR="00BB64DB" w:rsidRPr="00E23A58" w:rsidRDefault="00BB64DB" w:rsidP="00694914">
      <w:pPr>
        <w:pStyle w:val="Nadpis2"/>
        <w:numPr>
          <w:ilvl w:val="1"/>
          <w:numId w:val="17"/>
        </w:numPr>
      </w:pPr>
      <w:bookmarkStart w:id="13" w:name="_Toc463969180"/>
      <w:r w:rsidRPr="00E23A58">
        <w:t>TISK (PERIODICKÉ PUBLIKACE)</w:t>
      </w:r>
      <w:bookmarkEnd w:id="12"/>
      <w:bookmarkEnd w:id="13"/>
    </w:p>
    <w:p w:rsidR="00BB64DB" w:rsidRPr="0056493A" w:rsidRDefault="00BB64DB" w:rsidP="00BB64DB">
      <w:r w:rsidRPr="0056493A">
        <w:t>Také oblast</w:t>
      </w:r>
      <w:r>
        <w:t xml:space="preserve"> periodického tisku bude v rámci ekonomické an</w:t>
      </w:r>
      <w:r w:rsidR="009B2F33">
        <w:t xml:space="preserve">alýzy omezena pouze na zkoumání </w:t>
      </w:r>
      <w:r>
        <w:t>vydavatelů</w:t>
      </w:r>
      <w:r w:rsidR="00BD2F1E">
        <w:t> </w:t>
      </w:r>
      <w:r>
        <w:t>a</w:t>
      </w:r>
      <w:r w:rsidR="00BD2F1E">
        <w:t> </w:t>
      </w:r>
      <w:r w:rsidR="009B2F33">
        <w:t xml:space="preserve">maloobchodního prodeje. Údaje o zaměstnanosti a příjmech v oblasti </w:t>
      </w:r>
      <w:r w:rsidR="008E49E1">
        <w:t>tisku</w:t>
      </w:r>
      <w:r w:rsidR="009B2F33">
        <w:t xml:space="preserve"> </w:t>
      </w:r>
      <w:r>
        <w:t>vychází</w:t>
      </w:r>
      <w:r w:rsidR="009B2F33">
        <w:t xml:space="preserve"> </w:t>
      </w:r>
      <w:r w:rsidR="001919CC">
        <w:t>z</w:t>
      </w:r>
      <w:r w:rsidR="00BD2F1E">
        <w:t> </w:t>
      </w:r>
      <w:r w:rsidR="001919CC" w:rsidRPr="008E49E1">
        <w:t>Podnikové</w:t>
      </w:r>
      <w:r w:rsidRPr="008E49E1">
        <w:t xml:space="preserve"> strukturální statistik</w:t>
      </w:r>
      <w:r w:rsidR="001919CC" w:rsidRPr="008E49E1">
        <w:t>y</w:t>
      </w:r>
      <w:r>
        <w:t xml:space="preserve">. </w:t>
      </w:r>
      <w:r w:rsidR="001919CC">
        <w:t>P</w:t>
      </w:r>
      <w:r>
        <w:t>ro analýzu měnícího se spotřebitelského chování</w:t>
      </w:r>
      <w:r w:rsidR="001919CC">
        <w:t xml:space="preserve"> </w:t>
      </w:r>
      <w:r w:rsidR="008E49E1">
        <w:t xml:space="preserve">pak </w:t>
      </w:r>
      <w:r w:rsidR="001919CC">
        <w:t>exis</w:t>
      </w:r>
      <w:r w:rsidR="00BD2F1E">
        <w:t>tuje poměrně rozsáhlá evidence - n</w:t>
      </w:r>
      <w:r w:rsidR="001919CC">
        <w:t>ávyky spotřebitelů v oblasti periodického tisku</w:t>
      </w:r>
      <w:r>
        <w:t xml:space="preserve"> zachycuje jak šetření VŠIT, tak analýzy iniciované </w:t>
      </w:r>
      <w:r w:rsidRPr="008E49E1">
        <w:t>Unií vydavatelů.</w:t>
      </w:r>
    </w:p>
    <w:p w:rsidR="00BB64DB" w:rsidRPr="00E23A58" w:rsidRDefault="00B414F8" w:rsidP="00694914">
      <w:pPr>
        <w:pStyle w:val="Nadpis3"/>
        <w:numPr>
          <w:ilvl w:val="2"/>
          <w:numId w:val="17"/>
        </w:numPr>
      </w:pPr>
      <w:bookmarkStart w:id="14" w:name="_Toc430189798"/>
      <w:bookmarkStart w:id="15" w:name="_Toc431475026"/>
      <w:bookmarkStart w:id="16" w:name="_Toc463969181"/>
      <w:r>
        <w:t>PŘÍJMY</w:t>
      </w:r>
      <w:r w:rsidR="00BB64DB" w:rsidRPr="00E23A58">
        <w:t xml:space="preserve"> A ZAMĚSTNANOST</w:t>
      </w:r>
      <w:bookmarkEnd w:id="14"/>
      <w:bookmarkEnd w:id="15"/>
      <w:bookmarkEnd w:id="16"/>
    </w:p>
    <w:p w:rsidR="00BB64DB" w:rsidRPr="009044DA" w:rsidRDefault="004B288C" w:rsidP="00BB64DB">
      <w:r>
        <w:t>Do ekonomických činností spojených s vydáváním periodických publikací, definovaných podle</w:t>
      </w:r>
      <w:r w:rsidR="00EE7545">
        <w:t xml:space="preserve"> klasifikace NACE</w:t>
      </w:r>
      <w:r>
        <w:t>,</w:t>
      </w:r>
      <w:r w:rsidR="00EE7545">
        <w:t xml:space="preserve"> </w:t>
      </w:r>
      <w:r>
        <w:t>spadají</w:t>
      </w:r>
      <w:r w:rsidR="00EE7545">
        <w:t xml:space="preserve"> </w:t>
      </w:r>
      <w:r w:rsidR="008E49E1">
        <w:t>j</w:t>
      </w:r>
      <w:r w:rsidR="00EE7545">
        <w:t xml:space="preserve">ak </w:t>
      </w:r>
      <w:r w:rsidR="008E49E1">
        <w:t>digitální, tak tištěná</w:t>
      </w:r>
      <w:r w:rsidR="00EE7545">
        <w:t xml:space="preserve"> periodik</w:t>
      </w:r>
      <w:r w:rsidR="008E49E1">
        <w:t>a</w:t>
      </w:r>
      <w:r w:rsidR="00EE7545">
        <w:t>. V</w:t>
      </w:r>
      <w:r w:rsidR="002130C8">
        <w:t> rámci oblasti</w:t>
      </w:r>
      <w:r w:rsidR="00EE7545">
        <w:t xml:space="preserve"> maloobchodního prodeje </w:t>
      </w:r>
      <w:r>
        <w:t>však</w:t>
      </w:r>
      <w:r w:rsidR="00EE7545">
        <w:t xml:space="preserve"> </w:t>
      </w:r>
      <w:r w:rsidR="00BD2F1E">
        <w:t>není</w:t>
      </w:r>
      <w:r w:rsidR="002130C8">
        <w:t xml:space="preserve"> prodej </w:t>
      </w:r>
      <w:r w:rsidR="00EE7545">
        <w:t>digitální</w:t>
      </w:r>
      <w:r w:rsidR="002130C8">
        <w:t>ch publikací</w:t>
      </w:r>
      <w:r w:rsidR="00EE7545">
        <w:t xml:space="preserve"> </w:t>
      </w:r>
      <w:r w:rsidR="002130C8">
        <w:t xml:space="preserve">ve výčtu </w:t>
      </w:r>
      <w:r>
        <w:t xml:space="preserve">ekonomických </w:t>
      </w:r>
      <w:r w:rsidR="002130C8">
        <w:t>činností</w:t>
      </w:r>
      <w:r>
        <w:t>,</w:t>
      </w:r>
      <w:r w:rsidR="002130C8">
        <w:t xml:space="preserve"> </w:t>
      </w:r>
      <w:r>
        <w:t xml:space="preserve">podle klasifikace NACE, </w:t>
      </w:r>
      <w:r w:rsidR="00BD2F1E">
        <w:t>zahrnutý</w:t>
      </w:r>
      <w:r w:rsidR="00EE7545">
        <w:t>. Mimo oblast analýzy zůstávají také prodejci a vydavatelé</w:t>
      </w:r>
      <w:r w:rsidR="00114BE5">
        <w:t xml:space="preserve"> periodik, kt</w:t>
      </w:r>
      <w:r w:rsidR="009B2F33">
        <w:t xml:space="preserve">eří tuto aktivitu neprovozují jako hlavní ekonomickou </w:t>
      </w:r>
      <w:r w:rsidR="00114BE5">
        <w:t>činnost.</w:t>
      </w:r>
      <w:r w:rsidR="009B2F33">
        <w:t xml:space="preserve"> </w:t>
      </w:r>
      <w:r w:rsidR="00CB7C6A">
        <w:t xml:space="preserve">Graf </w:t>
      </w:r>
      <w:r w:rsidR="002F7B33">
        <w:t xml:space="preserve">15 </w:t>
      </w:r>
      <w:r w:rsidR="00BB64DB">
        <w:t xml:space="preserve">zachycuje </w:t>
      </w:r>
      <w:r w:rsidR="00114BE5">
        <w:t>celkové příjmy</w:t>
      </w:r>
      <w:r w:rsidR="009B2F33">
        <w:t xml:space="preserve"> </w:t>
      </w:r>
      <w:r w:rsidR="00BB64DB">
        <w:t>vydavatelů</w:t>
      </w:r>
      <w:r w:rsidR="009B2F33">
        <w:t xml:space="preserve"> </w:t>
      </w:r>
      <w:r w:rsidR="00BB64DB">
        <w:t>a</w:t>
      </w:r>
      <w:r w:rsidR="00BD2F1E">
        <w:t> </w:t>
      </w:r>
      <w:r w:rsidR="00BB64DB">
        <w:t>maloobchodu</w:t>
      </w:r>
      <w:r w:rsidR="00BD2F1E">
        <w:t> </w:t>
      </w:r>
      <w:r w:rsidR="00BB64DB">
        <w:t>a</w:t>
      </w:r>
      <w:r w:rsidR="00BD2F1E">
        <w:t> </w:t>
      </w:r>
      <w:r w:rsidR="00BB64DB">
        <w:t xml:space="preserve">také samostatný vývoj </w:t>
      </w:r>
      <w:r w:rsidR="00114BE5" w:rsidRPr="00CB7C6A">
        <w:t>příjmů</w:t>
      </w:r>
      <w:r w:rsidR="00BB64DB" w:rsidRPr="00CB7C6A">
        <w:t xml:space="preserve"> z maloobchodního prodeje. Zatímco </w:t>
      </w:r>
      <w:r w:rsidR="00114BE5" w:rsidRPr="00CB7C6A">
        <w:t>příjmy</w:t>
      </w:r>
      <w:r w:rsidR="00BB64DB" w:rsidRPr="00CB7C6A">
        <w:t xml:space="preserve"> vydavatelů</w:t>
      </w:r>
      <w:r w:rsidR="00CB7C6A" w:rsidRPr="00CB7C6A">
        <w:t xml:space="preserve"> novin a časopisů mezi lety 2008 a 2014</w:t>
      </w:r>
      <w:r w:rsidR="00BB64DB" w:rsidRPr="00CB7C6A">
        <w:t xml:space="preserve"> výrazně klesaly, maloobchod s periodiky zaznamenal v tomto období jen pozvolný propad</w:t>
      </w:r>
      <w:r w:rsidR="00CB7C6A" w:rsidRPr="00CB7C6A">
        <w:t xml:space="preserve"> a v roce 2014 příjmy dokonce vzrostly</w:t>
      </w:r>
      <w:r w:rsidR="00BB64DB" w:rsidRPr="00CB7C6A">
        <w:t xml:space="preserve">. Celkové </w:t>
      </w:r>
      <w:r w:rsidR="00114BE5" w:rsidRPr="00CB7C6A">
        <w:t>příjmy</w:t>
      </w:r>
      <w:r w:rsidR="00BB64DB" w:rsidRPr="00CB7C6A">
        <w:t xml:space="preserve"> vydavatelů a maloobchodníků pak d</w:t>
      </w:r>
      <w:r w:rsidR="002130C8" w:rsidRPr="00CB7C6A">
        <w:t xml:space="preserve">osáhly v roce </w:t>
      </w:r>
      <w:r w:rsidR="00CB7C6A" w:rsidRPr="00CB7C6A">
        <w:t>2014 částky 23,3</w:t>
      </w:r>
      <w:r w:rsidR="00BB64DB" w:rsidRPr="00CB7C6A">
        <w:t xml:space="preserve"> mld. Kč.</w:t>
      </w:r>
    </w:p>
    <w:p w:rsidR="00BB64DB" w:rsidRPr="002130C8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2130C8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15</w:t>
      </w:r>
      <w:r w:rsidR="002F7B33" w:rsidRPr="002130C8">
        <w:rPr>
          <w:color w:val="auto"/>
        </w:rPr>
        <w:t xml:space="preserve"> </w:t>
      </w:r>
      <w:r w:rsidR="002B6FCF">
        <w:rPr>
          <w:b w:val="0"/>
          <w:color w:val="auto"/>
          <w:sz w:val="22"/>
          <w:szCs w:val="22"/>
        </w:rPr>
        <w:t>Příjmy</w:t>
      </w:r>
      <w:r w:rsidRPr="002130C8">
        <w:rPr>
          <w:b w:val="0"/>
          <w:color w:val="auto"/>
          <w:sz w:val="22"/>
          <w:szCs w:val="22"/>
        </w:rPr>
        <w:t xml:space="preserve"> </w:t>
      </w:r>
      <w:r w:rsidR="002130C8">
        <w:rPr>
          <w:b w:val="0"/>
          <w:color w:val="auto"/>
          <w:sz w:val="22"/>
          <w:szCs w:val="22"/>
        </w:rPr>
        <w:t>subjektů</w:t>
      </w:r>
      <w:r w:rsidRPr="002130C8">
        <w:rPr>
          <w:b w:val="0"/>
          <w:color w:val="auto"/>
          <w:sz w:val="22"/>
          <w:szCs w:val="22"/>
        </w:rPr>
        <w:t xml:space="preserve"> </w:t>
      </w:r>
      <w:r w:rsidR="00171D41">
        <w:rPr>
          <w:b w:val="0"/>
          <w:color w:val="auto"/>
          <w:sz w:val="22"/>
          <w:szCs w:val="22"/>
        </w:rPr>
        <w:t xml:space="preserve">s převažující ekonomickou činností </w:t>
      </w:r>
      <w:r w:rsidRPr="002130C8">
        <w:rPr>
          <w:b w:val="0"/>
          <w:color w:val="auto"/>
          <w:sz w:val="22"/>
          <w:szCs w:val="22"/>
        </w:rPr>
        <w:t xml:space="preserve">v oblasti </w:t>
      </w:r>
      <w:r w:rsidR="00BD2F1E">
        <w:rPr>
          <w:b w:val="0"/>
          <w:color w:val="auto"/>
          <w:sz w:val="22"/>
          <w:szCs w:val="22"/>
        </w:rPr>
        <w:t xml:space="preserve">(periodického) </w:t>
      </w:r>
      <w:r w:rsidR="00114BE5" w:rsidRPr="002130C8">
        <w:rPr>
          <w:b w:val="0"/>
          <w:color w:val="auto"/>
          <w:sz w:val="22"/>
          <w:szCs w:val="22"/>
        </w:rPr>
        <w:t>tisku</w:t>
      </w:r>
      <w:r w:rsidRPr="002130C8">
        <w:rPr>
          <w:b w:val="0"/>
          <w:color w:val="auto"/>
          <w:sz w:val="22"/>
          <w:szCs w:val="22"/>
        </w:rPr>
        <w:t xml:space="preserve"> </w:t>
      </w:r>
      <w:r w:rsidR="002130C8">
        <w:rPr>
          <w:b w:val="0"/>
          <w:color w:val="auto"/>
          <w:sz w:val="22"/>
          <w:szCs w:val="22"/>
        </w:rPr>
        <w:t>(v mld. Kč)</w:t>
      </w:r>
    </w:p>
    <w:p w:rsidR="00BB64DB" w:rsidRDefault="008112B6" w:rsidP="00BB64DB">
      <w:pPr>
        <w:rPr>
          <w:b/>
          <w:color w:val="C00000"/>
          <w:sz w:val="28"/>
          <w:szCs w:val="28"/>
        </w:rPr>
      </w:pPr>
      <w:r w:rsidRPr="008112B6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6153150" cy="1866900"/>
            <wp:effectExtent l="0" t="0" r="0" b="0"/>
            <wp:docPr id="105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30C8" w:rsidRPr="00BF33BA" w:rsidRDefault="002130C8" w:rsidP="002130C8">
      <w:pPr>
        <w:pStyle w:val="Titulek"/>
        <w:rPr>
          <w:b w:val="0"/>
          <w:color w:val="000000" w:themeColor="text1"/>
          <w:sz w:val="22"/>
          <w:szCs w:val="22"/>
        </w:rPr>
      </w:pPr>
      <w:r w:rsidRPr="00BF33BA">
        <w:rPr>
          <w:b w:val="0"/>
          <w:color w:val="000000" w:themeColor="text1"/>
          <w:sz w:val="22"/>
          <w:szCs w:val="22"/>
        </w:rPr>
        <w:t xml:space="preserve">Zdroj: </w:t>
      </w:r>
      <w:r w:rsidR="00BD2F1E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BF33BA">
        <w:rPr>
          <w:b w:val="0"/>
          <w:color w:val="000000" w:themeColor="text1"/>
          <w:sz w:val="22"/>
          <w:szCs w:val="22"/>
        </w:rPr>
        <w:t>ČSÚ</w:t>
      </w:r>
    </w:p>
    <w:p w:rsidR="00BD2F1E" w:rsidRDefault="00BB64DB" w:rsidP="00BD2F1E">
      <w:r>
        <w:lastRenderedPageBreak/>
        <w:t xml:space="preserve">Objem trhu z hlediska počtu vydaných tištěných publikací lze stejně jako u knižního trhu analyzovat vyčerpávajícím způsobem vzhledem k povinnosti vydavatelů zasílat tzv. povinné výtisky Národní knihovně České republiky a </w:t>
      </w:r>
      <w:r w:rsidR="00BD2F1E">
        <w:t>dalším</w:t>
      </w:r>
      <w:r>
        <w:t xml:space="preserve"> institucím. Zákon č. 46/2000 Sb., který určuje povinnost vydavatelů zasílat povinné výtisky, se však nevztahuje na elektronické publikace. Určitou evidenci elektronických publikací lze získat z databáze Národní technické knihovny, která v České republice zodpovídá za přidělování číselných kódů ISSN. Tato databáze, která v době psaní textu obsahuje přes dva tisíce záznamů, však vedle elektronických časopisů a zpravodajských webů zahrnuje také periodika, jež nespadají do vymezení podle Tiskového zákona (např. ročenky, databáze apod.) a </w:t>
      </w:r>
      <w:r w:rsidR="00BD2F1E">
        <w:t xml:space="preserve">čísla </w:t>
      </w:r>
      <w:r>
        <w:t>ISSN jsou navíc přidělovaná na základě dobrovolné žádosti.</w:t>
      </w:r>
    </w:p>
    <w:p w:rsidR="00BB64DB" w:rsidRDefault="00BD2F1E" w:rsidP="00BD2F1E">
      <w:r>
        <w:tab/>
      </w:r>
      <w:r w:rsidR="00CB7C6A">
        <w:t xml:space="preserve">Jak můžeme vyčíst z Grafu </w:t>
      </w:r>
      <w:r w:rsidR="002F7B33">
        <w:t>16</w:t>
      </w:r>
      <w:r w:rsidR="00BB64DB">
        <w:t>, počet vydaných tištěných periodik</w:t>
      </w:r>
      <w:r w:rsidR="008E49E1">
        <w:t xml:space="preserve"> se v posledních letech pohyboval</w:t>
      </w:r>
      <w:r w:rsidR="00BB64DB">
        <w:t xml:space="preserve"> okolo 5</w:t>
      </w:r>
      <w:r w:rsidR="002130C8">
        <w:t xml:space="preserve"> tis.</w:t>
      </w:r>
      <w:r w:rsidR="00BB64DB">
        <w:t xml:space="preserve"> pravidelně vydávaných titulů. Mezi lety </w:t>
      </w:r>
      <w:r w:rsidR="00CB7C6A" w:rsidRPr="00CB7C6A">
        <w:t>2013 a 2015</w:t>
      </w:r>
      <w:r w:rsidR="00BB64DB" w:rsidRPr="00CB7C6A">
        <w:t xml:space="preserve"> došlo dokonce</w:t>
      </w:r>
      <w:r w:rsidR="00BB64DB">
        <w:t xml:space="preserve"> po několikaletém mírném poklesu k</w:t>
      </w:r>
      <w:r>
        <w:t> </w:t>
      </w:r>
      <w:r w:rsidR="00BB64DB">
        <w:t>nárůstu</w:t>
      </w:r>
      <w:r>
        <w:t xml:space="preserve"> počtu titulů</w:t>
      </w:r>
      <w:r w:rsidR="004C05A9">
        <w:t>.</w:t>
      </w:r>
    </w:p>
    <w:p w:rsidR="00BB64DB" w:rsidRPr="004C05A9" w:rsidRDefault="00BB64DB" w:rsidP="00BB64DB">
      <w:pPr>
        <w:pStyle w:val="Titulek"/>
        <w:keepNext/>
        <w:rPr>
          <w:color w:val="auto"/>
        </w:rPr>
      </w:pPr>
      <w:r w:rsidRPr="00CB7C6A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16</w:t>
      </w:r>
      <w:r w:rsidR="002F7B33" w:rsidRPr="00CB7C6A">
        <w:rPr>
          <w:color w:val="auto"/>
        </w:rPr>
        <w:t xml:space="preserve"> </w:t>
      </w:r>
      <w:r w:rsidR="002B6FCF" w:rsidRPr="00CB7C6A">
        <w:rPr>
          <w:b w:val="0"/>
          <w:color w:val="auto"/>
          <w:sz w:val="22"/>
          <w:szCs w:val="22"/>
        </w:rPr>
        <w:t>Počet</w:t>
      </w:r>
      <w:r w:rsidRPr="004C05A9">
        <w:rPr>
          <w:b w:val="0"/>
          <w:color w:val="auto"/>
          <w:sz w:val="22"/>
          <w:szCs w:val="22"/>
        </w:rPr>
        <w:t xml:space="preserve"> vydaných</w:t>
      </w:r>
      <w:r w:rsidR="008E49E1">
        <w:rPr>
          <w:b w:val="0"/>
          <w:color w:val="auto"/>
          <w:sz w:val="22"/>
          <w:szCs w:val="22"/>
        </w:rPr>
        <w:t xml:space="preserve"> tištěných</w:t>
      </w:r>
      <w:r w:rsidRPr="004C05A9">
        <w:rPr>
          <w:b w:val="0"/>
          <w:color w:val="auto"/>
          <w:sz w:val="22"/>
          <w:szCs w:val="22"/>
        </w:rPr>
        <w:t xml:space="preserve"> titulů v České republice </w:t>
      </w:r>
      <w:r w:rsidR="004C05A9">
        <w:rPr>
          <w:b w:val="0"/>
          <w:color w:val="auto"/>
          <w:sz w:val="22"/>
          <w:szCs w:val="22"/>
        </w:rPr>
        <w:t>(v tis. titulů)</w:t>
      </w:r>
    </w:p>
    <w:p w:rsidR="00BB64DB" w:rsidRDefault="00A94B82" w:rsidP="00BB64DB">
      <w:pPr>
        <w:keepNext/>
      </w:pPr>
      <w:r w:rsidRPr="00A94B82">
        <w:rPr>
          <w:noProof/>
        </w:rPr>
        <w:drawing>
          <wp:inline distT="0" distB="0" distL="0" distR="0">
            <wp:extent cx="6181725" cy="1581150"/>
            <wp:effectExtent l="0" t="0" r="0" b="0"/>
            <wp:docPr id="106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64DB" w:rsidRPr="004C05A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4C05A9">
        <w:rPr>
          <w:b w:val="0"/>
          <w:color w:val="auto"/>
          <w:sz w:val="22"/>
          <w:szCs w:val="22"/>
        </w:rPr>
        <w:t>Zdroj: NIPOS</w:t>
      </w:r>
    </w:p>
    <w:p w:rsidR="00BB64DB" w:rsidRDefault="00BB64DB" w:rsidP="00BB64DB">
      <w:r>
        <w:t xml:space="preserve">Z hlediska vývoje počtu </w:t>
      </w:r>
      <w:r w:rsidR="004C05A9">
        <w:t>zaměstnanců</w:t>
      </w:r>
      <w:r>
        <w:t xml:space="preserve"> jsou</w:t>
      </w:r>
      <w:r w:rsidR="00425125">
        <w:t xml:space="preserve"> patrné odlišné trendy</w:t>
      </w:r>
      <w:r>
        <w:t xml:space="preserve"> </w:t>
      </w:r>
      <w:r w:rsidR="00425125">
        <w:t xml:space="preserve">pro oblast </w:t>
      </w:r>
      <w:r>
        <w:t xml:space="preserve">vydávání novin a </w:t>
      </w:r>
      <w:r w:rsidR="00425125">
        <w:t>pro oblast vydávání časopisů</w:t>
      </w:r>
      <w:r w:rsidR="00756AF1">
        <w:t xml:space="preserve">. Jak ukazuje Graf </w:t>
      </w:r>
      <w:r w:rsidR="002F7B33">
        <w:t>17</w:t>
      </w:r>
      <w:r>
        <w:t xml:space="preserve">, </w:t>
      </w:r>
      <w:r w:rsidR="004C05A9">
        <w:t xml:space="preserve">počet zaměstnanců </w:t>
      </w:r>
      <w:r>
        <w:t xml:space="preserve">v oblasti vydávání novin </w:t>
      </w:r>
      <w:r w:rsidR="000C5653">
        <w:t>se od roku 2007 kontinuálně propadal</w:t>
      </w:r>
      <w:r>
        <w:t>,</w:t>
      </w:r>
      <w:r w:rsidR="000C5653">
        <w:t xml:space="preserve"> až </w:t>
      </w:r>
      <w:r w:rsidR="003254A1">
        <w:t>mezi lety 2013 a</w:t>
      </w:r>
      <w:r w:rsidR="000C5653">
        <w:t xml:space="preserve"> 2014 zaznamenal mírný nárůst</w:t>
      </w:r>
      <w:r w:rsidR="003254A1">
        <w:t xml:space="preserve"> z 3,3 tis. na 3,5 tis. zaměstnanců</w:t>
      </w:r>
      <w:r w:rsidR="000C5653">
        <w:t>.</w:t>
      </w:r>
      <w:r>
        <w:t xml:space="preserve"> </w:t>
      </w:r>
      <w:r w:rsidR="000C5653">
        <w:t>P</w:t>
      </w:r>
      <w:r w:rsidR="004C05A9">
        <w:t>očet zaměstnanců</w:t>
      </w:r>
      <w:r>
        <w:t xml:space="preserve"> v oblasti vydávání časopisů se mezi lety </w:t>
      </w:r>
      <w:r w:rsidR="004C05A9">
        <w:t>2007 a 2013 udržoval</w:t>
      </w:r>
      <w:r w:rsidR="00393CDB">
        <w:t xml:space="preserve"> v hodnotách přepočtených na plné pracovní úvazky </w:t>
      </w:r>
      <w:r>
        <w:t xml:space="preserve">lehce nad </w:t>
      </w:r>
      <w:r w:rsidR="00C30C52">
        <w:t>hranicí 3 tis.</w:t>
      </w:r>
      <w:r>
        <w:t xml:space="preserve"> zaměstnanců</w:t>
      </w:r>
      <w:r w:rsidR="000C5653">
        <w:t>, v roce 2014 pak klesl na 2,7</w:t>
      </w:r>
      <w:r w:rsidR="003254A1">
        <w:t xml:space="preserve"> tis. zaměstnanců. </w:t>
      </w:r>
      <w:r w:rsidR="001B5EAE">
        <w:t>Celková zaměstnanost maloobchodu</w:t>
      </w:r>
      <w:r w:rsidR="00282CCA">
        <w:t> </w:t>
      </w:r>
      <w:r w:rsidR="001B5EAE">
        <w:t>a</w:t>
      </w:r>
      <w:r w:rsidR="00282CCA">
        <w:t> </w:t>
      </w:r>
      <w:r w:rsidR="001B5EAE">
        <w:t>vydavatelů v obla</w:t>
      </w:r>
      <w:r w:rsidR="003254A1">
        <w:t>sti tisku dosahovala v roce 2014 výše 8</w:t>
      </w:r>
      <w:r w:rsidR="001B5EAE">
        <w:t xml:space="preserve"> tis. zaměstnanců na plný pracovní úvazek.</w:t>
      </w:r>
    </w:p>
    <w:p w:rsidR="00BB64DB" w:rsidRDefault="00BB64DB" w:rsidP="00BB64DB">
      <w:pPr>
        <w:pStyle w:val="Titulek"/>
        <w:keepNext/>
      </w:pPr>
      <w:r w:rsidRPr="003254A1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17</w:t>
      </w:r>
      <w:r w:rsidR="002F7B33" w:rsidRPr="003254A1">
        <w:rPr>
          <w:color w:val="auto"/>
        </w:rPr>
        <w:t xml:space="preserve"> </w:t>
      </w:r>
      <w:r w:rsidR="002B6FCF" w:rsidRPr="003254A1">
        <w:rPr>
          <w:b w:val="0"/>
          <w:color w:val="auto"/>
          <w:sz w:val="22"/>
          <w:szCs w:val="22"/>
        </w:rPr>
        <w:t>P</w:t>
      </w:r>
      <w:r w:rsidR="002B6FCF" w:rsidRPr="003254A1">
        <w:rPr>
          <w:b w:val="0"/>
          <w:color w:val="000000" w:themeColor="text1"/>
          <w:sz w:val="22"/>
          <w:szCs w:val="22"/>
        </w:rPr>
        <w:t>očet</w:t>
      </w:r>
      <w:r w:rsidR="00C30C52" w:rsidRPr="00683DBB">
        <w:rPr>
          <w:b w:val="0"/>
          <w:color w:val="000000" w:themeColor="text1"/>
          <w:sz w:val="22"/>
          <w:szCs w:val="22"/>
        </w:rPr>
        <w:t xml:space="preserve"> zaměstnanců v oblasti </w:t>
      </w:r>
      <w:r w:rsidR="001B5EAE">
        <w:rPr>
          <w:b w:val="0"/>
          <w:color w:val="000000" w:themeColor="text1"/>
          <w:sz w:val="22"/>
          <w:szCs w:val="22"/>
        </w:rPr>
        <w:t>tisku</w:t>
      </w:r>
      <w:r w:rsidR="00C30C52">
        <w:rPr>
          <w:b w:val="0"/>
          <w:color w:val="000000" w:themeColor="text1"/>
          <w:sz w:val="22"/>
          <w:szCs w:val="22"/>
        </w:rPr>
        <w:t xml:space="preserve"> </w:t>
      </w:r>
      <w:r w:rsidR="00C30C52" w:rsidRPr="00683DBB">
        <w:rPr>
          <w:b w:val="0"/>
          <w:color w:val="000000" w:themeColor="text1"/>
          <w:sz w:val="22"/>
          <w:szCs w:val="22"/>
        </w:rPr>
        <w:t xml:space="preserve">(v tis. osob, přepočteno na </w:t>
      </w:r>
      <w:r w:rsidR="0044303F">
        <w:rPr>
          <w:b w:val="0"/>
          <w:color w:val="000000" w:themeColor="text1"/>
          <w:sz w:val="22"/>
          <w:szCs w:val="22"/>
        </w:rPr>
        <w:t>plné prac. úvazky</w:t>
      </w:r>
      <w:r w:rsidR="00C30C52" w:rsidRPr="00683DBB">
        <w:rPr>
          <w:b w:val="0"/>
          <w:color w:val="000000" w:themeColor="text1"/>
          <w:sz w:val="22"/>
          <w:szCs w:val="22"/>
        </w:rPr>
        <w:t>)</w:t>
      </w:r>
    </w:p>
    <w:p w:rsidR="00BB64DB" w:rsidRDefault="00AC59AE" w:rsidP="00BB64DB">
      <w:pPr>
        <w:keepNext/>
      </w:pPr>
      <w:r w:rsidRPr="00AC59AE">
        <w:rPr>
          <w:noProof/>
        </w:rPr>
        <w:drawing>
          <wp:inline distT="0" distB="0" distL="0" distR="0">
            <wp:extent cx="6353175" cy="1809750"/>
            <wp:effectExtent l="0" t="0" r="0" b="0"/>
            <wp:docPr id="114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B64DB" w:rsidRPr="00C30C52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C30C52">
        <w:rPr>
          <w:b w:val="0"/>
          <w:color w:val="auto"/>
          <w:sz w:val="22"/>
          <w:szCs w:val="22"/>
        </w:rPr>
        <w:t xml:space="preserve">Zdroj: </w:t>
      </w:r>
      <w:r w:rsidR="002A0381">
        <w:rPr>
          <w:b w:val="0"/>
          <w:color w:val="auto"/>
          <w:sz w:val="22"/>
          <w:szCs w:val="22"/>
        </w:rPr>
        <w:t xml:space="preserve">Podniková strukturální statistika, </w:t>
      </w:r>
      <w:r w:rsidRPr="00C30C52">
        <w:rPr>
          <w:b w:val="0"/>
          <w:color w:val="auto"/>
          <w:sz w:val="22"/>
          <w:szCs w:val="22"/>
        </w:rPr>
        <w:t>ČSÚ</w:t>
      </w:r>
    </w:p>
    <w:p w:rsidR="00BB64DB" w:rsidRPr="00E23A58" w:rsidRDefault="00BB64DB" w:rsidP="00694914">
      <w:pPr>
        <w:pStyle w:val="Nadpis3"/>
        <w:numPr>
          <w:ilvl w:val="2"/>
          <w:numId w:val="17"/>
        </w:numPr>
      </w:pPr>
      <w:bookmarkStart w:id="17" w:name="_Toc430189799"/>
      <w:bookmarkStart w:id="18" w:name="_Toc431475027"/>
      <w:bookmarkStart w:id="19" w:name="_Toc463969182"/>
      <w:r w:rsidRPr="00E23A58">
        <w:lastRenderedPageBreak/>
        <w:t>POHLED SPOTŘEBITELE</w:t>
      </w:r>
      <w:bookmarkEnd w:id="17"/>
      <w:bookmarkEnd w:id="18"/>
      <w:bookmarkEnd w:id="19"/>
    </w:p>
    <w:p w:rsidR="00BB64DB" w:rsidRPr="009A04D9" w:rsidRDefault="00BB64DB" w:rsidP="00BB64DB">
      <w:r>
        <w:t>Změny spotřebitelských návyků spojených s četbou periodik zachycuje šetření VŠIT. Počet jednotlivců, kteří</w:t>
      </w:r>
      <w:r w:rsidR="00313494">
        <w:t> </w:t>
      </w:r>
      <w:r>
        <w:t>v</w:t>
      </w:r>
      <w:r w:rsidR="009E34B8">
        <w:t> roce 2015</w:t>
      </w:r>
      <w:r>
        <w:t xml:space="preserve"> využili internet ke čtení zpráv, novin a časopisů</w:t>
      </w:r>
      <w:r w:rsidR="00857BB4">
        <w:t>,</w:t>
      </w:r>
      <w:r>
        <w:t xml:space="preserve"> </w:t>
      </w:r>
      <w:r w:rsidR="003254A1">
        <w:t>je oproti roku 2005 takřka 6x vyšší – v roce 2015</w:t>
      </w:r>
      <w:r>
        <w:t xml:space="preserve"> </w:t>
      </w:r>
      <w:r w:rsidR="00393CDB">
        <w:t xml:space="preserve">se jednalo již o </w:t>
      </w:r>
      <w:r w:rsidR="003254A1">
        <w:t>více než 65</w:t>
      </w:r>
      <w:r>
        <w:t xml:space="preserve"> </w:t>
      </w:r>
      <w:r>
        <w:rPr>
          <w:lang w:val="en-US"/>
        </w:rPr>
        <w:t xml:space="preserve">% </w:t>
      </w:r>
      <w:r>
        <w:t xml:space="preserve">české populace. Při zúžení záběru pouze na jedince používající internet se procento těch, kteří čtou zprávy, noviny a časopisy na internetu zvýšilo na 86 </w:t>
      </w:r>
      <w:r>
        <w:rPr>
          <w:lang w:val="en-US"/>
        </w:rPr>
        <w:t>% v</w:t>
      </w:r>
      <w:r>
        <w:t>šech uživatelů internetu. Čtení on-line periodik je tak v porovnání s ostatními zkoumanými oblastmi</w:t>
      </w:r>
      <w:r w:rsidR="00C30C52">
        <w:t xml:space="preserve"> audiovizuálního</w:t>
      </w:r>
      <w:r w:rsidR="00282CCA">
        <w:t> </w:t>
      </w:r>
      <w:r w:rsidR="00C30C52">
        <w:t>a</w:t>
      </w:r>
      <w:r w:rsidR="00282CCA">
        <w:t> </w:t>
      </w:r>
      <w:r w:rsidR="00C30C52">
        <w:t>mediálního sektoru</w:t>
      </w:r>
      <w:r>
        <w:t xml:space="preserve"> jednoznačně nejrozšířenější kulturní činností prováděnou on-line (např. k p</w:t>
      </w:r>
      <w:r w:rsidR="00393CDB">
        <w:t>řehrávání</w:t>
      </w:r>
      <w:r>
        <w:t xml:space="preserve"> či stahování hudby, </w:t>
      </w:r>
      <w:r w:rsidR="0050025B">
        <w:t>videa</w:t>
      </w:r>
      <w:r w:rsidR="00393CDB">
        <w:t xml:space="preserve"> a </w:t>
      </w:r>
      <w:r w:rsidR="0050025B">
        <w:t>filmu</w:t>
      </w:r>
      <w:r>
        <w:t xml:space="preserve"> využilo</w:t>
      </w:r>
      <w:r w:rsidR="003254A1">
        <w:t xml:space="preserve"> v roce 2015</w:t>
      </w:r>
      <w:r>
        <w:t xml:space="preserve"> internet </w:t>
      </w:r>
      <w:r w:rsidR="003254A1">
        <w:t>necelých 40</w:t>
      </w:r>
      <w:r>
        <w:t xml:space="preserve"> </w:t>
      </w:r>
      <w:r>
        <w:rPr>
          <w:lang w:val="en-US"/>
        </w:rPr>
        <w:t xml:space="preserve">% </w:t>
      </w:r>
      <w:r>
        <w:t>české populace). K těmto statistikám je nutné zmínit, že použitý pojem on-line periodika neodpovídá vymezení tištěných periodik dle Tiskového zákona</w:t>
      </w:r>
      <w:r>
        <w:rPr>
          <w:rStyle w:val="Znakapoznpodarou"/>
        </w:rPr>
        <w:footnoteReference w:id="3"/>
      </w:r>
      <w:r>
        <w:t xml:space="preserve"> a zahrnuje jakékoliv on-line časopisy, noviny a zpravodajské servery bez ohledu na to, zda mají přidělený kód ISSN.</w:t>
      </w:r>
    </w:p>
    <w:p w:rsidR="00BB64DB" w:rsidRPr="0059779F" w:rsidRDefault="00BB64DB" w:rsidP="00BB64DB">
      <w:pPr>
        <w:pStyle w:val="Titulek"/>
        <w:keepNext/>
        <w:rPr>
          <w:color w:val="auto"/>
        </w:rPr>
      </w:pPr>
      <w:r w:rsidRPr="003254A1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18</w:t>
      </w:r>
      <w:r w:rsidR="002F7B33" w:rsidRPr="003254A1">
        <w:rPr>
          <w:color w:val="auto"/>
        </w:rPr>
        <w:t xml:space="preserve"> </w:t>
      </w:r>
      <w:r w:rsidRPr="003254A1">
        <w:rPr>
          <w:b w:val="0"/>
          <w:color w:val="auto"/>
          <w:sz w:val="22"/>
          <w:szCs w:val="22"/>
        </w:rPr>
        <w:t>Využití internetu</w:t>
      </w:r>
      <w:r w:rsidRPr="0059779F">
        <w:rPr>
          <w:b w:val="0"/>
          <w:color w:val="auto"/>
          <w:sz w:val="22"/>
          <w:szCs w:val="22"/>
        </w:rPr>
        <w:t xml:space="preserve"> ke čtení zpráv, novin a časopisů</w:t>
      </w:r>
    </w:p>
    <w:p w:rsidR="00BB64DB" w:rsidRDefault="004B288C" w:rsidP="00BB64DB">
      <w:pPr>
        <w:keepNext/>
      </w:pPr>
      <w:r w:rsidRPr="004B288C">
        <w:rPr>
          <w:noProof/>
        </w:rPr>
        <w:drawing>
          <wp:inline distT="0" distB="0" distL="0" distR="0">
            <wp:extent cx="6257925" cy="2286000"/>
            <wp:effectExtent l="0" t="0" r="0" b="0"/>
            <wp:docPr id="17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64DB" w:rsidRPr="0059779F" w:rsidRDefault="00393CDB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Zdroj: VŠIT, ČSÚ</w:t>
      </w:r>
    </w:p>
    <w:p w:rsidR="00BB64DB" w:rsidRPr="00265529" w:rsidRDefault="00BB64DB" w:rsidP="00BB64DB">
      <w:r>
        <w:t>Zatímco uživatelé internetu čtou on-line periodika ve stejné míře napříč všemi věkovými kategoriemi,</w:t>
      </w:r>
      <w:r w:rsidR="00282CCA">
        <w:t> </w:t>
      </w:r>
      <w:r>
        <w:t>u</w:t>
      </w:r>
      <w:r w:rsidR="00282CCA">
        <w:t> </w:t>
      </w:r>
      <w:r>
        <w:t xml:space="preserve">celkové populace procento čtenářů on-line periodik </w:t>
      </w:r>
      <w:r w:rsidR="0059779F">
        <w:t xml:space="preserve">s přibývajícím věkem </w:t>
      </w:r>
      <w:r>
        <w:t>klesá.</w:t>
      </w:r>
      <w:r w:rsidR="00E957EC">
        <w:t xml:space="preserve"> </w:t>
      </w:r>
      <w:r>
        <w:t>To</w:t>
      </w:r>
      <w:r w:rsidR="00313494">
        <w:t> </w:t>
      </w:r>
      <w:r>
        <w:t>však</w:t>
      </w:r>
      <w:r w:rsidR="00313494">
        <w:t> </w:t>
      </w:r>
      <w:r>
        <w:t>souvisí s tím, že procento uživatelů internetu všeobecně negativně koreluje se stářím jednotlivců.</w:t>
      </w:r>
      <w:r w:rsidR="009A75F3">
        <w:t xml:space="preserve"> Výše</w:t>
      </w:r>
      <w:r w:rsidR="008B64EB">
        <w:t> </w:t>
      </w:r>
      <w:r w:rsidR="009A75F3">
        <w:t xml:space="preserve">zmíněný trend je patrný z Grafu 19, který ukazuje, že zájem o četbu on-line periodik je opravdu konstantní u všech věkových kategorií uživatelů internetu (a to také u jedinců starších 65 let). </w:t>
      </w:r>
      <w:r>
        <w:t xml:space="preserve">Tím se </w:t>
      </w:r>
      <w:r w:rsidR="009A75F3">
        <w:t xml:space="preserve">tato aktivita </w:t>
      </w:r>
      <w:r>
        <w:t xml:space="preserve">liší </w:t>
      </w:r>
      <w:r w:rsidR="009A75F3">
        <w:t xml:space="preserve">od jiných sledovaných kulturních aktivit prováděných přes internet (např. přehrávání a stahování hudby a filmu), u kterých obliba mezi uživateli internetu s jejich </w:t>
      </w:r>
      <w:r w:rsidR="0059779F">
        <w:t>přibývajícím</w:t>
      </w:r>
      <w:r>
        <w:t xml:space="preserve"> věkem </w:t>
      </w:r>
      <w:r w:rsidR="009A75F3">
        <w:t>klesá.</w:t>
      </w:r>
    </w:p>
    <w:p w:rsidR="00BB64DB" w:rsidRPr="0059779F" w:rsidRDefault="00BB64DB" w:rsidP="001B5EAE">
      <w:pPr>
        <w:pStyle w:val="Titulek"/>
        <w:keepNext/>
        <w:jc w:val="left"/>
        <w:rPr>
          <w:color w:val="auto"/>
        </w:rPr>
      </w:pPr>
      <w:r w:rsidRPr="00AF70B2">
        <w:rPr>
          <w:color w:val="auto"/>
          <w:sz w:val="22"/>
          <w:szCs w:val="22"/>
        </w:rPr>
        <w:lastRenderedPageBreak/>
        <w:t xml:space="preserve">Graf </w:t>
      </w:r>
      <w:r w:rsidR="001A4BAA">
        <w:rPr>
          <w:color w:val="auto"/>
          <w:sz w:val="22"/>
          <w:szCs w:val="22"/>
        </w:rPr>
        <w:t>19</w:t>
      </w:r>
      <w:r w:rsidR="002F7B33" w:rsidRPr="00AF70B2">
        <w:rPr>
          <w:color w:val="auto"/>
        </w:rPr>
        <w:t xml:space="preserve"> </w:t>
      </w:r>
      <w:r w:rsidRPr="00AF70B2">
        <w:rPr>
          <w:b w:val="0"/>
          <w:color w:val="auto"/>
          <w:sz w:val="22"/>
          <w:szCs w:val="22"/>
        </w:rPr>
        <w:t>Využití internetu k četbě on-line</w:t>
      </w:r>
      <w:r w:rsidRPr="0059779F">
        <w:rPr>
          <w:b w:val="0"/>
          <w:color w:val="auto"/>
          <w:sz w:val="22"/>
          <w:szCs w:val="22"/>
        </w:rPr>
        <w:t xml:space="preserve"> zpráv, novin a časopisů v roce 201</w:t>
      </w:r>
      <w:r w:rsidR="00154C09">
        <w:rPr>
          <w:b w:val="0"/>
          <w:color w:val="auto"/>
          <w:sz w:val="22"/>
          <w:szCs w:val="22"/>
        </w:rPr>
        <w:t>5</w:t>
      </w:r>
    </w:p>
    <w:p w:rsidR="00BB64DB" w:rsidRDefault="004B288C" w:rsidP="00BB64DB">
      <w:pPr>
        <w:keepNext/>
      </w:pPr>
      <w:r w:rsidRPr="004B288C">
        <w:rPr>
          <w:noProof/>
        </w:rPr>
        <w:drawing>
          <wp:inline distT="0" distB="0" distL="0" distR="0">
            <wp:extent cx="6057900" cy="1638300"/>
            <wp:effectExtent l="0" t="0" r="0" b="0"/>
            <wp:docPr id="8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64DB" w:rsidRPr="0059779F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59779F">
        <w:rPr>
          <w:b w:val="0"/>
          <w:color w:val="auto"/>
          <w:sz w:val="22"/>
          <w:szCs w:val="22"/>
        </w:rPr>
        <w:t xml:space="preserve">Zdroj: </w:t>
      </w:r>
      <w:r w:rsidR="00857BB4">
        <w:rPr>
          <w:b w:val="0"/>
          <w:color w:val="auto"/>
          <w:sz w:val="22"/>
          <w:szCs w:val="22"/>
        </w:rPr>
        <w:t>VŠIT, ČSÚ</w:t>
      </w:r>
    </w:p>
    <w:p w:rsidR="00BB64DB" w:rsidRPr="003204A0" w:rsidRDefault="00BB64DB" w:rsidP="00BB64DB">
      <w:r w:rsidRPr="003204A0">
        <w:t xml:space="preserve">Podrobnější pohled na uživatele internetu v souvislosti s četbou on-line a tištěných periodik přinesl výzkum </w:t>
      </w:r>
      <w:r w:rsidR="001B5EAE" w:rsidRPr="003204A0">
        <w:rPr>
          <w:i/>
        </w:rPr>
        <w:t>Media projekt online</w:t>
      </w:r>
      <w:r w:rsidRPr="003204A0">
        <w:t>, který pro Unii vydavatelů v roce 2013 vypracovaly spo</w:t>
      </w:r>
      <w:r w:rsidR="00C53DDA" w:rsidRPr="003204A0">
        <w:t xml:space="preserve">lečnosti </w:t>
      </w:r>
      <w:r w:rsidR="00C53DDA" w:rsidRPr="003204A0">
        <w:rPr>
          <w:i/>
        </w:rPr>
        <w:t>Median</w:t>
      </w:r>
      <w:r w:rsidR="00C53DDA" w:rsidRPr="003204A0">
        <w:t xml:space="preserve"> a </w:t>
      </w:r>
      <w:r w:rsidR="00C53DDA" w:rsidRPr="003204A0">
        <w:rPr>
          <w:i/>
        </w:rPr>
        <w:t>STEM/MARK</w:t>
      </w:r>
      <w:r w:rsidR="001B5EAE" w:rsidRPr="003204A0">
        <w:t xml:space="preserve">. Ze závěrů </w:t>
      </w:r>
      <w:r w:rsidR="00C53DDA" w:rsidRPr="003204A0">
        <w:t>tohoto výzkumu vyplývá, že čtenáři</w:t>
      </w:r>
      <w:r w:rsidRPr="003204A0">
        <w:t xml:space="preserve"> tištěných periodik </w:t>
      </w:r>
      <w:r w:rsidR="00C53DDA" w:rsidRPr="003204A0">
        <w:t xml:space="preserve">neplánují v blízké době ve velké míře </w:t>
      </w:r>
      <w:r w:rsidRPr="003204A0">
        <w:t xml:space="preserve">přecházet na </w:t>
      </w:r>
      <w:r w:rsidR="00C53DDA" w:rsidRPr="003204A0">
        <w:t xml:space="preserve">elektronické verze médií a že </w:t>
      </w:r>
      <w:r w:rsidR="00794608" w:rsidRPr="003204A0">
        <w:t xml:space="preserve">zánik tištěné podoby periodik není </w:t>
      </w:r>
      <w:r w:rsidR="00857BB4" w:rsidRPr="003204A0">
        <w:t>zatím příliš</w:t>
      </w:r>
      <w:r w:rsidR="00794608" w:rsidRPr="003204A0">
        <w:t xml:space="preserve"> pravděpodobný.</w:t>
      </w:r>
      <w:r w:rsidR="005101BF" w:rsidRPr="003204A0">
        <w:t xml:space="preserve"> Pouze 2 % populace uvažovalo v roce 2013 o přechodu z tištěné na e</w:t>
      </w:r>
      <w:r w:rsidR="00B02802">
        <w:t>lektronickou verzi časopisů a 1 </w:t>
      </w:r>
      <w:r w:rsidR="005101BF" w:rsidRPr="003204A0">
        <w:t>%</w:t>
      </w:r>
      <w:r w:rsidR="00282CCA" w:rsidRPr="003204A0">
        <w:t> </w:t>
      </w:r>
      <w:r w:rsidR="005101BF" w:rsidRPr="003204A0">
        <w:t>o</w:t>
      </w:r>
      <w:r w:rsidR="00282CCA" w:rsidRPr="003204A0">
        <w:t> </w:t>
      </w:r>
      <w:r w:rsidR="005101BF" w:rsidRPr="003204A0">
        <w:t>přechodu na elektronickou verzi novin.</w:t>
      </w:r>
      <w:r w:rsidR="00794608" w:rsidRPr="003204A0">
        <w:t xml:space="preserve"> </w:t>
      </w:r>
      <w:r w:rsidR="00AF70B2" w:rsidRPr="003204A0">
        <w:t xml:space="preserve">Jak ukazuje Graf </w:t>
      </w:r>
      <w:r w:rsidR="002F7B33" w:rsidRPr="003204A0">
        <w:t>2</w:t>
      </w:r>
      <w:r w:rsidR="002F7B33">
        <w:t>0</w:t>
      </w:r>
      <w:r w:rsidRPr="003204A0">
        <w:t xml:space="preserve">, čtení zpravodajských serverů </w:t>
      </w:r>
      <w:r w:rsidR="005101BF" w:rsidRPr="003204A0">
        <w:t xml:space="preserve">se </w:t>
      </w:r>
      <w:r w:rsidR="00C53DDA" w:rsidRPr="003204A0">
        <w:t>také</w:t>
      </w:r>
      <w:r w:rsidRPr="003204A0">
        <w:t xml:space="preserve"> nutně nevylučuje s četbou tištěných pe</w:t>
      </w:r>
      <w:r w:rsidR="005101BF" w:rsidRPr="003204A0">
        <w:t>riodik a lidé, kteří četli</w:t>
      </w:r>
      <w:r w:rsidRPr="003204A0">
        <w:t xml:space="preserve"> den</w:t>
      </w:r>
      <w:r w:rsidR="005101BF" w:rsidRPr="003204A0">
        <w:t>íky v tištěné podobě, navštěvovali</w:t>
      </w:r>
      <w:r w:rsidRPr="003204A0">
        <w:t xml:space="preserve"> také zpravodajské servery. Čtení online časopisů a elektronických placených verzí novin naopak mezi uživateli internetu příliš rozšířené nebylo. Časopis četlo 6</w:t>
      </w:r>
      <w:r w:rsidR="007562FD">
        <w:t xml:space="preserve"> </w:t>
      </w:r>
      <w:r w:rsidRPr="003204A0">
        <w:t xml:space="preserve">% a placenou elektronickou verzi novin pouze 1 % </w:t>
      </w:r>
      <w:r w:rsidR="00C53DDA" w:rsidRPr="003204A0">
        <w:t>internetové populace</w:t>
      </w:r>
      <w:r w:rsidRPr="003204A0">
        <w:t>.</w:t>
      </w:r>
      <w:r w:rsidR="003204A0" w:rsidRPr="003204A0">
        <w:t xml:space="preserve"> Podle mezinárodní studie </w:t>
      </w:r>
      <w:r w:rsidR="003204A0" w:rsidRPr="003204A0">
        <w:rPr>
          <w:i/>
        </w:rPr>
        <w:t>Digital News Report</w:t>
      </w:r>
      <w:r w:rsidR="003204A0" w:rsidRPr="003204A0">
        <w:t xml:space="preserve">, kterou </w:t>
      </w:r>
      <w:r w:rsidR="003204A0">
        <w:t xml:space="preserve">vypracoval </w:t>
      </w:r>
      <w:r w:rsidR="003204A0" w:rsidRPr="003204A0">
        <w:t>Reuters Institute, pak platilo v roce 2015</w:t>
      </w:r>
      <w:r w:rsidR="006761D5">
        <w:t xml:space="preserve"> v ČR</w:t>
      </w:r>
      <w:r w:rsidR="003204A0" w:rsidRPr="003204A0">
        <w:t xml:space="preserve"> alespoň nějakou formou za online zpravodajství okolo 7 % </w:t>
      </w:r>
      <w:r w:rsidR="006761D5">
        <w:t>populace</w:t>
      </w:r>
      <w:r w:rsidR="004B288C">
        <w:t xml:space="preserve"> s přístupem k internetu</w:t>
      </w:r>
      <w:r w:rsidR="00D7252F">
        <w:t xml:space="preserve"> (Fletcher, 2016).</w:t>
      </w:r>
    </w:p>
    <w:p w:rsidR="00BB64DB" w:rsidRPr="00794608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AF70B2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20</w:t>
      </w:r>
      <w:r w:rsidR="002F7B33" w:rsidRPr="00AF70B2">
        <w:rPr>
          <w:color w:val="auto"/>
          <w:sz w:val="22"/>
          <w:szCs w:val="22"/>
        </w:rPr>
        <w:t xml:space="preserve"> </w:t>
      </w:r>
      <w:r w:rsidRPr="00AF70B2">
        <w:rPr>
          <w:b w:val="0"/>
          <w:color w:val="auto"/>
          <w:sz w:val="22"/>
          <w:szCs w:val="22"/>
        </w:rPr>
        <w:t>Způsob četby periodik</w:t>
      </w:r>
      <w:r w:rsidRPr="00794608">
        <w:rPr>
          <w:b w:val="0"/>
          <w:color w:val="auto"/>
          <w:sz w:val="22"/>
          <w:szCs w:val="22"/>
        </w:rPr>
        <w:t xml:space="preserve"> mezi uživateli internetu ve věku 12 – 79 </w:t>
      </w:r>
      <w:r w:rsidR="00857BB4">
        <w:rPr>
          <w:b w:val="0"/>
          <w:color w:val="auto"/>
          <w:sz w:val="22"/>
          <w:szCs w:val="22"/>
        </w:rPr>
        <w:t xml:space="preserve">let </w:t>
      </w:r>
      <w:r w:rsidRPr="00794608">
        <w:rPr>
          <w:b w:val="0"/>
          <w:color w:val="auto"/>
          <w:sz w:val="22"/>
          <w:szCs w:val="22"/>
        </w:rPr>
        <w:t>v roce 2013</w:t>
      </w:r>
    </w:p>
    <w:p w:rsidR="00BB64DB" w:rsidRDefault="00794608" w:rsidP="00BB64DB">
      <w:pPr>
        <w:keepNext/>
        <w:jc w:val="center"/>
      </w:pPr>
      <w:r w:rsidRPr="00794608">
        <w:rPr>
          <w:noProof/>
        </w:rPr>
        <w:drawing>
          <wp:inline distT="0" distB="0" distL="0" distR="0">
            <wp:extent cx="6162675" cy="1562100"/>
            <wp:effectExtent l="0" t="0" r="0" b="0"/>
            <wp:docPr id="9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64DB" w:rsidRPr="00794608" w:rsidRDefault="001B5EAE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Zdroj: </w:t>
      </w:r>
      <w:r w:rsidR="0050025B" w:rsidRPr="0050025B">
        <w:rPr>
          <w:b w:val="0"/>
          <w:color w:val="auto"/>
          <w:sz w:val="22"/>
          <w:szCs w:val="22"/>
        </w:rPr>
        <w:t>Media projekt online</w:t>
      </w:r>
      <w:r w:rsidR="0050025B">
        <w:rPr>
          <w:b w:val="0"/>
          <w:color w:val="auto"/>
          <w:sz w:val="22"/>
          <w:szCs w:val="22"/>
        </w:rPr>
        <w:t xml:space="preserve">, </w:t>
      </w:r>
      <w:r>
        <w:rPr>
          <w:b w:val="0"/>
          <w:color w:val="auto"/>
          <w:sz w:val="22"/>
          <w:szCs w:val="22"/>
        </w:rPr>
        <w:t>Median, STEM/MARK</w:t>
      </w:r>
    </w:p>
    <w:p w:rsidR="00BB64DB" w:rsidRPr="00ED0206" w:rsidRDefault="003204A0" w:rsidP="00BB64DB">
      <w:r>
        <w:t xml:space="preserve">Graf </w:t>
      </w:r>
      <w:r w:rsidR="002F7B33">
        <w:t>21</w:t>
      </w:r>
      <w:r w:rsidR="002F7B33" w:rsidRPr="001E55AF">
        <w:t xml:space="preserve"> </w:t>
      </w:r>
      <w:r w:rsidR="00BB64DB" w:rsidRPr="001E55AF">
        <w:t>nabízí přehl</w:t>
      </w:r>
      <w:r w:rsidR="005101BF">
        <w:t>ed vybraných důvodů, které bránily</w:t>
      </w:r>
      <w:r w:rsidR="00BB64DB" w:rsidRPr="001E55AF">
        <w:t xml:space="preserve"> jednotlivcům v přechodu na elektronické verze periodik.</w:t>
      </w:r>
      <w:r w:rsidR="005101BF">
        <w:t xml:space="preserve"> V největším počtu případů byla</w:t>
      </w:r>
      <w:r w:rsidR="00BB64DB">
        <w:t xml:space="preserve"> překážkou nut</w:t>
      </w:r>
      <w:r w:rsidR="005101BF">
        <w:t>ná změna zaběh</w:t>
      </w:r>
      <w:r w:rsidR="00857BB4">
        <w:t>lých</w:t>
      </w:r>
      <w:r w:rsidR="005101BF">
        <w:t xml:space="preserve"> návyků a pohodlnost</w:t>
      </w:r>
      <w:r w:rsidR="00BB64DB">
        <w:t>. Další</w:t>
      </w:r>
      <w:r w:rsidR="008B64EB">
        <w:t> </w:t>
      </w:r>
      <w:r w:rsidR="00BB64DB">
        <w:t>důvody prefe</w:t>
      </w:r>
      <w:r w:rsidR="005101BF">
        <w:t>rence tištěných periodik souvisely</w:t>
      </w:r>
      <w:r w:rsidR="00BB64DB">
        <w:t xml:space="preserve"> s vnímanými negativními aspekty čtení elektron</w:t>
      </w:r>
      <w:r w:rsidR="005101BF">
        <w:t>ických verzí periodik, jako je</w:t>
      </w:r>
      <w:r w:rsidR="00BB64DB">
        <w:t xml:space="preserve"> nepříjemnost četby na elektronické obrazovce či pocit ochuzení o některé vlastnosti tištěných médií.</w:t>
      </w:r>
      <w:r w:rsidR="00ED0206">
        <w:t xml:space="preserve"> Těch, kteří </w:t>
      </w:r>
      <w:r w:rsidR="004B288C">
        <w:t xml:space="preserve">preferovali </w:t>
      </w:r>
      <w:r w:rsidR="00ED0206">
        <w:t>tištěné verze tisku</w:t>
      </w:r>
      <w:r w:rsidR="004B288C">
        <w:t xml:space="preserve"> (a nehodlali na tom nic měnit ani v budoucnu)</w:t>
      </w:r>
      <w:r w:rsidR="00ED0206">
        <w:t>, byla</w:t>
      </w:r>
      <w:r w:rsidR="008B64EB">
        <w:t> </w:t>
      </w:r>
      <w:r w:rsidR="00ED0206">
        <w:t xml:space="preserve">v roce 2013 stále více než většina (56 </w:t>
      </w:r>
      <w:r w:rsidR="00ED0206">
        <w:rPr>
          <w:lang w:val="en-US"/>
        </w:rPr>
        <w:t xml:space="preserve">% </w:t>
      </w:r>
      <w:r w:rsidR="00ED0206">
        <w:t>uživatelů internetu).</w:t>
      </w:r>
    </w:p>
    <w:p w:rsidR="00BB64DB" w:rsidRPr="005101BF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3204A0">
        <w:rPr>
          <w:color w:val="auto"/>
          <w:sz w:val="22"/>
          <w:szCs w:val="22"/>
        </w:rPr>
        <w:lastRenderedPageBreak/>
        <w:t xml:space="preserve">Graf </w:t>
      </w:r>
      <w:r w:rsidR="001A4BAA">
        <w:rPr>
          <w:color w:val="auto"/>
          <w:sz w:val="22"/>
          <w:szCs w:val="22"/>
        </w:rPr>
        <w:t>21</w:t>
      </w:r>
      <w:r w:rsidR="002F7B33" w:rsidRPr="003204A0">
        <w:rPr>
          <w:b w:val="0"/>
          <w:color w:val="auto"/>
          <w:sz w:val="22"/>
          <w:szCs w:val="22"/>
        </w:rPr>
        <w:t xml:space="preserve"> </w:t>
      </w:r>
      <w:r w:rsidRPr="003204A0">
        <w:rPr>
          <w:b w:val="0"/>
          <w:color w:val="auto"/>
          <w:sz w:val="22"/>
          <w:szCs w:val="22"/>
        </w:rPr>
        <w:t>Přehled vybraných</w:t>
      </w:r>
      <w:r w:rsidRPr="005101BF">
        <w:rPr>
          <w:b w:val="0"/>
          <w:color w:val="auto"/>
          <w:sz w:val="22"/>
          <w:szCs w:val="22"/>
        </w:rPr>
        <w:t xml:space="preserve"> důvodů, které bránily jednotlivcům v roce 2013 v přechodu na elektronické verze periodik</w:t>
      </w:r>
      <w:r w:rsidR="00ED0206">
        <w:rPr>
          <w:b w:val="0"/>
          <w:color w:val="auto"/>
          <w:sz w:val="22"/>
          <w:szCs w:val="22"/>
        </w:rPr>
        <w:t xml:space="preserve"> (těm, kteří čtou pouze tištěné verze)</w:t>
      </w:r>
    </w:p>
    <w:p w:rsidR="00BB64DB" w:rsidRPr="00022A90" w:rsidRDefault="0053607C" w:rsidP="00BB64DB">
      <w:pPr>
        <w:jc w:val="center"/>
      </w:pPr>
      <w:r w:rsidRPr="0053607C">
        <w:rPr>
          <w:noProof/>
        </w:rPr>
        <w:drawing>
          <wp:inline distT="0" distB="0" distL="0" distR="0">
            <wp:extent cx="6096000" cy="1838325"/>
            <wp:effectExtent l="0" t="0" r="0" b="0"/>
            <wp:docPr id="10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64DB" w:rsidRDefault="00857BB4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Zdroj: </w:t>
      </w:r>
      <w:r w:rsidR="0050025B" w:rsidRPr="0050025B">
        <w:rPr>
          <w:b w:val="0"/>
          <w:color w:val="auto"/>
          <w:sz w:val="22"/>
          <w:szCs w:val="22"/>
        </w:rPr>
        <w:t>Media projekt online</w:t>
      </w:r>
      <w:r w:rsidR="0050025B">
        <w:rPr>
          <w:b w:val="0"/>
          <w:color w:val="auto"/>
          <w:sz w:val="22"/>
          <w:szCs w:val="22"/>
        </w:rPr>
        <w:t>, Median</w:t>
      </w:r>
      <w:r>
        <w:rPr>
          <w:b w:val="0"/>
          <w:color w:val="auto"/>
          <w:sz w:val="22"/>
          <w:szCs w:val="22"/>
        </w:rPr>
        <w:t>, STEM/MARK</w:t>
      </w:r>
    </w:p>
    <w:p w:rsidR="003204A0" w:rsidRPr="00861EA1" w:rsidRDefault="00905296" w:rsidP="003204A0">
      <w:pPr>
        <w:rPr>
          <w:lang w:eastAsia="en-US"/>
        </w:rPr>
      </w:pPr>
      <w:r w:rsidRPr="00861EA1">
        <w:rPr>
          <w:lang w:eastAsia="en-US"/>
        </w:rPr>
        <w:t>S rostoucí oblibou internetového zpravodajství roste také obliba sledování zpravodajství na sociálních sítí. V roli editora zde vystupují uživatelé sítě, kteří sdílí své příspěvky s ostatními uživateli, většinou s okruhem svých přátel či sledujících uživatelů. Populární osobnosti mají pak velmi široký dosah svých příspěvků (v</w:t>
      </w:r>
      <w:r w:rsidR="00700384">
        <w:rPr>
          <w:lang w:eastAsia="en-US"/>
        </w:rPr>
        <w:t> </w:t>
      </w:r>
      <w:r w:rsidRPr="00861EA1">
        <w:rPr>
          <w:lang w:eastAsia="en-US"/>
        </w:rPr>
        <w:t>řádech</w:t>
      </w:r>
      <w:r w:rsidR="00D7252F">
        <w:rPr>
          <w:lang w:eastAsia="en-US"/>
        </w:rPr>
        <w:t xml:space="preserve"> několika</w:t>
      </w:r>
      <w:r w:rsidRPr="00861EA1">
        <w:rPr>
          <w:lang w:eastAsia="en-US"/>
        </w:rPr>
        <w:t xml:space="preserve"> tisíců uživatelů). Podle již zmíněné</w:t>
      </w:r>
      <w:r w:rsidR="00012C46" w:rsidRPr="00861EA1">
        <w:rPr>
          <w:lang w:eastAsia="en-US"/>
        </w:rPr>
        <w:t xml:space="preserve"> mezinárodní</w:t>
      </w:r>
      <w:r w:rsidRPr="00861EA1">
        <w:rPr>
          <w:lang w:eastAsia="en-US"/>
        </w:rPr>
        <w:t xml:space="preserve"> studie </w:t>
      </w:r>
      <w:r w:rsidRPr="00861EA1">
        <w:rPr>
          <w:i/>
          <w:lang w:eastAsia="en-US"/>
        </w:rPr>
        <w:t xml:space="preserve">Digital </w:t>
      </w:r>
      <w:proofErr w:type="spellStart"/>
      <w:r w:rsidRPr="00861EA1">
        <w:rPr>
          <w:i/>
          <w:lang w:eastAsia="en-US"/>
        </w:rPr>
        <w:t>News</w:t>
      </w:r>
      <w:proofErr w:type="spellEnd"/>
      <w:r w:rsidRPr="00861EA1">
        <w:rPr>
          <w:i/>
          <w:lang w:eastAsia="en-US"/>
        </w:rPr>
        <w:t xml:space="preserve"> Report</w:t>
      </w:r>
      <w:r w:rsidR="00012C46" w:rsidRPr="00861EA1">
        <w:rPr>
          <w:lang w:eastAsia="en-US"/>
        </w:rPr>
        <w:t>, která</w:t>
      </w:r>
      <w:r w:rsidR="00313494">
        <w:rPr>
          <w:lang w:eastAsia="en-US"/>
        </w:rPr>
        <w:t> </w:t>
      </w:r>
      <w:r w:rsidR="00012C46" w:rsidRPr="00861EA1">
        <w:rPr>
          <w:lang w:eastAsia="en-US"/>
        </w:rPr>
        <w:t>se</w:t>
      </w:r>
      <w:r w:rsidR="00313494">
        <w:rPr>
          <w:lang w:eastAsia="en-US"/>
        </w:rPr>
        <w:t> </w:t>
      </w:r>
      <w:r w:rsidR="00012C46" w:rsidRPr="00861EA1">
        <w:rPr>
          <w:lang w:eastAsia="en-US"/>
        </w:rPr>
        <w:t xml:space="preserve">zaměřovala na </w:t>
      </w:r>
      <w:r w:rsidR="006761D5" w:rsidRPr="00861EA1">
        <w:rPr>
          <w:lang w:eastAsia="en-US"/>
        </w:rPr>
        <w:t xml:space="preserve">internetovou populaci převážně v </w:t>
      </w:r>
      <w:r w:rsidR="00012C46" w:rsidRPr="00861EA1">
        <w:rPr>
          <w:lang w:eastAsia="en-US"/>
        </w:rPr>
        <w:t>evropsk</w:t>
      </w:r>
      <w:r w:rsidR="006761D5" w:rsidRPr="00861EA1">
        <w:rPr>
          <w:lang w:eastAsia="en-US"/>
        </w:rPr>
        <w:t>ých zemích</w:t>
      </w:r>
      <w:r w:rsidR="00012C46" w:rsidRPr="00861EA1">
        <w:rPr>
          <w:lang w:eastAsia="en-US"/>
        </w:rPr>
        <w:t>,</w:t>
      </w:r>
      <w:r w:rsidRPr="00861EA1">
        <w:rPr>
          <w:lang w:eastAsia="en-US"/>
        </w:rPr>
        <w:t xml:space="preserve"> se zejména </w:t>
      </w:r>
      <w:r w:rsidR="00012C46" w:rsidRPr="00861EA1">
        <w:rPr>
          <w:lang w:eastAsia="en-US"/>
        </w:rPr>
        <w:t xml:space="preserve">pro </w:t>
      </w:r>
      <w:r w:rsidRPr="00861EA1">
        <w:rPr>
          <w:lang w:eastAsia="en-US"/>
        </w:rPr>
        <w:t>mladš</w:t>
      </w:r>
      <w:r w:rsidR="00861EA1" w:rsidRPr="00861EA1">
        <w:rPr>
          <w:lang w:eastAsia="en-US"/>
        </w:rPr>
        <w:t>í</w:t>
      </w:r>
      <w:r w:rsidRPr="00861EA1">
        <w:rPr>
          <w:lang w:eastAsia="en-US"/>
        </w:rPr>
        <w:t xml:space="preserve"> ročníky stávají sociální sítě </w:t>
      </w:r>
      <w:r w:rsidR="006761D5" w:rsidRPr="00861EA1">
        <w:rPr>
          <w:lang w:eastAsia="en-US"/>
        </w:rPr>
        <w:t>velmi důležitým zdrojem šíření zpráv</w:t>
      </w:r>
      <w:r w:rsidRPr="00861EA1">
        <w:rPr>
          <w:lang w:eastAsia="en-US"/>
        </w:rPr>
        <w:t xml:space="preserve">. </w:t>
      </w:r>
      <w:r w:rsidR="00861EA1">
        <w:rPr>
          <w:lang w:eastAsia="en-US"/>
        </w:rPr>
        <w:t>Věková skupina</w:t>
      </w:r>
      <w:r w:rsidR="00012C46" w:rsidRPr="00861EA1">
        <w:rPr>
          <w:lang w:eastAsia="en-US"/>
        </w:rPr>
        <w:t xml:space="preserve"> 18 – 24</w:t>
      </w:r>
      <w:r w:rsidR="00861EA1">
        <w:rPr>
          <w:lang w:eastAsia="en-US"/>
        </w:rPr>
        <w:t xml:space="preserve"> let</w:t>
      </w:r>
      <w:r w:rsidR="00012C46" w:rsidRPr="00861EA1">
        <w:rPr>
          <w:lang w:eastAsia="en-US"/>
        </w:rPr>
        <w:t xml:space="preserve"> dokonce </w:t>
      </w:r>
      <w:r w:rsidR="00861EA1">
        <w:rPr>
          <w:lang w:eastAsia="en-US"/>
        </w:rPr>
        <w:t>preferovala</w:t>
      </w:r>
      <w:r w:rsidR="00012C46" w:rsidRPr="00861EA1">
        <w:rPr>
          <w:lang w:eastAsia="en-US"/>
        </w:rPr>
        <w:t xml:space="preserve"> sociáln</w:t>
      </w:r>
      <w:r w:rsidR="006761D5" w:rsidRPr="00861EA1">
        <w:rPr>
          <w:lang w:eastAsia="en-US"/>
        </w:rPr>
        <w:t>í</w:t>
      </w:r>
      <w:r w:rsidR="00012C46" w:rsidRPr="00861EA1">
        <w:rPr>
          <w:lang w:eastAsia="en-US"/>
        </w:rPr>
        <w:t xml:space="preserve"> sít</w:t>
      </w:r>
      <w:r w:rsidR="006761D5" w:rsidRPr="00861EA1">
        <w:rPr>
          <w:lang w:eastAsia="en-US"/>
        </w:rPr>
        <w:t>ě jako zpravodajský zdroj před televizí i ostatními médii. Jako hlavní zpravodajský kan</w:t>
      </w:r>
      <w:r w:rsidR="00861EA1" w:rsidRPr="00861EA1">
        <w:rPr>
          <w:lang w:eastAsia="en-US"/>
        </w:rPr>
        <w:t>ál v Č</w:t>
      </w:r>
      <w:r w:rsidR="006761D5" w:rsidRPr="00861EA1">
        <w:rPr>
          <w:lang w:eastAsia="en-US"/>
        </w:rPr>
        <w:t>eské republice</w:t>
      </w:r>
      <w:r w:rsidR="00861EA1" w:rsidRPr="00861EA1">
        <w:rPr>
          <w:lang w:eastAsia="en-US"/>
        </w:rPr>
        <w:t xml:space="preserve"> určilo sociální sítě 8 % populace</w:t>
      </w:r>
      <w:r w:rsidR="004B288C">
        <w:rPr>
          <w:lang w:eastAsia="en-US"/>
        </w:rPr>
        <w:t xml:space="preserve"> s přístupem k internetu</w:t>
      </w:r>
      <w:r w:rsidR="00861EA1" w:rsidRPr="00861EA1">
        <w:rPr>
          <w:lang w:eastAsia="en-US"/>
        </w:rPr>
        <w:t>.</w:t>
      </w:r>
    </w:p>
    <w:p w:rsidR="00E92B7F" w:rsidRPr="00E92B7F" w:rsidRDefault="00E92B7F" w:rsidP="00E92B7F">
      <w:pPr>
        <w:pStyle w:val="Titulek"/>
        <w:keepNext/>
        <w:jc w:val="left"/>
        <w:rPr>
          <w:b w:val="0"/>
          <w:color w:val="auto"/>
          <w:sz w:val="22"/>
          <w:szCs w:val="22"/>
        </w:rPr>
      </w:pPr>
      <w:r w:rsidRPr="00E92B7F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22</w:t>
      </w:r>
      <w:r w:rsidR="002F7B33" w:rsidRPr="00E92B7F">
        <w:rPr>
          <w:color w:val="auto"/>
          <w:sz w:val="22"/>
          <w:szCs w:val="22"/>
        </w:rPr>
        <w:t xml:space="preserve"> </w:t>
      </w:r>
      <w:r w:rsidR="00CE5B81">
        <w:rPr>
          <w:b w:val="0"/>
          <w:color w:val="auto"/>
          <w:sz w:val="22"/>
          <w:szCs w:val="22"/>
        </w:rPr>
        <w:t>Míra využití</w:t>
      </w:r>
      <w:r w:rsidR="00CE5B81" w:rsidRPr="00CE5B81">
        <w:rPr>
          <w:b w:val="0"/>
          <w:color w:val="auto"/>
          <w:sz w:val="22"/>
          <w:szCs w:val="22"/>
        </w:rPr>
        <w:t xml:space="preserve"> sociálních</w:t>
      </w:r>
      <w:r w:rsidR="00CE5B81">
        <w:rPr>
          <w:b w:val="0"/>
          <w:color w:val="auto"/>
          <w:sz w:val="22"/>
          <w:szCs w:val="22"/>
        </w:rPr>
        <w:t xml:space="preserve"> sít</w:t>
      </w:r>
      <w:r w:rsidR="008B64EB">
        <w:rPr>
          <w:b w:val="0"/>
          <w:color w:val="auto"/>
          <w:sz w:val="22"/>
          <w:szCs w:val="22"/>
        </w:rPr>
        <w:t>í</w:t>
      </w:r>
      <w:r w:rsidR="00CE5B81">
        <w:rPr>
          <w:b w:val="0"/>
          <w:color w:val="auto"/>
          <w:sz w:val="22"/>
          <w:szCs w:val="22"/>
        </w:rPr>
        <w:t xml:space="preserve"> </w:t>
      </w:r>
      <w:r w:rsidRPr="00E92B7F">
        <w:rPr>
          <w:b w:val="0"/>
          <w:color w:val="auto"/>
          <w:sz w:val="22"/>
          <w:szCs w:val="22"/>
        </w:rPr>
        <w:t>jako hlavní</w:t>
      </w:r>
      <w:r w:rsidR="00CE5B81">
        <w:rPr>
          <w:b w:val="0"/>
          <w:color w:val="auto"/>
          <w:sz w:val="22"/>
          <w:szCs w:val="22"/>
        </w:rPr>
        <w:t>ho</w:t>
      </w:r>
      <w:r w:rsidRPr="00E92B7F">
        <w:rPr>
          <w:b w:val="0"/>
          <w:color w:val="auto"/>
          <w:sz w:val="22"/>
          <w:szCs w:val="22"/>
        </w:rPr>
        <w:t xml:space="preserve"> zdroj</w:t>
      </w:r>
      <w:r w:rsidR="00CE5B81">
        <w:rPr>
          <w:b w:val="0"/>
          <w:color w:val="auto"/>
          <w:sz w:val="22"/>
          <w:szCs w:val="22"/>
        </w:rPr>
        <w:t>e</w:t>
      </w:r>
      <w:r w:rsidRPr="00E92B7F">
        <w:rPr>
          <w:b w:val="0"/>
          <w:color w:val="auto"/>
          <w:sz w:val="22"/>
          <w:szCs w:val="22"/>
        </w:rPr>
        <w:t xml:space="preserve"> zpráv</w:t>
      </w:r>
      <w:r w:rsidR="00861EA1">
        <w:rPr>
          <w:b w:val="0"/>
          <w:color w:val="auto"/>
          <w:sz w:val="22"/>
          <w:szCs w:val="22"/>
        </w:rPr>
        <w:t xml:space="preserve"> </w:t>
      </w:r>
      <w:r w:rsidR="00CE5B81">
        <w:rPr>
          <w:b w:val="0"/>
          <w:color w:val="auto"/>
          <w:sz w:val="22"/>
          <w:szCs w:val="22"/>
        </w:rPr>
        <w:t xml:space="preserve">v internetové populaci </w:t>
      </w:r>
      <w:r w:rsidR="00861EA1">
        <w:rPr>
          <w:b w:val="0"/>
          <w:color w:val="auto"/>
          <w:sz w:val="22"/>
          <w:szCs w:val="22"/>
        </w:rPr>
        <w:t>ve vybraných zemích</w:t>
      </w:r>
    </w:p>
    <w:p w:rsidR="00E92B7F" w:rsidRDefault="003204A0" w:rsidP="00E92B7F">
      <w:pPr>
        <w:keepNext/>
        <w:spacing w:after="0" w:line="240" w:lineRule="auto"/>
        <w:jc w:val="left"/>
      </w:pPr>
      <w:r w:rsidRPr="003204A0">
        <w:rPr>
          <w:noProof/>
        </w:rPr>
        <w:drawing>
          <wp:inline distT="0" distB="0" distL="0" distR="0">
            <wp:extent cx="6143625" cy="2124075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B6787" w:rsidRPr="00E92B7F" w:rsidRDefault="00E92B7F" w:rsidP="00E92B7F">
      <w:pPr>
        <w:pStyle w:val="Titulek"/>
        <w:jc w:val="left"/>
        <w:rPr>
          <w:b w:val="0"/>
          <w:color w:val="auto"/>
          <w:sz w:val="22"/>
          <w:szCs w:val="22"/>
        </w:rPr>
      </w:pPr>
      <w:r w:rsidRPr="00E92B7F">
        <w:rPr>
          <w:b w:val="0"/>
          <w:color w:val="auto"/>
          <w:sz w:val="22"/>
          <w:szCs w:val="22"/>
        </w:rPr>
        <w:t xml:space="preserve">Zdroj: </w:t>
      </w:r>
      <w:r w:rsidR="00905296">
        <w:rPr>
          <w:b w:val="0"/>
          <w:color w:val="auto"/>
          <w:sz w:val="22"/>
          <w:szCs w:val="22"/>
        </w:rPr>
        <w:t>Digital News R</w:t>
      </w:r>
      <w:r w:rsidRPr="00E92B7F">
        <w:rPr>
          <w:b w:val="0"/>
          <w:color w:val="auto"/>
          <w:sz w:val="22"/>
          <w:szCs w:val="22"/>
        </w:rPr>
        <w:t>eport, Reuters Institute</w:t>
      </w:r>
    </w:p>
    <w:sectPr w:rsidR="00CB6787" w:rsidRPr="00E92B7F" w:rsidSect="00B72153">
      <w:headerReference w:type="even" r:id="rId24"/>
      <w:headerReference w:type="default" r:id="rId25"/>
      <w:footerReference w:type="even" r:id="rId26"/>
      <w:footerReference w:type="default" r:id="rId27"/>
      <w:footnotePr>
        <w:numStart w:val="4"/>
      </w:footnotePr>
      <w:pgSz w:w="11906" w:h="16838" w:code="9"/>
      <w:pgMar w:top="1134" w:right="1134" w:bottom="1418" w:left="1134" w:header="680" w:footer="680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CA" w:rsidRDefault="00B921CA" w:rsidP="00E71A58">
      <w:r>
        <w:separator/>
      </w:r>
    </w:p>
  </w:endnote>
  <w:endnote w:type="continuationSeparator" w:id="0">
    <w:p w:rsidR="00B921CA" w:rsidRDefault="00B921C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641938" w:rsidRDefault="003D241B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6537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4D6537" w:rsidRPr="005A21E0">
      <w:rPr>
        <w:rFonts w:ascii="Arial" w:hAnsi="Arial" w:cs="Arial"/>
        <w:sz w:val="16"/>
        <w:szCs w:val="16"/>
      </w:rPr>
      <w:fldChar w:fldCharType="separate"/>
    </w:r>
    <w:r w:rsidR="00B72153">
      <w:rPr>
        <w:rFonts w:ascii="Arial" w:hAnsi="Arial" w:cs="Arial"/>
        <w:noProof/>
        <w:sz w:val="16"/>
        <w:szCs w:val="16"/>
      </w:rPr>
      <w:t>16</w:t>
    </w:r>
    <w:r w:rsidR="004D6537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Default="003D241B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3D241B" w:rsidRDefault="003D241B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4D6537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4D6537" w:rsidRPr="00B6608F">
      <w:rPr>
        <w:rFonts w:ascii="Arial" w:hAnsi="Arial" w:cs="Arial"/>
        <w:sz w:val="16"/>
        <w:szCs w:val="16"/>
      </w:rPr>
      <w:fldChar w:fldCharType="separate"/>
    </w:r>
    <w:r w:rsidR="00B72153">
      <w:rPr>
        <w:rFonts w:ascii="Arial" w:hAnsi="Arial" w:cs="Arial"/>
        <w:noProof/>
        <w:sz w:val="16"/>
        <w:szCs w:val="16"/>
      </w:rPr>
      <w:t>17</w:t>
    </w:r>
    <w:r w:rsidR="004D6537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CA" w:rsidRDefault="00B921CA" w:rsidP="00E71A58">
      <w:r>
        <w:separator/>
      </w:r>
    </w:p>
  </w:footnote>
  <w:footnote w:type="continuationSeparator" w:id="0">
    <w:p w:rsidR="00B921CA" w:rsidRDefault="00B921CA" w:rsidP="00E71A58">
      <w:r>
        <w:continuationSeparator/>
      </w:r>
    </w:p>
  </w:footnote>
  <w:footnote w:id="1">
    <w:p w:rsidR="003D241B" w:rsidRDefault="003D241B" w:rsidP="00BB64DB">
      <w:pPr>
        <w:pStyle w:val="Textpoznpodarou"/>
      </w:pPr>
      <w:r>
        <w:rPr>
          <w:rStyle w:val="Znakapoznpodarou"/>
        </w:rPr>
        <w:footnoteRef/>
      </w:r>
      <w:r>
        <w:t xml:space="preserve"> Podle mezinárodní asociace </w:t>
      </w:r>
      <w:proofErr w:type="spellStart"/>
      <w:r w:rsidRPr="003E25F5">
        <w:rPr>
          <w:i/>
        </w:rPr>
        <w:t>International</w:t>
      </w:r>
      <w:proofErr w:type="spellEnd"/>
      <w:r w:rsidRPr="003E25F5">
        <w:rPr>
          <w:i/>
        </w:rPr>
        <w:t xml:space="preserve"> </w:t>
      </w:r>
      <w:proofErr w:type="spellStart"/>
      <w:r w:rsidRPr="003E25F5">
        <w:rPr>
          <w:i/>
        </w:rPr>
        <w:t>Publishers</w:t>
      </w:r>
      <w:proofErr w:type="spellEnd"/>
      <w:r w:rsidRPr="003E25F5">
        <w:rPr>
          <w:i/>
        </w:rPr>
        <w:t xml:space="preserve"> </w:t>
      </w:r>
      <w:proofErr w:type="spellStart"/>
      <w:r w:rsidRPr="003E25F5">
        <w:rPr>
          <w:i/>
        </w:rPr>
        <w:t>Association</w:t>
      </w:r>
      <w:proofErr w:type="spellEnd"/>
      <w:r>
        <w:t xml:space="preserve"> připadalo v roce 2012 na milion obyvatel v České republice 1509 nových knižních titulů (IPA, 2014).</w:t>
      </w:r>
    </w:p>
  </w:footnote>
  <w:footnote w:id="2">
    <w:p w:rsidR="003D241B" w:rsidRDefault="003D241B">
      <w:pPr>
        <w:pStyle w:val="Textpoznpodarou"/>
      </w:pPr>
      <w:r>
        <w:rPr>
          <w:rStyle w:val="Znakapoznpodarou"/>
        </w:rPr>
        <w:footnoteRef/>
      </w:r>
      <w:r>
        <w:t xml:space="preserve"> Od roku 2009 obsahuje také údaje ze Statistiky neziskových institucí</w:t>
      </w:r>
    </w:p>
  </w:footnote>
  <w:footnote w:id="3">
    <w:p w:rsidR="003D241B" w:rsidRDefault="003D241B" w:rsidP="00BB64DB">
      <w:pPr>
        <w:pStyle w:val="Textpoznpodarou"/>
      </w:pPr>
      <w:r>
        <w:rPr>
          <w:rStyle w:val="Znakapoznpodarou"/>
        </w:rPr>
        <w:footnoteRef/>
      </w:r>
      <w:r>
        <w:t xml:space="preserve"> Podle vymezení v rámci zákona č. </w:t>
      </w:r>
      <w:r w:rsidRPr="0023548B">
        <w:t>46/2000 Sb.</w:t>
      </w:r>
      <w:r>
        <w:t xml:space="preserve"> se periodickým tiskem rozumí </w:t>
      </w:r>
      <w:r w:rsidRPr="0023548B">
        <w:rPr>
          <w:i/>
        </w:rPr>
        <w:t>noviny, časopisy a jiné tiskoviny vydávané pod stejným názvem, se stejným obsahovým zaměřením a v jednotné grafické úpravě nejméně dvakrát v</w:t>
      </w:r>
      <w:r>
        <w:rPr>
          <w:i/>
        </w:rPr>
        <w:t> </w:t>
      </w:r>
      <w:r w:rsidRPr="0023548B">
        <w:rPr>
          <w:i/>
        </w:rPr>
        <w:t>kalendářním roce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AD306C" w:rsidRDefault="003D241B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DC5B3B" w:rsidRDefault="003D241B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FDDECC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6018">
      <o:colormru v:ext="edit" colors="#ecf4dd,#eaecee,#fcec0a,#fcecdb,#f1daf5"/>
    </o:shapedefaults>
  </w:hdrShapeDefaults>
  <w:footnotePr>
    <w:numStart w:val="4"/>
    <w:footnote w:id="-1"/>
    <w:footnote w:id="0"/>
  </w:footnotePr>
  <w:endnotePr>
    <w:endnote w:id="-1"/>
    <w:endnote w:id="0"/>
  </w:endnotePr>
  <w:compat/>
  <w:rsids>
    <w:rsidRoot w:val="00F2719E"/>
    <w:rsid w:val="0000213E"/>
    <w:rsid w:val="00005C1A"/>
    <w:rsid w:val="0000767A"/>
    <w:rsid w:val="00010702"/>
    <w:rsid w:val="00012C46"/>
    <w:rsid w:val="0001315B"/>
    <w:rsid w:val="00015D27"/>
    <w:rsid w:val="00020722"/>
    <w:rsid w:val="00020FF8"/>
    <w:rsid w:val="00023EDD"/>
    <w:rsid w:val="00027455"/>
    <w:rsid w:val="00033CE1"/>
    <w:rsid w:val="000360F3"/>
    <w:rsid w:val="00042038"/>
    <w:rsid w:val="00042B50"/>
    <w:rsid w:val="00042E63"/>
    <w:rsid w:val="000443B0"/>
    <w:rsid w:val="0004694F"/>
    <w:rsid w:val="000472B0"/>
    <w:rsid w:val="000624C6"/>
    <w:rsid w:val="00062EC5"/>
    <w:rsid w:val="000630A6"/>
    <w:rsid w:val="000636B3"/>
    <w:rsid w:val="00067B3F"/>
    <w:rsid w:val="00070E6A"/>
    <w:rsid w:val="000728C1"/>
    <w:rsid w:val="00075BB9"/>
    <w:rsid w:val="00084A0D"/>
    <w:rsid w:val="00086610"/>
    <w:rsid w:val="00087634"/>
    <w:rsid w:val="000A0FF8"/>
    <w:rsid w:val="000A1183"/>
    <w:rsid w:val="000A1A9F"/>
    <w:rsid w:val="000B3FA5"/>
    <w:rsid w:val="000C0391"/>
    <w:rsid w:val="000C3408"/>
    <w:rsid w:val="000C3D1A"/>
    <w:rsid w:val="000C43C6"/>
    <w:rsid w:val="000C5653"/>
    <w:rsid w:val="000D21E1"/>
    <w:rsid w:val="000E334B"/>
    <w:rsid w:val="000E3B13"/>
    <w:rsid w:val="000E44A0"/>
    <w:rsid w:val="000E4FAD"/>
    <w:rsid w:val="000E5EEF"/>
    <w:rsid w:val="000F4B0F"/>
    <w:rsid w:val="001009D1"/>
    <w:rsid w:val="00103D6C"/>
    <w:rsid w:val="00104257"/>
    <w:rsid w:val="00105D5C"/>
    <w:rsid w:val="00114747"/>
    <w:rsid w:val="001149CE"/>
    <w:rsid w:val="00114A3F"/>
    <w:rsid w:val="00114BE5"/>
    <w:rsid w:val="00120628"/>
    <w:rsid w:val="00121FC2"/>
    <w:rsid w:val="00126EBA"/>
    <w:rsid w:val="00126F11"/>
    <w:rsid w:val="00130F4A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50D41"/>
    <w:rsid w:val="001531C9"/>
    <w:rsid w:val="00154C09"/>
    <w:rsid w:val="00157EB6"/>
    <w:rsid w:val="0016269D"/>
    <w:rsid w:val="00163793"/>
    <w:rsid w:val="00170E8B"/>
    <w:rsid w:val="001714F2"/>
    <w:rsid w:val="00171D41"/>
    <w:rsid w:val="00173703"/>
    <w:rsid w:val="001801FE"/>
    <w:rsid w:val="00180F64"/>
    <w:rsid w:val="00182456"/>
    <w:rsid w:val="00185010"/>
    <w:rsid w:val="001919CC"/>
    <w:rsid w:val="0019310E"/>
    <w:rsid w:val="00193560"/>
    <w:rsid w:val="0019602F"/>
    <w:rsid w:val="00196AEC"/>
    <w:rsid w:val="001A12AC"/>
    <w:rsid w:val="001A3DC1"/>
    <w:rsid w:val="001A4BAA"/>
    <w:rsid w:val="001A552F"/>
    <w:rsid w:val="001A58FD"/>
    <w:rsid w:val="001A6358"/>
    <w:rsid w:val="001A7DF6"/>
    <w:rsid w:val="001B3110"/>
    <w:rsid w:val="001B368B"/>
    <w:rsid w:val="001B5EAE"/>
    <w:rsid w:val="001B6DBF"/>
    <w:rsid w:val="001B7827"/>
    <w:rsid w:val="001C11CA"/>
    <w:rsid w:val="001C36A4"/>
    <w:rsid w:val="001C378C"/>
    <w:rsid w:val="001C5D40"/>
    <w:rsid w:val="001C6DBA"/>
    <w:rsid w:val="001D41F6"/>
    <w:rsid w:val="001D4ECA"/>
    <w:rsid w:val="001E020A"/>
    <w:rsid w:val="001E0AA5"/>
    <w:rsid w:val="001E0B54"/>
    <w:rsid w:val="001E12BB"/>
    <w:rsid w:val="001E3995"/>
    <w:rsid w:val="001F4597"/>
    <w:rsid w:val="00200D8C"/>
    <w:rsid w:val="00210AA5"/>
    <w:rsid w:val="002130C8"/>
    <w:rsid w:val="0021339F"/>
    <w:rsid w:val="00215600"/>
    <w:rsid w:val="0021730B"/>
    <w:rsid w:val="00220642"/>
    <w:rsid w:val="00220644"/>
    <w:rsid w:val="0022139E"/>
    <w:rsid w:val="00222204"/>
    <w:rsid w:val="00224F9D"/>
    <w:rsid w:val="002252E0"/>
    <w:rsid w:val="002255F6"/>
    <w:rsid w:val="00231FC7"/>
    <w:rsid w:val="002328DA"/>
    <w:rsid w:val="002342F1"/>
    <w:rsid w:val="00234BB2"/>
    <w:rsid w:val="00236443"/>
    <w:rsid w:val="00237048"/>
    <w:rsid w:val="00240E77"/>
    <w:rsid w:val="00243670"/>
    <w:rsid w:val="002436BA"/>
    <w:rsid w:val="00244A15"/>
    <w:rsid w:val="00246B49"/>
    <w:rsid w:val="00247371"/>
    <w:rsid w:val="002473D9"/>
    <w:rsid w:val="0024799E"/>
    <w:rsid w:val="002479CE"/>
    <w:rsid w:val="00250807"/>
    <w:rsid w:val="00255DDE"/>
    <w:rsid w:val="0025640A"/>
    <w:rsid w:val="00264C1E"/>
    <w:rsid w:val="00276FD9"/>
    <w:rsid w:val="00277254"/>
    <w:rsid w:val="0027768A"/>
    <w:rsid w:val="00282CCA"/>
    <w:rsid w:val="002842E6"/>
    <w:rsid w:val="00291420"/>
    <w:rsid w:val="002951F3"/>
    <w:rsid w:val="00297CA7"/>
    <w:rsid w:val="002A0381"/>
    <w:rsid w:val="002A1980"/>
    <w:rsid w:val="002A32D6"/>
    <w:rsid w:val="002B1997"/>
    <w:rsid w:val="002B21CF"/>
    <w:rsid w:val="002B6FCF"/>
    <w:rsid w:val="002B71DD"/>
    <w:rsid w:val="002B7E46"/>
    <w:rsid w:val="002C3743"/>
    <w:rsid w:val="002C3AEA"/>
    <w:rsid w:val="002C43BD"/>
    <w:rsid w:val="002D0CCB"/>
    <w:rsid w:val="002D12FB"/>
    <w:rsid w:val="002D4AB1"/>
    <w:rsid w:val="002E02A1"/>
    <w:rsid w:val="002E2B47"/>
    <w:rsid w:val="002F7B33"/>
    <w:rsid w:val="00304771"/>
    <w:rsid w:val="00306C5B"/>
    <w:rsid w:val="00310E42"/>
    <w:rsid w:val="00313494"/>
    <w:rsid w:val="003204A0"/>
    <w:rsid w:val="003209D6"/>
    <w:rsid w:val="00323843"/>
    <w:rsid w:val="003254A1"/>
    <w:rsid w:val="00326993"/>
    <w:rsid w:val="0032737D"/>
    <w:rsid w:val="003320C2"/>
    <w:rsid w:val="003365DE"/>
    <w:rsid w:val="00342D37"/>
    <w:rsid w:val="00343FD9"/>
    <w:rsid w:val="00346445"/>
    <w:rsid w:val="00351229"/>
    <w:rsid w:val="00354201"/>
    <w:rsid w:val="003657F3"/>
    <w:rsid w:val="00367BCF"/>
    <w:rsid w:val="003759E9"/>
    <w:rsid w:val="00377195"/>
    <w:rsid w:val="00385D98"/>
    <w:rsid w:val="00393CDB"/>
    <w:rsid w:val="003A2B4D"/>
    <w:rsid w:val="003A3495"/>
    <w:rsid w:val="003A478C"/>
    <w:rsid w:val="003A5525"/>
    <w:rsid w:val="003A5CE5"/>
    <w:rsid w:val="003A6B38"/>
    <w:rsid w:val="003A6B7F"/>
    <w:rsid w:val="003B08D8"/>
    <w:rsid w:val="003B39C4"/>
    <w:rsid w:val="003B588B"/>
    <w:rsid w:val="003B5A32"/>
    <w:rsid w:val="003C03EB"/>
    <w:rsid w:val="003C0D7E"/>
    <w:rsid w:val="003C3996"/>
    <w:rsid w:val="003C6CC2"/>
    <w:rsid w:val="003C7122"/>
    <w:rsid w:val="003C736E"/>
    <w:rsid w:val="003C7985"/>
    <w:rsid w:val="003D241B"/>
    <w:rsid w:val="003D5037"/>
    <w:rsid w:val="003E74F1"/>
    <w:rsid w:val="003F29B7"/>
    <w:rsid w:val="003F313C"/>
    <w:rsid w:val="003F44B8"/>
    <w:rsid w:val="003F4B35"/>
    <w:rsid w:val="003F5DA8"/>
    <w:rsid w:val="003F71DC"/>
    <w:rsid w:val="004004F4"/>
    <w:rsid w:val="00405FEB"/>
    <w:rsid w:val="00406BC3"/>
    <w:rsid w:val="00410BEE"/>
    <w:rsid w:val="00410E63"/>
    <w:rsid w:val="00411EBC"/>
    <w:rsid w:val="00421D77"/>
    <w:rsid w:val="0042216F"/>
    <w:rsid w:val="00425125"/>
    <w:rsid w:val="004271DC"/>
    <w:rsid w:val="00427A75"/>
    <w:rsid w:val="00430658"/>
    <w:rsid w:val="00430E4E"/>
    <w:rsid w:val="004333B9"/>
    <w:rsid w:val="004409F9"/>
    <w:rsid w:val="0044303F"/>
    <w:rsid w:val="00456315"/>
    <w:rsid w:val="004571B5"/>
    <w:rsid w:val="00461546"/>
    <w:rsid w:val="00465DDB"/>
    <w:rsid w:val="00470AC3"/>
    <w:rsid w:val="00476265"/>
    <w:rsid w:val="0048086F"/>
    <w:rsid w:val="0048139F"/>
    <w:rsid w:val="00484A8E"/>
    <w:rsid w:val="00493CD1"/>
    <w:rsid w:val="00494EAC"/>
    <w:rsid w:val="004A2B92"/>
    <w:rsid w:val="004A6D3A"/>
    <w:rsid w:val="004A77DF"/>
    <w:rsid w:val="004B13C0"/>
    <w:rsid w:val="004B288C"/>
    <w:rsid w:val="004B55B7"/>
    <w:rsid w:val="004B68A9"/>
    <w:rsid w:val="004B7DDE"/>
    <w:rsid w:val="004C05A9"/>
    <w:rsid w:val="004C3867"/>
    <w:rsid w:val="004C4951"/>
    <w:rsid w:val="004C4CD0"/>
    <w:rsid w:val="004C70DC"/>
    <w:rsid w:val="004C7C28"/>
    <w:rsid w:val="004D0211"/>
    <w:rsid w:val="004D28F3"/>
    <w:rsid w:val="004D3A66"/>
    <w:rsid w:val="004D3CB9"/>
    <w:rsid w:val="004D5A93"/>
    <w:rsid w:val="004D6537"/>
    <w:rsid w:val="004E33D5"/>
    <w:rsid w:val="004E419B"/>
    <w:rsid w:val="004E668C"/>
    <w:rsid w:val="004F06F5"/>
    <w:rsid w:val="004F2B2D"/>
    <w:rsid w:val="004F4DFA"/>
    <w:rsid w:val="004F78AD"/>
    <w:rsid w:val="004F7E67"/>
    <w:rsid w:val="0050025B"/>
    <w:rsid w:val="005101BF"/>
    <w:rsid w:val="005108C0"/>
    <w:rsid w:val="0051113D"/>
    <w:rsid w:val="00511873"/>
    <w:rsid w:val="00511E36"/>
    <w:rsid w:val="00513B7E"/>
    <w:rsid w:val="00513E5E"/>
    <w:rsid w:val="00515293"/>
    <w:rsid w:val="00515498"/>
    <w:rsid w:val="00516215"/>
    <w:rsid w:val="005179BB"/>
    <w:rsid w:val="00521047"/>
    <w:rsid w:val="00522C16"/>
    <w:rsid w:val="00522F08"/>
    <w:rsid w:val="00525137"/>
    <w:rsid w:val="005251DD"/>
    <w:rsid w:val="00527DB8"/>
    <w:rsid w:val="00530D45"/>
    <w:rsid w:val="0053607C"/>
    <w:rsid w:val="005366C7"/>
    <w:rsid w:val="00537F25"/>
    <w:rsid w:val="00542285"/>
    <w:rsid w:val="00543340"/>
    <w:rsid w:val="00546EF1"/>
    <w:rsid w:val="0056006C"/>
    <w:rsid w:val="00560108"/>
    <w:rsid w:val="00560B0A"/>
    <w:rsid w:val="005626ED"/>
    <w:rsid w:val="005639DB"/>
    <w:rsid w:val="00564762"/>
    <w:rsid w:val="005670CC"/>
    <w:rsid w:val="005719E1"/>
    <w:rsid w:val="00571CFA"/>
    <w:rsid w:val="00583523"/>
    <w:rsid w:val="00583FFD"/>
    <w:rsid w:val="005915B4"/>
    <w:rsid w:val="00593152"/>
    <w:rsid w:val="0059779F"/>
    <w:rsid w:val="005A21E0"/>
    <w:rsid w:val="005A282E"/>
    <w:rsid w:val="005A3AAF"/>
    <w:rsid w:val="005B0F98"/>
    <w:rsid w:val="005B1EDC"/>
    <w:rsid w:val="005B63CE"/>
    <w:rsid w:val="005B749B"/>
    <w:rsid w:val="005C19FC"/>
    <w:rsid w:val="005C441C"/>
    <w:rsid w:val="005C6D3C"/>
    <w:rsid w:val="005C761C"/>
    <w:rsid w:val="005C7ABD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50D7"/>
    <w:rsid w:val="005F0301"/>
    <w:rsid w:val="005F4FDA"/>
    <w:rsid w:val="005F71A6"/>
    <w:rsid w:val="005F721F"/>
    <w:rsid w:val="005F7971"/>
    <w:rsid w:val="00604307"/>
    <w:rsid w:val="0060487F"/>
    <w:rsid w:val="006103FD"/>
    <w:rsid w:val="00612473"/>
    <w:rsid w:val="006178DD"/>
    <w:rsid w:val="00620906"/>
    <w:rsid w:val="0062339D"/>
    <w:rsid w:val="00623611"/>
    <w:rsid w:val="00624093"/>
    <w:rsid w:val="00625534"/>
    <w:rsid w:val="006367EA"/>
    <w:rsid w:val="006404A7"/>
    <w:rsid w:val="006405DE"/>
    <w:rsid w:val="00641938"/>
    <w:rsid w:val="00641AB6"/>
    <w:rsid w:val="00642106"/>
    <w:rsid w:val="00643AF5"/>
    <w:rsid w:val="006451E4"/>
    <w:rsid w:val="006511DD"/>
    <w:rsid w:val="00656C7D"/>
    <w:rsid w:val="006571EA"/>
    <w:rsid w:val="00657E87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1439"/>
    <w:rsid w:val="00681EDB"/>
    <w:rsid w:val="0068260E"/>
    <w:rsid w:val="00683DBB"/>
    <w:rsid w:val="00694914"/>
    <w:rsid w:val="00695BEF"/>
    <w:rsid w:val="00696750"/>
    <w:rsid w:val="006977F6"/>
    <w:rsid w:val="00697A13"/>
    <w:rsid w:val="00697C18"/>
    <w:rsid w:val="006A0EA1"/>
    <w:rsid w:val="006A109C"/>
    <w:rsid w:val="006A5E80"/>
    <w:rsid w:val="006A63F6"/>
    <w:rsid w:val="006A7884"/>
    <w:rsid w:val="006B2F7A"/>
    <w:rsid w:val="006B565D"/>
    <w:rsid w:val="006B59D8"/>
    <w:rsid w:val="006B78D8"/>
    <w:rsid w:val="006C113F"/>
    <w:rsid w:val="006C3ECB"/>
    <w:rsid w:val="006D2601"/>
    <w:rsid w:val="006D61F6"/>
    <w:rsid w:val="006E279A"/>
    <w:rsid w:val="006E313B"/>
    <w:rsid w:val="006E3528"/>
    <w:rsid w:val="006F78BB"/>
    <w:rsid w:val="00700384"/>
    <w:rsid w:val="00706055"/>
    <w:rsid w:val="00710610"/>
    <w:rsid w:val="00711D9A"/>
    <w:rsid w:val="007127CE"/>
    <w:rsid w:val="007211F5"/>
    <w:rsid w:val="00722350"/>
    <w:rsid w:val="007233A2"/>
    <w:rsid w:val="00730718"/>
    <w:rsid w:val="00730AE8"/>
    <w:rsid w:val="00731CAB"/>
    <w:rsid w:val="007358EB"/>
    <w:rsid w:val="00736F19"/>
    <w:rsid w:val="00740F4A"/>
    <w:rsid w:val="00741493"/>
    <w:rsid w:val="00750D87"/>
    <w:rsid w:val="00752180"/>
    <w:rsid w:val="00754990"/>
    <w:rsid w:val="00755D3A"/>
    <w:rsid w:val="007562FD"/>
    <w:rsid w:val="00756AF1"/>
    <w:rsid w:val="007609C6"/>
    <w:rsid w:val="00761B68"/>
    <w:rsid w:val="00763FF2"/>
    <w:rsid w:val="00772B59"/>
    <w:rsid w:val="00772DA1"/>
    <w:rsid w:val="007764CA"/>
    <w:rsid w:val="00776527"/>
    <w:rsid w:val="00783501"/>
    <w:rsid w:val="0078588D"/>
    <w:rsid w:val="00793BA5"/>
    <w:rsid w:val="00794608"/>
    <w:rsid w:val="00795A8D"/>
    <w:rsid w:val="007A39D9"/>
    <w:rsid w:val="007A4926"/>
    <w:rsid w:val="007B04C3"/>
    <w:rsid w:val="007B47EE"/>
    <w:rsid w:val="007B4BE9"/>
    <w:rsid w:val="007B60D9"/>
    <w:rsid w:val="007B7D35"/>
    <w:rsid w:val="007C419E"/>
    <w:rsid w:val="007C4B02"/>
    <w:rsid w:val="007C5DBE"/>
    <w:rsid w:val="007D12C6"/>
    <w:rsid w:val="007D2468"/>
    <w:rsid w:val="007D286D"/>
    <w:rsid w:val="007D386E"/>
    <w:rsid w:val="007D7921"/>
    <w:rsid w:val="007E12CE"/>
    <w:rsid w:val="007E68C1"/>
    <w:rsid w:val="007E769B"/>
    <w:rsid w:val="007E7E61"/>
    <w:rsid w:val="007F0C99"/>
    <w:rsid w:val="007F0F88"/>
    <w:rsid w:val="007F46D3"/>
    <w:rsid w:val="008004E0"/>
    <w:rsid w:val="008018B7"/>
    <w:rsid w:val="008112B6"/>
    <w:rsid w:val="00812056"/>
    <w:rsid w:val="008134C4"/>
    <w:rsid w:val="00821FF6"/>
    <w:rsid w:val="0082352E"/>
    <w:rsid w:val="0082466D"/>
    <w:rsid w:val="00830E90"/>
    <w:rsid w:val="0083143E"/>
    <w:rsid w:val="00834FAA"/>
    <w:rsid w:val="0083501D"/>
    <w:rsid w:val="00836086"/>
    <w:rsid w:val="008417AB"/>
    <w:rsid w:val="00841A5E"/>
    <w:rsid w:val="00846194"/>
    <w:rsid w:val="00851419"/>
    <w:rsid w:val="00854DAE"/>
    <w:rsid w:val="00856B6A"/>
    <w:rsid w:val="00857BB4"/>
    <w:rsid w:val="00861EA1"/>
    <w:rsid w:val="00876086"/>
    <w:rsid w:val="00877C01"/>
    <w:rsid w:val="00882967"/>
    <w:rsid w:val="0088598B"/>
    <w:rsid w:val="008862D3"/>
    <w:rsid w:val="008905EC"/>
    <w:rsid w:val="008927E1"/>
    <w:rsid w:val="00895548"/>
    <w:rsid w:val="008B64EB"/>
    <w:rsid w:val="008B7C02"/>
    <w:rsid w:val="008C0E88"/>
    <w:rsid w:val="008D2A16"/>
    <w:rsid w:val="008D2F5A"/>
    <w:rsid w:val="008D4396"/>
    <w:rsid w:val="008E1B68"/>
    <w:rsid w:val="008E31FF"/>
    <w:rsid w:val="008E3C01"/>
    <w:rsid w:val="008E441C"/>
    <w:rsid w:val="008E49E1"/>
    <w:rsid w:val="008E55E4"/>
    <w:rsid w:val="008F2642"/>
    <w:rsid w:val="008F3C15"/>
    <w:rsid w:val="008F477E"/>
    <w:rsid w:val="008F58EE"/>
    <w:rsid w:val="008F7193"/>
    <w:rsid w:val="009003A8"/>
    <w:rsid w:val="0090098A"/>
    <w:rsid w:val="00902EFF"/>
    <w:rsid w:val="00903051"/>
    <w:rsid w:val="0090382A"/>
    <w:rsid w:val="00903FEE"/>
    <w:rsid w:val="00904083"/>
    <w:rsid w:val="00905296"/>
    <w:rsid w:val="00910452"/>
    <w:rsid w:val="00917A68"/>
    <w:rsid w:val="00921B97"/>
    <w:rsid w:val="00921F14"/>
    <w:rsid w:val="00922E0F"/>
    <w:rsid w:val="009253A5"/>
    <w:rsid w:val="00932900"/>
    <w:rsid w:val="00934E40"/>
    <w:rsid w:val="00936824"/>
    <w:rsid w:val="009421B4"/>
    <w:rsid w:val="00942F60"/>
    <w:rsid w:val="0094427A"/>
    <w:rsid w:val="00953DCA"/>
    <w:rsid w:val="00953DFC"/>
    <w:rsid w:val="00954561"/>
    <w:rsid w:val="00963B40"/>
    <w:rsid w:val="009646A5"/>
    <w:rsid w:val="009722A9"/>
    <w:rsid w:val="00973454"/>
    <w:rsid w:val="0097432A"/>
    <w:rsid w:val="00974923"/>
    <w:rsid w:val="0098563A"/>
    <w:rsid w:val="00986F4F"/>
    <w:rsid w:val="00993E93"/>
    <w:rsid w:val="00994972"/>
    <w:rsid w:val="009A04D6"/>
    <w:rsid w:val="009A1FA5"/>
    <w:rsid w:val="009A6971"/>
    <w:rsid w:val="009A75F3"/>
    <w:rsid w:val="009B2F33"/>
    <w:rsid w:val="009B6EC8"/>
    <w:rsid w:val="009B6FD3"/>
    <w:rsid w:val="009B7457"/>
    <w:rsid w:val="009B74C9"/>
    <w:rsid w:val="009C3B45"/>
    <w:rsid w:val="009C62A4"/>
    <w:rsid w:val="009C64E1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CF6"/>
    <w:rsid w:val="009E7D44"/>
    <w:rsid w:val="009F04AA"/>
    <w:rsid w:val="009F128C"/>
    <w:rsid w:val="009F2FED"/>
    <w:rsid w:val="009F4056"/>
    <w:rsid w:val="009F4C62"/>
    <w:rsid w:val="009F68CD"/>
    <w:rsid w:val="009F6BE3"/>
    <w:rsid w:val="00A10D66"/>
    <w:rsid w:val="00A11B36"/>
    <w:rsid w:val="00A20AC3"/>
    <w:rsid w:val="00A2347A"/>
    <w:rsid w:val="00A23E43"/>
    <w:rsid w:val="00A242B0"/>
    <w:rsid w:val="00A33661"/>
    <w:rsid w:val="00A33EFD"/>
    <w:rsid w:val="00A35033"/>
    <w:rsid w:val="00A35492"/>
    <w:rsid w:val="00A35B08"/>
    <w:rsid w:val="00A35DDE"/>
    <w:rsid w:val="00A46DE0"/>
    <w:rsid w:val="00A47539"/>
    <w:rsid w:val="00A504C5"/>
    <w:rsid w:val="00A5138E"/>
    <w:rsid w:val="00A61DF0"/>
    <w:rsid w:val="00A62302"/>
    <w:rsid w:val="00A62CE1"/>
    <w:rsid w:val="00A64348"/>
    <w:rsid w:val="00A66484"/>
    <w:rsid w:val="00A67DF4"/>
    <w:rsid w:val="00A70574"/>
    <w:rsid w:val="00A70B41"/>
    <w:rsid w:val="00A7537C"/>
    <w:rsid w:val="00A75E40"/>
    <w:rsid w:val="00A800CC"/>
    <w:rsid w:val="00A82726"/>
    <w:rsid w:val="00A857C0"/>
    <w:rsid w:val="00A86F80"/>
    <w:rsid w:val="00A902A0"/>
    <w:rsid w:val="00A92865"/>
    <w:rsid w:val="00A94B82"/>
    <w:rsid w:val="00A96EFF"/>
    <w:rsid w:val="00AA4913"/>
    <w:rsid w:val="00AA559A"/>
    <w:rsid w:val="00AA5F96"/>
    <w:rsid w:val="00AB2AF1"/>
    <w:rsid w:val="00AB32A2"/>
    <w:rsid w:val="00AB395D"/>
    <w:rsid w:val="00AB76AC"/>
    <w:rsid w:val="00AC59AE"/>
    <w:rsid w:val="00AD306C"/>
    <w:rsid w:val="00AD473A"/>
    <w:rsid w:val="00AF026E"/>
    <w:rsid w:val="00AF70B2"/>
    <w:rsid w:val="00B00577"/>
    <w:rsid w:val="00B01997"/>
    <w:rsid w:val="00B01CAD"/>
    <w:rsid w:val="00B02802"/>
    <w:rsid w:val="00B02A97"/>
    <w:rsid w:val="00B02B9F"/>
    <w:rsid w:val="00B134BB"/>
    <w:rsid w:val="00B17A7F"/>
    <w:rsid w:val="00B17E71"/>
    <w:rsid w:val="00B17FDE"/>
    <w:rsid w:val="00B209E4"/>
    <w:rsid w:val="00B2154E"/>
    <w:rsid w:val="00B26A63"/>
    <w:rsid w:val="00B277C2"/>
    <w:rsid w:val="00B32936"/>
    <w:rsid w:val="00B32DDB"/>
    <w:rsid w:val="00B34A56"/>
    <w:rsid w:val="00B374C5"/>
    <w:rsid w:val="00B414F8"/>
    <w:rsid w:val="00B45422"/>
    <w:rsid w:val="00B508F7"/>
    <w:rsid w:val="00B54975"/>
    <w:rsid w:val="00B554C6"/>
    <w:rsid w:val="00B55E53"/>
    <w:rsid w:val="00B570F5"/>
    <w:rsid w:val="00B615FA"/>
    <w:rsid w:val="00B63403"/>
    <w:rsid w:val="00B6348E"/>
    <w:rsid w:val="00B6608F"/>
    <w:rsid w:val="00B72153"/>
    <w:rsid w:val="00B76D1E"/>
    <w:rsid w:val="00B82B44"/>
    <w:rsid w:val="00B9096F"/>
    <w:rsid w:val="00B90C58"/>
    <w:rsid w:val="00B921CA"/>
    <w:rsid w:val="00B92E07"/>
    <w:rsid w:val="00B94374"/>
    <w:rsid w:val="00B95940"/>
    <w:rsid w:val="00B976FB"/>
    <w:rsid w:val="00B97BEC"/>
    <w:rsid w:val="00B97DC8"/>
    <w:rsid w:val="00BA414E"/>
    <w:rsid w:val="00BA44D7"/>
    <w:rsid w:val="00BA493B"/>
    <w:rsid w:val="00BA5388"/>
    <w:rsid w:val="00BA5469"/>
    <w:rsid w:val="00BA606F"/>
    <w:rsid w:val="00BB5366"/>
    <w:rsid w:val="00BB58D0"/>
    <w:rsid w:val="00BB64DB"/>
    <w:rsid w:val="00BC0761"/>
    <w:rsid w:val="00BC3543"/>
    <w:rsid w:val="00BC37EF"/>
    <w:rsid w:val="00BC712A"/>
    <w:rsid w:val="00BC7950"/>
    <w:rsid w:val="00BD2F1E"/>
    <w:rsid w:val="00BD366B"/>
    <w:rsid w:val="00BD6D50"/>
    <w:rsid w:val="00BE1A8D"/>
    <w:rsid w:val="00BE7543"/>
    <w:rsid w:val="00BE7BBE"/>
    <w:rsid w:val="00BF199B"/>
    <w:rsid w:val="00BF33BA"/>
    <w:rsid w:val="00BF3A86"/>
    <w:rsid w:val="00C00A63"/>
    <w:rsid w:val="00C02AFD"/>
    <w:rsid w:val="00C041AD"/>
    <w:rsid w:val="00C05AF7"/>
    <w:rsid w:val="00C10021"/>
    <w:rsid w:val="00C12EC2"/>
    <w:rsid w:val="00C1603D"/>
    <w:rsid w:val="00C16C0E"/>
    <w:rsid w:val="00C174DD"/>
    <w:rsid w:val="00C21F94"/>
    <w:rsid w:val="00C30C52"/>
    <w:rsid w:val="00C30DFA"/>
    <w:rsid w:val="00C32DCF"/>
    <w:rsid w:val="00C37C2F"/>
    <w:rsid w:val="00C4315C"/>
    <w:rsid w:val="00C43825"/>
    <w:rsid w:val="00C47F27"/>
    <w:rsid w:val="00C515BF"/>
    <w:rsid w:val="00C522C1"/>
    <w:rsid w:val="00C53B40"/>
    <w:rsid w:val="00C53DDA"/>
    <w:rsid w:val="00C5791B"/>
    <w:rsid w:val="00C62D2F"/>
    <w:rsid w:val="00C64BB8"/>
    <w:rsid w:val="00C720AF"/>
    <w:rsid w:val="00C80F44"/>
    <w:rsid w:val="00C8471A"/>
    <w:rsid w:val="00C8582D"/>
    <w:rsid w:val="00C90CF4"/>
    <w:rsid w:val="00C92E76"/>
    <w:rsid w:val="00C93389"/>
    <w:rsid w:val="00C96C58"/>
    <w:rsid w:val="00C972A4"/>
    <w:rsid w:val="00CA5B30"/>
    <w:rsid w:val="00CB19B7"/>
    <w:rsid w:val="00CB2E34"/>
    <w:rsid w:val="00CB365C"/>
    <w:rsid w:val="00CB5E1F"/>
    <w:rsid w:val="00CB6787"/>
    <w:rsid w:val="00CB7B8F"/>
    <w:rsid w:val="00CB7C6A"/>
    <w:rsid w:val="00CC035A"/>
    <w:rsid w:val="00CC1BCB"/>
    <w:rsid w:val="00CC6AC0"/>
    <w:rsid w:val="00CD69AB"/>
    <w:rsid w:val="00CE05B1"/>
    <w:rsid w:val="00CE5B81"/>
    <w:rsid w:val="00CE762C"/>
    <w:rsid w:val="00CF1E47"/>
    <w:rsid w:val="00CF30FD"/>
    <w:rsid w:val="00CF3AF7"/>
    <w:rsid w:val="00CF3BC3"/>
    <w:rsid w:val="00CF51EC"/>
    <w:rsid w:val="00D040DD"/>
    <w:rsid w:val="00D06570"/>
    <w:rsid w:val="00D15C62"/>
    <w:rsid w:val="00D16B95"/>
    <w:rsid w:val="00D17C11"/>
    <w:rsid w:val="00D2032F"/>
    <w:rsid w:val="00D304D1"/>
    <w:rsid w:val="00D32AAF"/>
    <w:rsid w:val="00D41139"/>
    <w:rsid w:val="00D424F7"/>
    <w:rsid w:val="00D508CE"/>
    <w:rsid w:val="00D50CCC"/>
    <w:rsid w:val="00D51F16"/>
    <w:rsid w:val="00D7252F"/>
    <w:rsid w:val="00D73DDD"/>
    <w:rsid w:val="00D7580F"/>
    <w:rsid w:val="00D82C76"/>
    <w:rsid w:val="00D82E85"/>
    <w:rsid w:val="00D85311"/>
    <w:rsid w:val="00D862E2"/>
    <w:rsid w:val="00D90902"/>
    <w:rsid w:val="00D926D6"/>
    <w:rsid w:val="00D9593B"/>
    <w:rsid w:val="00D95F9C"/>
    <w:rsid w:val="00DA4A23"/>
    <w:rsid w:val="00DA4D23"/>
    <w:rsid w:val="00DA7A50"/>
    <w:rsid w:val="00DB2C93"/>
    <w:rsid w:val="00DB5208"/>
    <w:rsid w:val="00DC44B4"/>
    <w:rsid w:val="00DC5B3B"/>
    <w:rsid w:val="00DD025D"/>
    <w:rsid w:val="00DD2C24"/>
    <w:rsid w:val="00DD3310"/>
    <w:rsid w:val="00DD5273"/>
    <w:rsid w:val="00DE4E41"/>
    <w:rsid w:val="00DE61D7"/>
    <w:rsid w:val="00DF2BE0"/>
    <w:rsid w:val="00DF38E1"/>
    <w:rsid w:val="00E01C0E"/>
    <w:rsid w:val="00E0238B"/>
    <w:rsid w:val="00E04694"/>
    <w:rsid w:val="00E069D1"/>
    <w:rsid w:val="00E14DCA"/>
    <w:rsid w:val="00E27145"/>
    <w:rsid w:val="00E313C9"/>
    <w:rsid w:val="00E32551"/>
    <w:rsid w:val="00E34129"/>
    <w:rsid w:val="00E34334"/>
    <w:rsid w:val="00E35EE2"/>
    <w:rsid w:val="00E43274"/>
    <w:rsid w:val="00E44FE6"/>
    <w:rsid w:val="00E46A44"/>
    <w:rsid w:val="00E52C0B"/>
    <w:rsid w:val="00E5721D"/>
    <w:rsid w:val="00E63E10"/>
    <w:rsid w:val="00E67F89"/>
    <w:rsid w:val="00E71A58"/>
    <w:rsid w:val="00E80CEE"/>
    <w:rsid w:val="00E86BBC"/>
    <w:rsid w:val="00E87690"/>
    <w:rsid w:val="00E928A7"/>
    <w:rsid w:val="00E92B7F"/>
    <w:rsid w:val="00E93594"/>
    <w:rsid w:val="00E93DF1"/>
    <w:rsid w:val="00E93E77"/>
    <w:rsid w:val="00E957EC"/>
    <w:rsid w:val="00E95ED4"/>
    <w:rsid w:val="00EA0C68"/>
    <w:rsid w:val="00EA2491"/>
    <w:rsid w:val="00EA2F6A"/>
    <w:rsid w:val="00EA3D63"/>
    <w:rsid w:val="00EA48B1"/>
    <w:rsid w:val="00EA52AB"/>
    <w:rsid w:val="00EC491F"/>
    <w:rsid w:val="00EC541A"/>
    <w:rsid w:val="00EC5D3C"/>
    <w:rsid w:val="00ED0206"/>
    <w:rsid w:val="00ED286F"/>
    <w:rsid w:val="00ED437A"/>
    <w:rsid w:val="00EE1F14"/>
    <w:rsid w:val="00EE3E78"/>
    <w:rsid w:val="00EE504E"/>
    <w:rsid w:val="00EE6D0D"/>
    <w:rsid w:val="00EE7545"/>
    <w:rsid w:val="00EF1538"/>
    <w:rsid w:val="00EF194E"/>
    <w:rsid w:val="00EF1F5A"/>
    <w:rsid w:val="00EF4D97"/>
    <w:rsid w:val="00F02FF2"/>
    <w:rsid w:val="00F04811"/>
    <w:rsid w:val="00F0488C"/>
    <w:rsid w:val="00F07CC0"/>
    <w:rsid w:val="00F100E0"/>
    <w:rsid w:val="00F12145"/>
    <w:rsid w:val="00F12C10"/>
    <w:rsid w:val="00F12DB1"/>
    <w:rsid w:val="00F15BEF"/>
    <w:rsid w:val="00F1651D"/>
    <w:rsid w:val="00F24FAA"/>
    <w:rsid w:val="00F2719E"/>
    <w:rsid w:val="00F2751B"/>
    <w:rsid w:val="00F33376"/>
    <w:rsid w:val="00F3364D"/>
    <w:rsid w:val="00F33E22"/>
    <w:rsid w:val="00F33F97"/>
    <w:rsid w:val="00F35286"/>
    <w:rsid w:val="00F37CFB"/>
    <w:rsid w:val="00F40373"/>
    <w:rsid w:val="00F419C2"/>
    <w:rsid w:val="00F4721B"/>
    <w:rsid w:val="00F543ED"/>
    <w:rsid w:val="00F63DDE"/>
    <w:rsid w:val="00F63FB7"/>
    <w:rsid w:val="00F64AB5"/>
    <w:rsid w:val="00F64B5F"/>
    <w:rsid w:val="00F65272"/>
    <w:rsid w:val="00F72FAA"/>
    <w:rsid w:val="00F73A0C"/>
    <w:rsid w:val="00F75378"/>
    <w:rsid w:val="00F77FD7"/>
    <w:rsid w:val="00F82744"/>
    <w:rsid w:val="00F912EF"/>
    <w:rsid w:val="00F95D6D"/>
    <w:rsid w:val="00F972A8"/>
    <w:rsid w:val="00FA6A70"/>
    <w:rsid w:val="00FB2130"/>
    <w:rsid w:val="00FB6DE3"/>
    <w:rsid w:val="00FC0E5F"/>
    <w:rsid w:val="00FC1FBC"/>
    <w:rsid w:val="00FC56DE"/>
    <w:rsid w:val="00FC7ECC"/>
    <w:rsid w:val="00FD3B1F"/>
    <w:rsid w:val="00FE1C5D"/>
    <w:rsid w:val="00FE26AC"/>
    <w:rsid w:val="00FE27EE"/>
    <w:rsid w:val="00FE2F78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.%20Kapitola%202%20-%20SBS%20Knihy%20a%20tisk%20p&#345;&#237;jm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o&#269;enka\Ro&#269;enka%202016\Vypl&#328;en&#225;%20data\2624%20-%20hotovo_odesl&#225;no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2%20-%20sbs%20zamestnanost%20knihy%20a%20tisk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kapitola%202%20online%20zprav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kapitola%202%20cteni%20zprav%20online%20vekove%20kategorie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%20-%20periodika_spot&#345;ebitel&#233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%20-%20periodika_spot&#345;ebitel&#233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2%20-%20sbs%20zamestnanost%20knihy%20a%20tis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nakupovani_specif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Kapitola%202%20-%20sbs%20knihy%20prijm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2%20-%20sbs%20zamestnanost%20knihy%20a%20tis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kapitola%202%20-%20pocet%20titulu,%20knih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%20-%20&#269;ten&#225;&#345;i%20a%20&#269;ten&#23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4\Ostatn&#237;%20zdroje%20-%20tabulky\v&#253;stupy,%20tis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Příjmy!$B$6</c:f>
              <c:strCache>
                <c:ptCount val="1"/>
                <c:pt idx="0">
                  <c:v>Součet z VYNOSY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strRef>
              <c:f>Příjmy!$C$5:$L$5</c:f>
              <c:strCach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strCache>
            </c:strRef>
          </c:cat>
          <c:val>
            <c:numRef>
              <c:f>Příjmy!$C$6:$L$6</c:f>
              <c:numCache>
                <c:formatCode>General</c:formatCode>
                <c:ptCount val="10"/>
                <c:pt idx="0">
                  <c:v>45.515200259572595</c:v>
                </c:pt>
                <c:pt idx="1">
                  <c:v>48.507487347378294</c:v>
                </c:pt>
                <c:pt idx="2">
                  <c:v>50.904804646405999</c:v>
                </c:pt>
                <c:pt idx="3">
                  <c:v>52.410189467394297</c:v>
                </c:pt>
                <c:pt idx="4">
                  <c:v>47.286030390018311</c:v>
                </c:pt>
                <c:pt idx="5">
                  <c:v>47.538192232480995</c:v>
                </c:pt>
                <c:pt idx="6">
                  <c:v>45.519984420451898</c:v>
                </c:pt>
                <c:pt idx="7">
                  <c:v>42.667765511011496</c:v>
                </c:pt>
                <c:pt idx="8">
                  <c:v>40.251456899250194</c:v>
                </c:pt>
                <c:pt idx="9">
                  <c:v>40.200000000000003</c:v>
                </c:pt>
              </c:numCache>
            </c:numRef>
          </c:val>
        </c:ser>
        <c:marker val="1"/>
        <c:axId val="171838464"/>
        <c:axId val="171946752"/>
      </c:lineChart>
      <c:catAx>
        <c:axId val="171838464"/>
        <c:scaling>
          <c:orientation val="minMax"/>
        </c:scaling>
        <c:axPos val="b"/>
        <c:tickLblPos val="nextTo"/>
        <c:crossAx val="171946752"/>
        <c:crosses val="autoZero"/>
        <c:auto val="1"/>
        <c:lblAlgn val="ctr"/>
        <c:lblOffset val="100"/>
      </c:catAx>
      <c:valAx>
        <c:axId val="171946752"/>
        <c:scaling>
          <c:orientation val="minMax"/>
        </c:scaling>
        <c:axPos val="l"/>
        <c:majorGridlines/>
        <c:numFmt formatCode="General" sourceLinked="1"/>
        <c:tickLblPos val="nextTo"/>
        <c:crossAx val="1718384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a!$A$21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rgbClr val="1F497D">
                  <a:lumMod val="75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a!$B$20:$L$20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a!$B$21:$L$21</c:f>
              <c:numCache>
                <c:formatCode>General</c:formatCode>
                <c:ptCount val="11"/>
                <c:pt idx="0">
                  <c:v>4.399</c:v>
                </c:pt>
                <c:pt idx="1">
                  <c:v>4.8319999999999999</c:v>
                </c:pt>
                <c:pt idx="2">
                  <c:v>4.9470000000000001</c:v>
                </c:pt>
                <c:pt idx="3">
                  <c:v>5.6869999999999985</c:v>
                </c:pt>
                <c:pt idx="4">
                  <c:v>5.4809999999999999</c:v>
                </c:pt>
                <c:pt idx="5">
                  <c:v>5.2649999999999855</c:v>
                </c:pt>
                <c:pt idx="6">
                  <c:v>5.0979999999999945</c:v>
                </c:pt>
                <c:pt idx="7">
                  <c:v>5.0280000000000005</c:v>
                </c:pt>
                <c:pt idx="8">
                  <c:v>5.0169999999999995</c:v>
                </c:pt>
                <c:pt idx="9">
                  <c:v>5.1269999999999945</c:v>
                </c:pt>
                <c:pt idx="10">
                  <c:v>5.1819999999999995</c:v>
                </c:pt>
              </c:numCache>
            </c:numRef>
          </c:val>
        </c:ser>
        <c:ser>
          <c:idx val="1"/>
          <c:order val="1"/>
          <c:tx>
            <c:strRef>
              <c:f>a!$A$22</c:f>
              <c:strCache>
                <c:ptCount val="1"/>
                <c:pt idx="0">
                  <c:v>z toho novin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a!$B$20:$L$20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a!$B$22:$L$22</c:f>
              <c:numCache>
                <c:formatCode>General</c:formatCode>
                <c:ptCount val="11"/>
                <c:pt idx="0">
                  <c:v>1.4059999999999797</c:v>
                </c:pt>
                <c:pt idx="1">
                  <c:v>1.589</c:v>
                </c:pt>
                <c:pt idx="2">
                  <c:v>1.5109999999999895</c:v>
                </c:pt>
                <c:pt idx="3">
                  <c:v>1.7369999999999886</c:v>
                </c:pt>
                <c:pt idx="4">
                  <c:v>1.6830000000000001</c:v>
                </c:pt>
                <c:pt idx="5">
                  <c:v>1.6620000000000001</c:v>
                </c:pt>
                <c:pt idx="6">
                  <c:v>1.522</c:v>
                </c:pt>
                <c:pt idx="7">
                  <c:v>1.381</c:v>
                </c:pt>
                <c:pt idx="8">
                  <c:v>1.391</c:v>
                </c:pt>
                <c:pt idx="9">
                  <c:v>1.3940000000000001</c:v>
                </c:pt>
                <c:pt idx="10">
                  <c:v>1.5</c:v>
                </c:pt>
              </c:numCache>
            </c:numRef>
          </c:val>
        </c:ser>
        <c:marker val="1"/>
        <c:axId val="176500736"/>
        <c:axId val="176533504"/>
      </c:lineChart>
      <c:catAx>
        <c:axId val="176500736"/>
        <c:scaling>
          <c:orientation val="minMax"/>
        </c:scaling>
        <c:axPos val="b"/>
        <c:numFmt formatCode="General" sourceLinked="1"/>
        <c:tickLblPos val="nextTo"/>
        <c:crossAx val="176533504"/>
        <c:crosses val="autoZero"/>
        <c:auto val="1"/>
        <c:lblAlgn val="ctr"/>
        <c:lblOffset val="100"/>
      </c:catAx>
      <c:valAx>
        <c:axId val="176533504"/>
        <c:scaling>
          <c:orientation val="minMax"/>
        </c:scaling>
        <c:axPos val="l"/>
        <c:majorGridlines/>
        <c:numFmt formatCode="General" sourceLinked="1"/>
        <c:tickLblPos val="nextTo"/>
        <c:crossAx val="17650073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5.180575066797307E-2"/>
          <c:y val="0.24691531979555198"/>
          <c:w val="0.90821423933702439"/>
          <c:h val="0.5772836027075563"/>
        </c:manualLayout>
      </c:layout>
      <c:lineChart>
        <c:grouping val="standard"/>
        <c:ser>
          <c:idx val="0"/>
          <c:order val="0"/>
          <c:tx>
            <c:strRef>
              <c:f>List1!$A$66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List1!$B$65:$K$65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List1!$B$66:$K$66</c:f>
              <c:numCache>
                <c:formatCode>General</c:formatCode>
                <c:ptCount val="10"/>
                <c:pt idx="0">
                  <c:v>9.9727644984700028</c:v>
                </c:pt>
                <c:pt idx="1">
                  <c:v>10.433365017450001</c:v>
                </c:pt>
                <c:pt idx="2">
                  <c:v>10.1245897944</c:v>
                </c:pt>
                <c:pt idx="3">
                  <c:v>9.6130514441312389</c:v>
                </c:pt>
                <c:pt idx="4">
                  <c:v>9.5581858364176266</c:v>
                </c:pt>
                <c:pt idx="5">
                  <c:v>9.2455569915755973</c:v>
                </c:pt>
                <c:pt idx="6">
                  <c:v>8.6612055741748986</c:v>
                </c:pt>
                <c:pt idx="7">
                  <c:v>8.4968449472299863</c:v>
                </c:pt>
                <c:pt idx="8">
                  <c:v>8.1654326210411732</c:v>
                </c:pt>
                <c:pt idx="9">
                  <c:v>8.0493085075592017</c:v>
                </c:pt>
              </c:numCache>
            </c:numRef>
          </c:val>
        </c:ser>
        <c:ser>
          <c:idx val="1"/>
          <c:order val="1"/>
          <c:tx>
            <c:strRef>
              <c:f>List1!$A$67</c:f>
              <c:strCache>
                <c:ptCount val="1"/>
                <c:pt idx="0">
                  <c:v>z toho vydávání novin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rgbClr val="1F497D">
                  <a:lumMod val="75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List1!$B$65:$K$65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List1!$B$67:$K$67</c:f>
              <c:numCache>
                <c:formatCode>General</c:formatCode>
                <c:ptCount val="10"/>
                <c:pt idx="0">
                  <c:v>4.3347096728799945</c:v>
                </c:pt>
                <c:pt idx="1">
                  <c:v>4.6712713654700124</c:v>
                </c:pt>
                <c:pt idx="2">
                  <c:v>4.7276430413999995</c:v>
                </c:pt>
                <c:pt idx="3">
                  <c:v>4.2836559957796458</c:v>
                </c:pt>
                <c:pt idx="4">
                  <c:v>4.0870311193956965</c:v>
                </c:pt>
                <c:pt idx="5">
                  <c:v>3.8065336681205002</c:v>
                </c:pt>
                <c:pt idx="6">
                  <c:v>3.8299170927160002</c:v>
                </c:pt>
                <c:pt idx="7">
                  <c:v>3.5248643468859195</c:v>
                </c:pt>
                <c:pt idx="8">
                  <c:v>3.2942571965231977</c:v>
                </c:pt>
                <c:pt idx="9">
                  <c:v>3.4672873797098003</c:v>
                </c:pt>
              </c:numCache>
            </c:numRef>
          </c:val>
        </c:ser>
        <c:ser>
          <c:idx val="2"/>
          <c:order val="2"/>
          <c:tx>
            <c:strRef>
              <c:f>List1!$A$68</c:f>
              <c:strCache>
                <c:ptCount val="1"/>
                <c:pt idx="0">
                  <c:v>z toho vydávání časopisů</c:v>
                </c:pt>
              </c:strCache>
            </c:strRef>
          </c:tx>
          <c:dLbls>
            <c:numFmt formatCode="#,##0.0" sourceLinked="0"/>
            <c:dLblPos val="b"/>
            <c:showVal val="1"/>
          </c:dLbls>
          <c:cat>
            <c:numRef>
              <c:f>List1!$B$65:$K$65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List1!$B$68:$K$68</c:f>
              <c:numCache>
                <c:formatCode>General</c:formatCode>
                <c:ptCount val="10"/>
                <c:pt idx="0">
                  <c:v>3.3261827441599996</c:v>
                </c:pt>
                <c:pt idx="1">
                  <c:v>3.3062648366899987</c:v>
                </c:pt>
                <c:pt idx="2">
                  <c:v>3.2097279640600012</c:v>
                </c:pt>
                <c:pt idx="3">
                  <c:v>3.5742991278427994</c:v>
                </c:pt>
                <c:pt idx="4">
                  <c:v>3.7623598296559</c:v>
                </c:pt>
                <c:pt idx="5">
                  <c:v>3.660694077665021</c:v>
                </c:pt>
                <c:pt idx="6">
                  <c:v>3.2406937197524219</c:v>
                </c:pt>
                <c:pt idx="7">
                  <c:v>3.2953527782010092</c:v>
                </c:pt>
                <c:pt idx="8">
                  <c:v>3.1380888337941784</c:v>
                </c:pt>
                <c:pt idx="9">
                  <c:v>2.7135846275514224</c:v>
                </c:pt>
              </c:numCache>
            </c:numRef>
          </c:val>
        </c:ser>
        <c:marker val="1"/>
        <c:axId val="171920384"/>
        <c:axId val="171950848"/>
      </c:lineChart>
      <c:catAx>
        <c:axId val="171920384"/>
        <c:scaling>
          <c:orientation val="minMax"/>
        </c:scaling>
        <c:axPos val="b"/>
        <c:numFmt formatCode="General" sourceLinked="1"/>
        <c:tickLblPos val="nextTo"/>
        <c:crossAx val="171950848"/>
        <c:crosses val="autoZero"/>
        <c:auto val="1"/>
        <c:lblAlgn val="ctr"/>
        <c:lblOffset val="100"/>
      </c:catAx>
      <c:valAx>
        <c:axId val="171950848"/>
        <c:scaling>
          <c:orientation val="minMax"/>
        </c:scaling>
        <c:axPos val="l"/>
        <c:majorGridlines/>
        <c:numFmt formatCode="General" sourceLinked="1"/>
        <c:tickLblPos val="nextTo"/>
        <c:crossAx val="171920384"/>
        <c:crosses val="autoZero"/>
        <c:crossBetween val="between"/>
      </c:valAx>
    </c:plotArea>
    <c:legend>
      <c:legendPos val="t"/>
    </c:legend>
    <c:plotVisOnly val="1"/>
  </c:chart>
  <c:spPr>
    <a:noFill/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'34'!$A$50</c:f>
              <c:strCache>
                <c:ptCount val="1"/>
                <c:pt idx="0">
                  <c:v>jednotlivci 16+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rgbClr val="1F497D">
                  <a:lumMod val="75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0.0%" sourceLinked="0"/>
            <c:dLblPos val="t"/>
            <c:showVal val="1"/>
          </c:dLbls>
          <c:cat>
            <c:numRef>
              <c:f>'34'!$B$49:$H$49</c:f>
              <c:numCache>
                <c:formatCode>General</c:formatCode>
                <c:ptCount val="7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numCache>
            </c:numRef>
          </c:cat>
          <c:val>
            <c:numRef>
              <c:f>'34'!$B$50:$H$50</c:f>
              <c:numCache>
                <c:formatCode>General</c:formatCode>
                <c:ptCount val="7"/>
                <c:pt idx="0">
                  <c:v>0.17593549827890001</c:v>
                </c:pt>
                <c:pt idx="1">
                  <c:v>0.30318900079174582</c:v>
                </c:pt>
                <c:pt idx="2">
                  <c:v>0.41098784356395568</c:v>
                </c:pt>
                <c:pt idx="3">
                  <c:v>0.58866432146568748</c:v>
                </c:pt>
                <c:pt idx="4">
                  <c:v>0.60110126859677704</c:v>
                </c:pt>
                <c:pt idx="5">
                  <c:v>0.64000000000000223</c:v>
                </c:pt>
                <c:pt idx="6">
                  <c:v>0.65218818601481865</c:v>
                </c:pt>
              </c:numCache>
            </c:numRef>
          </c:val>
        </c:ser>
        <c:ser>
          <c:idx val="1"/>
          <c:order val="1"/>
          <c:tx>
            <c:strRef>
              <c:f>'34'!$A$51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.0%" sourceLinked="0"/>
            <c:dLblPos val="t"/>
            <c:showVal val="1"/>
          </c:dLbls>
          <c:cat>
            <c:numRef>
              <c:f>'34'!$B$49:$H$49</c:f>
              <c:numCache>
                <c:formatCode>General</c:formatCode>
                <c:ptCount val="7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numCache>
            </c:numRef>
          </c:cat>
          <c:val>
            <c:numRef>
              <c:f>'34'!$B$51:$H$51</c:f>
              <c:numCache>
                <c:formatCode>General</c:formatCode>
                <c:ptCount val="7"/>
                <c:pt idx="0">
                  <c:v>0.42902112879956639</c:v>
                </c:pt>
                <c:pt idx="1">
                  <c:v>0.5610342168274669</c:v>
                </c:pt>
                <c:pt idx="2">
                  <c:v>0.6647330655619349</c:v>
                </c:pt>
                <c:pt idx="3">
                  <c:v>0.8470072689582695</c:v>
                </c:pt>
                <c:pt idx="4">
                  <c:v>0.85360723959693263</c:v>
                </c:pt>
                <c:pt idx="5">
                  <c:v>0.86200000000000065</c:v>
                </c:pt>
                <c:pt idx="6">
                  <c:v>0.8618980700189629</c:v>
                </c:pt>
              </c:numCache>
            </c:numRef>
          </c:val>
        </c:ser>
        <c:marker val="1"/>
        <c:axId val="174433792"/>
        <c:axId val="174435328"/>
      </c:lineChart>
      <c:catAx>
        <c:axId val="174433792"/>
        <c:scaling>
          <c:orientation val="minMax"/>
        </c:scaling>
        <c:axPos val="b"/>
        <c:numFmt formatCode="General" sourceLinked="1"/>
        <c:tickLblPos val="nextTo"/>
        <c:crossAx val="174435328"/>
        <c:crosses val="autoZero"/>
        <c:auto val="1"/>
        <c:lblAlgn val="ctr"/>
        <c:lblOffset val="100"/>
      </c:catAx>
      <c:valAx>
        <c:axId val="174435328"/>
        <c:scaling>
          <c:orientation val="minMax"/>
        </c:scaling>
        <c:axPos val="l"/>
        <c:majorGridlines/>
        <c:numFmt formatCode="0%" sourceLinked="0"/>
        <c:tickLblPos val="nextTo"/>
        <c:crossAx val="174433792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6.4299509731094925E-2"/>
          <c:y val="0.27275529512299335"/>
          <c:w val="0.93570049026890545"/>
          <c:h val="0.53304584020020762"/>
        </c:manualLayout>
      </c:layout>
      <c:lineChart>
        <c:grouping val="standard"/>
        <c:ser>
          <c:idx val="0"/>
          <c:order val="0"/>
          <c:tx>
            <c:strRef>
              <c:f>'31'!$B$41</c:f>
              <c:strCache>
                <c:ptCount val="1"/>
                <c:pt idx="0">
                  <c:v>jednotlivci 16+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0.0%" sourceLinked="0"/>
            <c:dLblPos val="b"/>
            <c:showVal val="1"/>
          </c:dLbls>
          <c:cat>
            <c:strRef>
              <c:f>'31'!$C$40:$H$40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'31'!$C$41:$H$41</c:f>
              <c:numCache>
                <c:formatCode>#,##0.0__</c:formatCode>
                <c:ptCount val="6"/>
                <c:pt idx="0">
                  <c:v>0.79863376835236466</c:v>
                </c:pt>
                <c:pt idx="1">
                  <c:v>0.84973199010551781</c:v>
                </c:pt>
                <c:pt idx="2">
                  <c:v>0.81287298837810162</c:v>
                </c:pt>
                <c:pt idx="3">
                  <c:v>0.75395361596121224</c:v>
                </c:pt>
                <c:pt idx="4">
                  <c:v>0.57346017542959304</c:v>
                </c:pt>
                <c:pt idx="5">
                  <c:v>0.24517928216533008</c:v>
                </c:pt>
              </c:numCache>
            </c:numRef>
          </c:val>
        </c:ser>
        <c:ser>
          <c:idx val="1"/>
          <c:order val="1"/>
          <c:tx>
            <c:strRef>
              <c:f>'31'!$B$42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.0%" sourceLinked="0"/>
            <c:dLblPos val="t"/>
            <c:showVal val="1"/>
          </c:dLbls>
          <c:cat>
            <c:strRef>
              <c:f>'31'!$C$40:$H$40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'31'!$C$42:$H$42</c:f>
              <c:numCache>
                <c:formatCode>#,##0.0__</c:formatCode>
                <c:ptCount val="6"/>
                <c:pt idx="0">
                  <c:v>0.82339451647964834</c:v>
                </c:pt>
                <c:pt idx="1">
                  <c:v>0.89058465998183856</c:v>
                </c:pt>
                <c:pt idx="2">
                  <c:v>0.86543922028898468</c:v>
                </c:pt>
                <c:pt idx="3">
                  <c:v>0.86975936853858971</c:v>
                </c:pt>
                <c:pt idx="4">
                  <c:v>0.84393163454276465</c:v>
                </c:pt>
                <c:pt idx="5">
                  <c:v>0.86246357184156608</c:v>
                </c:pt>
              </c:numCache>
            </c:numRef>
          </c:val>
        </c:ser>
        <c:marker val="1"/>
        <c:axId val="174800896"/>
        <c:axId val="174802432"/>
      </c:lineChart>
      <c:catAx>
        <c:axId val="174800896"/>
        <c:scaling>
          <c:orientation val="minMax"/>
        </c:scaling>
        <c:axPos val="b"/>
        <c:tickLblPos val="nextTo"/>
        <c:crossAx val="174802432"/>
        <c:crosses val="autoZero"/>
        <c:auto val="1"/>
        <c:lblAlgn val="ctr"/>
        <c:lblOffset val="100"/>
      </c:catAx>
      <c:valAx>
        <c:axId val="174802432"/>
        <c:scaling>
          <c:orientation val="minMax"/>
        </c:scaling>
        <c:axPos val="l"/>
        <c:majorGridlines/>
        <c:numFmt formatCode="0%" sourceLinked="0"/>
        <c:tickLblPos val="nextTo"/>
        <c:crossAx val="17480089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8.058283522800537E-2"/>
          <c:y val="9.0264387683246974E-2"/>
          <c:w val="0.91304407868192383"/>
          <c:h val="0.50760834773702057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List2!$C$3:$C$9</c:f>
              <c:strCache>
                <c:ptCount val="7"/>
                <c:pt idx="0">
                  <c:v>čte zpravodajský server</c:v>
                </c:pt>
                <c:pt idx="1">
                  <c:v>čte tištěný deník v periodě vydání</c:v>
                </c:pt>
                <c:pt idx="2">
                  <c:v>čte tištěný deník v delším období</c:v>
                </c:pt>
                <c:pt idx="3">
                  <c:v>čte tištěný časopis v periodě vydání</c:v>
                </c:pt>
                <c:pt idx="4">
                  <c:v>čte tištěný časopis v delším období</c:v>
                </c:pt>
                <c:pt idx="5">
                  <c:v>čte časopis online</c:v>
                </c:pt>
                <c:pt idx="6">
                  <c:v>čte placenou elektronickou verzi novin</c:v>
                </c:pt>
              </c:strCache>
            </c:strRef>
          </c:cat>
          <c:val>
            <c:numRef>
              <c:f>List2!$D$3:$D$9</c:f>
              <c:numCache>
                <c:formatCode>General</c:formatCode>
                <c:ptCount val="7"/>
                <c:pt idx="0">
                  <c:v>0.66000000000000791</c:v>
                </c:pt>
                <c:pt idx="1">
                  <c:v>0.35000000000000031</c:v>
                </c:pt>
                <c:pt idx="2">
                  <c:v>0.73000000000000065</c:v>
                </c:pt>
                <c:pt idx="3">
                  <c:v>0.76000000000000689</c:v>
                </c:pt>
                <c:pt idx="4">
                  <c:v>0.88</c:v>
                </c:pt>
                <c:pt idx="5">
                  <c:v>6.0000000000000032E-2</c:v>
                </c:pt>
                <c:pt idx="6">
                  <c:v>1.0000000000000005E-2</c:v>
                </c:pt>
              </c:numCache>
            </c:numRef>
          </c:val>
        </c:ser>
        <c:axId val="175047808"/>
        <c:axId val="175049344"/>
      </c:barChart>
      <c:catAx>
        <c:axId val="175047808"/>
        <c:scaling>
          <c:orientation val="minMax"/>
        </c:scaling>
        <c:axPos val="b"/>
        <c:tickLblPos val="nextTo"/>
        <c:crossAx val="175049344"/>
        <c:crosses val="autoZero"/>
        <c:auto val="1"/>
        <c:lblAlgn val="ctr"/>
        <c:lblOffset val="100"/>
      </c:catAx>
      <c:valAx>
        <c:axId val="175049344"/>
        <c:scaling>
          <c:orientation val="minMax"/>
        </c:scaling>
        <c:axPos val="l"/>
        <c:majorGridlines/>
        <c:numFmt formatCode="0%" sourceLinked="0"/>
        <c:tickLblPos val="nextTo"/>
        <c:crossAx val="1750478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6.8887139107611586E-2"/>
          <c:y val="7.670134497436526E-2"/>
          <c:w val="0.93111286089238809"/>
          <c:h val="0.66591271945929065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List2!$C$30:$C$33</c:f>
              <c:strCache>
                <c:ptCount val="4"/>
                <c:pt idx="0">
                  <c:v>dlouhodobý návyk na četbu tištěných titulů</c:v>
                </c:pt>
                <c:pt idx="1">
                  <c:v>pohodlnost / nezajímám se</c:v>
                </c:pt>
                <c:pt idx="2">
                  <c:v>vadí mi číst titul prostřednictvím obrazovky</c:v>
                </c:pt>
                <c:pt idx="3">
                  <c:v>pocit ochuzení oproti tiskové verzi</c:v>
                </c:pt>
              </c:strCache>
            </c:strRef>
          </c:cat>
          <c:val>
            <c:numRef>
              <c:f>List2!$D$30:$D$33</c:f>
              <c:numCache>
                <c:formatCode>General</c:formatCode>
                <c:ptCount val="4"/>
                <c:pt idx="0">
                  <c:v>0.56000000000000005</c:v>
                </c:pt>
                <c:pt idx="1">
                  <c:v>0.30000000000000032</c:v>
                </c:pt>
                <c:pt idx="2">
                  <c:v>0.25</c:v>
                </c:pt>
                <c:pt idx="3">
                  <c:v>0.15000000000000024</c:v>
                </c:pt>
              </c:numCache>
            </c:numRef>
          </c:val>
        </c:ser>
        <c:axId val="175114112"/>
        <c:axId val="175115648"/>
      </c:barChart>
      <c:catAx>
        <c:axId val="175114112"/>
        <c:scaling>
          <c:orientation val="minMax"/>
        </c:scaling>
        <c:axPos val="b"/>
        <c:tickLblPos val="nextTo"/>
        <c:crossAx val="175115648"/>
        <c:crosses val="autoZero"/>
        <c:auto val="1"/>
        <c:lblAlgn val="ctr"/>
        <c:lblOffset val="100"/>
      </c:catAx>
      <c:valAx>
        <c:axId val="175115648"/>
        <c:scaling>
          <c:orientation val="minMax"/>
        </c:scaling>
        <c:axPos val="l"/>
        <c:majorGridlines/>
        <c:numFmt formatCode="0%" sourceLinked="0"/>
        <c:tickLblPos val="nextTo"/>
        <c:crossAx val="1751141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7.1339432085552407E-2"/>
          <c:y val="0.21037628144015638"/>
          <c:w val="0.92866056791444751"/>
          <c:h val="0.6398380471499362"/>
        </c:manualLayout>
      </c:layout>
      <c:barChart>
        <c:barDir val="col"/>
        <c:grouping val="clustered"/>
        <c:ser>
          <c:idx val="0"/>
          <c:order val="0"/>
          <c:tx>
            <c:strRef>
              <c:f>List1!$A$16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List1!$B$15:$G$15</c:f>
              <c:strCache>
                <c:ptCount val="6"/>
                <c:pt idx="0">
                  <c:v>Finsko</c:v>
                </c:pt>
                <c:pt idx="1">
                  <c:v>Německo</c:v>
                </c:pt>
                <c:pt idx="2">
                  <c:v>Česká republika</c:v>
                </c:pt>
                <c:pt idx="3">
                  <c:v>Polsko</c:v>
                </c:pt>
                <c:pt idx="4">
                  <c:v>Spojené státy</c:v>
                </c:pt>
                <c:pt idx="5">
                  <c:v>Austrálie</c:v>
                </c:pt>
              </c:strCache>
            </c:strRef>
          </c:cat>
          <c:val>
            <c:numRef>
              <c:f>List1!$B$16:$G$16</c:f>
              <c:numCache>
                <c:formatCode>General</c:formatCode>
                <c:ptCount val="6"/>
                <c:pt idx="0">
                  <c:v>0.05</c:v>
                </c:pt>
                <c:pt idx="1">
                  <c:v>0.05</c:v>
                </c:pt>
                <c:pt idx="2">
                  <c:v>6.0000000000000032E-2</c:v>
                </c:pt>
                <c:pt idx="3">
                  <c:v>0.11</c:v>
                </c:pt>
                <c:pt idx="4">
                  <c:v>0.11</c:v>
                </c:pt>
                <c:pt idx="5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List1!$A$17</c:f>
              <c:strCache>
                <c:ptCount val="1"/>
                <c:pt idx="0">
                  <c:v>2016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List1!$B$15:$G$15</c:f>
              <c:strCache>
                <c:ptCount val="6"/>
                <c:pt idx="0">
                  <c:v>Finsko</c:v>
                </c:pt>
                <c:pt idx="1">
                  <c:v>Německo</c:v>
                </c:pt>
                <c:pt idx="2">
                  <c:v>Česká republika</c:v>
                </c:pt>
                <c:pt idx="3">
                  <c:v>Polsko</c:v>
                </c:pt>
                <c:pt idx="4">
                  <c:v>Spojené státy</c:v>
                </c:pt>
                <c:pt idx="5">
                  <c:v>Austrálie</c:v>
                </c:pt>
              </c:strCache>
            </c:strRef>
          </c:cat>
          <c:val>
            <c:numRef>
              <c:f>List1!$B$17:$G$17</c:f>
              <c:numCache>
                <c:formatCode>General</c:formatCode>
                <c:ptCount val="6"/>
                <c:pt idx="0">
                  <c:v>0.05</c:v>
                </c:pt>
                <c:pt idx="1">
                  <c:v>6.0000000000000032E-2</c:v>
                </c:pt>
                <c:pt idx="2">
                  <c:v>8.0000000000000043E-2</c:v>
                </c:pt>
                <c:pt idx="3">
                  <c:v>0.13</c:v>
                </c:pt>
                <c:pt idx="4">
                  <c:v>0.14000000000000001</c:v>
                </c:pt>
                <c:pt idx="5">
                  <c:v>0.18000000000000024</c:v>
                </c:pt>
              </c:numCache>
            </c:numRef>
          </c:val>
        </c:ser>
        <c:axId val="175345664"/>
        <c:axId val="175347200"/>
      </c:barChart>
      <c:catAx>
        <c:axId val="175345664"/>
        <c:scaling>
          <c:orientation val="minMax"/>
        </c:scaling>
        <c:axPos val="b"/>
        <c:tickLblPos val="nextTo"/>
        <c:crossAx val="175347200"/>
        <c:crosses val="autoZero"/>
        <c:auto val="1"/>
        <c:lblAlgn val="ctr"/>
        <c:lblOffset val="100"/>
      </c:catAx>
      <c:valAx>
        <c:axId val="175347200"/>
        <c:scaling>
          <c:orientation val="minMax"/>
        </c:scaling>
        <c:axPos val="l"/>
        <c:majorGridlines/>
        <c:numFmt formatCode="0%" sourceLinked="0"/>
        <c:tickLblPos val="nextTo"/>
        <c:crossAx val="175345664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List1!$A$8</c:f>
              <c:strCache>
                <c:ptCount val="1"/>
                <c:pt idx="0">
                  <c:v>Součet z PEPZ_PREP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rgbClr val="1F497D">
                  <a:lumMod val="75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List1!$B$7:$K$7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List1!$B$8:$K$8</c:f>
              <c:numCache>
                <c:formatCode>General</c:formatCode>
                <c:ptCount val="10"/>
                <c:pt idx="0">
                  <c:v>16.922830241609823</c:v>
                </c:pt>
                <c:pt idx="1">
                  <c:v>17.756952118560005</c:v>
                </c:pt>
                <c:pt idx="2">
                  <c:v>17.169956282399987</c:v>
                </c:pt>
                <c:pt idx="3">
                  <c:v>16.006080936654598</c:v>
                </c:pt>
                <c:pt idx="4">
                  <c:v>15.372311796120702</c:v>
                </c:pt>
                <c:pt idx="5">
                  <c:v>14.974237736534224</c:v>
                </c:pt>
                <c:pt idx="6">
                  <c:v>14.130700653987304</c:v>
                </c:pt>
                <c:pt idx="7">
                  <c:v>13.7932347610476</c:v>
                </c:pt>
                <c:pt idx="8">
                  <c:v>13.264299394547894</c:v>
                </c:pt>
                <c:pt idx="9">
                  <c:v>12.842245362554799</c:v>
                </c:pt>
              </c:numCache>
            </c:numRef>
          </c:val>
        </c:ser>
        <c:marker val="1"/>
        <c:axId val="173051264"/>
        <c:axId val="173127168"/>
      </c:lineChart>
      <c:catAx>
        <c:axId val="173051264"/>
        <c:scaling>
          <c:orientation val="minMax"/>
        </c:scaling>
        <c:axPos val="b"/>
        <c:numFmt formatCode="General" sourceLinked="1"/>
        <c:tickLblPos val="nextTo"/>
        <c:crossAx val="173127168"/>
        <c:crosses val="autoZero"/>
        <c:auto val="1"/>
        <c:lblAlgn val="ctr"/>
        <c:lblOffset val="100"/>
      </c:catAx>
      <c:valAx>
        <c:axId val="173127168"/>
        <c:scaling>
          <c:orientation val="minMax"/>
        </c:scaling>
        <c:axPos val="l"/>
        <c:majorGridlines/>
        <c:numFmt formatCode="General" sourceLinked="1"/>
        <c:tickLblPos val="nextTo"/>
        <c:crossAx val="173051264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6.8994943707153977E-2"/>
          <c:y val="0.25358870681705348"/>
          <c:w val="0.93100505629284636"/>
          <c:h val="0.56585883521316638"/>
        </c:manualLayout>
      </c:layout>
      <c:barChart>
        <c:barDir val="col"/>
        <c:grouping val="clustered"/>
        <c:ser>
          <c:idx val="0"/>
          <c:order val="0"/>
          <c:tx>
            <c:strRef>
              <c:f>List1!$C$12</c:f>
              <c:strCache>
                <c:ptCount val="1"/>
                <c:pt idx="0">
                  <c:v>jednotlivci 16+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List1!$B$13:$B$15</c:f>
              <c:strCache>
                <c:ptCount val="3"/>
                <c:pt idx="0">
                  <c:v>filmy/hudba</c:v>
                </c:pt>
                <c:pt idx="1">
                  <c:v>knihy/noviny/časopisy</c:v>
                </c:pt>
                <c:pt idx="2">
                  <c:v>počítačové hry</c:v>
                </c:pt>
              </c:strCache>
            </c:strRef>
          </c:cat>
          <c:val>
            <c:numRef>
              <c:f>List1!$C$13:$C$15</c:f>
              <c:numCache>
                <c:formatCode>General</c:formatCode>
                <c:ptCount val="3"/>
                <c:pt idx="0">
                  <c:v>1.8911641303068341E-2</c:v>
                </c:pt>
                <c:pt idx="1">
                  <c:v>6.9302923484658524E-2</c:v>
                </c:pt>
                <c:pt idx="2">
                  <c:v>1.1516714594630001E-2</c:v>
                </c:pt>
              </c:numCache>
            </c:numRef>
          </c:val>
        </c:ser>
        <c:ser>
          <c:idx val="1"/>
          <c:order val="1"/>
          <c:tx>
            <c:strRef>
              <c:f>List1!$D$12</c:f>
              <c:strCache>
                <c:ptCount val="1"/>
                <c:pt idx="0">
                  <c:v>jednotlivci 16+ nakupující přes internet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List1!$B$13:$B$15</c:f>
              <c:strCache>
                <c:ptCount val="3"/>
                <c:pt idx="0">
                  <c:v>filmy/hudba</c:v>
                </c:pt>
                <c:pt idx="1">
                  <c:v>knihy/noviny/časopisy</c:v>
                </c:pt>
                <c:pt idx="2">
                  <c:v>počítačové hry</c:v>
                </c:pt>
              </c:strCache>
            </c:strRef>
          </c:cat>
          <c:val>
            <c:numRef>
              <c:f>List1!$D$13:$D$15</c:f>
              <c:numCache>
                <c:formatCode>General</c:formatCode>
                <c:ptCount val="3"/>
                <c:pt idx="0">
                  <c:v>4.5185588254531714E-2</c:v>
                </c:pt>
                <c:pt idx="1">
                  <c:v>0.16558548860087621</c:v>
                </c:pt>
                <c:pt idx="2">
                  <c:v>2.7516888427525452E-2</c:v>
                </c:pt>
              </c:numCache>
            </c:numRef>
          </c:val>
        </c:ser>
        <c:axId val="173578112"/>
        <c:axId val="173579648"/>
      </c:barChart>
      <c:catAx>
        <c:axId val="173578112"/>
        <c:scaling>
          <c:orientation val="minMax"/>
        </c:scaling>
        <c:axPos val="b"/>
        <c:tickLblPos val="nextTo"/>
        <c:crossAx val="173579648"/>
        <c:crosses val="autoZero"/>
        <c:auto val="1"/>
        <c:lblAlgn val="ctr"/>
        <c:lblOffset val="100"/>
      </c:catAx>
      <c:valAx>
        <c:axId val="173579648"/>
        <c:scaling>
          <c:orientation val="minMax"/>
        </c:scaling>
        <c:axPos val="l"/>
        <c:majorGridlines/>
        <c:numFmt formatCode="0%" sourceLinked="0"/>
        <c:tickLblPos val="nextTo"/>
        <c:crossAx val="173578112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List1!$C$12</c:f>
              <c:strCache>
                <c:ptCount val="1"/>
                <c:pt idx="0">
                  <c:v>z toho maloobchodní prodej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b"/>
            <c:showVal val="1"/>
          </c:dLbls>
          <c:cat>
            <c:numRef>
              <c:f>List1!$D$11:$M$11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List1!$D$12:$M$12</c:f>
              <c:numCache>
                <c:formatCode>#,##0</c:formatCode>
                <c:ptCount val="10"/>
                <c:pt idx="0">
                  <c:v>5.8459713902626804</c:v>
                </c:pt>
                <c:pt idx="1">
                  <c:v>6.52320104916455</c:v>
                </c:pt>
                <c:pt idx="2">
                  <c:v>6.7874253940592597</c:v>
                </c:pt>
                <c:pt idx="3">
                  <c:v>5.6476448114040796</c:v>
                </c:pt>
                <c:pt idx="4">
                  <c:v>5.2269028696553281</c:v>
                </c:pt>
                <c:pt idx="5">
                  <c:v>4.6698154434164776</c:v>
                </c:pt>
                <c:pt idx="6">
                  <c:v>4.8480825769502465</c:v>
                </c:pt>
                <c:pt idx="7">
                  <c:v>4.615354858904678</c:v>
                </c:pt>
                <c:pt idx="8">
                  <c:v>4.5851307400326302</c:v>
                </c:pt>
                <c:pt idx="9">
                  <c:v>4.8579147200478561</c:v>
                </c:pt>
              </c:numCache>
            </c:numRef>
          </c:val>
        </c:ser>
        <c:ser>
          <c:idx val="1"/>
          <c:order val="1"/>
          <c:tx>
            <c:strRef>
              <c:f>List1!$C$13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dLblPos val="b"/>
            <c:showVal val="1"/>
          </c:dLbls>
          <c:cat>
            <c:numRef>
              <c:f>List1!$D$11:$M$11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List1!$D$13:$M$13</c:f>
              <c:numCache>
                <c:formatCode>#,##0</c:formatCode>
                <c:ptCount val="10"/>
                <c:pt idx="0">
                  <c:v>13.755087963711604</c:v>
                </c:pt>
                <c:pt idx="1">
                  <c:v>14.687933005054099</c:v>
                </c:pt>
                <c:pt idx="2">
                  <c:v>15.019409827526106</c:v>
                </c:pt>
                <c:pt idx="3">
                  <c:v>14.173026416191</c:v>
                </c:pt>
                <c:pt idx="4">
                  <c:v>12.466869177768404</c:v>
                </c:pt>
                <c:pt idx="5">
                  <c:v>12.346555909347904</c:v>
                </c:pt>
                <c:pt idx="6">
                  <c:v>11.647129105105201</c:v>
                </c:pt>
                <c:pt idx="7">
                  <c:v>10.846119618923206</c:v>
                </c:pt>
                <c:pt idx="8">
                  <c:v>10.343643859180906</c:v>
                </c:pt>
                <c:pt idx="9">
                  <c:v>10.409021405275098</c:v>
                </c:pt>
              </c:numCache>
            </c:numRef>
          </c:val>
        </c:ser>
        <c:marker val="1"/>
        <c:axId val="173699840"/>
        <c:axId val="173703168"/>
      </c:lineChart>
      <c:catAx>
        <c:axId val="173699840"/>
        <c:scaling>
          <c:orientation val="minMax"/>
        </c:scaling>
        <c:axPos val="b"/>
        <c:numFmt formatCode="General" sourceLinked="1"/>
        <c:tickLblPos val="nextTo"/>
        <c:crossAx val="173703168"/>
        <c:crosses val="autoZero"/>
        <c:auto val="1"/>
        <c:lblAlgn val="ctr"/>
        <c:lblOffset val="100"/>
      </c:catAx>
      <c:valAx>
        <c:axId val="173703168"/>
        <c:scaling>
          <c:orientation val="minMax"/>
        </c:scaling>
        <c:axPos val="l"/>
        <c:majorGridlines/>
        <c:numFmt formatCode="#,##0" sourceLinked="1"/>
        <c:tickLblPos val="nextTo"/>
        <c:crossAx val="173699840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4.3361054127204472E-2"/>
          <c:y val="6.698352751154979E-2"/>
          <c:w val="0.95663894587279552"/>
          <c:h val="0.78187527464044404"/>
        </c:manualLayout>
      </c:layout>
      <c:lineChart>
        <c:grouping val="standard"/>
        <c:ser>
          <c:idx val="0"/>
          <c:order val="0"/>
          <c:tx>
            <c:strRef>
              <c:f>List1!$A$30</c:f>
              <c:strCache>
                <c:ptCount val="1"/>
                <c:pt idx="0">
                  <c:v>Součet z PEPZ_PREP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rgbClr val="1F497D">
                  <a:lumMod val="75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List1!$B$29:$K$29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List1!$B$30:$K$30</c:f>
              <c:numCache>
                <c:formatCode>General</c:formatCode>
                <c:ptCount val="10"/>
                <c:pt idx="0">
                  <c:v>5.2398160855000393</c:v>
                </c:pt>
                <c:pt idx="1">
                  <c:v>5.5166837159800384</c:v>
                </c:pt>
                <c:pt idx="2">
                  <c:v>5.2783501399700024</c:v>
                </c:pt>
                <c:pt idx="3">
                  <c:v>4.3274426149329006</c:v>
                </c:pt>
                <c:pt idx="4">
                  <c:v>4.2118266073271995</c:v>
                </c:pt>
                <c:pt idx="5">
                  <c:v>4.0195853940188995</c:v>
                </c:pt>
                <c:pt idx="6">
                  <c:v>3.8485326780847999</c:v>
                </c:pt>
                <c:pt idx="7">
                  <c:v>3.8526383942933755</c:v>
                </c:pt>
                <c:pt idx="8">
                  <c:v>3.7208750207604999</c:v>
                </c:pt>
                <c:pt idx="9">
                  <c:v>3.3630875954399992</c:v>
                </c:pt>
              </c:numCache>
            </c:numRef>
          </c:val>
        </c:ser>
        <c:marker val="1"/>
        <c:axId val="174018944"/>
        <c:axId val="174125056"/>
      </c:lineChart>
      <c:catAx>
        <c:axId val="174018944"/>
        <c:scaling>
          <c:orientation val="minMax"/>
        </c:scaling>
        <c:axPos val="b"/>
        <c:numFmt formatCode="General" sourceLinked="1"/>
        <c:tickLblPos val="nextTo"/>
        <c:crossAx val="174125056"/>
        <c:crosses val="autoZero"/>
        <c:auto val="1"/>
        <c:lblAlgn val="ctr"/>
        <c:lblOffset val="100"/>
      </c:catAx>
      <c:valAx>
        <c:axId val="174125056"/>
        <c:scaling>
          <c:orientation val="minMax"/>
        </c:scaling>
        <c:axPos val="l"/>
        <c:majorGridlines/>
        <c:numFmt formatCode="General" sourceLinked="1"/>
        <c:tickLblPos val="nextTo"/>
        <c:crossAx val="1740189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5.9910326965029896E-2"/>
          <c:y val="0.20642671206140309"/>
          <c:w val="0.94008967303497071"/>
          <c:h val="0.64659966785465983"/>
        </c:manualLayout>
      </c:layout>
      <c:lineChart>
        <c:grouping val="standard"/>
        <c:ser>
          <c:idx val="0"/>
          <c:order val="0"/>
          <c:tx>
            <c:strRef>
              <c:f>a!$C$28</c:f>
              <c:strCache>
                <c:ptCount val="1"/>
                <c:pt idx="0">
                  <c:v>počet vydaných knižních titulů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b"/>
            <c:showVal val="1"/>
          </c:dLbls>
          <c:cat>
            <c:numRef>
              <c:f>a!$D$27:$N$27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a!$D$28:$N$28</c:f>
              <c:numCache>
                <c:formatCode>#,##0_ ;\-#,##0\ </c:formatCode>
                <c:ptCount val="11"/>
                <c:pt idx="0">
                  <c:v>15.350000000000014</c:v>
                </c:pt>
                <c:pt idx="1">
                  <c:v>17.019000000000005</c:v>
                </c:pt>
                <c:pt idx="2">
                  <c:v>18.029</c:v>
                </c:pt>
                <c:pt idx="3">
                  <c:v>18.52</c:v>
                </c:pt>
                <c:pt idx="4">
                  <c:v>17.597999999999999</c:v>
                </c:pt>
                <c:pt idx="5">
                  <c:v>17.05400000000003</c:v>
                </c:pt>
                <c:pt idx="6">
                  <c:v>18.984999999999989</c:v>
                </c:pt>
                <c:pt idx="7">
                  <c:v>17.247</c:v>
                </c:pt>
                <c:pt idx="8">
                  <c:v>17.876000000000001</c:v>
                </c:pt>
                <c:pt idx="9">
                  <c:v>18.379000000000001</c:v>
                </c:pt>
                <c:pt idx="10">
                  <c:v>18.281999999999989</c:v>
                </c:pt>
              </c:numCache>
            </c:numRef>
          </c:val>
        </c:ser>
        <c:ser>
          <c:idx val="1"/>
          <c:order val="1"/>
          <c:tx>
            <c:strRef>
              <c:f>a!$C$29</c:f>
              <c:strCache>
                <c:ptCount val="1"/>
                <c:pt idx="0">
                  <c:v>z toho beletrických titulů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a!$D$27:$N$27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a!$D$29:$N$29</c:f>
              <c:numCache>
                <c:formatCode>#,##0_ ;\-#,##0\ </c:formatCode>
                <c:ptCount val="11"/>
                <c:pt idx="0">
                  <c:v>3.34</c:v>
                </c:pt>
                <c:pt idx="1">
                  <c:v>3.746</c:v>
                </c:pt>
                <c:pt idx="2">
                  <c:v>3.927</c:v>
                </c:pt>
                <c:pt idx="3">
                  <c:v>4.1619999999999955</c:v>
                </c:pt>
                <c:pt idx="4">
                  <c:v>4.4750000000000014</c:v>
                </c:pt>
                <c:pt idx="5">
                  <c:v>4.4770000000000003</c:v>
                </c:pt>
                <c:pt idx="6">
                  <c:v>5.1739999999999995</c:v>
                </c:pt>
                <c:pt idx="7">
                  <c:v>4.6839999999999975</c:v>
                </c:pt>
                <c:pt idx="8">
                  <c:v>5.1899999999999995</c:v>
                </c:pt>
                <c:pt idx="9">
                  <c:v>5.1289999999999933</c:v>
                </c:pt>
                <c:pt idx="10">
                  <c:v>5.2969999999999997</c:v>
                </c:pt>
              </c:numCache>
            </c:numRef>
          </c:val>
        </c:ser>
        <c:marker val="1"/>
        <c:axId val="174336256"/>
        <c:axId val="174350336"/>
      </c:lineChart>
      <c:catAx>
        <c:axId val="174336256"/>
        <c:scaling>
          <c:orientation val="minMax"/>
        </c:scaling>
        <c:axPos val="b"/>
        <c:numFmt formatCode="General" sourceLinked="1"/>
        <c:tickLblPos val="nextTo"/>
        <c:crossAx val="174350336"/>
        <c:crosses val="autoZero"/>
        <c:auto val="1"/>
        <c:lblAlgn val="ctr"/>
        <c:lblOffset val="100"/>
      </c:catAx>
      <c:valAx>
        <c:axId val="174350336"/>
        <c:scaling>
          <c:orientation val="minMax"/>
        </c:scaling>
        <c:axPos val="l"/>
        <c:majorGridlines/>
        <c:numFmt formatCode="#,##0_ ;\-#,##0\ " sourceLinked="1"/>
        <c:tickLblPos val="nextTo"/>
        <c:crossAx val="17433625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7.9202197248564032E-2"/>
          <c:y val="7.3916145097247463E-2"/>
          <c:w val="0.91311864654689678"/>
          <c:h val="0.67274109967024343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List2!$C$4:$I$4</c:f>
              <c:strCache>
                <c:ptCount val="7"/>
                <c:pt idx="0">
                  <c:v>jinde</c:v>
                </c:pt>
                <c:pt idx="1">
                  <c:v>knižní kluby</c:v>
                </c:pt>
                <c:pt idx="2">
                  <c:v>internet</c:v>
                </c:pt>
                <c:pt idx="3">
                  <c:v>supermarkety</c:v>
                </c:pt>
                <c:pt idx="4">
                  <c:v>antikvariáty</c:v>
                </c:pt>
                <c:pt idx="5">
                  <c:v>levné (zlevněné) knihy</c:v>
                </c:pt>
                <c:pt idx="6">
                  <c:v>trad. knihkupectví</c:v>
                </c:pt>
              </c:strCache>
            </c:strRef>
          </c:cat>
          <c:val>
            <c:numRef>
              <c:f>List2!$C$5:$I$5</c:f>
              <c:numCache>
                <c:formatCode>General</c:formatCode>
                <c:ptCount val="7"/>
                <c:pt idx="0">
                  <c:v>2.0000000000000011E-2</c:v>
                </c:pt>
                <c:pt idx="1">
                  <c:v>0.12000000000000002</c:v>
                </c:pt>
                <c:pt idx="2">
                  <c:v>0.25</c:v>
                </c:pt>
                <c:pt idx="3">
                  <c:v>0.14000000000000001</c:v>
                </c:pt>
                <c:pt idx="4">
                  <c:v>0.2</c:v>
                </c:pt>
                <c:pt idx="5">
                  <c:v>0.38000000000000328</c:v>
                </c:pt>
                <c:pt idx="6">
                  <c:v>0.8700000000000061</c:v>
                </c:pt>
              </c:numCache>
            </c:numRef>
          </c:val>
        </c:ser>
        <c:axId val="174854144"/>
        <c:axId val="174908160"/>
      </c:barChart>
      <c:catAx>
        <c:axId val="174854144"/>
        <c:scaling>
          <c:orientation val="minMax"/>
        </c:scaling>
        <c:axPos val="b"/>
        <c:tickLblPos val="nextTo"/>
        <c:crossAx val="174908160"/>
        <c:crosses val="autoZero"/>
        <c:auto val="1"/>
        <c:lblAlgn val="ctr"/>
        <c:lblOffset val="100"/>
      </c:catAx>
      <c:valAx>
        <c:axId val="174908160"/>
        <c:scaling>
          <c:orientation val="minMax"/>
        </c:scaling>
        <c:axPos val="l"/>
        <c:majorGridlines/>
        <c:numFmt formatCode="0%" sourceLinked="0"/>
        <c:tickLblPos val="nextTo"/>
        <c:crossAx val="1748541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8.2120325785781767E-2"/>
          <c:y val="0.11306534051664675"/>
          <c:w val="0.91298473139773939"/>
          <c:h val="0.61707473407929958"/>
        </c:manualLayout>
      </c:layout>
      <c:barChart>
        <c:barDir val="col"/>
        <c:grouping val="clustered"/>
        <c:ser>
          <c:idx val="0"/>
          <c:order val="0"/>
          <c:tx>
            <c:strRef>
              <c:f>List3!$B$3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List3!$C$2:$F$2</c:f>
              <c:strCache>
                <c:ptCount val="4"/>
                <c:pt idx="0">
                  <c:v>nečtenář </c:v>
                </c:pt>
                <c:pt idx="1">
                  <c:v>sporadický čtenář
(1-6 knih)</c:v>
                </c:pt>
                <c:pt idx="2">
                  <c:v>pravidelný čtenář
(7-12 knih)</c:v>
                </c:pt>
                <c:pt idx="3">
                  <c:v>častý čtenář
(13 a více knih)</c:v>
                </c:pt>
              </c:strCache>
            </c:strRef>
          </c:cat>
          <c:val>
            <c:numRef>
              <c:f>List3!$C$3:$F$3</c:f>
              <c:numCache>
                <c:formatCode>General</c:formatCode>
                <c:ptCount val="4"/>
                <c:pt idx="0">
                  <c:v>0.21000000000000021</c:v>
                </c:pt>
                <c:pt idx="1">
                  <c:v>0.32000000000000306</c:v>
                </c:pt>
                <c:pt idx="2">
                  <c:v>0.17</c:v>
                </c:pt>
                <c:pt idx="3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List3!$B$4</c:f>
              <c:strCache>
                <c:ptCount val="1"/>
                <c:pt idx="0">
                  <c:v>2013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List3!$C$2:$F$2</c:f>
              <c:strCache>
                <c:ptCount val="4"/>
                <c:pt idx="0">
                  <c:v>nečtenář </c:v>
                </c:pt>
                <c:pt idx="1">
                  <c:v>sporadický čtenář
(1-6 knih)</c:v>
                </c:pt>
                <c:pt idx="2">
                  <c:v>pravidelný čtenář
(7-12 knih)</c:v>
                </c:pt>
                <c:pt idx="3">
                  <c:v>častý čtenář
(13 a více knih)</c:v>
                </c:pt>
              </c:strCache>
            </c:strRef>
          </c:cat>
          <c:val>
            <c:numRef>
              <c:f>List3!$C$4:$F$4</c:f>
              <c:numCache>
                <c:formatCode>General</c:formatCode>
                <c:ptCount val="4"/>
                <c:pt idx="0">
                  <c:v>0.16</c:v>
                </c:pt>
                <c:pt idx="1">
                  <c:v>0.4</c:v>
                </c:pt>
                <c:pt idx="2">
                  <c:v>0.2</c:v>
                </c:pt>
                <c:pt idx="3">
                  <c:v>0.24000000000000021</c:v>
                </c:pt>
              </c:numCache>
            </c:numRef>
          </c:val>
        </c:ser>
        <c:gapWidth val="204"/>
        <c:axId val="175259008"/>
        <c:axId val="175293952"/>
      </c:barChart>
      <c:catAx>
        <c:axId val="175259008"/>
        <c:scaling>
          <c:orientation val="minMax"/>
        </c:scaling>
        <c:axPos val="b"/>
        <c:tickLblPos val="nextTo"/>
        <c:crossAx val="175293952"/>
        <c:crosses val="autoZero"/>
        <c:auto val="1"/>
        <c:lblAlgn val="ctr"/>
        <c:lblOffset val="100"/>
      </c:catAx>
      <c:valAx>
        <c:axId val="175293952"/>
        <c:scaling>
          <c:orientation val="minMax"/>
        </c:scaling>
        <c:axPos val="l"/>
        <c:majorGridlines/>
        <c:numFmt formatCode="0%" sourceLinked="0"/>
        <c:tickLblPos val="nextTo"/>
        <c:crossAx val="17525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434676720247941"/>
          <c:y val="5.1870210689045184E-3"/>
          <c:w val="0.51971686854071653"/>
          <c:h val="0.10411941697985845"/>
        </c:manualLayout>
      </c:layout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List6!$A$4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strRef>
              <c:f>List6!$B$3:$K$3</c:f>
              <c:strCach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strCache>
            </c:strRef>
          </c:cat>
          <c:val>
            <c:numRef>
              <c:f>List6!$B$4:$K$4</c:f>
              <c:numCache>
                <c:formatCode>#,##0</c:formatCode>
                <c:ptCount val="10"/>
                <c:pt idx="0">
                  <c:v>27.277290589661089</c:v>
                </c:pt>
                <c:pt idx="1">
                  <c:v>28.952276720728786</c:v>
                </c:pt>
                <c:pt idx="2">
                  <c:v>30.229947167523889</c:v>
                </c:pt>
                <c:pt idx="3">
                  <c:v>31.364468058498204</c:v>
                </c:pt>
                <c:pt idx="4">
                  <c:v>28.409607552769071</c:v>
                </c:pt>
                <c:pt idx="5">
                  <c:v>27.136096164247835</c:v>
                </c:pt>
                <c:pt idx="6">
                  <c:v>26.228892571443051</c:v>
                </c:pt>
                <c:pt idx="7">
                  <c:v>25.0744098644841</c:v>
                </c:pt>
                <c:pt idx="8">
                  <c:v>23.622973404122899</c:v>
                </c:pt>
                <c:pt idx="9">
                  <c:v>23.258889783339189</c:v>
                </c:pt>
              </c:numCache>
            </c:numRef>
          </c:val>
        </c:ser>
        <c:ser>
          <c:idx val="1"/>
          <c:order val="1"/>
          <c:tx>
            <c:strRef>
              <c:f>List6!$A$5</c:f>
              <c:strCache>
                <c:ptCount val="1"/>
                <c:pt idx="0">
                  <c:v>z toho maloobchodní prodej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strRef>
              <c:f>List6!$B$3:$K$3</c:f>
              <c:strCach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strCache>
            </c:strRef>
          </c:cat>
          <c:val>
            <c:numRef>
              <c:f>List6!$B$5:$K$5</c:f>
              <c:numCache>
                <c:formatCode>#,##0</c:formatCode>
                <c:ptCount val="10"/>
                <c:pt idx="0">
                  <c:v>6.6708978955225824</c:v>
                </c:pt>
                <c:pt idx="1">
                  <c:v>6.8373813106538401</c:v>
                </c:pt>
                <c:pt idx="2">
                  <c:v>7.50145787002233</c:v>
                </c:pt>
                <c:pt idx="3">
                  <c:v>7.0507523514009396</c:v>
                </c:pt>
                <c:pt idx="4">
                  <c:v>6.2951637351581482</c:v>
                </c:pt>
                <c:pt idx="5">
                  <c:v>6.2525000647164255</c:v>
                </c:pt>
                <c:pt idx="6">
                  <c:v>6.2453805690023465</c:v>
                </c:pt>
                <c:pt idx="7">
                  <c:v>6.1040875640923256</c:v>
                </c:pt>
                <c:pt idx="8">
                  <c:v>5.8861541476614745</c:v>
                </c:pt>
                <c:pt idx="9">
                  <c:v>6.5378932841359196</c:v>
                </c:pt>
              </c:numCache>
            </c:numRef>
          </c:val>
        </c:ser>
        <c:marker val="1"/>
        <c:axId val="175852544"/>
        <c:axId val="175911680"/>
      </c:lineChart>
      <c:catAx>
        <c:axId val="175852544"/>
        <c:scaling>
          <c:orientation val="minMax"/>
        </c:scaling>
        <c:axPos val="b"/>
        <c:tickLblPos val="nextTo"/>
        <c:crossAx val="175911680"/>
        <c:crosses val="autoZero"/>
        <c:auto val="1"/>
        <c:lblAlgn val="ctr"/>
        <c:lblOffset val="100"/>
      </c:catAx>
      <c:valAx>
        <c:axId val="175911680"/>
        <c:scaling>
          <c:orientation val="minMax"/>
        </c:scaling>
        <c:axPos val="l"/>
        <c:majorGridlines/>
        <c:numFmt formatCode="#,##0" sourceLinked="1"/>
        <c:tickLblPos val="nextTo"/>
        <c:crossAx val="175852544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9E6B-8202-40D6-9284-1B9047E5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</Template>
  <TotalTime>7</TotalTime>
  <Pages>11</Pages>
  <Words>3040</Words>
  <Characters>17938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2016-10-25T09:57:00Z</cp:lastPrinted>
  <dcterms:created xsi:type="dcterms:W3CDTF">2016-10-26T09:41:00Z</dcterms:created>
  <dcterms:modified xsi:type="dcterms:W3CDTF">2016-10-26T09:46:00Z</dcterms:modified>
</cp:coreProperties>
</file>