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charts/chart13.xml" ContentType="application/vnd.openxmlformats-officedocument.drawingml.chart+xml"/>
  <Override PartName="/word/drawings/drawing13.xml" ContentType="application/vnd.openxmlformats-officedocument.drawingml.chartshapes+xml"/>
  <Override PartName="/word/charts/chart14.xml" ContentType="application/vnd.openxmlformats-officedocument.drawingml.chart+xml"/>
  <Override PartName="/word/drawings/drawing14.xml" ContentType="application/vnd.openxmlformats-officedocument.drawingml.chartshapes+xml"/>
  <Override PartName="/word/charts/chart15.xml" ContentType="application/vnd.openxmlformats-officedocument.drawingml.chart+xml"/>
  <Override PartName="/word/drawings/drawing15.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3D1" w:rsidRDefault="008353D1" w:rsidP="008353D1">
      <w:pPr>
        <w:pStyle w:val="Nadpis1"/>
        <w:spacing w:before="240" w:after="120" w:line="264" w:lineRule="auto"/>
      </w:pPr>
      <w:bookmarkStart w:id="0" w:name="_Toc444112496"/>
      <w:bookmarkStart w:id="1" w:name="_Toc525303578"/>
      <w:r>
        <w:t>Kapitola G Zdravotnictví</w:t>
      </w:r>
      <w:r w:rsidRPr="003D5C6F">
        <w:t xml:space="preserve"> a </w:t>
      </w:r>
      <w:r w:rsidR="00D1205B">
        <w:t>ICT</w:t>
      </w:r>
      <w:r>
        <w:t xml:space="preserve">: </w:t>
      </w:r>
      <w:proofErr w:type="spellStart"/>
      <w:r>
        <w:t>eHealth</w:t>
      </w:r>
      <w:bookmarkEnd w:id="1"/>
      <w:proofErr w:type="spellEnd"/>
    </w:p>
    <w:p w:rsidR="008353D1" w:rsidRPr="00A32197" w:rsidRDefault="008353D1" w:rsidP="008353D1">
      <w:pPr>
        <w:spacing w:afterLines="80" w:after="192" w:line="264" w:lineRule="auto"/>
        <w:jc w:val="both"/>
        <w:rPr>
          <w:i/>
        </w:rPr>
      </w:pPr>
      <w:r w:rsidRPr="00926D9B">
        <w:rPr>
          <w:i/>
        </w:rPr>
        <w:t xml:space="preserve">Elektronické zdravotnictví neboli </w:t>
      </w:r>
      <w:proofErr w:type="spellStart"/>
      <w:r w:rsidRPr="00926D9B">
        <w:rPr>
          <w:i/>
        </w:rPr>
        <w:t>eHealth</w:t>
      </w:r>
      <w:proofErr w:type="spellEnd"/>
      <w:r w:rsidRPr="00926D9B">
        <w:rPr>
          <w:i/>
        </w:rPr>
        <w:t xml:space="preserve"> je dynamicky se rozvíjející oblastí informačních a komunikačních</w:t>
      </w:r>
      <w:r>
        <w:rPr>
          <w:i/>
        </w:rPr>
        <w:t xml:space="preserve"> technologií</w:t>
      </w:r>
      <w:r w:rsidRPr="00926D9B">
        <w:rPr>
          <w:i/>
        </w:rPr>
        <w:t xml:space="preserve">. Smyslem </w:t>
      </w:r>
      <w:proofErr w:type="spellStart"/>
      <w:r w:rsidRPr="00926D9B">
        <w:rPr>
          <w:i/>
        </w:rPr>
        <w:t>eHealth</w:t>
      </w:r>
      <w:proofErr w:type="spellEnd"/>
      <w:r w:rsidRPr="00926D9B">
        <w:rPr>
          <w:i/>
        </w:rPr>
        <w:t xml:space="preserve"> je kompletní elektronizace procesů, které souvisejí s poskytováním zdravotní péče. Do koncepce elektronického zdravotnictví patří například bezpečně uchovávané elektronické zdravotní záznamy s možností sdílení mezi lékaři a elektronická komunikace mezi lékaři a pacienty. Do oblasti </w:t>
      </w:r>
      <w:proofErr w:type="spellStart"/>
      <w:r w:rsidRPr="00926D9B">
        <w:rPr>
          <w:i/>
        </w:rPr>
        <w:t>eHealth</w:t>
      </w:r>
      <w:proofErr w:type="spellEnd"/>
      <w:r w:rsidRPr="00926D9B">
        <w:rPr>
          <w:i/>
        </w:rPr>
        <w:t xml:space="preserve"> lze zahrnout rovněž telemedicínu (osobní přenosné a mobilní komunikační systémy pro sledování a podporu pacientů) nebo expertní systémy využívané poskytovateli zdravotní péče (pro určování diagnóz a předpis léků). Tyto nástroje mají být využity pro zlepšení prevence, diagnostiky, léčby, sledování a řízení zdraví a</w:t>
      </w:r>
      <w:r>
        <w:rPr>
          <w:i/>
        </w:rPr>
        <w:t> </w:t>
      </w:r>
      <w:r w:rsidRPr="00926D9B">
        <w:rPr>
          <w:i/>
        </w:rPr>
        <w:t>životního stylu.</w:t>
      </w:r>
    </w:p>
    <w:p w:rsidR="008353D1" w:rsidRDefault="008353D1" w:rsidP="008353D1">
      <w:pPr>
        <w:pStyle w:val="Zkladntext"/>
        <w:spacing w:before="0" w:afterLines="80" w:after="192" w:line="264" w:lineRule="auto"/>
        <w:rPr>
          <w:i/>
          <w:sz w:val="20"/>
        </w:rPr>
      </w:pPr>
      <w:r w:rsidRPr="00433762">
        <w:rPr>
          <w:i/>
          <w:sz w:val="20"/>
        </w:rPr>
        <w:t>Elektronizace zdravotní péče je logickým důsledkem proniknutí informačních technologií do většiny oborů lidské činnosti</w:t>
      </w:r>
      <w:r>
        <w:rPr>
          <w:i/>
          <w:sz w:val="20"/>
        </w:rPr>
        <w:t>.</w:t>
      </w:r>
      <w:r w:rsidRPr="00433762">
        <w:rPr>
          <w:i/>
          <w:sz w:val="20"/>
        </w:rPr>
        <w:t xml:space="preserve"> </w:t>
      </w:r>
      <w:r w:rsidRPr="00794781">
        <w:rPr>
          <w:i/>
          <w:sz w:val="20"/>
        </w:rPr>
        <w:t xml:space="preserve">Zavádění </w:t>
      </w:r>
      <w:r>
        <w:rPr>
          <w:i/>
          <w:sz w:val="20"/>
        </w:rPr>
        <w:t xml:space="preserve">těchto </w:t>
      </w:r>
      <w:r w:rsidRPr="00794781">
        <w:rPr>
          <w:i/>
          <w:sz w:val="20"/>
        </w:rPr>
        <w:t>technologií ve zdravotnictví může zlepšit kvalitu péče, snížit náklady na</w:t>
      </w:r>
      <w:r>
        <w:rPr>
          <w:i/>
          <w:sz w:val="20"/>
        </w:rPr>
        <w:t> </w:t>
      </w:r>
      <w:r w:rsidRPr="00794781">
        <w:rPr>
          <w:i/>
          <w:sz w:val="20"/>
        </w:rPr>
        <w:t>léčbu a podpořit nezávislé žití, a to i ve vzdálených lokalitách. Předpokladem úspěchu je zaručení práva jednotlivce na bezpečné uložení osobních informací o zdravotním stavu ve zdravotnickém systému, který je přístupný on-line.</w:t>
      </w:r>
      <w:r>
        <w:rPr>
          <w:rStyle w:val="Znakapoznpodarou"/>
          <w:i/>
          <w:sz w:val="20"/>
        </w:rPr>
        <w:footnoteReference w:id="1"/>
      </w:r>
      <w:r w:rsidRPr="00794781">
        <w:rPr>
          <w:i/>
          <w:sz w:val="20"/>
        </w:rPr>
        <w:t xml:space="preserve"> </w:t>
      </w:r>
    </w:p>
    <w:p w:rsidR="008353D1" w:rsidRDefault="008353D1" w:rsidP="008353D1">
      <w:pPr>
        <w:pStyle w:val="Zkladntext"/>
        <w:spacing w:before="0" w:afterLines="80" w:after="192" w:line="264" w:lineRule="auto"/>
        <w:rPr>
          <w:i/>
          <w:sz w:val="20"/>
        </w:rPr>
      </w:pPr>
      <w:r w:rsidRPr="00B10252">
        <w:rPr>
          <w:i/>
          <w:sz w:val="20"/>
        </w:rPr>
        <w:t>Téma využívání informačních technologií ve zdravotnictví je tedy samo o sobě velmi široké, a proto se tato kapitola věnuje pouze vybraným ukazatelům zaměřeným na využití počítače a internetu v samostatných ordinacích lékaře v ČR a využívání informačních technologií ve vztahu ke zdraví jednotlivci.</w:t>
      </w:r>
      <w:r w:rsidR="00532CBB">
        <w:rPr>
          <w:i/>
          <w:sz w:val="20"/>
        </w:rPr>
        <w:t xml:space="preserve"> </w:t>
      </w:r>
      <w:r w:rsidR="00532CBB" w:rsidRPr="00532CBB">
        <w:rPr>
          <w:i/>
          <w:sz w:val="20"/>
        </w:rPr>
        <w:t xml:space="preserve">V míře využívání informačních technologií existují v rámci těchto skupin určité rozdíly. Jsou dány prostředím (města-venkov), věkem, resp. přístupem k inovacím (např. vysoký podíl seniorů mezi některými praktickými lékaři – zejména stomatology), charakterem lékařských výkonů (opět se specifiky u dentistů – nižší frekvence užívání receptů či laboratorních vyšetření) či důrazem na diskrétnost (gynekologie). V případě celé populace je vyšší zájem o oblast zdraví ovlivněn vzděláním, pohlavím (všeobecně vyšší u žen, </w:t>
      </w:r>
      <w:proofErr w:type="spellStart"/>
      <w:r w:rsidR="00532CBB" w:rsidRPr="00532CBB">
        <w:rPr>
          <w:i/>
          <w:sz w:val="20"/>
        </w:rPr>
        <w:t>mj</w:t>
      </w:r>
      <w:proofErr w:type="spellEnd"/>
      <w:r w:rsidR="00532CBB" w:rsidRPr="00532CBB">
        <w:rPr>
          <w:i/>
          <w:sz w:val="20"/>
        </w:rPr>
        <w:t>, i v souvislosti s mateřstvím), celkovým zdravotním stavem (zejm. nižší zájem u mladých dospělých).</w:t>
      </w:r>
    </w:p>
    <w:p w:rsidR="008353D1" w:rsidRDefault="008353D1" w:rsidP="008353D1">
      <w:pPr>
        <w:spacing w:afterLines="80" w:after="192" w:line="264" w:lineRule="auto"/>
        <w:jc w:val="both"/>
        <w:rPr>
          <w:i/>
          <w:highlight w:val="yellow"/>
        </w:rPr>
      </w:pPr>
      <w:r w:rsidRPr="001C6250">
        <w:rPr>
          <w:i/>
        </w:rPr>
        <w:t>Informační technologie představují důležitý stavební prvek pro zefektivnění poskytování zdravotní péče. Vedle snižování nákladů umožňují také zkvalitnit péči o pacienty a zvýšit jejich bezpečnost. Český statistický úřad se proto již od roku 2003 zabývá sběrem dat o informačních technologiích ve zdravotnictví, se snahou přehledně poskytnout dostatečné množství statistických údajů o rozvoji IT ve zdravotnictví. Hlavní základnu pro získávání údajů tvoří pravidelná výkazová šetření českých zdravotnických zařízení prostřednictvím Ústavu zdravotnických informací a statistiky ČR</w:t>
      </w:r>
      <w:r w:rsidRPr="00EE4850">
        <w:rPr>
          <w:i/>
        </w:rPr>
        <w:t xml:space="preserve">. Tyto údaje jsou doplněny o výstupy ze </w:t>
      </w:r>
      <w:r>
        <w:rPr>
          <w:i/>
        </w:rPr>
        <w:t>s</w:t>
      </w:r>
      <w:r w:rsidRPr="001C6250">
        <w:rPr>
          <w:i/>
        </w:rPr>
        <w:t>amostatné</w:t>
      </w:r>
      <w:r>
        <w:rPr>
          <w:i/>
        </w:rPr>
        <w:t>ho</w:t>
      </w:r>
      <w:r w:rsidRPr="001C6250">
        <w:rPr>
          <w:i/>
        </w:rPr>
        <w:t xml:space="preserve"> šetření ČSÚ o využívání informačních a komunikačních technologi</w:t>
      </w:r>
      <w:r>
        <w:rPr>
          <w:i/>
        </w:rPr>
        <w:t>í jednotlivci, který je</w:t>
      </w:r>
      <w:r w:rsidRPr="001C6250">
        <w:rPr>
          <w:i/>
        </w:rPr>
        <w:t xml:space="preserve"> zdrojem informací o</w:t>
      </w:r>
      <w:r>
        <w:rPr>
          <w:i/>
        </w:rPr>
        <w:t> </w:t>
      </w:r>
      <w:r w:rsidRPr="001C6250">
        <w:rPr>
          <w:i/>
        </w:rPr>
        <w:t xml:space="preserve">tom, jak občané využívají internet v oblasti zdraví. </w:t>
      </w:r>
      <w:r>
        <w:rPr>
          <w:i/>
        </w:rPr>
        <w:t xml:space="preserve">Na rozdíl od údajů z výkazů ÚZIS, jsou výsledky z tohoto šetření mezinárodně srovnatelné. </w:t>
      </w:r>
      <w:r w:rsidRPr="001C6250">
        <w:rPr>
          <w:i/>
        </w:rPr>
        <w:t xml:space="preserve">Mezinárodní data pocházejí z databáze </w:t>
      </w:r>
      <w:proofErr w:type="spellStart"/>
      <w:r w:rsidRPr="001C6250">
        <w:rPr>
          <w:i/>
        </w:rPr>
        <w:t>Eurostatu</w:t>
      </w:r>
      <w:proofErr w:type="spellEnd"/>
      <w:r w:rsidRPr="001C6250">
        <w:rPr>
          <w:i/>
        </w:rPr>
        <w:t>, která byla naposledy aktualizována na konci roku 2017.</w:t>
      </w:r>
    </w:p>
    <w:p w:rsidR="008353D1" w:rsidRDefault="008353D1" w:rsidP="008353D1">
      <w:pPr>
        <w:pStyle w:val="Nadpis2"/>
        <w:spacing w:before="240" w:after="120" w:line="264" w:lineRule="auto"/>
      </w:pPr>
      <w:bookmarkStart w:id="3" w:name="_Toc525303579"/>
      <w:r>
        <w:t xml:space="preserve">G. 1 </w:t>
      </w:r>
      <w:r w:rsidRPr="00AB53FF">
        <w:t xml:space="preserve">Ordinace lékaře </w:t>
      </w:r>
      <w:r>
        <w:t xml:space="preserve">vybavené </w:t>
      </w:r>
      <w:r w:rsidRPr="00AB53FF">
        <w:t xml:space="preserve">vybranými </w:t>
      </w:r>
      <w:r>
        <w:t>informačními technologiemi</w:t>
      </w:r>
      <w:bookmarkEnd w:id="3"/>
      <w:r w:rsidRPr="00AB53FF">
        <w:t xml:space="preserve"> </w:t>
      </w:r>
    </w:p>
    <w:p w:rsidR="008353D1" w:rsidRPr="00433762" w:rsidRDefault="008353D1" w:rsidP="008353D1">
      <w:pPr>
        <w:spacing w:afterLines="80" w:after="192" w:line="264" w:lineRule="auto"/>
        <w:jc w:val="both"/>
        <w:rPr>
          <w:i/>
        </w:rPr>
      </w:pPr>
      <w:r w:rsidRPr="00433762">
        <w:rPr>
          <w:i/>
        </w:rPr>
        <w:t>Počítač a internet dnes patří ke standardnímu vybavení většiny zdravotnických zařízení v České republice a</w:t>
      </w:r>
      <w:r>
        <w:rPr>
          <w:i/>
        </w:rPr>
        <w:t> </w:t>
      </w:r>
      <w:r w:rsidRPr="00433762">
        <w:rPr>
          <w:i/>
        </w:rPr>
        <w:t xml:space="preserve">práce s počítačem je u lékařů často nezbytnou součástí každodenní pracovní náplně. </w:t>
      </w:r>
      <w:r w:rsidRPr="008353D1">
        <w:rPr>
          <w:rStyle w:val="Siln"/>
          <w:rFonts w:eastAsia="MS Gothic"/>
          <w:b w:val="0"/>
          <w:i/>
        </w:rPr>
        <w:t>Počítač v ordinaci dnes nepoužívá jen mizivé procento lékařů, lékaři totiž počítač potřebují i k plnění povinností, které jim plynou z některých předpisů. Jedná se například o hlášení do registru poskytovatelů a registru zdravotnických pracovníků.</w:t>
      </w:r>
      <w:r w:rsidRPr="00433762">
        <w:rPr>
          <w:rStyle w:val="Siln"/>
          <w:rFonts w:eastAsia="MS Gothic"/>
          <w:i/>
        </w:rPr>
        <w:t xml:space="preserve"> </w:t>
      </w:r>
      <w:r w:rsidRPr="00433762">
        <w:rPr>
          <w:i/>
        </w:rPr>
        <w:t>Přes internet se však k lékařům dostávají i další informace důležité pro</w:t>
      </w:r>
      <w:r>
        <w:rPr>
          <w:i/>
        </w:rPr>
        <w:t> </w:t>
      </w:r>
      <w:r w:rsidRPr="00433762">
        <w:rPr>
          <w:i/>
        </w:rPr>
        <w:t>fungování jejich praxí.</w:t>
      </w:r>
      <w:r w:rsidRPr="00433762">
        <w:rPr>
          <w:rFonts w:cs="Arial"/>
          <w:i/>
          <w:szCs w:val="20"/>
        </w:rPr>
        <w:t xml:space="preserve"> </w:t>
      </w:r>
      <w:r w:rsidRPr="00433762">
        <w:rPr>
          <w:i/>
        </w:rPr>
        <w:t>Plošné používání počítačů je tak do budoucna nevyhnutelné.</w:t>
      </w:r>
    </w:p>
    <w:p w:rsidR="008353D1" w:rsidRDefault="008353D1" w:rsidP="008353D1">
      <w:pPr>
        <w:numPr>
          <w:ilvl w:val="0"/>
          <w:numId w:val="14"/>
        </w:numPr>
        <w:tabs>
          <w:tab w:val="clear" w:pos="360"/>
          <w:tab w:val="num" w:pos="284"/>
        </w:tabs>
        <w:autoSpaceDE w:val="0"/>
        <w:autoSpaceDN w:val="0"/>
        <w:adjustRightInd w:val="0"/>
        <w:spacing w:afterLines="80" w:after="192" w:line="264" w:lineRule="auto"/>
        <w:ind w:left="284" w:hanging="284"/>
        <w:jc w:val="both"/>
      </w:pPr>
      <w:r w:rsidRPr="008935BC">
        <w:t>V roce 201</w:t>
      </w:r>
      <w:r>
        <w:t>6</w:t>
      </w:r>
      <w:r w:rsidRPr="008935BC">
        <w:t xml:space="preserve"> bylo v České republice vybaveno </w:t>
      </w:r>
      <w:r w:rsidRPr="008935BC">
        <w:rPr>
          <w:b/>
        </w:rPr>
        <w:t xml:space="preserve">osobním počítačem </w:t>
      </w:r>
      <w:r w:rsidRPr="00AB53FF">
        <w:t>9</w:t>
      </w:r>
      <w:r>
        <w:t>6</w:t>
      </w:r>
      <w:r w:rsidRPr="00AB53FF">
        <w:t> %</w:t>
      </w:r>
      <w:r w:rsidRPr="008935BC">
        <w:t xml:space="preserve"> </w:t>
      </w:r>
      <w:r w:rsidRPr="00AB53FF">
        <w:rPr>
          <w:b/>
        </w:rPr>
        <w:t>samostatných ordinací lékařů</w:t>
      </w:r>
      <w:r>
        <w:t>. K </w:t>
      </w:r>
      <w:r w:rsidRPr="008935BC">
        <w:rPr>
          <w:b/>
        </w:rPr>
        <w:t>internetu</w:t>
      </w:r>
      <w:r w:rsidRPr="008935BC">
        <w:t xml:space="preserve"> jich bylo připojeno </w:t>
      </w:r>
      <w:r>
        <w:t xml:space="preserve">více než 92 % a </w:t>
      </w:r>
      <w:r w:rsidRPr="008935BC">
        <w:rPr>
          <w:b/>
        </w:rPr>
        <w:t>webové stránky</w:t>
      </w:r>
      <w:r>
        <w:t xml:space="preserve"> měla více než třetina (36 </w:t>
      </w:r>
      <w:r w:rsidRPr="008935BC">
        <w:t>%</w:t>
      </w:r>
      <w:r>
        <w:t>)</w:t>
      </w:r>
      <w:r w:rsidRPr="008935BC">
        <w:t xml:space="preserve"> ordinací. V roce 2006 mělo </w:t>
      </w:r>
      <w:r>
        <w:t xml:space="preserve">přitom </w:t>
      </w:r>
      <w:r w:rsidRPr="008935BC">
        <w:t>v ordinaci připojení k internetu jen šest z deseti lékařů</w:t>
      </w:r>
      <w:r>
        <w:t xml:space="preserve"> a v</w:t>
      </w:r>
      <w:r w:rsidRPr="008935BC">
        <w:t>lastní webové stránky</w:t>
      </w:r>
      <w:r>
        <w:t xml:space="preserve"> měla </w:t>
      </w:r>
      <w:r w:rsidRPr="008935BC">
        <w:t>pouze každá desátá ordinace</w:t>
      </w:r>
      <w:r>
        <w:t>.</w:t>
      </w:r>
    </w:p>
    <w:p w:rsidR="008353D1" w:rsidRPr="002B4EA8" w:rsidRDefault="008353D1" w:rsidP="008353D1">
      <w:pPr>
        <w:numPr>
          <w:ilvl w:val="0"/>
          <w:numId w:val="14"/>
        </w:numPr>
        <w:tabs>
          <w:tab w:val="clear" w:pos="360"/>
        </w:tabs>
        <w:autoSpaceDE w:val="0"/>
        <w:autoSpaceDN w:val="0"/>
        <w:adjustRightInd w:val="0"/>
        <w:spacing w:afterLines="80" w:after="192" w:line="264" w:lineRule="auto"/>
        <w:ind w:left="284" w:hanging="284"/>
        <w:jc w:val="both"/>
      </w:pPr>
      <w:r w:rsidRPr="002B4EA8">
        <w:lastRenderedPageBreak/>
        <w:t xml:space="preserve">Podíl zdravotnických zařízení s vlastními webovými stránkami vyznívá ve srovnání s jinými subjekty (podniky či úřady) podstatně hůře, neboť v roce 2016 vlastnilo webové stránky pouze již zmiňovaných 36 % samostatných ordinací lékaře oproti více jak 80 % v případě podniků či 100 % organizací veřejné správy, včetně jednotlivých obecních úřadů. </w:t>
      </w:r>
    </w:p>
    <w:p w:rsidR="008353D1" w:rsidRDefault="008353D1" w:rsidP="008353D1">
      <w:pPr>
        <w:numPr>
          <w:ilvl w:val="0"/>
          <w:numId w:val="14"/>
        </w:numPr>
        <w:tabs>
          <w:tab w:val="clear" w:pos="360"/>
        </w:tabs>
        <w:autoSpaceDE w:val="0"/>
        <w:autoSpaceDN w:val="0"/>
        <w:adjustRightInd w:val="0"/>
        <w:spacing w:afterLines="80" w:after="192" w:line="264" w:lineRule="auto"/>
        <w:ind w:left="284" w:hanging="284"/>
        <w:jc w:val="both"/>
      </w:pPr>
      <w:r>
        <w:t>V rámci</w:t>
      </w:r>
      <w:r w:rsidRPr="008935BC">
        <w:t xml:space="preserve"> jednotlivých </w:t>
      </w:r>
      <w:r w:rsidRPr="00AB53FF">
        <w:rPr>
          <w:b/>
        </w:rPr>
        <w:t>typů ordinací</w:t>
      </w:r>
      <w:r w:rsidRPr="008935BC">
        <w:t xml:space="preserve"> nacházíme výrazné rozdíly ve v</w:t>
      </w:r>
      <w:r>
        <w:t>ybavenosti</w:t>
      </w:r>
      <w:r w:rsidRPr="008935BC">
        <w:t xml:space="preserve"> web</w:t>
      </w:r>
      <w:r>
        <w:t xml:space="preserve">ovými stránkami: </w:t>
      </w:r>
      <w:r>
        <w:br/>
        <w:t>např. v roce 2016</w:t>
      </w:r>
      <w:r w:rsidRPr="008935BC">
        <w:t xml:space="preserve"> webové stránky mělo již 56 % gynekologických ordinací, 51 % ordinací dětského lékaře, ale pouze 34 % ordinací prak</w:t>
      </w:r>
      <w:r>
        <w:t>tického lékaře pro dospělé či 23</w:t>
      </w:r>
      <w:r w:rsidRPr="008935BC">
        <w:t xml:space="preserve"> % zubních lékařů. </w:t>
      </w:r>
    </w:p>
    <w:p w:rsidR="00D67EDA" w:rsidRPr="00D67EDA" w:rsidRDefault="00D67EDA" w:rsidP="00D67EDA">
      <w:pPr>
        <w:pStyle w:val="Titulek"/>
        <w:keepNext/>
        <w:spacing w:after="0"/>
        <w:jc w:val="both"/>
        <w:rPr>
          <w:color w:val="FFFFFF" w:themeColor="background1"/>
          <w:sz w:val="4"/>
          <w:szCs w:val="4"/>
        </w:rPr>
      </w:pPr>
      <w:bookmarkStart w:id="4" w:name="_Toc524332635"/>
      <w:r w:rsidRPr="00D67EDA">
        <w:rPr>
          <w:color w:val="FFFFFF" w:themeColor="background1"/>
          <w:sz w:val="4"/>
          <w:szCs w:val="4"/>
        </w:rPr>
        <w:t>Graf G</w:t>
      </w:r>
      <w:r w:rsidRPr="00D67EDA">
        <w:rPr>
          <w:color w:val="FFFFFF" w:themeColor="background1"/>
          <w:sz w:val="4"/>
          <w:szCs w:val="4"/>
        </w:rPr>
        <w:fldChar w:fldCharType="begin"/>
      </w:r>
      <w:r w:rsidRPr="00D67EDA">
        <w:rPr>
          <w:color w:val="FFFFFF" w:themeColor="background1"/>
          <w:sz w:val="4"/>
          <w:szCs w:val="4"/>
        </w:rPr>
        <w:instrText xml:space="preserve"> SEQ Graf_G \* ARABIC </w:instrText>
      </w:r>
      <w:r w:rsidRPr="00D67EDA">
        <w:rPr>
          <w:color w:val="FFFFFF" w:themeColor="background1"/>
          <w:sz w:val="4"/>
          <w:szCs w:val="4"/>
        </w:rPr>
        <w:fldChar w:fldCharType="separate"/>
      </w:r>
      <w:r>
        <w:rPr>
          <w:noProof/>
          <w:color w:val="FFFFFF" w:themeColor="background1"/>
          <w:sz w:val="4"/>
          <w:szCs w:val="4"/>
        </w:rPr>
        <w:t>1</w:t>
      </w:r>
      <w:r w:rsidRPr="00D67EDA">
        <w:rPr>
          <w:color w:val="FFFFFF" w:themeColor="background1"/>
          <w:sz w:val="4"/>
          <w:szCs w:val="4"/>
        </w:rPr>
        <w:fldChar w:fldCharType="end"/>
      </w:r>
      <w:r w:rsidRPr="00D67EDA">
        <w:rPr>
          <w:color w:val="FFFFFF" w:themeColor="background1"/>
          <w:sz w:val="4"/>
          <w:szCs w:val="4"/>
        </w:rPr>
        <w:t xml:space="preserve"> Samostatné ordinace lékařů v Česku s připojením k internetu a vlastními webovými stránkami</w:t>
      </w:r>
      <w:bookmarkEnd w:id="4"/>
    </w:p>
    <w:p w:rsidR="00D67EDA" w:rsidRPr="00D67EDA" w:rsidRDefault="00D67EDA" w:rsidP="00D67EDA">
      <w:pPr>
        <w:pStyle w:val="Titulek"/>
        <w:keepNext/>
        <w:spacing w:after="0"/>
        <w:jc w:val="both"/>
        <w:rPr>
          <w:color w:val="FFFFFF" w:themeColor="background1"/>
          <w:sz w:val="4"/>
          <w:szCs w:val="4"/>
        </w:rPr>
      </w:pPr>
      <w:bookmarkStart w:id="5" w:name="_Toc524332636"/>
      <w:r w:rsidRPr="00D67EDA">
        <w:rPr>
          <w:color w:val="FFFFFF" w:themeColor="background1"/>
          <w:sz w:val="4"/>
          <w:szCs w:val="4"/>
        </w:rPr>
        <w:t>Graf G</w:t>
      </w:r>
      <w:r w:rsidRPr="00D67EDA">
        <w:rPr>
          <w:color w:val="FFFFFF" w:themeColor="background1"/>
          <w:sz w:val="4"/>
          <w:szCs w:val="4"/>
        </w:rPr>
        <w:fldChar w:fldCharType="begin"/>
      </w:r>
      <w:r w:rsidRPr="00D67EDA">
        <w:rPr>
          <w:color w:val="FFFFFF" w:themeColor="background1"/>
          <w:sz w:val="4"/>
          <w:szCs w:val="4"/>
        </w:rPr>
        <w:instrText xml:space="preserve"> SEQ Graf_G \* ARABIC </w:instrText>
      </w:r>
      <w:r w:rsidRPr="00D67EDA">
        <w:rPr>
          <w:color w:val="FFFFFF" w:themeColor="background1"/>
          <w:sz w:val="4"/>
          <w:szCs w:val="4"/>
        </w:rPr>
        <w:fldChar w:fldCharType="separate"/>
      </w:r>
      <w:r>
        <w:rPr>
          <w:noProof/>
          <w:color w:val="FFFFFF" w:themeColor="background1"/>
          <w:sz w:val="4"/>
          <w:szCs w:val="4"/>
        </w:rPr>
        <w:t>2</w:t>
      </w:r>
      <w:r w:rsidRPr="00D67EDA">
        <w:rPr>
          <w:color w:val="FFFFFF" w:themeColor="background1"/>
          <w:sz w:val="4"/>
          <w:szCs w:val="4"/>
        </w:rPr>
        <w:fldChar w:fldCharType="end"/>
      </w:r>
      <w:r w:rsidRPr="00D67EDA">
        <w:rPr>
          <w:color w:val="FFFFFF" w:themeColor="background1"/>
          <w:sz w:val="4"/>
          <w:szCs w:val="4"/>
        </w:rPr>
        <w:t xml:space="preserve"> Samostatné ordinace lékařů v Česku s vlastními webovými stránkami podle typu ordinace</w:t>
      </w:r>
      <w:bookmarkEnd w:id="5"/>
    </w:p>
    <w:p w:rsidR="008353D1" w:rsidRDefault="008353D1" w:rsidP="008353D1">
      <w:pPr>
        <w:tabs>
          <w:tab w:val="left" w:pos="4820"/>
        </w:tabs>
        <w:autoSpaceDE w:val="0"/>
        <w:autoSpaceDN w:val="0"/>
        <w:adjustRightInd w:val="0"/>
        <w:spacing w:after="100" w:line="264" w:lineRule="auto"/>
        <w:jc w:val="both"/>
      </w:pPr>
      <w:r>
        <w:rPr>
          <w:noProof/>
        </w:rPr>
        <w:drawing>
          <wp:inline distT="0" distB="0" distL="0" distR="0" wp14:anchorId="0AE23A98" wp14:editId="23EE8714">
            <wp:extent cx="3056406" cy="3270551"/>
            <wp:effectExtent l="0" t="0" r="0" b="25400"/>
            <wp:docPr id="169" name="Graf 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rPr>
        <w:drawing>
          <wp:inline distT="0" distB="0" distL="0" distR="0" wp14:anchorId="10C0C40A" wp14:editId="4E2D68D5">
            <wp:extent cx="3056406" cy="3270552"/>
            <wp:effectExtent l="0" t="0" r="0" b="25400"/>
            <wp:docPr id="170" name="Graf 1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353D1" w:rsidRPr="00F613BB" w:rsidRDefault="008353D1" w:rsidP="008353D1">
      <w:pPr>
        <w:pStyle w:val="Bezmezer"/>
        <w:numPr>
          <w:ilvl w:val="0"/>
          <w:numId w:val="14"/>
        </w:numPr>
        <w:spacing w:after="80" w:line="264" w:lineRule="auto"/>
        <w:ind w:left="357" w:hanging="357"/>
        <w:rPr>
          <w:rFonts w:cs="Arial"/>
          <w:szCs w:val="20"/>
        </w:rPr>
      </w:pPr>
      <w:r>
        <w:rPr>
          <w:rFonts w:cs="Arial"/>
          <w:szCs w:val="20"/>
        </w:rPr>
        <w:t>Přestože již třetina lékařských ordinací má webové stránky, v porovnání s lékárnami je to stále málo. Z těch má</w:t>
      </w:r>
      <w:r w:rsidRPr="00D53533">
        <w:rPr>
          <w:rFonts w:cs="Arial"/>
          <w:szCs w:val="20"/>
        </w:rPr>
        <w:t xml:space="preserve"> vlastní stránky 62 %, což </w:t>
      </w:r>
      <w:r>
        <w:rPr>
          <w:rFonts w:cs="Arial"/>
          <w:szCs w:val="20"/>
        </w:rPr>
        <w:t>ale možná souvisí</w:t>
      </w:r>
      <w:r w:rsidRPr="00D53533">
        <w:rPr>
          <w:rFonts w:cs="Arial"/>
          <w:szCs w:val="20"/>
        </w:rPr>
        <w:t xml:space="preserve"> s tím, že často patří pod některou </w:t>
      </w:r>
      <w:r>
        <w:rPr>
          <w:rFonts w:cs="Arial"/>
          <w:szCs w:val="20"/>
        </w:rPr>
        <w:t>z komerčních lékárenských sítí</w:t>
      </w:r>
      <w:r w:rsidRPr="00965C01">
        <w:rPr>
          <w:rFonts w:cs="Arial"/>
          <w:szCs w:val="20"/>
        </w:rPr>
        <w:t>.</w:t>
      </w:r>
    </w:p>
    <w:p w:rsidR="008353D1" w:rsidRDefault="008353D1" w:rsidP="008353D1">
      <w:pPr>
        <w:pStyle w:val="Nadpis2"/>
        <w:spacing w:before="240" w:after="120" w:line="264" w:lineRule="auto"/>
      </w:pPr>
      <w:bookmarkStart w:id="6" w:name="_Toc525303580"/>
      <w:r>
        <w:t xml:space="preserve">G. 2 Online služby dostupné na webových stránkách </w:t>
      </w:r>
      <w:r w:rsidRPr="00AB53FF">
        <w:t>lékař</w:t>
      </w:r>
      <w:r>
        <w:t>ů</w:t>
      </w:r>
      <w:bookmarkEnd w:id="6"/>
      <w:r w:rsidRPr="00AB53FF">
        <w:t xml:space="preserve"> </w:t>
      </w:r>
    </w:p>
    <w:p w:rsidR="008353D1" w:rsidRPr="00433762" w:rsidRDefault="008353D1" w:rsidP="008353D1">
      <w:pPr>
        <w:spacing w:afterLines="80" w:after="192" w:line="264" w:lineRule="auto"/>
        <w:jc w:val="both"/>
        <w:rPr>
          <w:i/>
        </w:rPr>
      </w:pPr>
      <w:r w:rsidRPr="00433762">
        <w:rPr>
          <w:i/>
        </w:rPr>
        <w:t xml:space="preserve">Zřejmě nejvyužívanějším prostředkem pro </w:t>
      </w:r>
      <w:r>
        <w:rPr>
          <w:i/>
        </w:rPr>
        <w:t>prezentaci</w:t>
      </w:r>
      <w:r w:rsidRPr="00433762">
        <w:rPr>
          <w:i/>
        </w:rPr>
        <w:t xml:space="preserve"> </w:t>
      </w:r>
      <w:r>
        <w:rPr>
          <w:i/>
        </w:rPr>
        <w:t xml:space="preserve">zdravotnických zařízení </w:t>
      </w:r>
      <w:r w:rsidRPr="00433762">
        <w:rPr>
          <w:i/>
        </w:rPr>
        <w:t>jsou vlastní webové stránky. Na nich, kromě základních kontaktů a ordinační doby, lékaři představují, jaké služby nabízejí, zveřejňují ceníky zákroků, aktuální sdělení a v některých případech přes vlastní webové stránky poskytují další on-line služby pro pacienty, jako je např. on-lin</w:t>
      </w:r>
      <w:r>
        <w:rPr>
          <w:i/>
        </w:rPr>
        <w:t>e</w:t>
      </w:r>
      <w:r w:rsidRPr="00433762">
        <w:rPr>
          <w:i/>
        </w:rPr>
        <w:t xml:space="preserve"> konzultace nebo objednání</w:t>
      </w:r>
      <w:r>
        <w:rPr>
          <w:rStyle w:val="Znakapoznpodarou"/>
          <w:i/>
        </w:rPr>
        <w:footnoteReference w:id="2"/>
      </w:r>
      <w:r w:rsidRPr="00433762">
        <w:rPr>
          <w:i/>
        </w:rPr>
        <w:t>.</w:t>
      </w:r>
      <w:r>
        <w:rPr>
          <w:i/>
        </w:rPr>
        <w:t xml:space="preserve"> Český statistický úřad pak v rámci </w:t>
      </w:r>
      <w:r w:rsidRPr="00000AB8">
        <w:rPr>
          <w:i/>
        </w:rPr>
        <w:t>Výběrového šetření o využívání ICT v domácnostech (VŠIT)</w:t>
      </w:r>
      <w:r>
        <w:rPr>
          <w:i/>
        </w:rPr>
        <w:t xml:space="preserve"> zjišťuje, jak jsou tyto služby využívány ze strany obyvatel.</w:t>
      </w:r>
    </w:p>
    <w:p w:rsidR="008353D1" w:rsidRPr="009E4C37" w:rsidRDefault="008353D1" w:rsidP="008353D1">
      <w:pPr>
        <w:pStyle w:val="Odstavecseseznamem"/>
        <w:numPr>
          <w:ilvl w:val="0"/>
          <w:numId w:val="22"/>
        </w:numPr>
        <w:autoSpaceDE w:val="0"/>
        <w:autoSpaceDN w:val="0"/>
        <w:adjustRightInd w:val="0"/>
        <w:spacing w:afterLines="80" w:after="192" w:line="264" w:lineRule="auto"/>
        <w:jc w:val="both"/>
        <w:rPr>
          <w:rFonts w:ascii="Arial" w:hAnsi="Arial" w:cs="Arial"/>
          <w:sz w:val="20"/>
          <w:szCs w:val="20"/>
        </w:rPr>
      </w:pPr>
      <w:r w:rsidRPr="009E4C37">
        <w:rPr>
          <w:rFonts w:ascii="Arial" w:hAnsi="Arial" w:cs="Arial"/>
          <w:sz w:val="20"/>
          <w:szCs w:val="20"/>
        </w:rPr>
        <w:t xml:space="preserve">Zatímco v roce 2006 se pacienti v Česku mohli </w:t>
      </w:r>
      <w:r w:rsidRPr="009E4C37">
        <w:rPr>
          <w:rFonts w:ascii="Arial" w:hAnsi="Arial" w:cs="Arial"/>
          <w:b/>
          <w:sz w:val="20"/>
          <w:szCs w:val="20"/>
        </w:rPr>
        <w:t>objednat přes on-line formuláře</w:t>
      </w:r>
      <w:r w:rsidRPr="009E4C37">
        <w:rPr>
          <w:rFonts w:ascii="Arial" w:hAnsi="Arial" w:cs="Arial"/>
          <w:sz w:val="20"/>
          <w:szCs w:val="20"/>
        </w:rPr>
        <w:t xml:space="preserve"> do necelých 3 % ordinací, v roce 2016 tuto funkci nabízelo 12 % samostatných ordinací lékaře. Objednávací formulář je odesílán přímo z webových stránek dané ordinace nebo prostřednictvím systému elektronického objednávání. Možnost on-line objednání využilo v roce 2016 8 % Čechů, dvakrát častěji se přitom jednalo o ženy (11 %) než o muže (5 %).</w:t>
      </w:r>
      <w:r>
        <w:rPr>
          <w:rFonts w:ascii="Arial" w:hAnsi="Arial" w:cs="Arial"/>
          <w:sz w:val="20"/>
          <w:szCs w:val="20"/>
        </w:rPr>
        <w:t xml:space="preserve"> O</w:t>
      </w:r>
      <w:r w:rsidRPr="009E4C37">
        <w:rPr>
          <w:rFonts w:ascii="Arial" w:hAnsi="Arial" w:cs="Arial"/>
          <w:sz w:val="20"/>
          <w:szCs w:val="20"/>
        </w:rPr>
        <w:t>bjednávání</w:t>
      </w:r>
      <w:r>
        <w:rPr>
          <w:rFonts w:ascii="Arial" w:hAnsi="Arial" w:cs="Arial"/>
          <w:sz w:val="20"/>
          <w:szCs w:val="20"/>
        </w:rPr>
        <w:t xml:space="preserve"> on-line</w:t>
      </w:r>
      <w:r w:rsidRPr="009E4C37">
        <w:rPr>
          <w:rFonts w:ascii="Arial" w:hAnsi="Arial" w:cs="Arial"/>
          <w:sz w:val="20"/>
          <w:szCs w:val="20"/>
        </w:rPr>
        <w:t xml:space="preserve"> bylo v roce 2016 nejčastěji umožněno </w:t>
      </w:r>
      <w:r w:rsidRPr="009E4C37">
        <w:rPr>
          <w:rFonts w:ascii="Arial" w:hAnsi="Arial" w:cs="Arial"/>
          <w:sz w:val="20"/>
          <w:szCs w:val="20"/>
        </w:rPr>
        <w:lastRenderedPageBreak/>
        <w:t>pacientkám gynekologů (23 %), případně pacientům dětských lékařů (19 %). Nejméně často nabízeli on-line objednání zubní lékaři (</w:t>
      </w:r>
      <w:r w:rsidR="00532CBB">
        <w:rPr>
          <w:rFonts w:ascii="Arial" w:hAnsi="Arial" w:cs="Arial"/>
          <w:sz w:val="20"/>
          <w:szCs w:val="20"/>
        </w:rPr>
        <w:t>5</w:t>
      </w:r>
      <w:r w:rsidRPr="009E4C37">
        <w:rPr>
          <w:rFonts w:ascii="Arial" w:hAnsi="Arial" w:cs="Arial"/>
          <w:sz w:val="20"/>
          <w:szCs w:val="20"/>
        </w:rPr>
        <w:t xml:space="preserve"> %). </w:t>
      </w:r>
    </w:p>
    <w:p w:rsidR="008353D1" w:rsidRDefault="008353D1" w:rsidP="008353D1">
      <w:pPr>
        <w:numPr>
          <w:ilvl w:val="0"/>
          <w:numId w:val="22"/>
        </w:numPr>
        <w:autoSpaceDE w:val="0"/>
        <w:autoSpaceDN w:val="0"/>
        <w:adjustRightInd w:val="0"/>
        <w:spacing w:afterLines="80" w:after="192" w:line="264" w:lineRule="auto"/>
        <w:jc w:val="both"/>
      </w:pPr>
      <w:r w:rsidRPr="00CF1553">
        <w:rPr>
          <w:rFonts w:cs="Arial"/>
          <w:szCs w:val="20"/>
        </w:rPr>
        <w:t xml:space="preserve">Stejně </w:t>
      </w:r>
      <w:r>
        <w:rPr>
          <w:rFonts w:cs="Arial"/>
          <w:szCs w:val="20"/>
        </w:rPr>
        <w:t>jako vzrostl podíl ordinací, které umožňují objednání on-line,</w:t>
      </w:r>
      <w:r w:rsidRPr="00CF1553">
        <w:rPr>
          <w:rFonts w:cs="Arial"/>
          <w:szCs w:val="20"/>
        </w:rPr>
        <w:t xml:space="preserve"> vzrostl</w:t>
      </w:r>
      <w:r>
        <w:rPr>
          <w:rFonts w:cs="Arial"/>
          <w:szCs w:val="20"/>
        </w:rPr>
        <w:t xml:space="preserve"> také</w:t>
      </w:r>
      <w:r w:rsidRPr="00CF1553">
        <w:rPr>
          <w:rFonts w:cs="Arial"/>
          <w:szCs w:val="20"/>
        </w:rPr>
        <w:t xml:space="preserve"> podíl </w:t>
      </w:r>
      <w:r>
        <w:rPr>
          <w:rFonts w:cs="Arial"/>
          <w:szCs w:val="20"/>
        </w:rPr>
        <w:t xml:space="preserve">ordinací, které nabízejí </w:t>
      </w:r>
      <w:r>
        <w:rPr>
          <w:rFonts w:cs="Arial"/>
          <w:b/>
          <w:szCs w:val="20"/>
        </w:rPr>
        <w:t>konzultace</w:t>
      </w:r>
      <w:r w:rsidRPr="00CF1553">
        <w:rPr>
          <w:rFonts w:cs="Arial"/>
          <w:b/>
          <w:szCs w:val="20"/>
        </w:rPr>
        <w:t xml:space="preserve"> </w:t>
      </w:r>
      <w:r>
        <w:rPr>
          <w:rFonts w:cs="Arial"/>
          <w:b/>
          <w:szCs w:val="20"/>
        </w:rPr>
        <w:t>přes on-line formuláře</w:t>
      </w:r>
      <w:r w:rsidRPr="003A3932">
        <w:rPr>
          <w:rFonts w:cs="Arial"/>
          <w:szCs w:val="20"/>
        </w:rPr>
        <w:t>, a to</w:t>
      </w:r>
      <w:r w:rsidRPr="00CF1553">
        <w:rPr>
          <w:rFonts w:cs="Arial"/>
          <w:szCs w:val="20"/>
        </w:rPr>
        <w:t xml:space="preserve"> z 3 % v roce 2006 na 12 % ordinací v roce 2016. </w:t>
      </w:r>
      <w:r>
        <w:rPr>
          <w:rFonts w:cs="Arial"/>
          <w:szCs w:val="20"/>
        </w:rPr>
        <w:t>I přesto zůstává počet jednotlivců, kteří možnost konzultace využili, stále nízký. V</w:t>
      </w:r>
      <w:r w:rsidRPr="003A3932">
        <w:rPr>
          <w:rFonts w:cs="Arial"/>
          <w:szCs w:val="20"/>
        </w:rPr>
        <w:t xml:space="preserve"> roce 2016</w:t>
      </w:r>
      <w:r>
        <w:rPr>
          <w:rFonts w:cs="Arial"/>
          <w:szCs w:val="20"/>
        </w:rPr>
        <w:t xml:space="preserve"> to byla</w:t>
      </w:r>
      <w:r w:rsidRPr="003A3932">
        <w:rPr>
          <w:rFonts w:cs="Arial"/>
          <w:szCs w:val="20"/>
        </w:rPr>
        <w:t xml:space="preserve"> </w:t>
      </w:r>
      <w:r>
        <w:rPr>
          <w:rFonts w:cs="Arial"/>
          <w:szCs w:val="20"/>
        </w:rPr>
        <w:t>pouze</w:t>
      </w:r>
      <w:r w:rsidRPr="003A3932">
        <w:rPr>
          <w:rFonts w:cs="Arial"/>
          <w:szCs w:val="20"/>
        </w:rPr>
        <w:t xml:space="preserve"> 4 % Čechů</w:t>
      </w:r>
      <w:r>
        <w:rPr>
          <w:rFonts w:cs="Arial"/>
          <w:szCs w:val="20"/>
        </w:rPr>
        <w:t>, stejně jako v případě on-line objednání častěji ženy (5 %) než muži (3 %).</w:t>
      </w:r>
      <w:r w:rsidRPr="009E4C37">
        <w:t xml:space="preserve"> </w:t>
      </w:r>
      <w:r>
        <w:t>O</w:t>
      </w:r>
      <w:r w:rsidRPr="008935BC">
        <w:t>n-line konzultace nabízeli nejčastěji gynekologové (</w:t>
      </w:r>
      <w:r>
        <w:t>29 </w:t>
      </w:r>
      <w:r w:rsidRPr="008935BC">
        <w:t>%), případně pediatři (</w:t>
      </w:r>
      <w:r>
        <w:t>21 %).</w:t>
      </w:r>
    </w:p>
    <w:p w:rsidR="008353D1" w:rsidRPr="00CF1553" w:rsidRDefault="008353D1" w:rsidP="001374A5">
      <w:pPr>
        <w:pStyle w:val="Odstavecseseznamem"/>
        <w:numPr>
          <w:ilvl w:val="0"/>
          <w:numId w:val="22"/>
        </w:numPr>
        <w:spacing w:after="80" w:line="264" w:lineRule="auto"/>
        <w:ind w:left="357" w:hanging="357"/>
        <w:jc w:val="both"/>
        <w:rPr>
          <w:rFonts w:ascii="Arial" w:hAnsi="Arial" w:cs="Arial"/>
          <w:sz w:val="20"/>
          <w:szCs w:val="20"/>
        </w:rPr>
      </w:pPr>
      <w:r w:rsidRPr="00CF1553">
        <w:rPr>
          <w:rFonts w:ascii="Arial" w:hAnsi="Arial" w:cs="Arial"/>
          <w:b/>
          <w:sz w:val="20"/>
          <w:szCs w:val="20"/>
        </w:rPr>
        <w:t>Vystavit recept</w:t>
      </w:r>
      <w:r w:rsidRPr="00CF1553">
        <w:rPr>
          <w:rFonts w:ascii="Arial" w:hAnsi="Arial" w:cs="Arial"/>
          <w:sz w:val="20"/>
          <w:szCs w:val="20"/>
        </w:rPr>
        <w:t xml:space="preserve"> na základě žádosti podané přes webové stránky ordinace umožňovalo v roce 2016 9 % ordinací lékařů v ČR, nejčastěji šlo o gynekology (22 %), nejméně často naopak o zubní lékaře (1 %). Právě zubaři s povinností předepisovat léky elektronicky nesouhlasí, protože ročně vydají jen několik desítek předpisů, nejčastěji na antibiotika. Vzhledem k nízkému počtu předepisovaných léků se jim tak nevyplatí systém pořizovat. </w:t>
      </w:r>
    </w:p>
    <w:p w:rsidR="00D67EDA" w:rsidRPr="006E65BC" w:rsidRDefault="00D67EDA" w:rsidP="00D67EDA">
      <w:pPr>
        <w:pStyle w:val="Titulek"/>
        <w:keepNext/>
        <w:spacing w:after="0"/>
        <w:jc w:val="both"/>
        <w:rPr>
          <w:color w:val="FFFFFF" w:themeColor="background1"/>
          <w:sz w:val="4"/>
          <w:szCs w:val="4"/>
        </w:rPr>
      </w:pPr>
      <w:bookmarkStart w:id="7" w:name="_Toc524332637"/>
      <w:r w:rsidRPr="006E65BC">
        <w:rPr>
          <w:color w:val="FFFFFF" w:themeColor="background1"/>
          <w:sz w:val="4"/>
          <w:szCs w:val="4"/>
        </w:rPr>
        <w:t>Graf G</w:t>
      </w:r>
      <w:r w:rsidRPr="006E65BC">
        <w:rPr>
          <w:color w:val="FFFFFF" w:themeColor="background1"/>
          <w:sz w:val="4"/>
          <w:szCs w:val="4"/>
        </w:rPr>
        <w:fldChar w:fldCharType="begin"/>
      </w:r>
      <w:r w:rsidRPr="006E65BC">
        <w:rPr>
          <w:color w:val="FFFFFF" w:themeColor="background1"/>
          <w:sz w:val="4"/>
          <w:szCs w:val="4"/>
        </w:rPr>
        <w:instrText xml:space="preserve"> SEQ Graf_G \* ARABIC </w:instrText>
      </w:r>
      <w:r w:rsidRPr="006E65BC">
        <w:rPr>
          <w:color w:val="FFFFFF" w:themeColor="background1"/>
          <w:sz w:val="4"/>
          <w:szCs w:val="4"/>
        </w:rPr>
        <w:fldChar w:fldCharType="separate"/>
      </w:r>
      <w:r w:rsidRPr="006E65BC">
        <w:rPr>
          <w:noProof/>
          <w:color w:val="FFFFFF" w:themeColor="background1"/>
          <w:sz w:val="4"/>
          <w:szCs w:val="4"/>
        </w:rPr>
        <w:t>3</w:t>
      </w:r>
      <w:r w:rsidRPr="006E65BC">
        <w:rPr>
          <w:color w:val="FFFFFF" w:themeColor="background1"/>
          <w:sz w:val="4"/>
          <w:szCs w:val="4"/>
        </w:rPr>
        <w:fldChar w:fldCharType="end"/>
      </w:r>
      <w:r w:rsidRPr="006E65BC">
        <w:rPr>
          <w:color w:val="FFFFFF" w:themeColor="background1"/>
          <w:sz w:val="4"/>
          <w:szCs w:val="4"/>
        </w:rPr>
        <w:t xml:space="preserve"> Samostatné ordinace lékařů v Česku nabízející pacientům </w:t>
      </w:r>
      <w:r w:rsidR="006E65BC" w:rsidRPr="006E65BC">
        <w:rPr>
          <w:color w:val="FFFFFF" w:themeColor="background1"/>
          <w:sz w:val="4"/>
          <w:szCs w:val="4"/>
        </w:rPr>
        <w:t xml:space="preserve">možnost </w:t>
      </w:r>
      <w:r w:rsidRPr="006E65BC">
        <w:rPr>
          <w:color w:val="FFFFFF" w:themeColor="background1"/>
          <w:sz w:val="4"/>
          <w:szCs w:val="4"/>
        </w:rPr>
        <w:t>objednat se přes webové stránky</w:t>
      </w:r>
      <w:bookmarkEnd w:id="7"/>
    </w:p>
    <w:p w:rsidR="00D67EDA" w:rsidRPr="006E65BC" w:rsidRDefault="00D67EDA" w:rsidP="00D67EDA">
      <w:pPr>
        <w:pStyle w:val="Titulek"/>
        <w:keepNext/>
        <w:spacing w:after="0"/>
        <w:jc w:val="both"/>
        <w:rPr>
          <w:color w:val="FFFFFF" w:themeColor="background1"/>
          <w:sz w:val="4"/>
          <w:szCs w:val="4"/>
        </w:rPr>
      </w:pPr>
      <w:bookmarkStart w:id="8" w:name="_Toc524332638"/>
      <w:r w:rsidRPr="006E65BC">
        <w:rPr>
          <w:color w:val="FFFFFF" w:themeColor="background1"/>
          <w:sz w:val="4"/>
          <w:szCs w:val="4"/>
        </w:rPr>
        <w:t>Graf G</w:t>
      </w:r>
      <w:r w:rsidRPr="006E65BC">
        <w:rPr>
          <w:color w:val="FFFFFF" w:themeColor="background1"/>
          <w:sz w:val="4"/>
          <w:szCs w:val="4"/>
        </w:rPr>
        <w:fldChar w:fldCharType="begin"/>
      </w:r>
      <w:r w:rsidRPr="006E65BC">
        <w:rPr>
          <w:color w:val="FFFFFF" w:themeColor="background1"/>
          <w:sz w:val="4"/>
          <w:szCs w:val="4"/>
        </w:rPr>
        <w:instrText xml:space="preserve"> SEQ Graf_G \* ARABIC </w:instrText>
      </w:r>
      <w:r w:rsidRPr="006E65BC">
        <w:rPr>
          <w:color w:val="FFFFFF" w:themeColor="background1"/>
          <w:sz w:val="4"/>
          <w:szCs w:val="4"/>
        </w:rPr>
        <w:fldChar w:fldCharType="separate"/>
      </w:r>
      <w:r w:rsidRPr="006E65BC">
        <w:rPr>
          <w:noProof/>
          <w:color w:val="FFFFFF" w:themeColor="background1"/>
          <w:sz w:val="4"/>
          <w:szCs w:val="4"/>
        </w:rPr>
        <w:t>4</w:t>
      </w:r>
      <w:r w:rsidRPr="006E65BC">
        <w:rPr>
          <w:color w:val="FFFFFF" w:themeColor="background1"/>
          <w:sz w:val="4"/>
          <w:szCs w:val="4"/>
        </w:rPr>
        <w:fldChar w:fldCharType="end"/>
      </w:r>
      <w:r w:rsidRPr="006E65BC">
        <w:rPr>
          <w:color w:val="FFFFFF" w:themeColor="background1"/>
          <w:sz w:val="4"/>
          <w:szCs w:val="4"/>
        </w:rPr>
        <w:t xml:space="preserve"> Samostatné ordinace lékařů v Česku nabízející pacientům konzultace přes webové stránky</w:t>
      </w:r>
      <w:bookmarkEnd w:id="8"/>
    </w:p>
    <w:p w:rsidR="008353D1" w:rsidRDefault="008353D1" w:rsidP="008353D1">
      <w:pPr>
        <w:pStyle w:val="Zkladntext"/>
        <w:spacing w:after="100" w:line="264" w:lineRule="auto"/>
        <w:rPr>
          <w:b/>
          <w:i/>
          <w:color w:val="009BB4"/>
          <w:sz w:val="24"/>
        </w:rPr>
      </w:pPr>
      <w:r w:rsidRPr="00132F89">
        <w:rPr>
          <w:noProof/>
          <w:sz w:val="20"/>
          <w:szCs w:val="20"/>
        </w:rPr>
        <w:drawing>
          <wp:inline distT="0" distB="0" distL="0" distR="0" wp14:anchorId="3F1B8BDF" wp14:editId="1ED1B159">
            <wp:extent cx="3009900" cy="2905125"/>
            <wp:effectExtent l="0" t="0" r="0" b="9525"/>
            <wp:docPr id="171" name="Graf 17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drawing>
          <wp:inline distT="0" distB="0" distL="0" distR="0" wp14:anchorId="6D8D53CF" wp14:editId="61D51A0B">
            <wp:extent cx="3057525" cy="3000375"/>
            <wp:effectExtent l="0" t="0" r="9525" b="0"/>
            <wp:docPr id="172" name="Graf 1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353D1" w:rsidRDefault="008353D1" w:rsidP="008353D1">
      <w:pPr>
        <w:pStyle w:val="Nadpis2"/>
        <w:spacing w:before="240" w:after="120" w:line="264" w:lineRule="auto"/>
      </w:pPr>
      <w:bookmarkStart w:id="9" w:name="_Toc525303581"/>
      <w:r>
        <w:t xml:space="preserve">G. 3 </w:t>
      </w:r>
      <w:r w:rsidRPr="00AB53FF">
        <w:t>Vedení zdravotnické dokumentace v</w:t>
      </w:r>
      <w:r>
        <w:t> elektronické podobě</w:t>
      </w:r>
      <w:bookmarkEnd w:id="9"/>
    </w:p>
    <w:p w:rsidR="008353D1" w:rsidRPr="004E211F" w:rsidRDefault="008353D1" w:rsidP="008353D1">
      <w:pPr>
        <w:autoSpaceDE w:val="0"/>
        <w:autoSpaceDN w:val="0"/>
        <w:adjustRightInd w:val="0"/>
        <w:spacing w:after="80" w:line="264" w:lineRule="auto"/>
        <w:jc w:val="both"/>
        <w:rPr>
          <w:rFonts w:cs="Arial"/>
          <w:szCs w:val="20"/>
        </w:rPr>
      </w:pPr>
      <w:r>
        <w:rPr>
          <w:i/>
        </w:rPr>
        <w:t xml:space="preserve">V České republice část lékařů vede zdravotnickou dokumentaci v elektronické podobě na počítači a část </w:t>
      </w:r>
      <w:r w:rsidRPr="00067211">
        <w:rPr>
          <w:i/>
        </w:rPr>
        <w:t>stále</w:t>
      </w:r>
      <w:r>
        <w:rPr>
          <w:i/>
        </w:rPr>
        <w:t xml:space="preserve"> ještě ručně nebo na psacím stroji do papírových karet.</w:t>
      </w:r>
      <w:r w:rsidRPr="004E211F">
        <w:rPr>
          <w:i/>
        </w:rPr>
        <w:t xml:space="preserve"> </w:t>
      </w:r>
      <w:r w:rsidRPr="0047390C">
        <w:rPr>
          <w:i/>
        </w:rPr>
        <w:t>I když ale lékař vede zdravotní dokumentaci</w:t>
      </w:r>
      <w:r>
        <w:rPr>
          <w:i/>
        </w:rPr>
        <w:t xml:space="preserve"> </w:t>
      </w:r>
      <w:r w:rsidRPr="0047390C">
        <w:rPr>
          <w:i/>
        </w:rPr>
        <w:t>elektronicky, často</w:t>
      </w:r>
      <w:r>
        <w:rPr>
          <w:i/>
        </w:rPr>
        <w:t xml:space="preserve"> se mu např. </w:t>
      </w:r>
      <w:r w:rsidRPr="0047390C">
        <w:rPr>
          <w:i/>
        </w:rPr>
        <w:t>do rukou dostanou výsledky a zprávy</w:t>
      </w:r>
      <w:r>
        <w:rPr>
          <w:i/>
        </w:rPr>
        <w:t xml:space="preserve"> od ostatních lékařů pacienta</w:t>
      </w:r>
      <w:r w:rsidRPr="0047390C">
        <w:rPr>
          <w:i/>
        </w:rPr>
        <w:t xml:space="preserve"> v</w:t>
      </w:r>
      <w:r>
        <w:rPr>
          <w:i/>
        </w:rPr>
        <w:t> </w:t>
      </w:r>
      <w:r w:rsidRPr="0047390C">
        <w:rPr>
          <w:i/>
        </w:rPr>
        <w:t>papírové podobě</w:t>
      </w:r>
      <w:r>
        <w:rPr>
          <w:i/>
        </w:rPr>
        <w:t>. Oba způsoby vedení dokumentace tak budou pravděpodobně ještě dlouho fungovat vedle sebe, protože přepisovat stávající papírové záznamy do elektronické podoby se mnoha lékařům chtít nebude.</w:t>
      </w:r>
      <w:r>
        <w:rPr>
          <w:rStyle w:val="Znakapoznpodarou"/>
          <w:i/>
        </w:rPr>
        <w:footnoteReference w:id="3"/>
      </w:r>
    </w:p>
    <w:p w:rsidR="008353D1" w:rsidRPr="006B5B14" w:rsidRDefault="008353D1" w:rsidP="008353D1">
      <w:pPr>
        <w:pStyle w:val="Zkladntext"/>
        <w:numPr>
          <w:ilvl w:val="0"/>
          <w:numId w:val="14"/>
        </w:numPr>
        <w:tabs>
          <w:tab w:val="clear" w:pos="360"/>
          <w:tab w:val="num" w:pos="284"/>
        </w:tabs>
        <w:spacing w:before="0" w:after="80" w:line="264" w:lineRule="auto"/>
        <w:ind w:left="284" w:hanging="284"/>
        <w:rPr>
          <w:sz w:val="20"/>
        </w:rPr>
      </w:pPr>
      <w:r w:rsidRPr="006B5B14">
        <w:rPr>
          <w:sz w:val="20"/>
        </w:rPr>
        <w:t xml:space="preserve">Zdravotní dokumentaci vedlo </w:t>
      </w:r>
      <w:r>
        <w:rPr>
          <w:sz w:val="20"/>
        </w:rPr>
        <w:t xml:space="preserve">v roce 2016 </w:t>
      </w:r>
      <w:r w:rsidRPr="006B5B14">
        <w:rPr>
          <w:sz w:val="20"/>
        </w:rPr>
        <w:t xml:space="preserve">alespoň částečně </w:t>
      </w:r>
      <w:r w:rsidRPr="006B5B14">
        <w:rPr>
          <w:b/>
          <w:sz w:val="20"/>
        </w:rPr>
        <w:t>v elektronické podobě</w:t>
      </w:r>
      <w:r w:rsidRPr="006B5B14">
        <w:rPr>
          <w:sz w:val="20"/>
        </w:rPr>
        <w:t xml:space="preserve"> na počítači 68 % samostatných ordinací lékařů</w:t>
      </w:r>
      <w:r>
        <w:rPr>
          <w:sz w:val="20"/>
        </w:rPr>
        <w:t xml:space="preserve"> v ČR</w:t>
      </w:r>
      <w:r w:rsidRPr="006B5B14">
        <w:rPr>
          <w:sz w:val="20"/>
        </w:rPr>
        <w:t>. Nejčastěji se jednalo o gynekology (74 %), praktické lékaře pro</w:t>
      </w:r>
      <w:r>
        <w:rPr>
          <w:sz w:val="20"/>
        </w:rPr>
        <w:t> </w:t>
      </w:r>
      <w:r w:rsidRPr="006B5B14">
        <w:rPr>
          <w:sz w:val="20"/>
        </w:rPr>
        <w:t xml:space="preserve">dospělé (74 %) či o lékaře specialisty (71 %). </w:t>
      </w:r>
    </w:p>
    <w:p w:rsidR="008353D1" w:rsidRDefault="008353D1" w:rsidP="008353D1">
      <w:pPr>
        <w:numPr>
          <w:ilvl w:val="0"/>
          <w:numId w:val="14"/>
        </w:numPr>
        <w:autoSpaceDE w:val="0"/>
        <w:autoSpaceDN w:val="0"/>
        <w:adjustRightInd w:val="0"/>
        <w:spacing w:after="80" w:line="264" w:lineRule="auto"/>
        <w:ind w:left="284" w:hanging="284"/>
        <w:jc w:val="both"/>
      </w:pPr>
      <w:r w:rsidRPr="005C3E48">
        <w:t xml:space="preserve">Velká část ordinací </w:t>
      </w:r>
      <w:r>
        <w:t xml:space="preserve">však </w:t>
      </w:r>
      <w:r w:rsidRPr="005C3E48">
        <w:t>stále vede dokumentaci alespoň částečně</w:t>
      </w:r>
      <w:r w:rsidRPr="004E211F">
        <w:rPr>
          <w:b/>
        </w:rPr>
        <w:t xml:space="preserve"> v papírové podobě </w:t>
      </w:r>
      <w:r w:rsidRPr="005C3E48">
        <w:t>(</w:t>
      </w:r>
      <w:r>
        <w:t xml:space="preserve">91 %), v 31 % případů se stále jedná o formu výhradní. </w:t>
      </w:r>
      <w:r w:rsidRPr="004E211F">
        <w:rPr>
          <w:rFonts w:cs="Arial"/>
          <w:szCs w:val="20"/>
        </w:rPr>
        <w:t xml:space="preserve"> Paradoxní situace je v případě zubařů, kteří na jednu stranu </w:t>
      </w:r>
      <w:r w:rsidRPr="004E211F">
        <w:rPr>
          <w:rFonts w:cs="Arial"/>
          <w:szCs w:val="20"/>
        </w:rPr>
        <w:lastRenderedPageBreak/>
        <w:t xml:space="preserve">mají ze všech lékařů nejčastěji dokumentaci pouze v papírové podobě (41 %), ale zároveň také nejčastěji vedou dokumentaci výhradně elektronicky (12 %). Nejméně často pak výhradně papírovou dokumentaci používají gynekologové (25 %). </w:t>
      </w:r>
    </w:p>
    <w:p w:rsidR="00D67EDA" w:rsidRPr="00D67EDA" w:rsidRDefault="00D67EDA" w:rsidP="00D67EDA">
      <w:pPr>
        <w:pStyle w:val="Titulek"/>
        <w:keepNext/>
        <w:spacing w:after="0"/>
        <w:jc w:val="both"/>
        <w:rPr>
          <w:color w:val="FFFFFF" w:themeColor="background1"/>
          <w:sz w:val="4"/>
          <w:szCs w:val="4"/>
        </w:rPr>
      </w:pPr>
      <w:bookmarkStart w:id="10" w:name="_Toc524332639"/>
      <w:r w:rsidRPr="00D67EDA">
        <w:rPr>
          <w:color w:val="FFFFFF" w:themeColor="background1"/>
          <w:sz w:val="4"/>
          <w:szCs w:val="4"/>
        </w:rPr>
        <w:t>Graf G</w:t>
      </w:r>
      <w:r w:rsidRPr="00D67EDA">
        <w:rPr>
          <w:color w:val="FFFFFF" w:themeColor="background1"/>
          <w:sz w:val="4"/>
          <w:szCs w:val="4"/>
        </w:rPr>
        <w:fldChar w:fldCharType="begin"/>
      </w:r>
      <w:r w:rsidRPr="00D67EDA">
        <w:rPr>
          <w:color w:val="FFFFFF" w:themeColor="background1"/>
          <w:sz w:val="4"/>
          <w:szCs w:val="4"/>
        </w:rPr>
        <w:instrText xml:space="preserve"> SEQ Graf_G \* ARABIC </w:instrText>
      </w:r>
      <w:r w:rsidRPr="00D67EDA">
        <w:rPr>
          <w:color w:val="FFFFFF" w:themeColor="background1"/>
          <w:sz w:val="4"/>
          <w:szCs w:val="4"/>
        </w:rPr>
        <w:fldChar w:fldCharType="separate"/>
      </w:r>
      <w:r>
        <w:rPr>
          <w:noProof/>
          <w:color w:val="FFFFFF" w:themeColor="background1"/>
          <w:sz w:val="4"/>
          <w:szCs w:val="4"/>
        </w:rPr>
        <w:t>5</w:t>
      </w:r>
      <w:r w:rsidRPr="00D67EDA">
        <w:rPr>
          <w:color w:val="FFFFFF" w:themeColor="background1"/>
          <w:sz w:val="4"/>
          <w:szCs w:val="4"/>
        </w:rPr>
        <w:fldChar w:fldCharType="end"/>
      </w:r>
      <w:r w:rsidRPr="00D67EDA">
        <w:rPr>
          <w:rFonts w:eastAsiaTheme="minorEastAsia" w:cs="Arial"/>
          <w:b w:val="0"/>
          <w:bCs w:val="0"/>
          <w:color w:val="FFFFFF" w:themeColor="background1"/>
          <w:kern w:val="24"/>
          <w:sz w:val="4"/>
          <w:szCs w:val="4"/>
        </w:rPr>
        <w:t xml:space="preserve"> </w:t>
      </w:r>
      <w:r w:rsidRPr="00D67EDA">
        <w:rPr>
          <w:color w:val="FFFFFF" w:themeColor="background1"/>
          <w:sz w:val="4"/>
          <w:szCs w:val="4"/>
        </w:rPr>
        <w:t>Samostatné ordinace lékařů v Česku, které vedou zdravotnickou dokumentaci v elektronické formě v roce 2016</w:t>
      </w:r>
      <w:bookmarkEnd w:id="10"/>
    </w:p>
    <w:p w:rsidR="00D67EDA" w:rsidRPr="00D67EDA" w:rsidRDefault="00D67EDA" w:rsidP="00D67EDA">
      <w:pPr>
        <w:pStyle w:val="Titulek"/>
        <w:keepNext/>
        <w:spacing w:after="0"/>
        <w:jc w:val="both"/>
        <w:rPr>
          <w:color w:val="FFFFFF" w:themeColor="background1"/>
          <w:sz w:val="4"/>
          <w:szCs w:val="4"/>
        </w:rPr>
      </w:pPr>
      <w:bookmarkStart w:id="11" w:name="_Toc524332640"/>
      <w:r w:rsidRPr="00D67EDA">
        <w:rPr>
          <w:color w:val="FFFFFF" w:themeColor="background1"/>
          <w:sz w:val="4"/>
          <w:szCs w:val="4"/>
        </w:rPr>
        <w:t>Graf G</w:t>
      </w:r>
      <w:r w:rsidRPr="00D67EDA">
        <w:rPr>
          <w:color w:val="FFFFFF" w:themeColor="background1"/>
          <w:sz w:val="4"/>
          <w:szCs w:val="4"/>
        </w:rPr>
        <w:fldChar w:fldCharType="begin"/>
      </w:r>
      <w:r w:rsidRPr="00D67EDA">
        <w:rPr>
          <w:color w:val="FFFFFF" w:themeColor="background1"/>
          <w:sz w:val="4"/>
          <w:szCs w:val="4"/>
        </w:rPr>
        <w:instrText xml:space="preserve"> SEQ Graf_G \* ARABIC </w:instrText>
      </w:r>
      <w:r w:rsidRPr="00D67EDA">
        <w:rPr>
          <w:color w:val="FFFFFF" w:themeColor="background1"/>
          <w:sz w:val="4"/>
          <w:szCs w:val="4"/>
        </w:rPr>
        <w:fldChar w:fldCharType="separate"/>
      </w:r>
      <w:r>
        <w:rPr>
          <w:noProof/>
          <w:color w:val="FFFFFF" w:themeColor="background1"/>
          <w:sz w:val="4"/>
          <w:szCs w:val="4"/>
        </w:rPr>
        <w:t>6</w:t>
      </w:r>
      <w:r w:rsidRPr="00D67EDA">
        <w:rPr>
          <w:color w:val="FFFFFF" w:themeColor="background1"/>
          <w:sz w:val="4"/>
          <w:szCs w:val="4"/>
        </w:rPr>
        <w:fldChar w:fldCharType="end"/>
      </w:r>
      <w:r w:rsidRPr="00D67EDA">
        <w:rPr>
          <w:color w:val="FFFFFF" w:themeColor="background1"/>
          <w:sz w:val="4"/>
          <w:szCs w:val="4"/>
        </w:rPr>
        <w:t xml:space="preserve"> Samostatné ordinace lékařů v Česku, které vedou zdravotnickou dokumentaci v listinné formě v roce 2016</w:t>
      </w:r>
      <w:bookmarkEnd w:id="11"/>
    </w:p>
    <w:p w:rsidR="008353D1" w:rsidRDefault="008353D1" w:rsidP="008353D1">
      <w:pPr>
        <w:autoSpaceDE w:val="0"/>
        <w:autoSpaceDN w:val="0"/>
        <w:adjustRightInd w:val="0"/>
        <w:spacing w:after="100" w:line="264" w:lineRule="auto"/>
        <w:jc w:val="both"/>
      </w:pPr>
      <w:r>
        <w:rPr>
          <w:noProof/>
        </w:rPr>
        <w:drawing>
          <wp:inline distT="0" distB="0" distL="0" distR="0" wp14:anchorId="4754FCED" wp14:editId="2277DD47">
            <wp:extent cx="3056406" cy="3367599"/>
            <wp:effectExtent l="0" t="0" r="0" b="23495"/>
            <wp:docPr id="173" name="Graf 1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drawing>
          <wp:inline distT="0" distB="0" distL="0" distR="0" wp14:anchorId="6B70A3B7" wp14:editId="5B4582CA">
            <wp:extent cx="3055507" cy="3383953"/>
            <wp:effectExtent l="0" t="0" r="0" b="26035"/>
            <wp:docPr id="174" name="Graf 17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353D1" w:rsidRDefault="008353D1" w:rsidP="008353D1">
      <w:pPr>
        <w:pStyle w:val="Nadpis2"/>
        <w:spacing w:before="240" w:after="120" w:line="264" w:lineRule="auto"/>
      </w:pPr>
      <w:bookmarkStart w:id="12" w:name="_Toc525303582"/>
      <w:r>
        <w:t xml:space="preserve">G. 4 Elektronické </w:t>
      </w:r>
      <w:r w:rsidRPr="002B4EA8">
        <w:t>informační</w:t>
      </w:r>
      <w:r>
        <w:t xml:space="preserve"> zdravotnické systémy</w:t>
      </w:r>
      <w:bookmarkEnd w:id="12"/>
    </w:p>
    <w:p w:rsidR="008353D1" w:rsidRPr="00167023" w:rsidRDefault="008353D1" w:rsidP="008353D1">
      <w:pPr>
        <w:spacing w:afterLines="80" w:after="192" w:line="264" w:lineRule="auto"/>
        <w:jc w:val="both"/>
        <w:rPr>
          <w:i/>
        </w:rPr>
      </w:pPr>
      <w:r w:rsidRPr="006D097A">
        <w:rPr>
          <w:i/>
        </w:rPr>
        <w:t>Elektronické zdravotnické systémy mohou lékařům v mnoha ohledech usnadnit práci.</w:t>
      </w:r>
      <w:r w:rsidRPr="006D097A">
        <w:rPr>
          <w:b/>
          <w:i/>
        </w:rPr>
        <w:t xml:space="preserve"> </w:t>
      </w:r>
      <w:r w:rsidRPr="006D097A">
        <w:rPr>
          <w:i/>
        </w:rPr>
        <w:t xml:space="preserve">Lékaři mohou snadno získat přístup k laboratorním výsledkům, lékařským záznamům, lékařským obrazům nebo informacím o lécích. Např. prostřednictvím upozornění na lékové interakce může elektronický informační zdravotnický systém lékaře upozornit na to, zda se pacientovi právě nechystá předepsat léky, které se navzájem ovlivňují. Lékaři si také mohou nechat sestavit </w:t>
      </w:r>
      <w:r w:rsidRPr="006D097A">
        <w:rPr>
          <w:rFonts w:cs="Arial"/>
          <w:i/>
        </w:rPr>
        <w:t>výpis elektronických záznamů všech pacientů v péči sledovaného zdravotnického zařízení sledující zadané kritérium.</w:t>
      </w:r>
    </w:p>
    <w:p w:rsidR="008353D1" w:rsidRPr="002A4E16" w:rsidRDefault="008353D1" w:rsidP="008353D1">
      <w:pPr>
        <w:numPr>
          <w:ilvl w:val="0"/>
          <w:numId w:val="14"/>
        </w:numPr>
        <w:tabs>
          <w:tab w:val="clear" w:pos="360"/>
          <w:tab w:val="num" w:pos="284"/>
        </w:tabs>
        <w:autoSpaceDE w:val="0"/>
        <w:autoSpaceDN w:val="0"/>
        <w:adjustRightInd w:val="0"/>
        <w:spacing w:afterLines="80" w:after="192" w:line="264" w:lineRule="auto"/>
        <w:ind w:left="284" w:hanging="284"/>
        <w:jc w:val="both"/>
      </w:pPr>
      <w:r>
        <w:t xml:space="preserve">Lékaři mohou využívat své informační zdravotnické systémy v elektronické podobě (tzv. </w:t>
      </w:r>
      <w:r w:rsidRPr="00983E99">
        <w:rPr>
          <w:b/>
        </w:rPr>
        <w:t>e-systémy</w:t>
      </w:r>
      <w:r>
        <w:rPr>
          <w:b/>
        </w:rPr>
        <w:t>)</w:t>
      </w:r>
      <w:r>
        <w:t xml:space="preserve"> k nejrůznějším činnostem. Téměř polovina všech lékařů v ČR (46 %) tak díky nim v roce 2016 </w:t>
      </w:r>
      <w:r w:rsidRPr="003E5EA0">
        <w:rPr>
          <w:b/>
        </w:rPr>
        <w:t>předepisovala léky</w:t>
      </w:r>
      <w:r>
        <w:t xml:space="preserve">, necelá třetina lékařů (30 %) zobrazovala v e-systémech výsledky </w:t>
      </w:r>
      <w:r w:rsidRPr="003E5EA0">
        <w:rPr>
          <w:b/>
        </w:rPr>
        <w:t>laboratorních vyšetření</w:t>
      </w:r>
      <w:r>
        <w:rPr>
          <w:b/>
        </w:rPr>
        <w:t xml:space="preserve">. </w:t>
      </w:r>
      <w:r w:rsidRPr="002A4E16">
        <w:t xml:space="preserve">Nejčastěji </w:t>
      </w:r>
      <w:r>
        <w:t>tak činili gynekologové a praktičtí lékaři pro dospělé (54 %) a naopak pouze 3 % zubařů. Jde však nicméně o očekávatelný výsledek, podobně jako v případě předepisování receptů, zubaři své pacienty v porovnání s jinými lékaři na tolik laboratorních vyšetření neposílají.</w:t>
      </w:r>
    </w:p>
    <w:p w:rsidR="008353D1" w:rsidRPr="00FE0AFC" w:rsidRDefault="008353D1" w:rsidP="008353D1">
      <w:pPr>
        <w:numPr>
          <w:ilvl w:val="0"/>
          <w:numId w:val="14"/>
        </w:numPr>
        <w:tabs>
          <w:tab w:val="clear" w:pos="360"/>
          <w:tab w:val="num" w:pos="284"/>
        </w:tabs>
        <w:autoSpaceDE w:val="0"/>
        <w:autoSpaceDN w:val="0"/>
        <w:adjustRightInd w:val="0"/>
        <w:spacing w:afterLines="80" w:after="192" w:line="264" w:lineRule="auto"/>
        <w:ind w:left="284" w:hanging="284"/>
        <w:jc w:val="both"/>
      </w:pPr>
      <w:r>
        <w:t xml:space="preserve">Více než čtvrtina lékařů (27 %) využívala upozorňování na </w:t>
      </w:r>
      <w:r w:rsidRPr="003E5EA0">
        <w:rPr>
          <w:b/>
        </w:rPr>
        <w:t>lékové interakce</w:t>
      </w:r>
      <w:r>
        <w:t xml:space="preserve"> prostřednictvím těchto systémů, kdy</w:t>
      </w:r>
      <w:r w:rsidRPr="00FE0AFC">
        <w:t xml:space="preserve"> elektronický systém upozorní na to, že lék, který chtějí pacientovi předepsat, může negativně interagovat s ostatními léky, které již daný pacient užívá. Tuto funkci bychom v praxi nejčastěji našli u praktických lékařů pro dospělé (47 %) a gynekologů (32 %) a nejméně naopak u zub</w:t>
      </w:r>
      <w:r>
        <w:t>ařů (pouze 10 </w:t>
      </w:r>
      <w:r w:rsidRPr="00FE0AFC">
        <w:t>%).</w:t>
      </w:r>
    </w:p>
    <w:p w:rsidR="00D67EDA" w:rsidRDefault="008353D1" w:rsidP="008353D1">
      <w:pPr>
        <w:tabs>
          <w:tab w:val="left" w:pos="9214"/>
        </w:tabs>
        <w:autoSpaceDE w:val="0"/>
        <w:autoSpaceDN w:val="0"/>
        <w:adjustRightInd w:val="0"/>
        <w:spacing w:after="100" w:line="264" w:lineRule="auto"/>
        <w:jc w:val="both"/>
      </w:pPr>
      <w:r w:rsidRPr="009C5AFA">
        <w:rPr>
          <w:noProof/>
        </w:rPr>
        <w:t xml:space="preserve"> </w:t>
      </w:r>
    </w:p>
    <w:p w:rsidR="00D67EDA" w:rsidRDefault="00D67EDA" w:rsidP="00D67EDA">
      <w:pPr>
        <w:pStyle w:val="Titulek"/>
        <w:keepNext/>
        <w:jc w:val="both"/>
        <w:sectPr w:rsidR="00D67EDA" w:rsidSect="00F17727">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134" w:right="1134" w:bottom="1418" w:left="1134" w:header="680" w:footer="680" w:gutter="0"/>
          <w:pgNumType w:start="85"/>
          <w:cols w:space="708"/>
          <w:docGrid w:linePitch="360"/>
        </w:sectPr>
      </w:pPr>
    </w:p>
    <w:p w:rsidR="00D67EDA" w:rsidRPr="00D67EDA" w:rsidRDefault="00D67EDA" w:rsidP="00D67EDA">
      <w:pPr>
        <w:pStyle w:val="Titulek"/>
        <w:keepNext/>
        <w:spacing w:after="0"/>
        <w:jc w:val="both"/>
        <w:rPr>
          <w:color w:val="FFFFFF" w:themeColor="background1"/>
          <w:sz w:val="4"/>
          <w:szCs w:val="4"/>
        </w:rPr>
      </w:pPr>
      <w:bookmarkStart w:id="13" w:name="_Toc524332641"/>
      <w:r w:rsidRPr="00D67EDA">
        <w:rPr>
          <w:color w:val="FFFFFF" w:themeColor="background1"/>
          <w:sz w:val="4"/>
          <w:szCs w:val="4"/>
        </w:rPr>
        <w:lastRenderedPageBreak/>
        <w:t>Graf G</w:t>
      </w:r>
      <w:r w:rsidRPr="00D67EDA">
        <w:rPr>
          <w:color w:val="FFFFFF" w:themeColor="background1"/>
          <w:sz w:val="4"/>
          <w:szCs w:val="4"/>
        </w:rPr>
        <w:fldChar w:fldCharType="begin"/>
      </w:r>
      <w:r w:rsidRPr="00D67EDA">
        <w:rPr>
          <w:color w:val="FFFFFF" w:themeColor="background1"/>
          <w:sz w:val="4"/>
          <w:szCs w:val="4"/>
        </w:rPr>
        <w:instrText xml:space="preserve"> SEQ Graf_G \* ARABIC </w:instrText>
      </w:r>
      <w:r w:rsidRPr="00D67EDA">
        <w:rPr>
          <w:color w:val="FFFFFF" w:themeColor="background1"/>
          <w:sz w:val="4"/>
          <w:szCs w:val="4"/>
        </w:rPr>
        <w:fldChar w:fldCharType="separate"/>
      </w:r>
      <w:r>
        <w:rPr>
          <w:noProof/>
          <w:color w:val="FFFFFF" w:themeColor="background1"/>
          <w:sz w:val="4"/>
          <w:szCs w:val="4"/>
        </w:rPr>
        <w:t>7</w:t>
      </w:r>
      <w:r w:rsidRPr="00D67EDA">
        <w:rPr>
          <w:color w:val="FFFFFF" w:themeColor="background1"/>
          <w:sz w:val="4"/>
          <w:szCs w:val="4"/>
        </w:rPr>
        <w:fldChar w:fldCharType="end"/>
      </w:r>
      <w:r w:rsidRPr="00D67EDA">
        <w:rPr>
          <w:color w:val="FFFFFF" w:themeColor="background1"/>
          <w:sz w:val="4"/>
          <w:szCs w:val="4"/>
        </w:rPr>
        <w:t xml:space="preserve"> Samostatné ordinace lékařů v Česku využívající vybrané funkce svých zdravotnických e-systémů v roce 2016</w:t>
      </w:r>
      <w:bookmarkEnd w:id="13"/>
    </w:p>
    <w:p w:rsidR="00D67EDA" w:rsidRDefault="008353D1" w:rsidP="008353D1">
      <w:pPr>
        <w:tabs>
          <w:tab w:val="left" w:pos="9214"/>
        </w:tabs>
        <w:autoSpaceDE w:val="0"/>
        <w:autoSpaceDN w:val="0"/>
        <w:adjustRightInd w:val="0"/>
        <w:spacing w:after="100" w:line="264" w:lineRule="auto"/>
        <w:jc w:val="both"/>
      </w:pPr>
      <w:r>
        <w:rPr>
          <w:noProof/>
        </w:rPr>
        <w:drawing>
          <wp:inline distT="0" distB="0" distL="0" distR="0" wp14:anchorId="14B75B06" wp14:editId="592BAE46">
            <wp:extent cx="2981739" cy="3434963"/>
            <wp:effectExtent l="0" t="0" r="0" b="0"/>
            <wp:docPr id="175" name="Graf 17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9C5AFA">
        <w:rPr>
          <w:noProof/>
        </w:rPr>
        <w:t xml:space="preserve"> </w:t>
      </w:r>
    </w:p>
    <w:p w:rsidR="00D67EDA" w:rsidRPr="00D67EDA" w:rsidRDefault="00D67EDA" w:rsidP="00D67EDA">
      <w:pPr>
        <w:pStyle w:val="Titulek"/>
        <w:keepNext/>
        <w:spacing w:after="0"/>
        <w:jc w:val="both"/>
        <w:rPr>
          <w:color w:val="FFFFFF" w:themeColor="background1"/>
          <w:sz w:val="4"/>
          <w:szCs w:val="4"/>
        </w:rPr>
      </w:pPr>
      <w:bookmarkStart w:id="14" w:name="_Toc524332642"/>
      <w:r w:rsidRPr="00D67EDA">
        <w:rPr>
          <w:color w:val="FFFFFF" w:themeColor="background1"/>
          <w:sz w:val="4"/>
          <w:szCs w:val="4"/>
        </w:rPr>
        <w:lastRenderedPageBreak/>
        <w:t>Graf G</w:t>
      </w:r>
      <w:r w:rsidRPr="00D67EDA">
        <w:rPr>
          <w:color w:val="FFFFFF" w:themeColor="background1"/>
          <w:sz w:val="4"/>
          <w:szCs w:val="4"/>
        </w:rPr>
        <w:fldChar w:fldCharType="begin"/>
      </w:r>
      <w:r w:rsidRPr="00D67EDA">
        <w:rPr>
          <w:color w:val="FFFFFF" w:themeColor="background1"/>
          <w:sz w:val="4"/>
          <w:szCs w:val="4"/>
        </w:rPr>
        <w:instrText xml:space="preserve"> SEQ Graf_G \* ARABIC </w:instrText>
      </w:r>
      <w:r w:rsidRPr="00D67EDA">
        <w:rPr>
          <w:color w:val="FFFFFF" w:themeColor="background1"/>
          <w:sz w:val="4"/>
          <w:szCs w:val="4"/>
        </w:rPr>
        <w:fldChar w:fldCharType="separate"/>
      </w:r>
      <w:r>
        <w:rPr>
          <w:noProof/>
          <w:color w:val="FFFFFF" w:themeColor="background1"/>
          <w:sz w:val="4"/>
          <w:szCs w:val="4"/>
        </w:rPr>
        <w:t>8</w:t>
      </w:r>
      <w:r w:rsidRPr="00D67EDA">
        <w:rPr>
          <w:color w:val="FFFFFF" w:themeColor="background1"/>
          <w:sz w:val="4"/>
          <w:szCs w:val="4"/>
        </w:rPr>
        <w:fldChar w:fldCharType="end"/>
      </w:r>
      <w:r w:rsidRPr="00D67EDA">
        <w:rPr>
          <w:color w:val="FFFFFF" w:themeColor="background1"/>
          <w:sz w:val="4"/>
          <w:szCs w:val="4"/>
        </w:rPr>
        <w:t xml:space="preserve"> Samostatné ordinace lékařů v Česku mající v e-systémech k dispozici vybrané výpisy o svých pacientech v roce 2016</w:t>
      </w:r>
      <w:bookmarkEnd w:id="14"/>
    </w:p>
    <w:p w:rsidR="008353D1" w:rsidRPr="008353D1" w:rsidRDefault="008353D1" w:rsidP="008353D1">
      <w:pPr>
        <w:tabs>
          <w:tab w:val="left" w:pos="9214"/>
        </w:tabs>
        <w:autoSpaceDE w:val="0"/>
        <w:autoSpaceDN w:val="0"/>
        <w:adjustRightInd w:val="0"/>
        <w:spacing w:after="100" w:line="264" w:lineRule="auto"/>
        <w:jc w:val="both"/>
        <w:rPr>
          <w:b/>
        </w:rPr>
      </w:pPr>
      <w:r>
        <w:rPr>
          <w:noProof/>
        </w:rPr>
        <w:drawing>
          <wp:inline distT="0" distB="0" distL="0" distR="0" wp14:anchorId="7BC99D00" wp14:editId="00990696">
            <wp:extent cx="3005593" cy="3434963"/>
            <wp:effectExtent l="0" t="0" r="4445" b="0"/>
            <wp:docPr id="176" name="Graf 17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67EDA" w:rsidRDefault="00D67EDA" w:rsidP="008353D1">
      <w:pPr>
        <w:numPr>
          <w:ilvl w:val="0"/>
          <w:numId w:val="14"/>
        </w:numPr>
        <w:tabs>
          <w:tab w:val="clear" w:pos="360"/>
          <w:tab w:val="num" w:pos="284"/>
        </w:tabs>
        <w:autoSpaceDE w:val="0"/>
        <w:autoSpaceDN w:val="0"/>
        <w:adjustRightInd w:val="0"/>
        <w:spacing w:after="80" w:line="264" w:lineRule="auto"/>
        <w:ind w:left="284" w:hanging="284"/>
        <w:jc w:val="both"/>
        <w:sectPr w:rsidR="00D67EDA" w:rsidSect="00D67EDA">
          <w:type w:val="continuous"/>
          <w:pgSz w:w="11906" w:h="16838" w:code="9"/>
          <w:pgMar w:top="1134" w:right="1134" w:bottom="1418" w:left="1134" w:header="680" w:footer="680" w:gutter="0"/>
          <w:cols w:num="2" w:space="708"/>
          <w:docGrid w:linePitch="360"/>
        </w:sectPr>
      </w:pPr>
    </w:p>
    <w:p w:rsidR="008353D1" w:rsidRDefault="008353D1" w:rsidP="008353D1">
      <w:pPr>
        <w:numPr>
          <w:ilvl w:val="0"/>
          <w:numId w:val="14"/>
        </w:numPr>
        <w:tabs>
          <w:tab w:val="clear" w:pos="360"/>
          <w:tab w:val="num" w:pos="284"/>
        </w:tabs>
        <w:autoSpaceDE w:val="0"/>
        <w:autoSpaceDN w:val="0"/>
        <w:adjustRightInd w:val="0"/>
        <w:spacing w:after="80" w:line="264" w:lineRule="auto"/>
        <w:ind w:left="284" w:hanging="284"/>
        <w:jc w:val="both"/>
      </w:pPr>
      <w:r>
        <w:lastRenderedPageBreak/>
        <w:t xml:space="preserve">Lékaři mají dále ve zdravotnických e-systémech k dispozici </w:t>
      </w:r>
      <w:r w:rsidRPr="007D0C34">
        <w:rPr>
          <w:b/>
        </w:rPr>
        <w:t xml:space="preserve">vybrané výpisy o </w:t>
      </w:r>
      <w:r>
        <w:rPr>
          <w:b/>
        </w:rPr>
        <w:t>svých</w:t>
      </w:r>
      <w:r w:rsidRPr="007D0C34">
        <w:rPr>
          <w:b/>
        </w:rPr>
        <w:t xml:space="preserve"> pacientech</w:t>
      </w:r>
      <w:r>
        <w:t xml:space="preserve">. V téměř polovině ordinací jsou k dispozici výpisy pacientů podle jejich diagnóz, třetina ordinací může díky e-systémům vygenerovat seznam pacientů, kteří mají jít např. na preventivní prohlídku a pětina ordinací v ČR má z e-systémů k dispozici seznam pacientů podle laboratorních výsledků. Tyto vybrané výpisy o pacientech mají k dispozici nejvíce gynekologové a lékaři pro dospělé. Pediatři na druhou stranu častěji než ostatní využívají upozornění, kdy které pacienty čekají preventivní prohlídky. </w:t>
      </w:r>
    </w:p>
    <w:p w:rsidR="008353D1" w:rsidRPr="00AB53FF" w:rsidRDefault="008353D1" w:rsidP="008353D1">
      <w:pPr>
        <w:pStyle w:val="Nadpis2"/>
        <w:spacing w:before="240" w:after="120" w:line="264" w:lineRule="auto"/>
      </w:pPr>
      <w:bookmarkStart w:id="15" w:name="_Toc525303583"/>
      <w:r>
        <w:t xml:space="preserve">G. 5 </w:t>
      </w:r>
      <w:r w:rsidRPr="00AB53FF">
        <w:t>Použití internetu jednotlivci v oblasti zdraví</w:t>
      </w:r>
      <w:r>
        <w:rPr>
          <w:rStyle w:val="Znakapoznpodarou"/>
          <w:i/>
          <w:sz w:val="24"/>
        </w:rPr>
        <w:footnoteReference w:id="4"/>
      </w:r>
      <w:bookmarkEnd w:id="15"/>
    </w:p>
    <w:p w:rsidR="008353D1" w:rsidRDefault="008353D1" w:rsidP="008353D1">
      <w:pPr>
        <w:spacing w:after="80" w:line="264" w:lineRule="auto"/>
        <w:jc w:val="both"/>
        <w:rPr>
          <w:i/>
        </w:rPr>
      </w:pPr>
      <w:r w:rsidRPr="007909ED">
        <w:rPr>
          <w:i/>
        </w:rPr>
        <w:t xml:space="preserve">Internet se stal místem, kde lidé stále častěji hledají první pomoc, když se necítí dobře. Čím dál větší dostupnost internetu umožňuje pacientům rychlý a snadný přístup k informacím a poradenství v oblasti zdraví, lidé zde hledají informace o nemocech, léčbě, diagnostice, prevenci, zdravé výživě apod. </w:t>
      </w:r>
    </w:p>
    <w:p w:rsidR="008353D1" w:rsidRPr="004926B1" w:rsidRDefault="008353D1" w:rsidP="008353D1">
      <w:pPr>
        <w:pStyle w:val="Nadpis3"/>
        <w:spacing w:before="240" w:after="120" w:line="264" w:lineRule="auto"/>
      </w:pPr>
      <w:bookmarkStart w:id="16" w:name="_Toc525303584"/>
      <w:r w:rsidRPr="004926B1">
        <w:t>Vyhledávání informací o zdraví</w:t>
      </w:r>
      <w:bookmarkEnd w:id="16"/>
    </w:p>
    <w:p w:rsidR="008353D1" w:rsidRDefault="008353D1" w:rsidP="008353D1">
      <w:pPr>
        <w:numPr>
          <w:ilvl w:val="0"/>
          <w:numId w:val="14"/>
        </w:numPr>
        <w:tabs>
          <w:tab w:val="clear" w:pos="360"/>
          <w:tab w:val="num" w:pos="284"/>
        </w:tabs>
        <w:autoSpaceDE w:val="0"/>
        <w:autoSpaceDN w:val="0"/>
        <w:adjustRightInd w:val="0"/>
        <w:spacing w:after="80" w:line="264" w:lineRule="auto"/>
        <w:ind w:left="284" w:hanging="284"/>
        <w:jc w:val="both"/>
      </w:pPr>
      <w:r w:rsidRPr="00FC426F">
        <w:t xml:space="preserve">V roce 2017 využilo v České republice internet k </w:t>
      </w:r>
      <w:r w:rsidRPr="008353D1">
        <w:rPr>
          <w:b/>
        </w:rPr>
        <w:t>vyhledávání informací o zdraví</w:t>
      </w:r>
      <w:r w:rsidRPr="00FC426F">
        <w:t xml:space="preserve"> necelá polovina (48 %) jednotlivců starších 16 let (61 % uživatelů internetu)</w:t>
      </w:r>
      <w:r>
        <w:t>. Pro srovnání, v roce 2007 se jednalo pouze o jednu desetinu (10 %) všech jednotlivců.</w:t>
      </w:r>
    </w:p>
    <w:p w:rsidR="00D67EDA" w:rsidRDefault="00D67EDA" w:rsidP="00D67EDA">
      <w:pPr>
        <w:pStyle w:val="Titulek"/>
        <w:keepNext/>
        <w:jc w:val="both"/>
        <w:sectPr w:rsidR="00D67EDA" w:rsidSect="006D0F31">
          <w:type w:val="continuous"/>
          <w:pgSz w:w="11906" w:h="16838" w:code="9"/>
          <w:pgMar w:top="1134" w:right="1134" w:bottom="1418" w:left="1134" w:header="680" w:footer="680" w:gutter="0"/>
          <w:cols w:space="708"/>
          <w:docGrid w:linePitch="360"/>
        </w:sectPr>
      </w:pPr>
    </w:p>
    <w:p w:rsidR="00D67EDA" w:rsidRPr="00D67EDA" w:rsidRDefault="00D67EDA" w:rsidP="00D67EDA">
      <w:pPr>
        <w:pStyle w:val="Titulek"/>
        <w:keepNext/>
        <w:spacing w:after="0"/>
        <w:jc w:val="both"/>
        <w:rPr>
          <w:color w:val="FFFFFF" w:themeColor="background1"/>
          <w:sz w:val="4"/>
          <w:szCs w:val="4"/>
        </w:rPr>
      </w:pPr>
      <w:bookmarkStart w:id="17" w:name="_Toc524332643"/>
      <w:r w:rsidRPr="00D67EDA">
        <w:rPr>
          <w:color w:val="FFFFFF" w:themeColor="background1"/>
          <w:sz w:val="4"/>
          <w:szCs w:val="4"/>
        </w:rPr>
        <w:lastRenderedPageBreak/>
        <w:t>Graf G</w:t>
      </w:r>
      <w:r w:rsidRPr="00D67EDA">
        <w:rPr>
          <w:color w:val="FFFFFF" w:themeColor="background1"/>
          <w:sz w:val="4"/>
          <w:szCs w:val="4"/>
        </w:rPr>
        <w:fldChar w:fldCharType="begin"/>
      </w:r>
      <w:r w:rsidRPr="00D67EDA">
        <w:rPr>
          <w:color w:val="FFFFFF" w:themeColor="background1"/>
          <w:sz w:val="4"/>
          <w:szCs w:val="4"/>
        </w:rPr>
        <w:instrText xml:space="preserve"> SEQ Graf_G \* ARABIC </w:instrText>
      </w:r>
      <w:r w:rsidRPr="00D67EDA">
        <w:rPr>
          <w:color w:val="FFFFFF" w:themeColor="background1"/>
          <w:sz w:val="4"/>
          <w:szCs w:val="4"/>
        </w:rPr>
        <w:fldChar w:fldCharType="separate"/>
      </w:r>
      <w:r>
        <w:rPr>
          <w:noProof/>
          <w:color w:val="FFFFFF" w:themeColor="background1"/>
          <w:sz w:val="4"/>
          <w:szCs w:val="4"/>
        </w:rPr>
        <w:t>9</w:t>
      </w:r>
      <w:r w:rsidRPr="00D67EDA">
        <w:rPr>
          <w:color w:val="FFFFFF" w:themeColor="background1"/>
          <w:sz w:val="4"/>
          <w:szCs w:val="4"/>
        </w:rPr>
        <w:fldChar w:fldCharType="end"/>
      </w:r>
      <w:r w:rsidRPr="00D67EDA">
        <w:rPr>
          <w:color w:val="FFFFFF" w:themeColor="background1"/>
          <w:sz w:val="4"/>
          <w:szCs w:val="4"/>
        </w:rPr>
        <w:t xml:space="preserve"> Jednotlivci v Česku, kteří v roce 2017 vyhledávali informace o zdraví na internetu</w:t>
      </w:r>
      <w:bookmarkEnd w:id="17"/>
    </w:p>
    <w:p w:rsidR="00D67EDA" w:rsidRDefault="008353D1" w:rsidP="008353D1">
      <w:pPr>
        <w:autoSpaceDE w:val="0"/>
        <w:autoSpaceDN w:val="0"/>
        <w:adjustRightInd w:val="0"/>
        <w:spacing w:after="100" w:line="264" w:lineRule="auto"/>
        <w:jc w:val="both"/>
      </w:pPr>
      <w:r>
        <w:rPr>
          <w:noProof/>
        </w:rPr>
        <w:drawing>
          <wp:inline distT="0" distB="0" distL="0" distR="0" wp14:anchorId="099E4618" wp14:editId="17F3B088">
            <wp:extent cx="2881223" cy="3027872"/>
            <wp:effectExtent l="0" t="0" r="0" b="1270"/>
            <wp:docPr id="177" name="Graf 17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7A76F1">
        <w:rPr>
          <w:noProof/>
        </w:rPr>
        <w:t xml:space="preserve"> </w:t>
      </w:r>
    </w:p>
    <w:p w:rsidR="00D67EDA" w:rsidRPr="00D67EDA" w:rsidRDefault="00D67EDA" w:rsidP="00D67EDA">
      <w:pPr>
        <w:pStyle w:val="Titulek"/>
        <w:keepNext/>
        <w:spacing w:after="0"/>
        <w:jc w:val="both"/>
        <w:rPr>
          <w:color w:val="FFFFFF" w:themeColor="background1"/>
          <w:sz w:val="4"/>
          <w:szCs w:val="4"/>
        </w:rPr>
      </w:pPr>
      <w:bookmarkStart w:id="18" w:name="_Toc524332644"/>
      <w:r w:rsidRPr="00D67EDA">
        <w:rPr>
          <w:color w:val="FFFFFF" w:themeColor="background1"/>
          <w:sz w:val="4"/>
          <w:szCs w:val="4"/>
        </w:rPr>
        <w:lastRenderedPageBreak/>
        <w:t>Graf G</w:t>
      </w:r>
      <w:r w:rsidRPr="00D67EDA">
        <w:rPr>
          <w:color w:val="FFFFFF" w:themeColor="background1"/>
          <w:sz w:val="4"/>
          <w:szCs w:val="4"/>
        </w:rPr>
        <w:fldChar w:fldCharType="begin"/>
      </w:r>
      <w:r w:rsidRPr="00D67EDA">
        <w:rPr>
          <w:color w:val="FFFFFF" w:themeColor="background1"/>
          <w:sz w:val="4"/>
          <w:szCs w:val="4"/>
        </w:rPr>
        <w:instrText xml:space="preserve"> SEQ Graf_G \* ARABIC </w:instrText>
      </w:r>
      <w:r w:rsidRPr="00D67EDA">
        <w:rPr>
          <w:color w:val="FFFFFF" w:themeColor="background1"/>
          <w:sz w:val="4"/>
          <w:szCs w:val="4"/>
        </w:rPr>
        <w:fldChar w:fldCharType="separate"/>
      </w:r>
      <w:r>
        <w:rPr>
          <w:noProof/>
          <w:color w:val="FFFFFF" w:themeColor="background1"/>
          <w:sz w:val="4"/>
          <w:szCs w:val="4"/>
        </w:rPr>
        <w:t>10</w:t>
      </w:r>
      <w:r w:rsidRPr="00D67EDA">
        <w:rPr>
          <w:color w:val="FFFFFF" w:themeColor="background1"/>
          <w:sz w:val="4"/>
          <w:szCs w:val="4"/>
        </w:rPr>
        <w:fldChar w:fldCharType="end"/>
      </w:r>
      <w:r w:rsidRPr="00D67EDA">
        <w:rPr>
          <w:color w:val="FFFFFF" w:themeColor="background1"/>
          <w:sz w:val="4"/>
          <w:szCs w:val="4"/>
        </w:rPr>
        <w:t xml:space="preserve"> Jednotlivci v Česku, kteří vyhledávali informace o zdraví na internetu</w:t>
      </w:r>
      <w:bookmarkEnd w:id="18"/>
    </w:p>
    <w:p w:rsidR="008353D1" w:rsidRDefault="008353D1" w:rsidP="008353D1">
      <w:pPr>
        <w:autoSpaceDE w:val="0"/>
        <w:autoSpaceDN w:val="0"/>
        <w:adjustRightInd w:val="0"/>
        <w:spacing w:after="100" w:line="264" w:lineRule="auto"/>
        <w:jc w:val="both"/>
      </w:pPr>
      <w:r>
        <w:rPr>
          <w:noProof/>
        </w:rPr>
        <w:drawing>
          <wp:inline distT="0" distB="0" distL="0" distR="0" wp14:anchorId="7AC81E04" wp14:editId="6A348862">
            <wp:extent cx="2958861" cy="3062377"/>
            <wp:effectExtent l="0" t="0" r="0" b="5080"/>
            <wp:docPr id="178" name="Graf 17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67EDA" w:rsidRDefault="00D67EDA" w:rsidP="00CD488F">
      <w:pPr>
        <w:numPr>
          <w:ilvl w:val="0"/>
          <w:numId w:val="14"/>
        </w:numPr>
        <w:tabs>
          <w:tab w:val="clear" w:pos="360"/>
          <w:tab w:val="num" w:pos="284"/>
        </w:tabs>
        <w:autoSpaceDE w:val="0"/>
        <w:autoSpaceDN w:val="0"/>
        <w:adjustRightInd w:val="0"/>
        <w:spacing w:after="80" w:line="264" w:lineRule="auto"/>
        <w:ind w:left="284" w:hanging="284"/>
        <w:jc w:val="both"/>
        <w:sectPr w:rsidR="00D67EDA" w:rsidSect="00D67EDA">
          <w:type w:val="continuous"/>
          <w:pgSz w:w="11906" w:h="16838" w:code="9"/>
          <w:pgMar w:top="1134" w:right="1134" w:bottom="1418" w:left="1134" w:header="680" w:footer="680" w:gutter="0"/>
          <w:cols w:num="2" w:space="708"/>
          <w:docGrid w:linePitch="360"/>
        </w:sectPr>
      </w:pPr>
    </w:p>
    <w:p w:rsidR="008353D1" w:rsidRPr="00DB2286" w:rsidRDefault="008353D1" w:rsidP="00CD488F">
      <w:pPr>
        <w:numPr>
          <w:ilvl w:val="0"/>
          <w:numId w:val="14"/>
        </w:numPr>
        <w:tabs>
          <w:tab w:val="clear" w:pos="360"/>
          <w:tab w:val="num" w:pos="284"/>
        </w:tabs>
        <w:autoSpaceDE w:val="0"/>
        <w:autoSpaceDN w:val="0"/>
        <w:adjustRightInd w:val="0"/>
        <w:spacing w:after="80" w:line="264" w:lineRule="auto"/>
        <w:ind w:left="284" w:hanging="284"/>
        <w:jc w:val="both"/>
      </w:pPr>
      <w:r w:rsidRPr="00DB2286">
        <w:lastRenderedPageBreak/>
        <w:t>Informace o zdraví vyhledávají výrazně častěji</w:t>
      </w:r>
      <w:r w:rsidRPr="00DB2286">
        <w:rPr>
          <w:b/>
        </w:rPr>
        <w:t xml:space="preserve"> ženy </w:t>
      </w:r>
      <w:r w:rsidRPr="00DB2286">
        <w:t>než</w:t>
      </w:r>
      <w:r w:rsidRPr="00DB2286">
        <w:rPr>
          <w:b/>
        </w:rPr>
        <w:t xml:space="preserve"> muži</w:t>
      </w:r>
      <w:r w:rsidRPr="00DB2286">
        <w:t xml:space="preserve">. </w:t>
      </w:r>
      <w:r w:rsidR="002C354E">
        <w:t>Na téma</w:t>
      </w:r>
      <w:r w:rsidRPr="00DB2286">
        <w:t xml:space="preserve"> zdraví v roce 2017 na</w:t>
      </w:r>
      <w:r>
        <w:t> </w:t>
      </w:r>
      <w:r w:rsidRPr="00DB2286">
        <w:t xml:space="preserve">internetu </w:t>
      </w:r>
      <w:r w:rsidR="002C354E">
        <w:t>vyhledával</w:t>
      </w:r>
      <w:r w:rsidRPr="00DB2286">
        <w:t>o téměř 60 % českých žen, muži této možnosti využívali výrazně méně, na internet jich za tímto účelem zavítalo pouze 36 %. Ve skupině uživatelů internetu je to</w:t>
      </w:r>
      <w:r>
        <w:t xml:space="preserve"> dokonce 78 % žen, ale pouze 44 </w:t>
      </w:r>
      <w:r w:rsidRPr="00DB2286">
        <w:t>% mužů.</w:t>
      </w:r>
    </w:p>
    <w:p w:rsidR="008353D1" w:rsidRPr="0020725F" w:rsidRDefault="008353D1" w:rsidP="008353D1">
      <w:pPr>
        <w:numPr>
          <w:ilvl w:val="0"/>
          <w:numId w:val="14"/>
        </w:numPr>
        <w:tabs>
          <w:tab w:val="clear" w:pos="360"/>
          <w:tab w:val="num" w:pos="284"/>
        </w:tabs>
        <w:autoSpaceDE w:val="0"/>
        <w:autoSpaceDN w:val="0"/>
        <w:adjustRightInd w:val="0"/>
        <w:spacing w:after="80" w:line="264" w:lineRule="auto"/>
        <w:ind w:left="284" w:hanging="284"/>
        <w:jc w:val="both"/>
      </w:pPr>
      <w:r w:rsidRPr="0020725F">
        <w:t xml:space="preserve">S dotazy na své zdraví se na internet nejčastěji obracejí lidé ve věku 35 až 44 let </w:t>
      </w:r>
      <w:r>
        <w:t>(62</w:t>
      </w:r>
      <w:r w:rsidRPr="0020725F">
        <w:t xml:space="preserve"> %). Naopak zástupci dvou nejvyšších věkových kategorií </w:t>
      </w:r>
      <w:r w:rsidRPr="00633B55">
        <w:rPr>
          <w:rStyle w:val="Siln"/>
          <w:rFonts w:eastAsia="MS Gothic" w:cs="Arial"/>
        </w:rPr>
        <w:t>– 65–74 let a 75 a starší –</w:t>
      </w:r>
      <w:r w:rsidRPr="00633B55">
        <w:rPr>
          <w:rStyle w:val="Siln"/>
          <w:rFonts w:ascii="Segoe UI" w:eastAsia="MS Gothic" w:hAnsi="Segoe UI" w:cs="Segoe UI"/>
        </w:rPr>
        <w:t xml:space="preserve"> </w:t>
      </w:r>
      <w:r w:rsidRPr="0020725F">
        <w:t>rady dostupné o</w:t>
      </w:r>
      <w:r>
        <w:t>n-line příliš nevyhledávají (31</w:t>
      </w:r>
      <w:r w:rsidRPr="0020725F">
        <w:t xml:space="preserve"> % a pouze </w:t>
      </w:r>
      <w:r>
        <w:t>10</w:t>
      </w:r>
      <w:r w:rsidRPr="0020725F">
        <w:t xml:space="preserve"> %). Pokud se však zaměříme pouze na ty důchodce, kteří zároveň patří mezi uživatele internetu, tak ti jsou naopak v on-line hledání informací z oblasti zdraví ze všech věkových skupin nejaktivnější (</w:t>
      </w:r>
      <w:r>
        <w:t>70</w:t>
      </w:r>
      <w:r w:rsidRPr="0020725F">
        <w:t xml:space="preserve"> % a </w:t>
      </w:r>
      <w:r>
        <w:t>66</w:t>
      </w:r>
      <w:r w:rsidRPr="0020725F">
        <w:t xml:space="preserve"> %).</w:t>
      </w:r>
    </w:p>
    <w:p w:rsidR="00D67EDA" w:rsidRPr="00D67EDA" w:rsidRDefault="00D67EDA" w:rsidP="00D67EDA">
      <w:pPr>
        <w:pStyle w:val="Titulek"/>
        <w:keepNext/>
        <w:spacing w:after="0"/>
        <w:jc w:val="both"/>
        <w:rPr>
          <w:color w:val="FFFFFF" w:themeColor="background1"/>
          <w:sz w:val="4"/>
          <w:szCs w:val="4"/>
        </w:rPr>
      </w:pPr>
      <w:bookmarkStart w:id="19" w:name="_Toc524332645"/>
      <w:r w:rsidRPr="00D67EDA">
        <w:rPr>
          <w:color w:val="FFFFFF" w:themeColor="background1"/>
          <w:sz w:val="4"/>
          <w:szCs w:val="4"/>
        </w:rPr>
        <w:t>Graf G</w:t>
      </w:r>
      <w:r w:rsidRPr="00D67EDA">
        <w:rPr>
          <w:color w:val="FFFFFF" w:themeColor="background1"/>
          <w:sz w:val="4"/>
          <w:szCs w:val="4"/>
        </w:rPr>
        <w:fldChar w:fldCharType="begin"/>
      </w:r>
      <w:r w:rsidRPr="00D67EDA">
        <w:rPr>
          <w:color w:val="FFFFFF" w:themeColor="background1"/>
          <w:sz w:val="4"/>
          <w:szCs w:val="4"/>
        </w:rPr>
        <w:instrText xml:space="preserve"> SEQ Graf_G \* ARABIC </w:instrText>
      </w:r>
      <w:r w:rsidRPr="00D67EDA">
        <w:rPr>
          <w:color w:val="FFFFFF" w:themeColor="background1"/>
          <w:sz w:val="4"/>
          <w:szCs w:val="4"/>
        </w:rPr>
        <w:fldChar w:fldCharType="separate"/>
      </w:r>
      <w:r>
        <w:rPr>
          <w:noProof/>
          <w:color w:val="FFFFFF" w:themeColor="background1"/>
          <w:sz w:val="4"/>
          <w:szCs w:val="4"/>
        </w:rPr>
        <w:t>11</w:t>
      </w:r>
      <w:r w:rsidRPr="00D67EDA">
        <w:rPr>
          <w:color w:val="FFFFFF" w:themeColor="background1"/>
          <w:sz w:val="4"/>
          <w:szCs w:val="4"/>
        </w:rPr>
        <w:fldChar w:fldCharType="end"/>
      </w:r>
      <w:r w:rsidRPr="00D67EDA">
        <w:rPr>
          <w:color w:val="FFFFFF" w:themeColor="background1"/>
          <w:sz w:val="4"/>
          <w:szCs w:val="4"/>
        </w:rPr>
        <w:t xml:space="preserve"> Jednotlivci </w:t>
      </w:r>
      <w:r w:rsidRPr="00D67EDA">
        <w:rPr>
          <w:color w:val="FFFFFF" w:themeColor="background1"/>
          <w:sz w:val="4"/>
          <w:szCs w:val="4"/>
          <w:lang w:val="en-US"/>
        </w:rPr>
        <w:t xml:space="preserve">v </w:t>
      </w:r>
      <w:proofErr w:type="spellStart"/>
      <w:r w:rsidRPr="00D67EDA">
        <w:rPr>
          <w:color w:val="FFFFFF" w:themeColor="background1"/>
          <w:sz w:val="4"/>
          <w:szCs w:val="4"/>
          <w:lang w:val="en-US"/>
        </w:rPr>
        <w:t>zemích</w:t>
      </w:r>
      <w:proofErr w:type="spellEnd"/>
      <w:r w:rsidRPr="00D67EDA">
        <w:rPr>
          <w:color w:val="FFFFFF" w:themeColor="background1"/>
          <w:sz w:val="4"/>
          <w:szCs w:val="4"/>
          <w:lang w:val="en-US"/>
        </w:rPr>
        <w:t xml:space="preserve"> EU </w:t>
      </w:r>
      <w:proofErr w:type="spellStart"/>
      <w:r w:rsidRPr="00D67EDA">
        <w:rPr>
          <w:color w:val="FFFFFF" w:themeColor="background1"/>
          <w:sz w:val="4"/>
          <w:szCs w:val="4"/>
          <w:lang w:val="en-US"/>
        </w:rPr>
        <w:t>vyhledávající</w:t>
      </w:r>
      <w:proofErr w:type="spellEnd"/>
      <w:r w:rsidRPr="00D67EDA">
        <w:rPr>
          <w:color w:val="FFFFFF" w:themeColor="background1"/>
          <w:sz w:val="4"/>
          <w:szCs w:val="4"/>
          <w:lang w:val="en-US"/>
        </w:rPr>
        <w:t xml:space="preserve"> </w:t>
      </w:r>
      <w:proofErr w:type="spellStart"/>
      <w:r w:rsidRPr="00D67EDA">
        <w:rPr>
          <w:color w:val="FFFFFF" w:themeColor="background1"/>
          <w:sz w:val="4"/>
          <w:szCs w:val="4"/>
          <w:lang w:val="en-US"/>
        </w:rPr>
        <w:t>na</w:t>
      </w:r>
      <w:proofErr w:type="spellEnd"/>
      <w:r w:rsidRPr="00D67EDA">
        <w:rPr>
          <w:color w:val="FFFFFF" w:themeColor="background1"/>
          <w:sz w:val="4"/>
          <w:szCs w:val="4"/>
          <w:lang w:val="en-US"/>
        </w:rPr>
        <w:t xml:space="preserve"> </w:t>
      </w:r>
      <w:proofErr w:type="spellStart"/>
      <w:r w:rsidRPr="00D67EDA">
        <w:rPr>
          <w:color w:val="FFFFFF" w:themeColor="background1"/>
          <w:sz w:val="4"/>
          <w:szCs w:val="4"/>
          <w:lang w:val="en-US"/>
        </w:rPr>
        <w:t>internetu</w:t>
      </w:r>
      <w:proofErr w:type="spellEnd"/>
      <w:r w:rsidRPr="00D67EDA">
        <w:rPr>
          <w:color w:val="FFFFFF" w:themeColor="background1"/>
          <w:sz w:val="4"/>
          <w:szCs w:val="4"/>
          <w:lang w:val="en-US"/>
        </w:rPr>
        <w:t xml:space="preserve"> </w:t>
      </w:r>
      <w:proofErr w:type="spellStart"/>
      <w:r w:rsidRPr="00D67EDA">
        <w:rPr>
          <w:color w:val="FFFFFF" w:themeColor="background1"/>
          <w:sz w:val="4"/>
          <w:szCs w:val="4"/>
          <w:lang w:val="en-US"/>
        </w:rPr>
        <w:t>informace</w:t>
      </w:r>
      <w:proofErr w:type="spellEnd"/>
      <w:r w:rsidRPr="00D67EDA">
        <w:rPr>
          <w:color w:val="FFFFFF" w:themeColor="background1"/>
          <w:sz w:val="4"/>
          <w:szCs w:val="4"/>
          <w:lang w:val="en-US"/>
        </w:rPr>
        <w:t xml:space="preserve"> o </w:t>
      </w:r>
      <w:proofErr w:type="spellStart"/>
      <w:r w:rsidRPr="00D67EDA">
        <w:rPr>
          <w:color w:val="FFFFFF" w:themeColor="background1"/>
          <w:sz w:val="4"/>
          <w:szCs w:val="4"/>
          <w:lang w:val="en-US"/>
        </w:rPr>
        <w:t>zdra</w:t>
      </w:r>
      <w:proofErr w:type="spellEnd"/>
      <w:r w:rsidRPr="00D67EDA">
        <w:rPr>
          <w:color w:val="FFFFFF" w:themeColor="background1"/>
          <w:sz w:val="4"/>
          <w:szCs w:val="4"/>
        </w:rPr>
        <w:t>ví</w:t>
      </w:r>
      <w:bookmarkEnd w:id="19"/>
      <w:r w:rsidRPr="00D67EDA">
        <w:rPr>
          <w:color w:val="FFFFFF" w:themeColor="background1"/>
          <w:sz w:val="4"/>
          <w:szCs w:val="4"/>
        </w:rPr>
        <w:t xml:space="preserve">  </w:t>
      </w:r>
    </w:p>
    <w:p w:rsidR="008353D1" w:rsidRDefault="008353D1" w:rsidP="008353D1">
      <w:pPr>
        <w:autoSpaceDE w:val="0"/>
        <w:autoSpaceDN w:val="0"/>
        <w:adjustRightInd w:val="0"/>
        <w:spacing w:after="100" w:line="264" w:lineRule="auto"/>
        <w:jc w:val="both"/>
        <w:rPr>
          <w:highlight w:val="cyan"/>
        </w:rPr>
      </w:pPr>
      <w:r>
        <w:rPr>
          <w:noProof/>
        </w:rPr>
        <w:drawing>
          <wp:inline distT="0" distB="0" distL="0" distR="0" wp14:anchorId="7C6102AC" wp14:editId="30B06FFB">
            <wp:extent cx="5972810" cy="3283585"/>
            <wp:effectExtent l="0" t="0" r="0" b="0"/>
            <wp:docPr id="179" name="Graf 17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353D1" w:rsidRPr="007253BF" w:rsidRDefault="008353D1" w:rsidP="008353D1">
      <w:pPr>
        <w:numPr>
          <w:ilvl w:val="0"/>
          <w:numId w:val="14"/>
        </w:numPr>
        <w:tabs>
          <w:tab w:val="clear" w:pos="360"/>
          <w:tab w:val="num" w:pos="284"/>
        </w:tabs>
        <w:autoSpaceDE w:val="0"/>
        <w:autoSpaceDN w:val="0"/>
        <w:adjustRightInd w:val="0"/>
        <w:spacing w:after="80" w:line="264" w:lineRule="auto"/>
        <w:ind w:left="284" w:hanging="284"/>
        <w:jc w:val="both"/>
      </w:pPr>
      <w:r w:rsidRPr="007253BF">
        <w:t xml:space="preserve">Nejenom v Česku, ale i v zahraničí, je dnes hledání informací o nemocech, léčbě, diagnostice, prevenci, zdravé výživě apod. na internetu poměrně běžné. V roce 2017 se Češi v tomto ohledu od zbytku Evropy příliš nelišili, neboť se nacházeli na průměru EU, který činil 51 % obyvatel ve věku 16 až 74 let. Celkově nejvíce informace o zdraví vyhledávali obyvatelé Nizozemska, Lucemburska, Německa </w:t>
      </w:r>
      <w:r w:rsidRPr="007253BF">
        <w:lastRenderedPageBreak/>
        <w:t>a</w:t>
      </w:r>
      <w:r>
        <w:t> </w:t>
      </w:r>
      <w:r w:rsidRPr="007253BF">
        <w:t>ve</w:t>
      </w:r>
      <w:r>
        <w:t> </w:t>
      </w:r>
      <w:r w:rsidRPr="007253BF">
        <w:t xml:space="preserve">skandinávských zemích. Naopak nejméně Bulhaři, Rumuni a překvapivě i </w:t>
      </w:r>
      <w:r>
        <w:t>Italové – ve všech případech š</w:t>
      </w:r>
      <w:r w:rsidRPr="007253BF">
        <w:t>l</w:t>
      </w:r>
      <w:r>
        <w:t>o</w:t>
      </w:r>
      <w:r w:rsidRPr="007253BF">
        <w:t xml:space="preserve"> o cca třetinu jednotlivců.</w:t>
      </w:r>
    </w:p>
    <w:p w:rsidR="00CD488F" w:rsidRDefault="008353D1" w:rsidP="008353D1">
      <w:pPr>
        <w:numPr>
          <w:ilvl w:val="0"/>
          <w:numId w:val="14"/>
        </w:numPr>
        <w:tabs>
          <w:tab w:val="clear" w:pos="360"/>
          <w:tab w:val="num" w:pos="284"/>
        </w:tabs>
        <w:autoSpaceDE w:val="0"/>
        <w:autoSpaceDN w:val="0"/>
        <w:adjustRightInd w:val="0"/>
        <w:spacing w:after="80" w:line="264" w:lineRule="auto"/>
        <w:ind w:left="284" w:hanging="284"/>
        <w:jc w:val="both"/>
      </w:pPr>
      <w:r w:rsidRPr="007253BF">
        <w:t xml:space="preserve">Mezi uživateli internetu ve všech zemí dominují ve vyhledávání informací o zdraví velmi výrazně </w:t>
      </w:r>
      <w:r w:rsidRPr="00CD488F">
        <w:rPr>
          <w:b/>
        </w:rPr>
        <w:t>ženy</w:t>
      </w:r>
      <w:r w:rsidRPr="007253BF">
        <w:t xml:space="preserve">. Češky vyhledávají na internetu informace o zdraví dokonce častěji než je průměrný podíl </w:t>
      </w:r>
      <w:r w:rsidRPr="007253BF">
        <w:rPr>
          <w:b/>
        </w:rPr>
        <w:t>v zemích EU</w:t>
      </w:r>
      <w:r w:rsidRPr="007253BF">
        <w:t xml:space="preserve">. Čeští muži jsou v tomto ohledu naopak pod evropským průměrem. </w:t>
      </w:r>
      <w:r w:rsidR="00CD488F">
        <w:t>Rozdíly mezi pohlavími byly v Česku v roce 2017 největší mezi státy EU. Relativně malé se naopak ukázaly v Řecku, Chorvatsku či Irsku.</w:t>
      </w:r>
    </w:p>
    <w:p w:rsidR="008353D1" w:rsidRPr="007253BF" w:rsidRDefault="008353D1" w:rsidP="008353D1">
      <w:pPr>
        <w:numPr>
          <w:ilvl w:val="0"/>
          <w:numId w:val="14"/>
        </w:numPr>
        <w:tabs>
          <w:tab w:val="clear" w:pos="360"/>
          <w:tab w:val="num" w:pos="284"/>
        </w:tabs>
        <w:autoSpaceDE w:val="0"/>
        <w:autoSpaceDN w:val="0"/>
        <w:adjustRightInd w:val="0"/>
        <w:spacing w:after="80" w:line="264" w:lineRule="auto"/>
        <w:ind w:left="284" w:hanging="284"/>
        <w:jc w:val="both"/>
      </w:pPr>
      <w:r>
        <w:t>Č</w:t>
      </w:r>
      <w:r w:rsidRPr="007253BF">
        <w:t xml:space="preserve">asto vyhledávají </w:t>
      </w:r>
      <w:r>
        <w:t>i</w:t>
      </w:r>
      <w:r w:rsidRPr="007253BF">
        <w:t xml:space="preserve">nformace o zdraví </w:t>
      </w:r>
      <w:r w:rsidRPr="00CD488F">
        <w:rPr>
          <w:b/>
        </w:rPr>
        <w:t>ženy na rodičovské dovolené</w:t>
      </w:r>
      <w:r>
        <w:t xml:space="preserve"> a také</w:t>
      </w:r>
      <w:r w:rsidRPr="007253BF">
        <w:t xml:space="preserve"> </w:t>
      </w:r>
      <w:r>
        <w:t>uživatelé internetu</w:t>
      </w:r>
      <w:r w:rsidRPr="007253BF">
        <w:t xml:space="preserve"> ve věku 55</w:t>
      </w:r>
      <w:r>
        <w:t>–</w:t>
      </w:r>
      <w:r w:rsidRPr="007253BF">
        <w:t xml:space="preserve">74 let </w:t>
      </w:r>
      <w:r>
        <w:t>v</w:t>
      </w:r>
      <w:r w:rsidRPr="007253BF">
        <w:t xml:space="preserve"> ČR </w:t>
      </w:r>
      <w:r>
        <w:t xml:space="preserve">jsou </w:t>
      </w:r>
      <w:r w:rsidRPr="007253BF">
        <w:t>v rámci evropského srovnání</w:t>
      </w:r>
      <w:r>
        <w:t xml:space="preserve"> nadprůměrní</w:t>
      </w:r>
      <w:r w:rsidRPr="007253BF">
        <w:t>, věková skupina 16</w:t>
      </w:r>
      <w:r>
        <w:t>–</w:t>
      </w:r>
      <w:r w:rsidRPr="007253BF">
        <w:t>29 let je naopak v evropském žebříčku podprůměrná.</w:t>
      </w:r>
    </w:p>
    <w:p w:rsidR="00F9030B" w:rsidRPr="001964E7" w:rsidRDefault="00D67EDA" w:rsidP="00D67EDA">
      <w:pPr>
        <w:pStyle w:val="Titulek"/>
        <w:keepNext/>
        <w:spacing w:after="0"/>
        <w:jc w:val="both"/>
        <w:rPr>
          <w:color w:val="FFFFFF" w:themeColor="background1"/>
          <w:sz w:val="4"/>
          <w:szCs w:val="4"/>
        </w:rPr>
      </w:pPr>
      <w:bookmarkStart w:id="20" w:name="_Toc524332646"/>
      <w:r w:rsidRPr="001964E7">
        <w:rPr>
          <w:color w:val="FFFFFF" w:themeColor="background1"/>
          <w:sz w:val="4"/>
          <w:szCs w:val="4"/>
        </w:rPr>
        <w:t>Graf G</w:t>
      </w:r>
      <w:r w:rsidRPr="001964E7">
        <w:rPr>
          <w:color w:val="FFFFFF" w:themeColor="background1"/>
          <w:sz w:val="4"/>
          <w:szCs w:val="4"/>
        </w:rPr>
        <w:fldChar w:fldCharType="begin"/>
      </w:r>
      <w:r w:rsidRPr="001964E7">
        <w:rPr>
          <w:color w:val="FFFFFF" w:themeColor="background1"/>
          <w:sz w:val="4"/>
          <w:szCs w:val="4"/>
        </w:rPr>
        <w:instrText xml:space="preserve"> SEQ Graf_G \* ARABIC </w:instrText>
      </w:r>
      <w:r w:rsidRPr="001964E7">
        <w:rPr>
          <w:color w:val="FFFFFF" w:themeColor="background1"/>
          <w:sz w:val="4"/>
          <w:szCs w:val="4"/>
        </w:rPr>
        <w:fldChar w:fldCharType="separate"/>
      </w:r>
      <w:r w:rsidRPr="001964E7">
        <w:rPr>
          <w:noProof/>
          <w:color w:val="FFFFFF" w:themeColor="background1"/>
          <w:sz w:val="4"/>
          <w:szCs w:val="4"/>
        </w:rPr>
        <w:t>12</w:t>
      </w:r>
      <w:r w:rsidRPr="001964E7">
        <w:rPr>
          <w:color w:val="FFFFFF" w:themeColor="background1"/>
          <w:sz w:val="4"/>
          <w:szCs w:val="4"/>
        </w:rPr>
        <w:fldChar w:fldCharType="end"/>
      </w:r>
      <w:r w:rsidRPr="001964E7">
        <w:rPr>
          <w:color w:val="FFFFFF" w:themeColor="background1"/>
          <w:sz w:val="4"/>
          <w:szCs w:val="4"/>
        </w:rPr>
        <w:t xml:space="preserve"> Uživatelé internetu </w:t>
      </w:r>
      <w:r w:rsidRPr="001964E7">
        <w:rPr>
          <w:color w:val="FFFFFF" w:themeColor="background1"/>
          <w:sz w:val="4"/>
          <w:szCs w:val="4"/>
          <w:lang w:val="en-US"/>
        </w:rPr>
        <w:t xml:space="preserve">v </w:t>
      </w:r>
      <w:proofErr w:type="spellStart"/>
      <w:r w:rsidRPr="001964E7">
        <w:rPr>
          <w:color w:val="FFFFFF" w:themeColor="background1"/>
          <w:sz w:val="4"/>
          <w:szCs w:val="4"/>
          <w:lang w:val="en-US"/>
        </w:rPr>
        <w:t>zemích</w:t>
      </w:r>
      <w:proofErr w:type="spellEnd"/>
      <w:r w:rsidRPr="001964E7">
        <w:rPr>
          <w:color w:val="FFFFFF" w:themeColor="background1"/>
          <w:sz w:val="4"/>
          <w:szCs w:val="4"/>
          <w:lang w:val="en-US"/>
        </w:rPr>
        <w:t xml:space="preserve"> EU </w:t>
      </w:r>
      <w:proofErr w:type="spellStart"/>
      <w:r w:rsidRPr="001964E7">
        <w:rPr>
          <w:color w:val="FFFFFF" w:themeColor="background1"/>
          <w:sz w:val="4"/>
          <w:szCs w:val="4"/>
          <w:lang w:val="en-US"/>
        </w:rPr>
        <w:t>vyhledávající</w:t>
      </w:r>
      <w:proofErr w:type="spellEnd"/>
      <w:r w:rsidRPr="001964E7">
        <w:rPr>
          <w:color w:val="FFFFFF" w:themeColor="background1"/>
          <w:sz w:val="4"/>
          <w:szCs w:val="4"/>
          <w:lang w:val="en-US"/>
        </w:rPr>
        <w:t xml:space="preserve"> </w:t>
      </w:r>
      <w:proofErr w:type="spellStart"/>
      <w:r w:rsidRPr="001964E7">
        <w:rPr>
          <w:color w:val="FFFFFF" w:themeColor="background1"/>
          <w:sz w:val="4"/>
          <w:szCs w:val="4"/>
          <w:lang w:val="en-US"/>
        </w:rPr>
        <w:t>na</w:t>
      </w:r>
      <w:proofErr w:type="spellEnd"/>
      <w:r w:rsidRPr="001964E7">
        <w:rPr>
          <w:color w:val="FFFFFF" w:themeColor="background1"/>
          <w:sz w:val="4"/>
          <w:szCs w:val="4"/>
          <w:lang w:val="en-US"/>
        </w:rPr>
        <w:t xml:space="preserve"> </w:t>
      </w:r>
      <w:proofErr w:type="spellStart"/>
      <w:r w:rsidRPr="001964E7">
        <w:rPr>
          <w:color w:val="FFFFFF" w:themeColor="background1"/>
          <w:sz w:val="4"/>
          <w:szCs w:val="4"/>
          <w:lang w:val="en-US"/>
        </w:rPr>
        <w:t>internetu</w:t>
      </w:r>
      <w:proofErr w:type="spellEnd"/>
      <w:r w:rsidRPr="001964E7">
        <w:rPr>
          <w:color w:val="FFFFFF" w:themeColor="background1"/>
          <w:sz w:val="4"/>
          <w:szCs w:val="4"/>
          <w:lang w:val="en-US"/>
        </w:rPr>
        <w:t xml:space="preserve"> </w:t>
      </w:r>
      <w:proofErr w:type="spellStart"/>
      <w:r w:rsidRPr="001964E7">
        <w:rPr>
          <w:color w:val="FFFFFF" w:themeColor="background1"/>
          <w:sz w:val="4"/>
          <w:szCs w:val="4"/>
          <w:lang w:val="en-US"/>
        </w:rPr>
        <w:t>informace</w:t>
      </w:r>
      <w:proofErr w:type="spellEnd"/>
      <w:r w:rsidRPr="001964E7">
        <w:rPr>
          <w:color w:val="FFFFFF" w:themeColor="background1"/>
          <w:sz w:val="4"/>
          <w:szCs w:val="4"/>
          <w:lang w:val="en-US"/>
        </w:rPr>
        <w:t xml:space="preserve"> o </w:t>
      </w:r>
      <w:proofErr w:type="spellStart"/>
      <w:r w:rsidRPr="001964E7">
        <w:rPr>
          <w:color w:val="FFFFFF" w:themeColor="background1"/>
          <w:sz w:val="4"/>
          <w:szCs w:val="4"/>
          <w:lang w:val="en-US"/>
        </w:rPr>
        <w:t>zdra</w:t>
      </w:r>
      <w:proofErr w:type="spellEnd"/>
      <w:r w:rsidR="001964E7" w:rsidRPr="001964E7">
        <w:rPr>
          <w:color w:val="FFFFFF" w:themeColor="background1"/>
          <w:sz w:val="4"/>
          <w:szCs w:val="4"/>
        </w:rPr>
        <w:t xml:space="preserve">ví </w:t>
      </w:r>
      <w:r w:rsidRPr="001964E7">
        <w:rPr>
          <w:color w:val="FFFFFF" w:themeColor="background1"/>
          <w:sz w:val="4"/>
          <w:szCs w:val="4"/>
        </w:rPr>
        <w:t>podle pohlaví v roce 201</w:t>
      </w:r>
      <w:r w:rsidR="001964E7" w:rsidRPr="001964E7">
        <w:rPr>
          <w:color w:val="FFFFFF" w:themeColor="background1"/>
          <w:sz w:val="4"/>
          <w:szCs w:val="4"/>
        </w:rPr>
        <w:t>7</w:t>
      </w:r>
      <w:bookmarkEnd w:id="20"/>
    </w:p>
    <w:p w:rsidR="008353D1" w:rsidRPr="008353D1" w:rsidRDefault="00D67EDA" w:rsidP="00D67EDA">
      <w:pPr>
        <w:pStyle w:val="Titulek"/>
        <w:keepNext/>
        <w:spacing w:after="0"/>
        <w:jc w:val="both"/>
        <w:rPr>
          <w:b w:val="0"/>
        </w:rPr>
      </w:pPr>
      <w:r w:rsidRPr="00D67EDA">
        <w:rPr>
          <w:color w:val="FFFFFF" w:themeColor="background1"/>
          <w:sz w:val="4"/>
          <w:szCs w:val="4"/>
        </w:rPr>
        <w:t>7</w:t>
      </w:r>
      <w:r w:rsidR="008353D1">
        <w:rPr>
          <w:noProof/>
        </w:rPr>
        <w:drawing>
          <wp:inline distT="0" distB="0" distL="0" distR="0" wp14:anchorId="7BC4AE72" wp14:editId="43654972">
            <wp:extent cx="5972810" cy="3283585"/>
            <wp:effectExtent l="0" t="0" r="0" b="0"/>
            <wp:docPr id="180" name="Graf 18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353D1" w:rsidRPr="004926B1" w:rsidRDefault="008353D1" w:rsidP="008353D1">
      <w:pPr>
        <w:pStyle w:val="Nadpis3"/>
        <w:spacing w:before="240" w:after="120" w:line="264" w:lineRule="auto"/>
      </w:pPr>
      <w:bookmarkStart w:id="21" w:name="_Toc525303585"/>
      <w:r w:rsidRPr="004926B1">
        <w:t>Využívání online konzultace a objednání se k lékaři</w:t>
      </w:r>
      <w:bookmarkEnd w:id="21"/>
    </w:p>
    <w:p w:rsidR="008353D1" w:rsidRPr="008935BC" w:rsidRDefault="008353D1" w:rsidP="008353D1">
      <w:pPr>
        <w:spacing w:afterLines="80" w:after="192" w:line="264" w:lineRule="auto"/>
        <w:jc w:val="both"/>
      </w:pPr>
      <w:r w:rsidRPr="007909ED">
        <w:rPr>
          <w:i/>
        </w:rPr>
        <w:t>Ne každý však v případě informací týkajících se zdraví důvěřuje těm, které jsou volně k dohledání na</w:t>
      </w:r>
      <w:r>
        <w:rPr>
          <w:i/>
        </w:rPr>
        <w:t> </w:t>
      </w:r>
      <w:r w:rsidRPr="007909ED">
        <w:rPr>
          <w:i/>
        </w:rPr>
        <w:t>internetu. Bezpečnější alternativou k získávání informací přes internet může být on-line konzultace s lékařem či zdravotnickým zařízením prostřednictvím jejich webových stránek. Využívání elektronických služeb ve zdravotnictví by pro  občany mělo být stejně pohodlné, jako je tomu např. v elektronickém bankovnictví nebo e-</w:t>
      </w:r>
      <w:proofErr w:type="spellStart"/>
      <w:r w:rsidRPr="007909ED">
        <w:rPr>
          <w:i/>
        </w:rPr>
        <w:t>shopu</w:t>
      </w:r>
      <w:proofErr w:type="spellEnd"/>
      <w:r w:rsidRPr="007909ED">
        <w:rPr>
          <w:i/>
        </w:rPr>
        <w:t>.</w:t>
      </w:r>
    </w:p>
    <w:p w:rsidR="008353D1" w:rsidRDefault="008353D1" w:rsidP="00CD488F">
      <w:pPr>
        <w:pStyle w:val="Zkladntext"/>
        <w:numPr>
          <w:ilvl w:val="0"/>
          <w:numId w:val="14"/>
        </w:numPr>
        <w:spacing w:before="0" w:after="80" w:line="264" w:lineRule="auto"/>
        <w:ind w:left="357" w:hanging="357"/>
        <w:rPr>
          <w:sz w:val="20"/>
        </w:rPr>
      </w:pPr>
      <w:r w:rsidRPr="007253BF">
        <w:rPr>
          <w:b/>
          <w:sz w:val="20"/>
        </w:rPr>
        <w:t>On-line konzultaci s lékařem</w:t>
      </w:r>
      <w:r w:rsidRPr="007253BF">
        <w:rPr>
          <w:sz w:val="20"/>
        </w:rPr>
        <w:t xml:space="preserve"> uskutečnila v Česku v roce 2016 jen 4 % dospělých. Stejně jako v</w:t>
      </w:r>
      <w:r>
        <w:rPr>
          <w:sz w:val="20"/>
        </w:rPr>
        <w:t> </w:t>
      </w:r>
      <w:r w:rsidRPr="007253BF">
        <w:rPr>
          <w:sz w:val="20"/>
        </w:rPr>
        <w:t>případě vyhledávání informací týkajících se zdraví na internetu, i možnosti on-line konzultace využily častěji ženy než muži (5,3 % žen a 2,6 % mužů v rámci populace a 7,1 % a 3,3 % mezi u</w:t>
      </w:r>
      <w:r>
        <w:rPr>
          <w:sz w:val="20"/>
        </w:rPr>
        <w:t>živateli internetu).</w:t>
      </w:r>
    </w:p>
    <w:p w:rsidR="008353D1" w:rsidRPr="008353D1" w:rsidRDefault="008353D1" w:rsidP="00CD488F">
      <w:pPr>
        <w:pStyle w:val="Odstavecseseznamem"/>
        <w:numPr>
          <w:ilvl w:val="0"/>
          <w:numId w:val="14"/>
        </w:numPr>
        <w:spacing w:after="80" w:line="264" w:lineRule="auto"/>
        <w:ind w:left="357" w:hanging="357"/>
        <w:jc w:val="both"/>
        <w:rPr>
          <w:rFonts w:ascii="Arial" w:hAnsi="Arial" w:cs="Arial"/>
          <w:sz w:val="20"/>
          <w:szCs w:val="20"/>
        </w:rPr>
      </w:pPr>
      <w:r w:rsidRPr="008353D1">
        <w:rPr>
          <w:rFonts w:ascii="Arial" w:hAnsi="Arial" w:cs="Arial"/>
          <w:sz w:val="20"/>
          <w:szCs w:val="20"/>
        </w:rPr>
        <w:t>V případě rozdělení na věkové kategorie vede skupina 35 až 44 let (6,5 %, respektive 6,9 % mezi uživateli internetu) následovaná skupinou 45 až 54 letých. Naopak nejméně možnosti on-line konzultace využívají lidé nad 65 let (pouhé 1,6 %</w:t>
      </w:r>
      <w:r w:rsidR="00CD488F">
        <w:rPr>
          <w:rFonts w:ascii="Arial" w:hAnsi="Arial" w:cs="Arial"/>
          <w:sz w:val="20"/>
          <w:szCs w:val="20"/>
        </w:rPr>
        <w:t>, mezi uživateli internetu ale již průměrných 5 %</w:t>
      </w:r>
      <w:r w:rsidRPr="008353D1">
        <w:rPr>
          <w:rFonts w:ascii="Arial" w:hAnsi="Arial" w:cs="Arial"/>
          <w:sz w:val="20"/>
          <w:szCs w:val="20"/>
        </w:rPr>
        <w:t>) a lidé do 24 let (2,7 %), u nichž je podíl nejnižší i v případě, že vezmeme v potaz pouze ty, kteří používají internet (2,8</w:t>
      </w:r>
      <w:r w:rsidR="00715110">
        <w:rPr>
          <w:rFonts w:ascii="Arial" w:hAnsi="Arial" w:cs="Arial"/>
          <w:sz w:val="20"/>
          <w:szCs w:val="20"/>
        </w:rPr>
        <w:t> </w:t>
      </w:r>
      <w:r w:rsidRPr="008353D1">
        <w:rPr>
          <w:rFonts w:ascii="Arial" w:hAnsi="Arial" w:cs="Arial"/>
          <w:sz w:val="20"/>
          <w:szCs w:val="20"/>
        </w:rPr>
        <w:t xml:space="preserve">%). Při porovnání grafů </w:t>
      </w:r>
      <w:r w:rsidR="002C354E">
        <w:rPr>
          <w:rFonts w:ascii="Arial" w:hAnsi="Arial" w:cs="Arial"/>
          <w:sz w:val="20"/>
          <w:szCs w:val="20"/>
        </w:rPr>
        <w:t>G</w:t>
      </w:r>
      <w:r w:rsidRPr="008353D1">
        <w:rPr>
          <w:rFonts w:ascii="Arial" w:hAnsi="Arial" w:cs="Arial"/>
          <w:sz w:val="20"/>
          <w:szCs w:val="20"/>
        </w:rPr>
        <w:t xml:space="preserve">9 a </w:t>
      </w:r>
      <w:r w:rsidR="002C354E">
        <w:rPr>
          <w:rFonts w:ascii="Arial" w:hAnsi="Arial" w:cs="Arial"/>
          <w:sz w:val="20"/>
          <w:szCs w:val="20"/>
        </w:rPr>
        <w:t>G</w:t>
      </w:r>
      <w:r w:rsidRPr="008353D1">
        <w:rPr>
          <w:rFonts w:ascii="Arial" w:hAnsi="Arial" w:cs="Arial"/>
          <w:sz w:val="20"/>
          <w:szCs w:val="20"/>
        </w:rPr>
        <w:t>13 vidíme, že starší lidé, kteří používají internet, sice aktivně pátrají po</w:t>
      </w:r>
      <w:r w:rsidR="00715110">
        <w:rPr>
          <w:rFonts w:ascii="Arial" w:hAnsi="Arial" w:cs="Arial"/>
          <w:sz w:val="20"/>
          <w:szCs w:val="20"/>
        </w:rPr>
        <w:t> </w:t>
      </w:r>
      <w:r w:rsidRPr="008353D1">
        <w:rPr>
          <w:rFonts w:ascii="Arial" w:hAnsi="Arial" w:cs="Arial"/>
          <w:sz w:val="20"/>
          <w:szCs w:val="20"/>
        </w:rPr>
        <w:t>volně dostupných informacích, formálních možností konzultace s odborníky naopak využívají j</w:t>
      </w:r>
      <w:r w:rsidR="00CD488F">
        <w:rPr>
          <w:rFonts w:ascii="Arial" w:hAnsi="Arial" w:cs="Arial"/>
          <w:sz w:val="20"/>
          <w:szCs w:val="20"/>
        </w:rPr>
        <w:t>iž méně.</w:t>
      </w:r>
    </w:p>
    <w:p w:rsidR="00D67EDA" w:rsidRDefault="00D67EDA" w:rsidP="00D67EDA">
      <w:pPr>
        <w:pStyle w:val="Titulek"/>
        <w:keepNext/>
        <w:jc w:val="both"/>
        <w:sectPr w:rsidR="00D67EDA" w:rsidSect="006D0F31">
          <w:type w:val="continuous"/>
          <w:pgSz w:w="11906" w:h="16838" w:code="9"/>
          <w:pgMar w:top="1134" w:right="1134" w:bottom="1418" w:left="1134" w:header="680" w:footer="680" w:gutter="0"/>
          <w:cols w:space="708"/>
          <w:docGrid w:linePitch="360"/>
        </w:sectPr>
      </w:pPr>
    </w:p>
    <w:p w:rsidR="00D67EDA" w:rsidRPr="00D67EDA" w:rsidRDefault="00D67EDA" w:rsidP="00D67EDA">
      <w:pPr>
        <w:pStyle w:val="Titulek"/>
        <w:keepNext/>
        <w:spacing w:after="0"/>
        <w:jc w:val="both"/>
        <w:rPr>
          <w:color w:val="FFFFFF" w:themeColor="background1"/>
          <w:sz w:val="4"/>
          <w:szCs w:val="4"/>
        </w:rPr>
      </w:pPr>
      <w:bookmarkStart w:id="22" w:name="_Toc524332647"/>
      <w:r w:rsidRPr="00D67EDA">
        <w:rPr>
          <w:color w:val="FFFFFF" w:themeColor="background1"/>
          <w:sz w:val="4"/>
          <w:szCs w:val="4"/>
        </w:rPr>
        <w:lastRenderedPageBreak/>
        <w:t>Graf G</w:t>
      </w:r>
      <w:r w:rsidRPr="00D67EDA">
        <w:rPr>
          <w:color w:val="FFFFFF" w:themeColor="background1"/>
          <w:sz w:val="4"/>
          <w:szCs w:val="4"/>
        </w:rPr>
        <w:fldChar w:fldCharType="begin"/>
      </w:r>
      <w:r w:rsidRPr="00D67EDA">
        <w:rPr>
          <w:color w:val="FFFFFF" w:themeColor="background1"/>
          <w:sz w:val="4"/>
          <w:szCs w:val="4"/>
        </w:rPr>
        <w:instrText xml:space="preserve"> SEQ Graf_G \* ARABIC </w:instrText>
      </w:r>
      <w:r w:rsidRPr="00D67EDA">
        <w:rPr>
          <w:color w:val="FFFFFF" w:themeColor="background1"/>
          <w:sz w:val="4"/>
          <w:szCs w:val="4"/>
        </w:rPr>
        <w:fldChar w:fldCharType="separate"/>
      </w:r>
      <w:r>
        <w:rPr>
          <w:noProof/>
          <w:color w:val="FFFFFF" w:themeColor="background1"/>
          <w:sz w:val="4"/>
          <w:szCs w:val="4"/>
        </w:rPr>
        <w:t>13</w:t>
      </w:r>
      <w:r w:rsidRPr="00D67EDA">
        <w:rPr>
          <w:color w:val="FFFFFF" w:themeColor="background1"/>
          <w:sz w:val="4"/>
          <w:szCs w:val="4"/>
        </w:rPr>
        <w:fldChar w:fldCharType="end"/>
      </w:r>
      <w:r w:rsidRPr="00D67EDA">
        <w:rPr>
          <w:color w:val="FFFFFF" w:themeColor="background1"/>
          <w:sz w:val="4"/>
          <w:szCs w:val="4"/>
        </w:rPr>
        <w:t xml:space="preserve"> Jednotlivci v Česku, kteří v roce 2016 využili on-line konzultace přes webové stránky lékaře</w:t>
      </w:r>
      <w:bookmarkEnd w:id="22"/>
    </w:p>
    <w:p w:rsidR="00D67EDA" w:rsidRDefault="008353D1" w:rsidP="008353D1">
      <w:pPr>
        <w:pStyle w:val="Zkladntext"/>
        <w:tabs>
          <w:tab w:val="left" w:pos="4820"/>
        </w:tabs>
        <w:spacing w:before="0" w:after="100" w:line="264" w:lineRule="auto"/>
      </w:pPr>
      <w:r>
        <w:rPr>
          <w:noProof/>
        </w:rPr>
        <w:drawing>
          <wp:inline distT="0" distB="0" distL="0" distR="0" wp14:anchorId="1FBF61F9" wp14:editId="0C1E52D8">
            <wp:extent cx="3056406" cy="3270552"/>
            <wp:effectExtent l="0" t="0" r="0" b="6350"/>
            <wp:docPr id="181" name="Graf 18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67EDA" w:rsidRPr="00D67EDA" w:rsidRDefault="00D67EDA" w:rsidP="00D67EDA">
      <w:pPr>
        <w:pStyle w:val="Titulek"/>
        <w:keepNext/>
        <w:spacing w:after="0"/>
        <w:jc w:val="both"/>
        <w:rPr>
          <w:color w:val="FFFFFF" w:themeColor="background1"/>
          <w:sz w:val="4"/>
          <w:szCs w:val="4"/>
        </w:rPr>
      </w:pPr>
      <w:bookmarkStart w:id="23" w:name="_Toc524332648"/>
      <w:r w:rsidRPr="00D67EDA">
        <w:rPr>
          <w:color w:val="FFFFFF" w:themeColor="background1"/>
          <w:sz w:val="4"/>
          <w:szCs w:val="4"/>
        </w:rPr>
        <w:lastRenderedPageBreak/>
        <w:t>Graf G</w:t>
      </w:r>
      <w:r w:rsidRPr="00D67EDA">
        <w:rPr>
          <w:color w:val="FFFFFF" w:themeColor="background1"/>
          <w:sz w:val="4"/>
          <w:szCs w:val="4"/>
        </w:rPr>
        <w:fldChar w:fldCharType="begin"/>
      </w:r>
      <w:r w:rsidRPr="00D67EDA">
        <w:rPr>
          <w:color w:val="FFFFFF" w:themeColor="background1"/>
          <w:sz w:val="4"/>
          <w:szCs w:val="4"/>
        </w:rPr>
        <w:instrText xml:space="preserve"> SEQ Graf_G \* ARABIC </w:instrText>
      </w:r>
      <w:r w:rsidRPr="00D67EDA">
        <w:rPr>
          <w:color w:val="FFFFFF" w:themeColor="background1"/>
          <w:sz w:val="4"/>
          <w:szCs w:val="4"/>
        </w:rPr>
        <w:fldChar w:fldCharType="separate"/>
      </w:r>
      <w:r>
        <w:rPr>
          <w:noProof/>
          <w:color w:val="FFFFFF" w:themeColor="background1"/>
          <w:sz w:val="4"/>
          <w:szCs w:val="4"/>
        </w:rPr>
        <w:t>14</w:t>
      </w:r>
      <w:r w:rsidRPr="00D67EDA">
        <w:rPr>
          <w:color w:val="FFFFFF" w:themeColor="background1"/>
          <w:sz w:val="4"/>
          <w:szCs w:val="4"/>
        </w:rPr>
        <w:fldChar w:fldCharType="end"/>
      </w:r>
      <w:r w:rsidRPr="00D67EDA">
        <w:rPr>
          <w:color w:val="FFFFFF" w:themeColor="background1"/>
          <w:sz w:val="4"/>
          <w:szCs w:val="4"/>
        </w:rPr>
        <w:t xml:space="preserve"> Jednotlivci v Česku, kteří v roce 2016 využili on-line objednání k lékaři přes webové stránky</w:t>
      </w:r>
      <w:bookmarkEnd w:id="23"/>
    </w:p>
    <w:p w:rsidR="008353D1" w:rsidRPr="00C054B4" w:rsidRDefault="008353D1" w:rsidP="008353D1">
      <w:pPr>
        <w:pStyle w:val="Zkladntext"/>
        <w:tabs>
          <w:tab w:val="left" w:pos="4820"/>
        </w:tabs>
        <w:spacing w:before="0" w:after="100" w:line="264" w:lineRule="auto"/>
        <w:rPr>
          <w:sz w:val="20"/>
        </w:rPr>
      </w:pPr>
      <w:r>
        <w:rPr>
          <w:noProof/>
        </w:rPr>
        <w:drawing>
          <wp:inline distT="0" distB="0" distL="0" distR="0" wp14:anchorId="025CE397" wp14:editId="4093D765">
            <wp:extent cx="3056406" cy="3270552"/>
            <wp:effectExtent l="0" t="0" r="0" b="6350"/>
            <wp:docPr id="182" name="Graf 18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67EDA" w:rsidRDefault="00D67EDA" w:rsidP="008353D1">
      <w:pPr>
        <w:pStyle w:val="Zkladntext"/>
        <w:numPr>
          <w:ilvl w:val="0"/>
          <w:numId w:val="14"/>
        </w:numPr>
        <w:tabs>
          <w:tab w:val="clear" w:pos="360"/>
          <w:tab w:val="num" w:pos="284"/>
        </w:tabs>
        <w:spacing w:before="0" w:after="80" w:line="264" w:lineRule="auto"/>
        <w:ind w:left="284" w:hanging="284"/>
        <w:rPr>
          <w:sz w:val="20"/>
        </w:rPr>
        <w:sectPr w:rsidR="00D67EDA" w:rsidSect="00D67EDA">
          <w:type w:val="continuous"/>
          <w:pgSz w:w="11906" w:h="16838" w:code="9"/>
          <w:pgMar w:top="1134" w:right="1134" w:bottom="1418" w:left="1134" w:header="680" w:footer="680" w:gutter="0"/>
          <w:cols w:num="2" w:space="708"/>
          <w:docGrid w:linePitch="360"/>
        </w:sectPr>
      </w:pPr>
    </w:p>
    <w:p w:rsidR="008353D1" w:rsidRDefault="008353D1" w:rsidP="008353D1">
      <w:pPr>
        <w:pStyle w:val="Zkladntext"/>
        <w:numPr>
          <w:ilvl w:val="0"/>
          <w:numId w:val="14"/>
        </w:numPr>
        <w:tabs>
          <w:tab w:val="clear" w:pos="360"/>
          <w:tab w:val="num" w:pos="284"/>
        </w:tabs>
        <w:spacing w:before="0" w:after="80" w:line="264" w:lineRule="auto"/>
        <w:ind w:left="284" w:hanging="284"/>
        <w:rPr>
          <w:sz w:val="20"/>
        </w:rPr>
      </w:pPr>
      <w:r w:rsidRPr="00572F9D">
        <w:rPr>
          <w:sz w:val="20"/>
        </w:rPr>
        <w:lastRenderedPageBreak/>
        <w:t xml:space="preserve">Možnost </w:t>
      </w:r>
      <w:r w:rsidRPr="00572F9D">
        <w:rPr>
          <w:b/>
          <w:sz w:val="20"/>
        </w:rPr>
        <w:t>objednat se k lékaři on-line přes web</w:t>
      </w:r>
      <w:r w:rsidRPr="00572F9D">
        <w:rPr>
          <w:sz w:val="20"/>
        </w:rPr>
        <w:t xml:space="preserve"> z pohodlí domova může představovat příjemnou výhodu. V roce 2016 této možnosti </w:t>
      </w:r>
      <w:r>
        <w:rPr>
          <w:sz w:val="20"/>
        </w:rPr>
        <w:t xml:space="preserve">v Česku </w:t>
      </w:r>
      <w:r w:rsidRPr="00572F9D">
        <w:rPr>
          <w:sz w:val="20"/>
        </w:rPr>
        <w:t xml:space="preserve">využilo 8 % </w:t>
      </w:r>
      <w:r>
        <w:rPr>
          <w:sz w:val="20"/>
        </w:rPr>
        <w:t>jednotlivců starších 16 let.</w:t>
      </w:r>
      <w:r w:rsidRPr="00572F9D">
        <w:rPr>
          <w:sz w:val="20"/>
        </w:rPr>
        <w:t xml:space="preserve"> Výsledky pro</w:t>
      </w:r>
      <w:r>
        <w:rPr>
          <w:sz w:val="20"/>
        </w:rPr>
        <w:t> </w:t>
      </w:r>
      <w:r w:rsidRPr="00572F9D">
        <w:rPr>
          <w:sz w:val="20"/>
        </w:rPr>
        <w:t xml:space="preserve">jednotlivé </w:t>
      </w:r>
      <w:proofErr w:type="spellStart"/>
      <w:r w:rsidRPr="00572F9D">
        <w:rPr>
          <w:sz w:val="20"/>
        </w:rPr>
        <w:t>socio</w:t>
      </w:r>
      <w:proofErr w:type="spellEnd"/>
      <w:r w:rsidRPr="00572F9D">
        <w:rPr>
          <w:sz w:val="20"/>
        </w:rPr>
        <w:t xml:space="preserve">-demografické skupiny jsou podobné jako výsledky u on-line konzultací. </w:t>
      </w:r>
      <w:r>
        <w:rPr>
          <w:sz w:val="20"/>
        </w:rPr>
        <w:t>Častěji než ostatní skupiny tak činí ženy obecně a především pak ty na rodičovské dovolené.</w:t>
      </w:r>
    </w:p>
    <w:p w:rsidR="00F9030B" w:rsidRPr="00F9030B" w:rsidRDefault="00D67EDA" w:rsidP="00D67EDA">
      <w:pPr>
        <w:pStyle w:val="Titulek"/>
        <w:keepNext/>
        <w:spacing w:after="0"/>
        <w:jc w:val="both"/>
        <w:rPr>
          <w:color w:val="FFFFFF" w:themeColor="background1"/>
          <w:sz w:val="4"/>
          <w:szCs w:val="4"/>
          <w:lang w:val="en-US"/>
        </w:rPr>
      </w:pPr>
      <w:bookmarkStart w:id="24" w:name="_Toc524332649"/>
      <w:r w:rsidRPr="00F9030B">
        <w:rPr>
          <w:color w:val="FFFFFF" w:themeColor="background1"/>
          <w:sz w:val="4"/>
          <w:szCs w:val="4"/>
        </w:rPr>
        <w:t>Graf G</w:t>
      </w:r>
      <w:r w:rsidRPr="00F9030B">
        <w:rPr>
          <w:color w:val="FFFFFF" w:themeColor="background1"/>
          <w:sz w:val="4"/>
          <w:szCs w:val="4"/>
        </w:rPr>
        <w:fldChar w:fldCharType="begin"/>
      </w:r>
      <w:r w:rsidRPr="00F9030B">
        <w:rPr>
          <w:color w:val="FFFFFF" w:themeColor="background1"/>
          <w:sz w:val="4"/>
          <w:szCs w:val="4"/>
        </w:rPr>
        <w:instrText xml:space="preserve"> SEQ Graf_G \* ARABIC </w:instrText>
      </w:r>
      <w:r w:rsidRPr="00F9030B">
        <w:rPr>
          <w:color w:val="FFFFFF" w:themeColor="background1"/>
          <w:sz w:val="4"/>
          <w:szCs w:val="4"/>
        </w:rPr>
        <w:fldChar w:fldCharType="separate"/>
      </w:r>
      <w:r w:rsidRPr="00F9030B">
        <w:rPr>
          <w:noProof/>
          <w:color w:val="FFFFFF" w:themeColor="background1"/>
          <w:sz w:val="4"/>
          <w:szCs w:val="4"/>
        </w:rPr>
        <w:t>15</w:t>
      </w:r>
      <w:r w:rsidRPr="00F9030B">
        <w:rPr>
          <w:color w:val="FFFFFF" w:themeColor="background1"/>
          <w:sz w:val="4"/>
          <w:szCs w:val="4"/>
        </w:rPr>
        <w:fldChar w:fldCharType="end"/>
      </w:r>
      <w:r w:rsidRPr="00F9030B">
        <w:rPr>
          <w:color w:val="FFFFFF" w:themeColor="background1"/>
          <w:sz w:val="4"/>
          <w:szCs w:val="4"/>
        </w:rPr>
        <w:t xml:space="preserve"> </w:t>
      </w:r>
      <w:proofErr w:type="spellStart"/>
      <w:r w:rsidRPr="00F9030B">
        <w:rPr>
          <w:color w:val="FFFFFF" w:themeColor="background1"/>
          <w:sz w:val="4"/>
          <w:szCs w:val="4"/>
          <w:lang w:val="en-US"/>
        </w:rPr>
        <w:t>Jednotlivci</w:t>
      </w:r>
      <w:proofErr w:type="spellEnd"/>
      <w:r w:rsidRPr="00F9030B">
        <w:rPr>
          <w:color w:val="FFFFFF" w:themeColor="background1"/>
          <w:sz w:val="4"/>
          <w:szCs w:val="4"/>
          <w:lang w:val="en-US"/>
        </w:rPr>
        <w:t xml:space="preserve"> v </w:t>
      </w:r>
      <w:proofErr w:type="spellStart"/>
      <w:r w:rsidRPr="00F9030B">
        <w:rPr>
          <w:color w:val="FFFFFF" w:themeColor="background1"/>
          <w:sz w:val="4"/>
          <w:szCs w:val="4"/>
          <w:lang w:val="en-US"/>
        </w:rPr>
        <w:t>zemích</w:t>
      </w:r>
      <w:proofErr w:type="spellEnd"/>
      <w:r w:rsidRPr="00F9030B">
        <w:rPr>
          <w:color w:val="FFFFFF" w:themeColor="background1"/>
          <w:sz w:val="4"/>
          <w:szCs w:val="4"/>
          <w:lang w:val="en-US"/>
        </w:rPr>
        <w:t xml:space="preserve"> EU, </w:t>
      </w:r>
      <w:proofErr w:type="spellStart"/>
      <w:r w:rsidRPr="00F9030B">
        <w:rPr>
          <w:color w:val="FFFFFF" w:themeColor="background1"/>
          <w:sz w:val="4"/>
          <w:szCs w:val="4"/>
          <w:lang w:val="en-US"/>
        </w:rPr>
        <w:t>kteří</w:t>
      </w:r>
      <w:proofErr w:type="spellEnd"/>
      <w:r w:rsidRPr="00F9030B">
        <w:rPr>
          <w:color w:val="FFFFFF" w:themeColor="background1"/>
          <w:sz w:val="4"/>
          <w:szCs w:val="4"/>
          <w:lang w:val="en-US"/>
        </w:rPr>
        <w:t xml:space="preserve"> </w:t>
      </w:r>
      <w:proofErr w:type="spellStart"/>
      <w:r w:rsidRPr="00F9030B">
        <w:rPr>
          <w:color w:val="FFFFFF" w:themeColor="background1"/>
          <w:sz w:val="4"/>
          <w:szCs w:val="4"/>
          <w:lang w:val="en-US"/>
        </w:rPr>
        <w:t>využili</w:t>
      </w:r>
      <w:proofErr w:type="spellEnd"/>
      <w:r w:rsidRPr="00F9030B">
        <w:rPr>
          <w:color w:val="FFFFFF" w:themeColor="background1"/>
          <w:sz w:val="4"/>
          <w:szCs w:val="4"/>
          <w:lang w:val="en-US"/>
        </w:rPr>
        <w:t xml:space="preserve"> on-line </w:t>
      </w:r>
      <w:proofErr w:type="spellStart"/>
      <w:r w:rsidRPr="00F9030B">
        <w:rPr>
          <w:color w:val="FFFFFF" w:themeColor="background1"/>
          <w:sz w:val="4"/>
          <w:szCs w:val="4"/>
          <w:lang w:val="en-US"/>
        </w:rPr>
        <w:t>objednání</w:t>
      </w:r>
      <w:proofErr w:type="spellEnd"/>
      <w:r w:rsidRPr="00F9030B">
        <w:rPr>
          <w:color w:val="FFFFFF" w:themeColor="background1"/>
          <w:sz w:val="4"/>
          <w:szCs w:val="4"/>
          <w:lang w:val="en-US"/>
        </w:rPr>
        <w:t xml:space="preserve"> k </w:t>
      </w:r>
      <w:proofErr w:type="spellStart"/>
      <w:r w:rsidRPr="00F9030B">
        <w:rPr>
          <w:color w:val="FFFFFF" w:themeColor="background1"/>
          <w:sz w:val="4"/>
          <w:szCs w:val="4"/>
          <w:lang w:val="en-US"/>
        </w:rPr>
        <w:t>lékaři</w:t>
      </w:r>
      <w:proofErr w:type="spellEnd"/>
      <w:r w:rsidRPr="00F9030B">
        <w:rPr>
          <w:color w:val="FFFFFF" w:themeColor="background1"/>
          <w:sz w:val="4"/>
          <w:szCs w:val="4"/>
          <w:lang w:val="en-US"/>
        </w:rPr>
        <w:t xml:space="preserve"> </w:t>
      </w:r>
      <w:proofErr w:type="spellStart"/>
      <w:r w:rsidRPr="00F9030B">
        <w:rPr>
          <w:color w:val="FFFFFF" w:themeColor="background1"/>
          <w:sz w:val="4"/>
          <w:szCs w:val="4"/>
          <w:lang w:val="en-US"/>
        </w:rPr>
        <w:t>přes</w:t>
      </w:r>
      <w:proofErr w:type="spellEnd"/>
      <w:r w:rsidRPr="00F9030B">
        <w:rPr>
          <w:color w:val="FFFFFF" w:themeColor="background1"/>
          <w:sz w:val="4"/>
          <w:szCs w:val="4"/>
          <w:lang w:val="en-US"/>
        </w:rPr>
        <w:t xml:space="preserve"> </w:t>
      </w:r>
      <w:proofErr w:type="spellStart"/>
      <w:r w:rsidRPr="00F9030B">
        <w:rPr>
          <w:color w:val="FFFFFF" w:themeColor="background1"/>
          <w:sz w:val="4"/>
          <w:szCs w:val="4"/>
          <w:lang w:val="en-US"/>
        </w:rPr>
        <w:t>webové</w:t>
      </w:r>
      <w:proofErr w:type="spellEnd"/>
      <w:r w:rsidRPr="00F9030B">
        <w:rPr>
          <w:color w:val="FFFFFF" w:themeColor="background1"/>
          <w:sz w:val="4"/>
          <w:szCs w:val="4"/>
          <w:lang w:val="en-US"/>
        </w:rPr>
        <w:t xml:space="preserve"> </w:t>
      </w:r>
      <w:proofErr w:type="spellStart"/>
      <w:r w:rsidRPr="00F9030B">
        <w:rPr>
          <w:color w:val="FFFFFF" w:themeColor="background1"/>
          <w:sz w:val="4"/>
          <w:szCs w:val="4"/>
          <w:lang w:val="en-US"/>
        </w:rPr>
        <w:t>stránky</w:t>
      </w:r>
      <w:bookmarkEnd w:id="24"/>
      <w:proofErr w:type="spellEnd"/>
    </w:p>
    <w:p w:rsidR="008353D1" w:rsidRPr="008353D1" w:rsidRDefault="008353D1" w:rsidP="00D67EDA">
      <w:pPr>
        <w:pStyle w:val="Titulek"/>
        <w:keepNext/>
        <w:spacing w:after="0"/>
        <w:jc w:val="both"/>
        <w:rPr>
          <w:b w:val="0"/>
          <w:sz w:val="20"/>
        </w:rPr>
      </w:pPr>
      <w:r>
        <w:rPr>
          <w:noProof/>
        </w:rPr>
        <w:drawing>
          <wp:inline distT="0" distB="0" distL="0" distR="0" wp14:anchorId="02BB18BC" wp14:editId="5EB0A303">
            <wp:extent cx="5972810" cy="3112135"/>
            <wp:effectExtent l="0" t="0" r="0" b="0"/>
            <wp:docPr id="183" name="Graf 18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1205B" w:rsidRDefault="008353D1" w:rsidP="00F17727">
      <w:pPr>
        <w:pStyle w:val="Zkladntext"/>
        <w:numPr>
          <w:ilvl w:val="0"/>
          <w:numId w:val="14"/>
        </w:numPr>
        <w:spacing w:before="0"/>
        <w:ind w:left="357" w:hanging="357"/>
      </w:pPr>
      <w:r w:rsidRPr="004F0401">
        <w:rPr>
          <w:sz w:val="20"/>
        </w:rPr>
        <w:t xml:space="preserve">Ve využívání on-line objednávání k lékaři je ČR pod průměrem </w:t>
      </w:r>
      <w:r w:rsidRPr="00F17727">
        <w:rPr>
          <w:b/>
          <w:sz w:val="20"/>
        </w:rPr>
        <w:t xml:space="preserve">EU28, </w:t>
      </w:r>
      <w:r>
        <w:rPr>
          <w:sz w:val="20"/>
        </w:rPr>
        <w:t>který</w:t>
      </w:r>
      <w:r w:rsidRPr="004F0401">
        <w:rPr>
          <w:sz w:val="20"/>
        </w:rPr>
        <w:t xml:space="preserve"> činí 13 %. Nejvyšší aktivitu prokázali v tomto směru obyvatelé Dánska (49 %) a s odstupem pak Finska (35 %)</w:t>
      </w:r>
      <w:r>
        <w:rPr>
          <w:sz w:val="20"/>
        </w:rPr>
        <w:t xml:space="preserve"> a Španělska (30 %).</w:t>
      </w:r>
      <w:r w:rsidRPr="00924434">
        <w:t xml:space="preserve"> </w:t>
      </w:r>
      <w:r>
        <w:rPr>
          <w:sz w:val="20"/>
        </w:rPr>
        <w:t>Mezi zeměmi, které v roce 2016</w:t>
      </w:r>
      <w:r w:rsidRPr="00924434">
        <w:rPr>
          <w:sz w:val="20"/>
        </w:rPr>
        <w:t xml:space="preserve"> vykázaly naopak nej</w:t>
      </w:r>
      <w:r>
        <w:rPr>
          <w:sz w:val="20"/>
        </w:rPr>
        <w:t>nižší</w:t>
      </w:r>
      <w:r w:rsidRPr="00924434">
        <w:rPr>
          <w:sz w:val="20"/>
        </w:rPr>
        <w:t xml:space="preserve"> podíly na využívání internetu k</w:t>
      </w:r>
      <w:r>
        <w:rPr>
          <w:sz w:val="20"/>
        </w:rPr>
        <w:t> on-line objednávání k lékaři, byl</w:t>
      </w:r>
      <w:r w:rsidRPr="00924434">
        <w:rPr>
          <w:sz w:val="20"/>
        </w:rPr>
        <w:t xml:space="preserve"> </w:t>
      </w:r>
      <w:r>
        <w:rPr>
          <w:sz w:val="20"/>
        </w:rPr>
        <w:t>Kypr</w:t>
      </w:r>
      <w:r w:rsidRPr="00924434">
        <w:rPr>
          <w:sz w:val="20"/>
        </w:rPr>
        <w:t xml:space="preserve"> (</w:t>
      </w:r>
      <w:r>
        <w:rPr>
          <w:sz w:val="20"/>
        </w:rPr>
        <w:t>0,2</w:t>
      </w:r>
      <w:r w:rsidRPr="00924434">
        <w:rPr>
          <w:sz w:val="20"/>
        </w:rPr>
        <w:t xml:space="preserve"> %), </w:t>
      </w:r>
      <w:r>
        <w:rPr>
          <w:sz w:val="20"/>
        </w:rPr>
        <w:t>Řecko</w:t>
      </w:r>
      <w:r w:rsidRPr="00924434">
        <w:rPr>
          <w:sz w:val="20"/>
        </w:rPr>
        <w:t xml:space="preserve"> (</w:t>
      </w:r>
      <w:r>
        <w:rPr>
          <w:sz w:val="20"/>
        </w:rPr>
        <w:t>2</w:t>
      </w:r>
      <w:r w:rsidRPr="00924434">
        <w:rPr>
          <w:sz w:val="20"/>
        </w:rPr>
        <w:t xml:space="preserve"> %) a </w:t>
      </w:r>
      <w:r>
        <w:rPr>
          <w:sz w:val="20"/>
        </w:rPr>
        <w:t>Bulharsko</w:t>
      </w:r>
      <w:r w:rsidRPr="00924434">
        <w:rPr>
          <w:sz w:val="20"/>
        </w:rPr>
        <w:t xml:space="preserve"> (</w:t>
      </w:r>
      <w:r>
        <w:rPr>
          <w:sz w:val="20"/>
        </w:rPr>
        <w:t>3</w:t>
      </w:r>
      <w:r w:rsidRPr="00924434">
        <w:rPr>
          <w:sz w:val="20"/>
        </w:rPr>
        <w:t xml:space="preserve"> %).</w:t>
      </w:r>
      <w:r>
        <w:rPr>
          <w:sz w:val="20"/>
        </w:rPr>
        <w:t xml:space="preserve"> V těchto zemích také podíl jednotlivců objednávajících se on-line příliš nevzrostl ani ve srovnání s rokem 2012, naopak v Dánsku došlo k nárůstu o 20 p. b. </w:t>
      </w:r>
      <w:bookmarkEnd w:id="0"/>
    </w:p>
    <w:sectPr w:rsidR="00D1205B" w:rsidSect="006D0F31">
      <w:type w:val="continuous"/>
      <w:pgSz w:w="11906" w:h="16838" w:code="9"/>
      <w:pgMar w:top="1134"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D30" w:rsidRDefault="00151D30" w:rsidP="00E71A58">
      <w:r>
        <w:separator/>
      </w:r>
    </w:p>
  </w:endnote>
  <w:endnote w:type="continuationSeparator" w:id="0">
    <w:p w:rsidR="00151D30" w:rsidRDefault="00151D30"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30" w:rsidRPr="00932443" w:rsidRDefault="00151D30" w:rsidP="00A418BC">
    <w:pPr>
      <w:pStyle w:val="Zpat"/>
      <w:rPr>
        <w:szCs w:val="16"/>
      </w:rPr>
    </w:pPr>
    <w:r>
      <w:rPr>
        <w:szCs w:val="16"/>
        <w:lang w:eastAsia="cs-CZ"/>
      </w:rPr>
      <w:drawing>
        <wp:anchor distT="0" distB="0" distL="114300" distR="114300" simplePos="0" relativeHeight="251658240" behindDoc="0" locked="0" layoutInCell="1" allowOverlap="1" wp14:anchorId="15831B38" wp14:editId="61B7F98D">
          <wp:simplePos x="0" y="0"/>
          <wp:positionH relativeFrom="column">
            <wp:align>right</wp:align>
          </wp:positionH>
          <wp:positionV relativeFrom="paragraph">
            <wp:posOffset>-64770</wp:posOffset>
          </wp:positionV>
          <wp:extent cx="428625" cy="201295"/>
          <wp:effectExtent l="0" t="0" r="3175" b="1905"/>
          <wp:wrapNone/>
          <wp:docPr id="201" name="Picture 11"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fldChar w:fldCharType="begin"/>
    </w:r>
    <w:r w:rsidRPr="00932443">
      <w:rPr>
        <w:szCs w:val="16"/>
      </w:rPr>
      <w:instrText>PAGE   \* MERGEFORMAT</w:instrText>
    </w:r>
    <w:r w:rsidRPr="00932443">
      <w:rPr>
        <w:szCs w:val="16"/>
      </w:rPr>
      <w:fldChar w:fldCharType="separate"/>
    </w:r>
    <w:r w:rsidR="00F17727">
      <w:rPr>
        <w:szCs w:val="16"/>
      </w:rPr>
      <w:t>86</w:t>
    </w:r>
    <w:r w:rsidRPr="00932443">
      <w:rPr>
        <w:szCs w:val="16"/>
      </w:rPr>
      <w:fldChar w:fldCharType="end"/>
    </w:r>
    <w:r w:rsidRPr="00932443">
      <w:rPr>
        <w:szCs w:val="16"/>
      </w:rPr>
      <w:tab/>
    </w:r>
    <w:r>
      <w:rPr>
        <w:szCs w:val="16"/>
      </w:rPr>
      <w:t>2018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30" w:rsidRPr="00932443" w:rsidRDefault="00151D30" w:rsidP="00A418BC">
    <w:pPr>
      <w:pStyle w:val="Zpat"/>
      <w:rPr>
        <w:szCs w:val="16"/>
      </w:rPr>
    </w:pPr>
    <w:r>
      <w:rPr>
        <w:szCs w:val="16"/>
        <w:lang w:eastAsia="cs-CZ"/>
      </w:rPr>
      <w:drawing>
        <wp:anchor distT="0" distB="0" distL="114300" distR="114300" simplePos="0" relativeHeight="251657216" behindDoc="0" locked="0" layoutInCell="1" allowOverlap="1" wp14:anchorId="69ED77A1" wp14:editId="56133A6C">
          <wp:simplePos x="0" y="0"/>
          <wp:positionH relativeFrom="column">
            <wp:align>left</wp:align>
          </wp:positionH>
          <wp:positionV relativeFrom="paragraph">
            <wp:posOffset>-122555</wp:posOffset>
          </wp:positionV>
          <wp:extent cx="510540" cy="272415"/>
          <wp:effectExtent l="0" t="0" r="0" b="6985"/>
          <wp:wrapNone/>
          <wp:docPr id="202" name="Picture 10"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443">
      <w:rPr>
        <w:szCs w:val="16"/>
      </w:rPr>
      <w:tab/>
    </w:r>
    <w:r>
      <w:rPr>
        <w:rStyle w:val="ZpatChar"/>
        <w:szCs w:val="16"/>
      </w:rPr>
      <w:t>2018</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F17727">
      <w:rPr>
        <w:rStyle w:val="ZpatChar"/>
        <w:szCs w:val="16"/>
      </w:rPr>
      <w:t>85</w:t>
    </w:r>
    <w:r w:rsidRPr="00932443">
      <w:rPr>
        <w:rStyle w:val="ZpatChar"/>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27" w:rsidRDefault="00F1772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D30" w:rsidRDefault="00151D30" w:rsidP="00E71A58">
      <w:r>
        <w:separator/>
      </w:r>
    </w:p>
  </w:footnote>
  <w:footnote w:type="continuationSeparator" w:id="0">
    <w:p w:rsidR="00151D30" w:rsidRDefault="00151D30" w:rsidP="00E71A58">
      <w:r>
        <w:continuationSeparator/>
      </w:r>
    </w:p>
  </w:footnote>
  <w:footnote w:id="1">
    <w:p w:rsidR="00151D30" w:rsidRPr="000808FA" w:rsidRDefault="00151D30" w:rsidP="008353D1">
      <w:pPr>
        <w:pStyle w:val="Textpoznpodarou"/>
        <w:jc w:val="both"/>
        <w:rPr>
          <w:rFonts w:ascii="Arial" w:hAnsi="Arial" w:cs="Arial"/>
          <w:sz w:val="18"/>
          <w:szCs w:val="18"/>
        </w:rPr>
      </w:pPr>
      <w:r w:rsidRPr="00762D21">
        <w:rPr>
          <w:rStyle w:val="Znakapoznpodarou"/>
          <w:rFonts w:ascii="Arial" w:hAnsi="Arial" w:cs="Arial"/>
          <w:sz w:val="18"/>
        </w:rPr>
        <w:footnoteRef/>
      </w:r>
      <w:r w:rsidRPr="00762D21">
        <w:rPr>
          <w:rFonts w:ascii="Arial" w:hAnsi="Arial" w:cs="Arial"/>
          <w:sz w:val="18"/>
        </w:rPr>
        <w:t xml:space="preserve"> </w:t>
      </w:r>
      <w:r w:rsidRPr="000808FA">
        <w:rPr>
          <w:rFonts w:ascii="Arial" w:hAnsi="Arial" w:cs="Arial"/>
          <w:sz w:val="18"/>
          <w:szCs w:val="18"/>
        </w:rPr>
        <w:t xml:space="preserve">První rozsáhlejší snahou zavést principy </w:t>
      </w:r>
      <w:proofErr w:type="spellStart"/>
      <w:r w:rsidRPr="000808FA">
        <w:rPr>
          <w:rFonts w:ascii="Arial" w:hAnsi="Arial" w:cs="Arial"/>
          <w:sz w:val="18"/>
          <w:szCs w:val="18"/>
        </w:rPr>
        <w:t>eHealth</w:t>
      </w:r>
      <w:proofErr w:type="spellEnd"/>
      <w:r w:rsidRPr="000808FA">
        <w:rPr>
          <w:rFonts w:ascii="Arial" w:hAnsi="Arial" w:cs="Arial"/>
          <w:sz w:val="18"/>
          <w:szCs w:val="18"/>
        </w:rPr>
        <w:t xml:space="preserve"> do českého zdravotnictví byl projekt elektronické zdravotní knížky IZIP, který fungoval od roku 2</w:t>
      </w:r>
      <w:r>
        <w:rPr>
          <w:rFonts w:ascii="Arial" w:hAnsi="Arial" w:cs="Arial"/>
          <w:sz w:val="18"/>
          <w:szCs w:val="18"/>
        </w:rPr>
        <w:t>002 do roku 2012</w:t>
      </w:r>
      <w:r w:rsidRPr="000808FA">
        <w:rPr>
          <w:rFonts w:ascii="Arial" w:hAnsi="Arial" w:cs="Arial"/>
          <w:sz w:val="18"/>
          <w:szCs w:val="18"/>
        </w:rPr>
        <w:t xml:space="preserve">. </w:t>
      </w:r>
      <w:r>
        <w:rPr>
          <w:rFonts w:ascii="Arial" w:hAnsi="Arial" w:cs="Arial"/>
          <w:sz w:val="18"/>
          <w:szCs w:val="18"/>
        </w:rPr>
        <w:t>N</w:t>
      </w:r>
      <w:r w:rsidRPr="000808FA">
        <w:rPr>
          <w:rFonts w:ascii="Arial" w:hAnsi="Arial" w:cs="Arial"/>
          <w:sz w:val="18"/>
          <w:szCs w:val="18"/>
        </w:rPr>
        <w:t xml:space="preserve">a konci roku 2016 byla schválena </w:t>
      </w:r>
      <w:r w:rsidRPr="000808FA">
        <w:rPr>
          <w:rFonts w:ascii="Arial" w:hAnsi="Arial" w:cs="Arial"/>
          <w:b/>
          <w:sz w:val="18"/>
          <w:szCs w:val="18"/>
        </w:rPr>
        <w:t>Národní strategie elektronického zdravotnictví na</w:t>
      </w:r>
      <w:r>
        <w:rPr>
          <w:rFonts w:ascii="Arial" w:hAnsi="Arial" w:cs="Arial"/>
          <w:b/>
          <w:sz w:val="18"/>
          <w:szCs w:val="18"/>
        </w:rPr>
        <w:t> </w:t>
      </w:r>
      <w:r w:rsidRPr="000808FA">
        <w:rPr>
          <w:rFonts w:ascii="Arial" w:hAnsi="Arial" w:cs="Arial"/>
          <w:b/>
          <w:sz w:val="18"/>
          <w:szCs w:val="18"/>
        </w:rPr>
        <w:t>období 2016 – 2020</w:t>
      </w:r>
      <w:r w:rsidRPr="000808FA">
        <w:rPr>
          <w:rFonts w:ascii="Arial" w:hAnsi="Arial" w:cs="Arial"/>
          <w:sz w:val="18"/>
          <w:szCs w:val="18"/>
        </w:rPr>
        <w:t xml:space="preserve">. Více viz následující odkaz: </w:t>
      </w:r>
      <w:hyperlink r:id="rId1" w:history="1">
        <w:r w:rsidRPr="000808FA">
          <w:rPr>
            <w:rStyle w:val="Hypertextovodkaz"/>
            <w:rFonts w:ascii="Arial" w:hAnsi="Arial" w:cs="Arial"/>
            <w:sz w:val="18"/>
            <w:szCs w:val="18"/>
          </w:rPr>
          <w:t>http://www.nsez.cz/</w:t>
        </w:r>
      </w:hyperlink>
      <w:bookmarkStart w:id="2" w:name="_GoBack"/>
      <w:bookmarkEnd w:id="2"/>
    </w:p>
  </w:footnote>
  <w:footnote w:id="2">
    <w:p w:rsidR="00151D30" w:rsidRPr="000808FA" w:rsidRDefault="00151D30" w:rsidP="008353D1">
      <w:pPr>
        <w:pStyle w:val="Textpoznpodarou"/>
        <w:jc w:val="both"/>
        <w:rPr>
          <w:rFonts w:ascii="Arial" w:hAnsi="Arial" w:cs="Arial"/>
          <w:sz w:val="18"/>
          <w:szCs w:val="18"/>
        </w:rPr>
      </w:pPr>
      <w:r w:rsidRPr="000808FA">
        <w:rPr>
          <w:rStyle w:val="Znakapoznpodarou"/>
          <w:rFonts w:ascii="Arial" w:hAnsi="Arial" w:cs="Arial"/>
          <w:sz w:val="18"/>
          <w:szCs w:val="18"/>
        </w:rPr>
        <w:footnoteRef/>
      </w:r>
      <w:r w:rsidRPr="000808FA">
        <w:rPr>
          <w:rFonts w:ascii="Arial" w:hAnsi="Arial" w:cs="Arial"/>
          <w:sz w:val="18"/>
          <w:szCs w:val="18"/>
        </w:rPr>
        <w:t xml:space="preserve"> On-line konzultace s lékařem přes webové stránky jsou jednou z alternativ k vyhledávání volně dostupných informací na internetu. Lidé mohou na webových stránkách lékaře nebo zdravotnického zařízení pokládat dotazy týkající s jejich zdraví, na které lékař odpoví e-mailem nebo v případě veřejných konzultací odpověď zpřístupní na webových stránkách své ordinace. Vedle možnosti on-line konzultace nabízejí někteří lékaři také možnost objednat se na vyšetření nebo zdravotní zákrok prostřednictvím on-line formuláře. Některé ordinace také nabízejí svým pacientům možnost zažádat </w:t>
      </w:r>
      <w:r>
        <w:rPr>
          <w:rFonts w:ascii="Arial" w:hAnsi="Arial" w:cs="Arial"/>
          <w:sz w:val="18"/>
          <w:szCs w:val="18"/>
        </w:rPr>
        <w:br/>
      </w:r>
      <w:r w:rsidRPr="000808FA">
        <w:rPr>
          <w:rFonts w:ascii="Arial" w:hAnsi="Arial" w:cs="Arial"/>
          <w:sz w:val="18"/>
          <w:szCs w:val="18"/>
        </w:rPr>
        <w:t xml:space="preserve">on-line o nové nebo opakované vystavení lékařského předpisu, kdy pacient následně obdrží elektronický recept </w:t>
      </w:r>
      <w:r>
        <w:rPr>
          <w:rFonts w:ascii="Arial" w:hAnsi="Arial" w:cs="Arial"/>
          <w:sz w:val="18"/>
          <w:szCs w:val="18"/>
        </w:rPr>
        <w:br/>
      </w:r>
      <w:r w:rsidRPr="000808FA">
        <w:rPr>
          <w:rFonts w:ascii="Arial" w:hAnsi="Arial" w:cs="Arial"/>
          <w:sz w:val="18"/>
          <w:szCs w:val="18"/>
        </w:rPr>
        <w:t>e-mailem nebo prostřednictvím SMS kódu, kterým se identifikuje lékárníkovi.</w:t>
      </w:r>
    </w:p>
  </w:footnote>
  <w:footnote w:id="3">
    <w:p w:rsidR="00151D30" w:rsidRDefault="00151D30" w:rsidP="008353D1">
      <w:pPr>
        <w:pStyle w:val="Textpoznpodarou"/>
        <w:jc w:val="both"/>
      </w:pPr>
      <w:r w:rsidRPr="00762D21">
        <w:rPr>
          <w:rStyle w:val="Znakapoznpodarou"/>
          <w:rFonts w:ascii="Arial" w:hAnsi="Arial" w:cs="Arial"/>
          <w:sz w:val="18"/>
        </w:rPr>
        <w:footnoteRef/>
      </w:r>
      <w:r w:rsidRPr="00762D21">
        <w:rPr>
          <w:rFonts w:ascii="Arial" w:hAnsi="Arial" w:cs="Arial"/>
          <w:sz w:val="16"/>
          <w:szCs w:val="18"/>
        </w:rPr>
        <w:t xml:space="preserve"> </w:t>
      </w:r>
      <w:r w:rsidRPr="004E211F">
        <w:rPr>
          <w:rFonts w:ascii="Arial" w:hAnsi="Arial" w:cs="Arial"/>
          <w:sz w:val="18"/>
          <w:szCs w:val="18"/>
        </w:rPr>
        <w:t xml:space="preserve">Lékařské záznamy jsou důležitým klinickým dokumentem, používají se jako informační podpora vytvořená zdravotnickým týmem a slouží pro přenos informací o pacientech a jejich medikaci mezi různými členy týmu, kteří léčí pacienty na jiném místě nebo v jiném čase. Zdravotnická dokumentace však slouží nejen jako pracovní nástroj při léčbě, ale také např. jako doklad v případě forensního projednávání postupu lékaře při léčení. </w:t>
      </w:r>
      <w:r w:rsidRPr="00132F89">
        <w:rPr>
          <w:rFonts w:ascii="Arial" w:hAnsi="Arial" w:cs="Arial"/>
          <w:sz w:val="18"/>
          <w:szCs w:val="18"/>
        </w:rPr>
        <w:t>Zdravotnická dokumentace může být vedena v listinné nebo elektronické formě, případně může lékař oba způsoby dle potřeby kombinovat. Elektronická zdravotnická dokumentace je pak pořizována, zpracovávána, ukládána a zprostředkována v digitální formě s využitím informačních technologií.</w:t>
      </w:r>
    </w:p>
  </w:footnote>
  <w:footnote w:id="4">
    <w:p w:rsidR="00151D30" w:rsidRPr="000808FA" w:rsidRDefault="00151D30" w:rsidP="008353D1">
      <w:pPr>
        <w:pStyle w:val="Textpoznpodarou"/>
        <w:jc w:val="both"/>
        <w:rPr>
          <w:rFonts w:ascii="Arial" w:hAnsi="Arial" w:cs="Arial"/>
          <w:sz w:val="18"/>
          <w:szCs w:val="18"/>
        </w:rPr>
      </w:pPr>
      <w:r w:rsidRPr="000808FA">
        <w:rPr>
          <w:rStyle w:val="Znakapoznpodarou"/>
          <w:rFonts w:ascii="Arial" w:hAnsi="Arial" w:cs="Arial"/>
          <w:sz w:val="18"/>
          <w:szCs w:val="18"/>
        </w:rPr>
        <w:footnoteRef/>
      </w:r>
      <w:r w:rsidRPr="000808FA">
        <w:rPr>
          <w:rFonts w:ascii="Arial" w:hAnsi="Arial" w:cs="Arial"/>
          <w:sz w:val="18"/>
          <w:szCs w:val="18"/>
        </w:rPr>
        <w:t xml:space="preserve"> </w:t>
      </w:r>
      <w:r w:rsidRPr="00000AB8">
        <w:rPr>
          <w:rFonts w:ascii="Arial" w:hAnsi="Arial" w:cs="Arial"/>
          <w:sz w:val="18"/>
          <w:szCs w:val="18"/>
        </w:rPr>
        <w:t>Údaje o využívání internetu v oblasti zdraví ze strany jednotlivců vycházejí z výsledků získaných v rámci Výběrového šetření o využívání ICT v domácnostech (VŠIT). Toto šetření je prováděno formou osobního rozhovoru na výběrovém vzorku cca 10 tis. jednotlivců. Zjištěná data jsou k dispozici v široké škále demografických a sociálních charakteristik osob žijících v šetřených domácnostech jako je např. pohlaví, věk, nejvyšší dosažené vzdělání</w:t>
      </w:r>
      <w:r>
        <w:rPr>
          <w:rFonts w:ascii="Arial" w:hAnsi="Arial" w:cs="Arial"/>
          <w:sz w:val="18"/>
          <w:szCs w:val="18"/>
        </w:rPr>
        <w:t xml:space="preserve">, </w:t>
      </w:r>
      <w:r>
        <w:rPr>
          <w:rFonts w:ascii="Arial" w:hAnsi="Arial" w:cs="Arial"/>
          <w:sz w:val="18"/>
        </w:rPr>
        <w:t>ekonomická aktivita, příjmová skupina, kraj a velikost obce bydliště</w:t>
      </w:r>
      <w:r w:rsidRPr="00000AB8">
        <w:rPr>
          <w:rFonts w:ascii="Arial" w:hAnsi="Arial" w:cs="Arial"/>
          <w:sz w:val="18"/>
          <w:szCs w:val="18"/>
        </w:rPr>
        <w:t>. Od roku 2006 je šetření prováděno každoročně ve 2. čtvrtletí sledovaného roku ve všech zemích EU, a to jako povinné zjišťování na</w:t>
      </w:r>
      <w:r>
        <w:rPr>
          <w:rFonts w:ascii="Arial" w:hAnsi="Arial" w:cs="Arial"/>
          <w:sz w:val="18"/>
          <w:szCs w:val="18"/>
        </w:rPr>
        <w:t> </w:t>
      </w:r>
      <w:r w:rsidRPr="00000AB8">
        <w:rPr>
          <w:rFonts w:ascii="Arial" w:hAnsi="Arial" w:cs="Arial"/>
          <w:sz w:val="18"/>
          <w:szCs w:val="18"/>
        </w:rPr>
        <w:t>základě nařízení Evropského parlamentu a Rady (ES) č. 808/2004, o statistice Společenství o informační společnosti. Podrobněji viz kapitola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30" w:rsidRPr="006F5416" w:rsidRDefault="00151D30" w:rsidP="00EF25CC">
    <w:pPr>
      <w:pStyle w:val="Zhlav"/>
    </w:pPr>
    <w:r>
      <w:t>Rozvoj informační společnosti v České republice a zemích EU</w:t>
    </w:r>
  </w:p>
  <w:p w:rsidR="00151D30" w:rsidRPr="00EF25CC" w:rsidRDefault="00151D30" w:rsidP="00EF25C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D30" w:rsidRPr="006F5416" w:rsidRDefault="00151D30" w:rsidP="00937AE2">
    <w:pPr>
      <w:pStyle w:val="Zhlav"/>
    </w:pPr>
    <w:r>
      <w:t>Rozvoj informační společnosti v České republice a zemích EU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727" w:rsidRDefault="00F1772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0384135D"/>
    <w:multiLevelType w:val="hybridMultilevel"/>
    <w:tmpl w:val="FD56589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07F750D5"/>
    <w:multiLevelType w:val="hybridMultilevel"/>
    <w:tmpl w:val="5D747D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0D7D2D59"/>
    <w:multiLevelType w:val="hybridMultilevel"/>
    <w:tmpl w:val="CD607F88"/>
    <w:lvl w:ilvl="0" w:tplc="08DC1D28">
      <w:start w:val="1"/>
      <w:numFmt w:val="bullet"/>
      <w:lvlText w:val=""/>
      <w:lvlJc w:val="left"/>
      <w:pPr>
        <w:ind w:left="360" w:hanging="360"/>
      </w:pPr>
      <w:rPr>
        <w:rFonts w:ascii="Symbol" w:hAnsi="Symbol" w:hint="default"/>
        <w:sz w:val="1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0EEF0B92"/>
    <w:multiLevelType w:val="hybridMultilevel"/>
    <w:tmpl w:val="338AA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0FE85D3C"/>
    <w:multiLevelType w:val="hybridMultilevel"/>
    <w:tmpl w:val="26643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C7F720E"/>
    <w:multiLevelType w:val="hybridMultilevel"/>
    <w:tmpl w:val="C1DCAACC"/>
    <w:lvl w:ilvl="0" w:tplc="04050001">
      <w:start w:val="1"/>
      <w:numFmt w:val="bullet"/>
      <w:lvlText w:val=""/>
      <w:lvlJc w:val="left"/>
      <w:pPr>
        <w:tabs>
          <w:tab w:val="num" w:pos="360"/>
        </w:tabs>
        <w:ind w:left="360" w:hanging="360"/>
      </w:pPr>
      <w:rPr>
        <w:rFonts w:ascii="Symbol" w:hAnsi="Symbol" w:hint="default"/>
      </w:rPr>
    </w:lvl>
    <w:lvl w:ilvl="1" w:tplc="B38EC1A8">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4733F88"/>
    <w:multiLevelType w:val="hybridMultilevel"/>
    <w:tmpl w:val="0F7A41B8"/>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18">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BFD3662"/>
    <w:multiLevelType w:val="hybridMultilevel"/>
    <w:tmpl w:val="1DEEB002"/>
    <w:lvl w:ilvl="0" w:tplc="3174A96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787561"/>
    <w:multiLevelType w:val="hybridMultilevel"/>
    <w:tmpl w:val="CC78A5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7F3B4673"/>
    <w:multiLevelType w:val="hybridMultilevel"/>
    <w:tmpl w:val="82FA25BC"/>
    <w:lvl w:ilvl="0" w:tplc="3174A966">
      <w:start w:val="1"/>
      <w:numFmt w:val="bullet"/>
      <w:lvlText w:val=""/>
      <w:lvlJc w:val="left"/>
      <w:pPr>
        <w:tabs>
          <w:tab w:val="num" w:pos="360"/>
        </w:tabs>
        <w:ind w:left="360" w:hanging="360"/>
      </w:pPr>
      <w:rPr>
        <w:rFonts w:ascii="Symbol" w:hAnsi="Symbol" w:hint="default"/>
        <w:color w:val="auto"/>
        <w:sz w:val="16"/>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9"/>
  </w:num>
  <w:num w:numId="14">
    <w:abstractNumId w:val="22"/>
  </w:num>
  <w:num w:numId="15">
    <w:abstractNumId w:val="14"/>
  </w:num>
  <w:num w:numId="16">
    <w:abstractNumId w:val="11"/>
  </w:num>
  <w:num w:numId="17">
    <w:abstractNumId w:val="15"/>
  </w:num>
  <w:num w:numId="18">
    <w:abstractNumId w:val="13"/>
  </w:num>
  <w:num w:numId="19">
    <w:abstractNumId w:val="17"/>
  </w:num>
  <w:num w:numId="20">
    <w:abstractNumId w:val="10"/>
  </w:num>
  <w:num w:numId="21">
    <w:abstractNumId w:val="12"/>
  </w:num>
  <w:num w:numId="22">
    <w:abstractNumId w:val="21"/>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E74"/>
    <w:rsid w:val="0000209D"/>
    <w:rsid w:val="00004D5A"/>
    <w:rsid w:val="000056D5"/>
    <w:rsid w:val="0000661F"/>
    <w:rsid w:val="0000767A"/>
    <w:rsid w:val="00010702"/>
    <w:rsid w:val="000234D6"/>
    <w:rsid w:val="00023D29"/>
    <w:rsid w:val="00026389"/>
    <w:rsid w:val="00031AE0"/>
    <w:rsid w:val="00031DF9"/>
    <w:rsid w:val="000322EF"/>
    <w:rsid w:val="00033FCD"/>
    <w:rsid w:val="00041CEC"/>
    <w:rsid w:val="0004694F"/>
    <w:rsid w:val="000522E4"/>
    <w:rsid w:val="00060678"/>
    <w:rsid w:val="000610E1"/>
    <w:rsid w:val="00062EC5"/>
    <w:rsid w:val="00062F22"/>
    <w:rsid w:val="000712B3"/>
    <w:rsid w:val="000738F5"/>
    <w:rsid w:val="00080DC7"/>
    <w:rsid w:val="0008263E"/>
    <w:rsid w:val="00082C19"/>
    <w:rsid w:val="00085395"/>
    <w:rsid w:val="00085ADD"/>
    <w:rsid w:val="00087634"/>
    <w:rsid w:val="00087F2B"/>
    <w:rsid w:val="00090B26"/>
    <w:rsid w:val="000974D1"/>
    <w:rsid w:val="0009799E"/>
    <w:rsid w:val="000A1183"/>
    <w:rsid w:val="000A256D"/>
    <w:rsid w:val="000A3A2C"/>
    <w:rsid w:val="000C233D"/>
    <w:rsid w:val="000C2E06"/>
    <w:rsid w:val="000C3408"/>
    <w:rsid w:val="000C6AFD"/>
    <w:rsid w:val="000D5447"/>
    <w:rsid w:val="000D5637"/>
    <w:rsid w:val="000E6FBD"/>
    <w:rsid w:val="000F1E6B"/>
    <w:rsid w:val="00100F5C"/>
    <w:rsid w:val="00104C4C"/>
    <w:rsid w:val="0012192F"/>
    <w:rsid w:val="00125D69"/>
    <w:rsid w:val="001310B8"/>
    <w:rsid w:val="001374A5"/>
    <w:rsid w:val="001405FA"/>
    <w:rsid w:val="001425C3"/>
    <w:rsid w:val="00151D30"/>
    <w:rsid w:val="001532F4"/>
    <w:rsid w:val="0016256B"/>
    <w:rsid w:val="00163793"/>
    <w:rsid w:val="001706D6"/>
    <w:rsid w:val="001714F2"/>
    <w:rsid w:val="001719E8"/>
    <w:rsid w:val="00184B08"/>
    <w:rsid w:val="00185010"/>
    <w:rsid w:val="001964E7"/>
    <w:rsid w:val="001A552F"/>
    <w:rsid w:val="001B2CA9"/>
    <w:rsid w:val="001B3110"/>
    <w:rsid w:val="001B4729"/>
    <w:rsid w:val="001B6C09"/>
    <w:rsid w:val="001B7B0A"/>
    <w:rsid w:val="001C05CD"/>
    <w:rsid w:val="001C4EA2"/>
    <w:rsid w:val="001C550B"/>
    <w:rsid w:val="001D68B2"/>
    <w:rsid w:val="001F4597"/>
    <w:rsid w:val="001F71F0"/>
    <w:rsid w:val="002118B9"/>
    <w:rsid w:val="00215A2F"/>
    <w:rsid w:val="00217C5B"/>
    <w:rsid w:val="0022139E"/>
    <w:rsid w:val="002252E0"/>
    <w:rsid w:val="002255F6"/>
    <w:rsid w:val="00227850"/>
    <w:rsid w:val="00227A53"/>
    <w:rsid w:val="00230C6E"/>
    <w:rsid w:val="00236443"/>
    <w:rsid w:val="002436BA"/>
    <w:rsid w:val="00244A15"/>
    <w:rsid w:val="00247319"/>
    <w:rsid w:val="0024799E"/>
    <w:rsid w:val="00253C0F"/>
    <w:rsid w:val="00256F55"/>
    <w:rsid w:val="00263723"/>
    <w:rsid w:val="00271465"/>
    <w:rsid w:val="00272ECF"/>
    <w:rsid w:val="00285412"/>
    <w:rsid w:val="00286B82"/>
    <w:rsid w:val="002A16D4"/>
    <w:rsid w:val="002A230C"/>
    <w:rsid w:val="002C354E"/>
    <w:rsid w:val="002C43BD"/>
    <w:rsid w:val="002D0E59"/>
    <w:rsid w:val="002E02A1"/>
    <w:rsid w:val="002E4E4C"/>
    <w:rsid w:val="002E53B8"/>
    <w:rsid w:val="00304771"/>
    <w:rsid w:val="003052D4"/>
    <w:rsid w:val="00306C5B"/>
    <w:rsid w:val="0031346B"/>
    <w:rsid w:val="00320135"/>
    <w:rsid w:val="003209D6"/>
    <w:rsid w:val="00321924"/>
    <w:rsid w:val="003258E2"/>
    <w:rsid w:val="0032656E"/>
    <w:rsid w:val="00332190"/>
    <w:rsid w:val="00344668"/>
    <w:rsid w:val="003462D9"/>
    <w:rsid w:val="00346BD2"/>
    <w:rsid w:val="00360C86"/>
    <w:rsid w:val="0036231A"/>
    <w:rsid w:val="003657F3"/>
    <w:rsid w:val="003818DC"/>
    <w:rsid w:val="00384327"/>
    <w:rsid w:val="00385D98"/>
    <w:rsid w:val="003A2B4D"/>
    <w:rsid w:val="003A478C"/>
    <w:rsid w:val="003A5525"/>
    <w:rsid w:val="003A6B38"/>
    <w:rsid w:val="003B009D"/>
    <w:rsid w:val="003B3A31"/>
    <w:rsid w:val="003B5A32"/>
    <w:rsid w:val="003C3490"/>
    <w:rsid w:val="003C6AB3"/>
    <w:rsid w:val="003D5166"/>
    <w:rsid w:val="003D561C"/>
    <w:rsid w:val="003D6920"/>
    <w:rsid w:val="003D7360"/>
    <w:rsid w:val="003E4C91"/>
    <w:rsid w:val="003F313C"/>
    <w:rsid w:val="003F4B2C"/>
    <w:rsid w:val="003F551C"/>
    <w:rsid w:val="003F7D23"/>
    <w:rsid w:val="00407C13"/>
    <w:rsid w:val="00410638"/>
    <w:rsid w:val="00427DBA"/>
    <w:rsid w:val="00432A58"/>
    <w:rsid w:val="00434617"/>
    <w:rsid w:val="00440900"/>
    <w:rsid w:val="004441A0"/>
    <w:rsid w:val="00447AC3"/>
    <w:rsid w:val="0045371C"/>
    <w:rsid w:val="0045583D"/>
    <w:rsid w:val="00460FB3"/>
    <w:rsid w:val="00471EB7"/>
    <w:rsid w:val="00476240"/>
    <w:rsid w:val="00476439"/>
    <w:rsid w:val="00476ABC"/>
    <w:rsid w:val="0047735C"/>
    <w:rsid w:val="004776BC"/>
    <w:rsid w:val="0048139F"/>
    <w:rsid w:val="00481E40"/>
    <w:rsid w:val="00484ECE"/>
    <w:rsid w:val="004915CB"/>
    <w:rsid w:val="004924DC"/>
    <w:rsid w:val="004A14E4"/>
    <w:rsid w:val="004A3212"/>
    <w:rsid w:val="004A61C5"/>
    <w:rsid w:val="004A77DF"/>
    <w:rsid w:val="004B021D"/>
    <w:rsid w:val="004B1417"/>
    <w:rsid w:val="004B2A0F"/>
    <w:rsid w:val="004B55B7"/>
    <w:rsid w:val="004B6468"/>
    <w:rsid w:val="004B680F"/>
    <w:rsid w:val="004C17F9"/>
    <w:rsid w:val="004C1E47"/>
    <w:rsid w:val="004C302C"/>
    <w:rsid w:val="004C384C"/>
    <w:rsid w:val="004C3867"/>
    <w:rsid w:val="004C4CD0"/>
    <w:rsid w:val="004C70DC"/>
    <w:rsid w:val="004D0211"/>
    <w:rsid w:val="004D0794"/>
    <w:rsid w:val="004D41FF"/>
    <w:rsid w:val="004D79D3"/>
    <w:rsid w:val="004F06F5"/>
    <w:rsid w:val="004F1191"/>
    <w:rsid w:val="004F33A0"/>
    <w:rsid w:val="004F3D06"/>
    <w:rsid w:val="00502A16"/>
    <w:rsid w:val="005108C0"/>
    <w:rsid w:val="00511679"/>
    <w:rsid w:val="00511873"/>
    <w:rsid w:val="00512A2F"/>
    <w:rsid w:val="00513B7E"/>
    <w:rsid w:val="00515C74"/>
    <w:rsid w:val="0052007E"/>
    <w:rsid w:val="0052337A"/>
    <w:rsid w:val="00525137"/>
    <w:rsid w:val="005251DD"/>
    <w:rsid w:val="00532CBB"/>
    <w:rsid w:val="00532CE7"/>
    <w:rsid w:val="0053324C"/>
    <w:rsid w:val="00534A28"/>
    <w:rsid w:val="00536744"/>
    <w:rsid w:val="00541508"/>
    <w:rsid w:val="0055599F"/>
    <w:rsid w:val="00556D68"/>
    <w:rsid w:val="005647BF"/>
    <w:rsid w:val="0057364B"/>
    <w:rsid w:val="00574773"/>
    <w:rsid w:val="00580DC8"/>
    <w:rsid w:val="00583F46"/>
    <w:rsid w:val="00583FFD"/>
    <w:rsid w:val="0058579A"/>
    <w:rsid w:val="005911BE"/>
    <w:rsid w:val="00593152"/>
    <w:rsid w:val="00597C39"/>
    <w:rsid w:val="005A10F2"/>
    <w:rsid w:val="005A21E0"/>
    <w:rsid w:val="005A27BE"/>
    <w:rsid w:val="005A28FF"/>
    <w:rsid w:val="005A3DF8"/>
    <w:rsid w:val="005A5549"/>
    <w:rsid w:val="005B121D"/>
    <w:rsid w:val="005C06ED"/>
    <w:rsid w:val="005C23A9"/>
    <w:rsid w:val="005D09AA"/>
    <w:rsid w:val="005D5802"/>
    <w:rsid w:val="005D7890"/>
    <w:rsid w:val="005E7C78"/>
    <w:rsid w:val="005F3EB1"/>
    <w:rsid w:val="005F5469"/>
    <w:rsid w:val="00604022"/>
    <w:rsid w:val="00604307"/>
    <w:rsid w:val="0060487F"/>
    <w:rsid w:val="00604EAD"/>
    <w:rsid w:val="006104FB"/>
    <w:rsid w:val="00612A2F"/>
    <w:rsid w:val="00616E05"/>
    <w:rsid w:val="00623647"/>
    <w:rsid w:val="00624093"/>
    <w:rsid w:val="006404A7"/>
    <w:rsid w:val="006451E4"/>
    <w:rsid w:val="00645B33"/>
    <w:rsid w:val="00650694"/>
    <w:rsid w:val="006516CB"/>
    <w:rsid w:val="00655739"/>
    <w:rsid w:val="00657E87"/>
    <w:rsid w:val="00664803"/>
    <w:rsid w:val="00665BA4"/>
    <w:rsid w:val="00667AF2"/>
    <w:rsid w:val="006710C9"/>
    <w:rsid w:val="00674D89"/>
    <w:rsid w:val="00675E37"/>
    <w:rsid w:val="0068174E"/>
    <w:rsid w:val="00681D9E"/>
    <w:rsid w:val="00681DCE"/>
    <w:rsid w:val="0068260E"/>
    <w:rsid w:val="0068503B"/>
    <w:rsid w:val="00695BEF"/>
    <w:rsid w:val="006977F6"/>
    <w:rsid w:val="00697A13"/>
    <w:rsid w:val="006A109C"/>
    <w:rsid w:val="006B344A"/>
    <w:rsid w:val="006B78D8"/>
    <w:rsid w:val="006C113F"/>
    <w:rsid w:val="006C123E"/>
    <w:rsid w:val="006C56D4"/>
    <w:rsid w:val="006C6924"/>
    <w:rsid w:val="006C6C48"/>
    <w:rsid w:val="006C7CA6"/>
    <w:rsid w:val="006D0F31"/>
    <w:rsid w:val="006D3E8A"/>
    <w:rsid w:val="006D61F6"/>
    <w:rsid w:val="006E279A"/>
    <w:rsid w:val="006E313B"/>
    <w:rsid w:val="006E65BC"/>
    <w:rsid w:val="006F17D3"/>
    <w:rsid w:val="006F48ED"/>
    <w:rsid w:val="006F5416"/>
    <w:rsid w:val="00703765"/>
    <w:rsid w:val="00706AD4"/>
    <w:rsid w:val="007140BE"/>
    <w:rsid w:val="00715110"/>
    <w:rsid w:val="007211F5"/>
    <w:rsid w:val="00725BB5"/>
    <w:rsid w:val="00726D5A"/>
    <w:rsid w:val="00730AE8"/>
    <w:rsid w:val="00741493"/>
    <w:rsid w:val="007445D0"/>
    <w:rsid w:val="00752180"/>
    <w:rsid w:val="00755202"/>
    <w:rsid w:val="00755D3A"/>
    <w:rsid w:val="007578D3"/>
    <w:rsid w:val="007609C6"/>
    <w:rsid w:val="0076175D"/>
    <w:rsid w:val="00761AD2"/>
    <w:rsid w:val="00763A84"/>
    <w:rsid w:val="0076521E"/>
    <w:rsid w:val="007661E9"/>
    <w:rsid w:val="007745AC"/>
    <w:rsid w:val="00776169"/>
    <w:rsid w:val="00776527"/>
    <w:rsid w:val="00780EF1"/>
    <w:rsid w:val="007847E4"/>
    <w:rsid w:val="00790764"/>
    <w:rsid w:val="0079453C"/>
    <w:rsid w:val="00794677"/>
    <w:rsid w:val="00797FE8"/>
    <w:rsid w:val="007B0363"/>
    <w:rsid w:val="007B1818"/>
    <w:rsid w:val="007B2E26"/>
    <w:rsid w:val="007B6689"/>
    <w:rsid w:val="007D40DF"/>
    <w:rsid w:val="007D726B"/>
    <w:rsid w:val="007E7E61"/>
    <w:rsid w:val="007F0845"/>
    <w:rsid w:val="007F6C9B"/>
    <w:rsid w:val="00804C7B"/>
    <w:rsid w:val="00807C82"/>
    <w:rsid w:val="00813E24"/>
    <w:rsid w:val="00816905"/>
    <w:rsid w:val="00821FF6"/>
    <w:rsid w:val="0082256C"/>
    <w:rsid w:val="00825C4D"/>
    <w:rsid w:val="0083143E"/>
    <w:rsid w:val="00831CDE"/>
    <w:rsid w:val="00834304"/>
    <w:rsid w:val="0083434D"/>
    <w:rsid w:val="00834FAA"/>
    <w:rsid w:val="008353D1"/>
    <w:rsid w:val="00836086"/>
    <w:rsid w:val="00837E52"/>
    <w:rsid w:val="0084708F"/>
    <w:rsid w:val="008477C8"/>
    <w:rsid w:val="0085114D"/>
    <w:rsid w:val="00852217"/>
    <w:rsid w:val="00855408"/>
    <w:rsid w:val="00856D65"/>
    <w:rsid w:val="008603EE"/>
    <w:rsid w:val="00861B41"/>
    <w:rsid w:val="00863434"/>
    <w:rsid w:val="00865330"/>
    <w:rsid w:val="00865E4C"/>
    <w:rsid w:val="008701E4"/>
    <w:rsid w:val="00872D1B"/>
    <w:rsid w:val="00875A32"/>
    <w:rsid w:val="00876086"/>
    <w:rsid w:val="008873D4"/>
    <w:rsid w:val="0089085D"/>
    <w:rsid w:val="00893E85"/>
    <w:rsid w:val="00894031"/>
    <w:rsid w:val="008A2396"/>
    <w:rsid w:val="008B2FEB"/>
    <w:rsid w:val="008B309E"/>
    <w:rsid w:val="008B7C02"/>
    <w:rsid w:val="008B7D2B"/>
    <w:rsid w:val="008C0049"/>
    <w:rsid w:val="008C0E88"/>
    <w:rsid w:val="008D1E6A"/>
    <w:rsid w:val="008D2A16"/>
    <w:rsid w:val="008E2C57"/>
    <w:rsid w:val="008E31FF"/>
    <w:rsid w:val="008E6F06"/>
    <w:rsid w:val="008F029B"/>
    <w:rsid w:val="008F1C09"/>
    <w:rsid w:val="008F1E34"/>
    <w:rsid w:val="008F3B39"/>
    <w:rsid w:val="008F3FC9"/>
    <w:rsid w:val="008F4FFD"/>
    <w:rsid w:val="008F585B"/>
    <w:rsid w:val="009003A8"/>
    <w:rsid w:val="00902500"/>
    <w:rsid w:val="00902EFF"/>
    <w:rsid w:val="00906401"/>
    <w:rsid w:val="0091155E"/>
    <w:rsid w:val="00912A92"/>
    <w:rsid w:val="009171D1"/>
    <w:rsid w:val="0091728D"/>
    <w:rsid w:val="009172CA"/>
    <w:rsid w:val="0092180B"/>
    <w:rsid w:val="00921F14"/>
    <w:rsid w:val="00924AC8"/>
    <w:rsid w:val="0092597A"/>
    <w:rsid w:val="00927894"/>
    <w:rsid w:val="00932443"/>
    <w:rsid w:val="00937AE2"/>
    <w:rsid w:val="009404B5"/>
    <w:rsid w:val="0094427A"/>
    <w:rsid w:val="00945EE9"/>
    <w:rsid w:val="00955F38"/>
    <w:rsid w:val="0096077C"/>
    <w:rsid w:val="00974923"/>
    <w:rsid w:val="00976E82"/>
    <w:rsid w:val="00980D3D"/>
    <w:rsid w:val="00987A30"/>
    <w:rsid w:val="00990989"/>
    <w:rsid w:val="00992CF3"/>
    <w:rsid w:val="009968D6"/>
    <w:rsid w:val="009A19F9"/>
    <w:rsid w:val="009A1CAB"/>
    <w:rsid w:val="009A60D1"/>
    <w:rsid w:val="009A754C"/>
    <w:rsid w:val="009B08EC"/>
    <w:rsid w:val="009B6FD3"/>
    <w:rsid w:val="009C0729"/>
    <w:rsid w:val="009C0B75"/>
    <w:rsid w:val="009C1750"/>
    <w:rsid w:val="009C2E29"/>
    <w:rsid w:val="009C554B"/>
    <w:rsid w:val="009C719E"/>
    <w:rsid w:val="009D3ACD"/>
    <w:rsid w:val="009E5273"/>
    <w:rsid w:val="009E5DDB"/>
    <w:rsid w:val="009F30E8"/>
    <w:rsid w:val="009F4CA7"/>
    <w:rsid w:val="00A10D66"/>
    <w:rsid w:val="00A14114"/>
    <w:rsid w:val="00A16413"/>
    <w:rsid w:val="00A23E43"/>
    <w:rsid w:val="00A30F65"/>
    <w:rsid w:val="00A351E4"/>
    <w:rsid w:val="00A418BC"/>
    <w:rsid w:val="00A46DE0"/>
    <w:rsid w:val="00A50D73"/>
    <w:rsid w:val="00A52CAD"/>
    <w:rsid w:val="00A53FC7"/>
    <w:rsid w:val="00A62CE1"/>
    <w:rsid w:val="00A6741E"/>
    <w:rsid w:val="00A75E40"/>
    <w:rsid w:val="00A77D1D"/>
    <w:rsid w:val="00A857C0"/>
    <w:rsid w:val="00A8616B"/>
    <w:rsid w:val="00AA2659"/>
    <w:rsid w:val="00AA2996"/>
    <w:rsid w:val="00AA52BF"/>
    <w:rsid w:val="00AA559A"/>
    <w:rsid w:val="00AB2AF1"/>
    <w:rsid w:val="00AB437F"/>
    <w:rsid w:val="00AB5C19"/>
    <w:rsid w:val="00AD306C"/>
    <w:rsid w:val="00AE09B3"/>
    <w:rsid w:val="00AE1A83"/>
    <w:rsid w:val="00AF1FF8"/>
    <w:rsid w:val="00B00913"/>
    <w:rsid w:val="00B01593"/>
    <w:rsid w:val="00B06238"/>
    <w:rsid w:val="00B10A4D"/>
    <w:rsid w:val="00B1686C"/>
    <w:rsid w:val="00B17E71"/>
    <w:rsid w:val="00B17FDE"/>
    <w:rsid w:val="00B2379C"/>
    <w:rsid w:val="00B2687D"/>
    <w:rsid w:val="00B32DDB"/>
    <w:rsid w:val="00B34528"/>
    <w:rsid w:val="00B402FC"/>
    <w:rsid w:val="00B42F2D"/>
    <w:rsid w:val="00B44912"/>
    <w:rsid w:val="00B46604"/>
    <w:rsid w:val="00B51564"/>
    <w:rsid w:val="00B530CD"/>
    <w:rsid w:val="00B549A5"/>
    <w:rsid w:val="00B55F5E"/>
    <w:rsid w:val="00B5752E"/>
    <w:rsid w:val="00B63A11"/>
    <w:rsid w:val="00B64C24"/>
    <w:rsid w:val="00B6608F"/>
    <w:rsid w:val="00B679FB"/>
    <w:rsid w:val="00B70408"/>
    <w:rsid w:val="00B76D1E"/>
    <w:rsid w:val="00B80EC6"/>
    <w:rsid w:val="00B92D1D"/>
    <w:rsid w:val="00B938C5"/>
    <w:rsid w:val="00B95940"/>
    <w:rsid w:val="00BB46F3"/>
    <w:rsid w:val="00BB4CB1"/>
    <w:rsid w:val="00BB4F98"/>
    <w:rsid w:val="00BC5164"/>
    <w:rsid w:val="00BC6B60"/>
    <w:rsid w:val="00BC7154"/>
    <w:rsid w:val="00BD366B"/>
    <w:rsid w:val="00BD6D50"/>
    <w:rsid w:val="00BE0024"/>
    <w:rsid w:val="00BE18B9"/>
    <w:rsid w:val="00BE2495"/>
    <w:rsid w:val="00BF1578"/>
    <w:rsid w:val="00C02DB3"/>
    <w:rsid w:val="00C21F94"/>
    <w:rsid w:val="00C27913"/>
    <w:rsid w:val="00C3376C"/>
    <w:rsid w:val="00C33B68"/>
    <w:rsid w:val="00C36A79"/>
    <w:rsid w:val="00C405D4"/>
    <w:rsid w:val="00C42E6C"/>
    <w:rsid w:val="00C4513B"/>
    <w:rsid w:val="00C54697"/>
    <w:rsid w:val="00C60393"/>
    <w:rsid w:val="00C73885"/>
    <w:rsid w:val="00C747B1"/>
    <w:rsid w:val="00C81AF4"/>
    <w:rsid w:val="00C82191"/>
    <w:rsid w:val="00C90CF4"/>
    <w:rsid w:val="00C92EB6"/>
    <w:rsid w:val="00C93389"/>
    <w:rsid w:val="00C957FA"/>
    <w:rsid w:val="00CA321C"/>
    <w:rsid w:val="00CB4930"/>
    <w:rsid w:val="00CC2E7D"/>
    <w:rsid w:val="00CD10A5"/>
    <w:rsid w:val="00CD2076"/>
    <w:rsid w:val="00CD488F"/>
    <w:rsid w:val="00CE15A4"/>
    <w:rsid w:val="00CE670B"/>
    <w:rsid w:val="00CF51EC"/>
    <w:rsid w:val="00CF73AE"/>
    <w:rsid w:val="00CF7C1A"/>
    <w:rsid w:val="00D040DD"/>
    <w:rsid w:val="00D1205B"/>
    <w:rsid w:val="00D13986"/>
    <w:rsid w:val="00D235B7"/>
    <w:rsid w:val="00D25F28"/>
    <w:rsid w:val="00D27973"/>
    <w:rsid w:val="00D50F46"/>
    <w:rsid w:val="00D66223"/>
    <w:rsid w:val="00D67EDA"/>
    <w:rsid w:val="00D8084C"/>
    <w:rsid w:val="00DA7C0C"/>
    <w:rsid w:val="00DB2EC8"/>
    <w:rsid w:val="00DC3CB6"/>
    <w:rsid w:val="00DC5B3B"/>
    <w:rsid w:val="00DD129F"/>
    <w:rsid w:val="00DF42FF"/>
    <w:rsid w:val="00DF75BB"/>
    <w:rsid w:val="00E01C0E"/>
    <w:rsid w:val="00E03F9A"/>
    <w:rsid w:val="00E04694"/>
    <w:rsid w:val="00E051F2"/>
    <w:rsid w:val="00E1152B"/>
    <w:rsid w:val="00E12B1E"/>
    <w:rsid w:val="00E17262"/>
    <w:rsid w:val="00E253A2"/>
    <w:rsid w:val="00E270A5"/>
    <w:rsid w:val="00E278A7"/>
    <w:rsid w:val="00E27D82"/>
    <w:rsid w:val="00E3309D"/>
    <w:rsid w:val="00E34F40"/>
    <w:rsid w:val="00E40AE2"/>
    <w:rsid w:val="00E50156"/>
    <w:rsid w:val="00E53470"/>
    <w:rsid w:val="00E539F6"/>
    <w:rsid w:val="00E607E7"/>
    <w:rsid w:val="00E6519D"/>
    <w:rsid w:val="00E67696"/>
    <w:rsid w:val="00E67CFF"/>
    <w:rsid w:val="00E67E74"/>
    <w:rsid w:val="00E71A58"/>
    <w:rsid w:val="00E72A7A"/>
    <w:rsid w:val="00E75C94"/>
    <w:rsid w:val="00E76B4E"/>
    <w:rsid w:val="00E93820"/>
    <w:rsid w:val="00EA0C68"/>
    <w:rsid w:val="00EA32BC"/>
    <w:rsid w:val="00EB4511"/>
    <w:rsid w:val="00EB6DB2"/>
    <w:rsid w:val="00EC03D7"/>
    <w:rsid w:val="00EC4DC9"/>
    <w:rsid w:val="00ED62C6"/>
    <w:rsid w:val="00ED64C1"/>
    <w:rsid w:val="00EE3446"/>
    <w:rsid w:val="00EE3E78"/>
    <w:rsid w:val="00EE4B1B"/>
    <w:rsid w:val="00EF150D"/>
    <w:rsid w:val="00EF1F5A"/>
    <w:rsid w:val="00EF25CC"/>
    <w:rsid w:val="00EF302A"/>
    <w:rsid w:val="00EF47BF"/>
    <w:rsid w:val="00F04811"/>
    <w:rsid w:val="00F0488C"/>
    <w:rsid w:val="00F10A64"/>
    <w:rsid w:val="00F10F11"/>
    <w:rsid w:val="00F15AAA"/>
    <w:rsid w:val="00F15BEF"/>
    <w:rsid w:val="00F15E55"/>
    <w:rsid w:val="00F17727"/>
    <w:rsid w:val="00F24407"/>
    <w:rsid w:val="00F24FAA"/>
    <w:rsid w:val="00F26DD0"/>
    <w:rsid w:val="00F3364D"/>
    <w:rsid w:val="00F34076"/>
    <w:rsid w:val="00F348FA"/>
    <w:rsid w:val="00F40A62"/>
    <w:rsid w:val="00F437CC"/>
    <w:rsid w:val="00F43A6B"/>
    <w:rsid w:val="00F47067"/>
    <w:rsid w:val="00F525EB"/>
    <w:rsid w:val="00F5355C"/>
    <w:rsid w:val="00F556CA"/>
    <w:rsid w:val="00F63DDE"/>
    <w:rsid w:val="00F63FB7"/>
    <w:rsid w:val="00F649D2"/>
    <w:rsid w:val="00F6602B"/>
    <w:rsid w:val="00F73A0C"/>
    <w:rsid w:val="00F756DB"/>
    <w:rsid w:val="00F85066"/>
    <w:rsid w:val="00F9030B"/>
    <w:rsid w:val="00F90BD6"/>
    <w:rsid w:val="00FA28A2"/>
    <w:rsid w:val="00FA5D4D"/>
    <w:rsid w:val="00FA6197"/>
    <w:rsid w:val="00FB0EE2"/>
    <w:rsid w:val="00FB542E"/>
    <w:rsid w:val="00FC0E5F"/>
    <w:rsid w:val="00FC1A95"/>
    <w:rsid w:val="00FC56DE"/>
    <w:rsid w:val="00FC684B"/>
    <w:rsid w:val="00FD3265"/>
    <w:rsid w:val="00FE2F78"/>
    <w:rsid w:val="00FE5959"/>
    <w:rsid w:val="00FF3C27"/>
    <w:rsid w:val="00FF4CC1"/>
    <w:rsid w:val="00FF7B9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865330"/>
    <w:pPr>
      <w:keepNext/>
      <w:keepLines/>
      <w:spacing w:after="100" w:line="288" w:lineRule="auto"/>
      <w:contextualSpacing/>
      <w:outlineLvl w:val="0"/>
    </w:pPr>
    <w:rPr>
      <w:rFonts w:ascii="Arial" w:eastAsia="MS Gothic" w:hAnsi="Arial"/>
      <w:b/>
      <w:bCs/>
      <w:color w:val="009BB4"/>
      <w:sz w:val="32"/>
      <w:szCs w:val="28"/>
      <w:lang w:eastAsia="cs-CZ"/>
    </w:rPr>
  </w:style>
  <w:style w:type="paragraph" w:styleId="Nadpis2">
    <w:name w:val="heading 2"/>
    <w:next w:val="Normln"/>
    <w:link w:val="Nadpis2Char"/>
    <w:uiPriority w:val="9"/>
    <w:qFormat/>
    <w:rsid w:val="00865330"/>
    <w:pPr>
      <w:keepNext/>
      <w:keepLines/>
      <w:spacing w:line="288" w:lineRule="auto"/>
      <w:outlineLvl w:val="1"/>
    </w:pPr>
    <w:rPr>
      <w:rFonts w:ascii="Arial" w:eastAsia="MS Gothic" w:hAnsi="Arial"/>
      <w:b/>
      <w:bCs/>
      <w:color w:val="009BB4"/>
      <w:sz w:val="28"/>
      <w:szCs w:val="26"/>
      <w:lang w:eastAsia="cs-CZ"/>
    </w:rPr>
  </w:style>
  <w:style w:type="paragraph" w:styleId="Nadpis3">
    <w:name w:val="heading 3"/>
    <w:next w:val="Normln"/>
    <w:link w:val="Nadpis3Char"/>
    <w:uiPriority w:val="9"/>
    <w:qFormat/>
    <w:rsid w:val="00865330"/>
    <w:pPr>
      <w:keepNext/>
      <w:keepLines/>
      <w:spacing w:line="288" w:lineRule="auto"/>
      <w:outlineLvl w:val="2"/>
    </w:pPr>
    <w:rPr>
      <w:rFonts w:ascii="Arial" w:eastAsia="MS Gothic" w:hAnsi="Arial"/>
      <w:b/>
      <w:bCs/>
      <w:color w:val="009BB4"/>
      <w:sz w:val="24"/>
      <w:szCs w:val="24"/>
      <w:lang w:eastAsia="cs-CZ"/>
    </w:rPr>
  </w:style>
  <w:style w:type="paragraph" w:styleId="Nadpis4">
    <w:name w:val="heading 4"/>
    <w:next w:val="Normln"/>
    <w:link w:val="Nadpis4Char"/>
    <w:uiPriority w:val="9"/>
    <w:qFormat/>
    <w:rsid w:val="00865330"/>
    <w:pPr>
      <w:keepNext/>
      <w:keepLines/>
      <w:spacing w:line="288" w:lineRule="auto"/>
      <w:outlineLvl w:val="3"/>
    </w:pPr>
    <w:rPr>
      <w:rFonts w:ascii="Arial" w:eastAsia="MS Gothic" w:hAnsi="Arial"/>
      <w:b/>
      <w:bCs/>
      <w:iCs/>
      <w:color w:val="009BB4"/>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65330"/>
    <w:rPr>
      <w:rFonts w:ascii="Arial" w:eastAsia="MS Gothic" w:hAnsi="Arial"/>
      <w:b/>
      <w:bCs/>
      <w:color w:val="009BB4"/>
      <w:sz w:val="32"/>
      <w:szCs w:val="28"/>
    </w:rPr>
  </w:style>
  <w:style w:type="character" w:customStyle="1" w:styleId="Nadpis2Char">
    <w:name w:val="Nadpis 2 Char"/>
    <w:link w:val="Nadpis2"/>
    <w:uiPriority w:val="9"/>
    <w:rsid w:val="00865330"/>
    <w:rPr>
      <w:rFonts w:ascii="Arial" w:eastAsia="MS Gothic" w:hAnsi="Arial"/>
      <w:b/>
      <w:bCs/>
      <w:color w:val="009BB4"/>
      <w:sz w:val="28"/>
      <w:szCs w:val="26"/>
    </w:rPr>
  </w:style>
  <w:style w:type="character" w:customStyle="1" w:styleId="Nadpis3Char">
    <w:name w:val="Nadpis 3 Char"/>
    <w:link w:val="Nadpis3"/>
    <w:uiPriority w:val="9"/>
    <w:rsid w:val="00865330"/>
    <w:rPr>
      <w:rFonts w:ascii="Arial" w:eastAsia="MS Gothic" w:hAnsi="Arial"/>
      <w:b/>
      <w:bCs/>
      <w:color w:val="009BB4"/>
      <w:sz w:val="24"/>
      <w:szCs w:val="24"/>
    </w:rPr>
  </w:style>
  <w:style w:type="character" w:customStyle="1" w:styleId="Nadpis4Char">
    <w:name w:val="Nadpis 4 Char"/>
    <w:link w:val="Nadpis4"/>
    <w:uiPriority w:val="9"/>
    <w:rsid w:val="00865330"/>
    <w:rPr>
      <w:rFonts w:ascii="Arial" w:eastAsia="MS Gothic" w:hAnsi="Arial"/>
      <w:b/>
      <w:bCs/>
      <w:iCs/>
      <w:color w:val="009BB4"/>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CE15A4"/>
    <w:pPr>
      <w:spacing w:before="120"/>
    </w:pPr>
    <w:rPr>
      <w:b/>
      <w:noProof/>
    </w:rPr>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65330"/>
    <w:pPr>
      <w:spacing w:after="80" w:line="288" w:lineRule="auto"/>
    </w:pPr>
    <w:rPr>
      <w:rFonts w:ascii="Arial" w:eastAsia="Times New Roman" w:hAnsi="Arial"/>
      <w:b/>
      <w:color w:val="009BB4"/>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865330"/>
    <w:pPr>
      <w:shd w:val="clear" w:color="auto" w:fill="D9F0F4"/>
      <w:spacing w:before="240" w:after="240" w:line="288" w:lineRule="auto"/>
      <w:ind w:left="709"/>
      <w:contextualSpacing/>
    </w:pPr>
    <w:rPr>
      <w:rFonts w:ascii="Arial" w:hAnsi="Arial" w:cs="Arial"/>
      <w:lang w:eastAsia="cs-CZ"/>
    </w:rPr>
  </w:style>
  <w:style w:type="paragraph" w:customStyle="1" w:styleId="Box2">
    <w:name w:val="Box 2"/>
    <w:qFormat/>
    <w:rsid w:val="00865330"/>
    <w:pPr>
      <w:spacing w:before="240" w:after="240" w:line="288" w:lineRule="auto"/>
      <w:ind w:left="709"/>
      <w:contextualSpacing/>
    </w:pPr>
    <w:rPr>
      <w:rFonts w:ascii="Arial" w:hAnsi="Arial" w:cs="Arial"/>
      <w:color w:val="009BB4"/>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65330"/>
    <w:pPr>
      <w:spacing w:line="288" w:lineRule="auto"/>
    </w:pPr>
    <w:rPr>
      <w:rFonts w:ascii="Arial" w:eastAsia="Times New Roman" w:hAnsi="Arial"/>
      <w:b/>
      <w:bCs/>
      <w:caps/>
      <w:color w:val="009BB4"/>
      <w:kern w:val="28"/>
      <w:sz w:val="56"/>
      <w:szCs w:val="32"/>
      <w:lang w:eastAsia="cs-CZ"/>
    </w:rPr>
  </w:style>
  <w:style w:type="character" w:customStyle="1" w:styleId="NzevChar">
    <w:name w:val="Název Char"/>
    <w:link w:val="Nzev"/>
    <w:uiPriority w:val="10"/>
    <w:rsid w:val="00865330"/>
    <w:rPr>
      <w:rFonts w:ascii="Arial" w:eastAsia="Times New Roman" w:hAnsi="Arial"/>
      <w:b/>
      <w:bCs/>
      <w:caps/>
      <w:color w:val="009BB4"/>
      <w:kern w:val="28"/>
      <w:sz w:val="56"/>
      <w:szCs w:val="32"/>
    </w:rPr>
  </w:style>
  <w:style w:type="paragraph" w:styleId="Podtitul">
    <w:name w:val="Subtitle"/>
    <w:link w:val="PodtitulChar"/>
    <w:uiPriority w:val="11"/>
    <w:qFormat/>
    <w:rsid w:val="00865330"/>
    <w:pPr>
      <w:spacing w:line="288" w:lineRule="auto"/>
    </w:pPr>
    <w:rPr>
      <w:rFonts w:ascii="Arial" w:eastAsia="Times New Roman" w:hAnsi="Arial" w:cs="Arial"/>
      <w:b/>
      <w:color w:val="009BB4"/>
      <w:sz w:val="28"/>
      <w:szCs w:val="24"/>
      <w:lang w:eastAsia="cs-CZ"/>
    </w:rPr>
  </w:style>
  <w:style w:type="character" w:customStyle="1" w:styleId="PodtitulChar">
    <w:name w:val="Podtitul Char"/>
    <w:link w:val="Podtitul"/>
    <w:uiPriority w:val="11"/>
    <w:rsid w:val="00865330"/>
    <w:rPr>
      <w:rFonts w:ascii="Arial" w:eastAsia="Times New Roman" w:hAnsi="Arial" w:cs="Arial"/>
      <w:b/>
      <w:color w:val="009BB4"/>
      <w:sz w:val="28"/>
      <w:szCs w:val="24"/>
    </w:rPr>
  </w:style>
  <w:style w:type="paragraph" w:styleId="Obsah2">
    <w:name w:val="toc 2"/>
    <w:basedOn w:val="Obsahpoloky"/>
    <w:next w:val="Obsahpoloky"/>
    <w:autoRedefine/>
    <w:uiPriority w:val="39"/>
    <w:unhideWhenUsed/>
    <w:rsid w:val="00CE15A4"/>
    <w:pPr>
      <w:spacing w:before="60"/>
      <w:ind w:left="198"/>
    </w:pPr>
    <w:rPr>
      <w:b/>
      <w:noProof/>
    </w:rPr>
  </w:style>
  <w:style w:type="paragraph" w:styleId="Obsah3">
    <w:name w:val="toc 3"/>
    <w:basedOn w:val="Obsahpoloky"/>
    <w:next w:val="Obsahpoloky"/>
    <w:autoRedefine/>
    <w:uiPriority w:val="39"/>
    <w:unhideWhenUsed/>
    <w:rsid w:val="00CE15A4"/>
    <w:pPr>
      <w:ind w:left="400"/>
    </w:pPr>
    <w:rPr>
      <w:noProof/>
    </w:r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styleId="Zkladntext">
    <w:name w:val="Body Text"/>
    <w:basedOn w:val="Normln"/>
    <w:link w:val="ZkladntextChar"/>
    <w:semiHidden/>
    <w:rsid w:val="00471EB7"/>
    <w:pPr>
      <w:spacing w:before="240" w:after="0" w:line="240" w:lineRule="auto"/>
      <w:jc w:val="both"/>
    </w:pPr>
    <w:rPr>
      <w:sz w:val="15"/>
    </w:rPr>
  </w:style>
  <w:style w:type="character" w:customStyle="1" w:styleId="ZkladntextChar">
    <w:name w:val="Základní text Char"/>
    <w:basedOn w:val="Standardnpsmoodstavce"/>
    <w:link w:val="Zkladntext"/>
    <w:semiHidden/>
    <w:rsid w:val="00471EB7"/>
    <w:rPr>
      <w:rFonts w:ascii="Arial" w:eastAsia="Times New Roman" w:hAnsi="Arial"/>
      <w:sz w:val="15"/>
      <w:szCs w:val="24"/>
      <w:lang w:eastAsia="cs-CZ"/>
    </w:rPr>
  </w:style>
  <w:style w:type="paragraph" w:styleId="Textpoznpodarou">
    <w:name w:val="footnote text"/>
    <w:basedOn w:val="Normln"/>
    <w:link w:val="TextpoznpodarouChar"/>
    <w:uiPriority w:val="99"/>
    <w:unhideWhenUsed/>
    <w:rsid w:val="00471EB7"/>
    <w:pPr>
      <w:spacing w:after="0" w:line="240" w:lineRule="auto"/>
    </w:pPr>
    <w:rPr>
      <w:rFonts w:ascii="Times New Roman" w:hAnsi="Times New Roman"/>
      <w:szCs w:val="20"/>
    </w:rPr>
  </w:style>
  <w:style w:type="character" w:customStyle="1" w:styleId="TextpoznpodarouChar">
    <w:name w:val="Text pozn. pod čarou Char"/>
    <w:basedOn w:val="Standardnpsmoodstavce"/>
    <w:link w:val="Textpoznpodarou"/>
    <w:uiPriority w:val="99"/>
    <w:rsid w:val="00471EB7"/>
    <w:rPr>
      <w:rFonts w:ascii="Times New Roman" w:eastAsia="Times New Roman" w:hAnsi="Times New Roman"/>
      <w:lang w:eastAsia="cs-CZ"/>
    </w:rPr>
  </w:style>
  <w:style w:type="character" w:styleId="Znakapoznpodarou">
    <w:name w:val="footnote reference"/>
    <w:uiPriority w:val="99"/>
    <w:semiHidden/>
    <w:unhideWhenUsed/>
    <w:rsid w:val="00471EB7"/>
    <w:rPr>
      <w:vertAlign w:val="superscript"/>
    </w:rPr>
  </w:style>
  <w:style w:type="character" w:styleId="Odkaznakoment">
    <w:name w:val="annotation reference"/>
    <w:basedOn w:val="Standardnpsmoodstavce"/>
    <w:uiPriority w:val="99"/>
    <w:semiHidden/>
    <w:unhideWhenUsed/>
    <w:rsid w:val="000F1E6B"/>
    <w:rPr>
      <w:sz w:val="16"/>
      <w:szCs w:val="16"/>
    </w:rPr>
  </w:style>
  <w:style w:type="paragraph" w:styleId="Textkomente">
    <w:name w:val="annotation text"/>
    <w:basedOn w:val="Normln"/>
    <w:link w:val="TextkomenteChar"/>
    <w:uiPriority w:val="99"/>
    <w:semiHidden/>
    <w:unhideWhenUsed/>
    <w:rsid w:val="000F1E6B"/>
    <w:pPr>
      <w:spacing w:line="240" w:lineRule="auto"/>
    </w:pPr>
    <w:rPr>
      <w:szCs w:val="20"/>
    </w:rPr>
  </w:style>
  <w:style w:type="character" w:customStyle="1" w:styleId="TextkomenteChar">
    <w:name w:val="Text komentáře Char"/>
    <w:basedOn w:val="Standardnpsmoodstavce"/>
    <w:link w:val="Textkomente"/>
    <w:uiPriority w:val="99"/>
    <w:semiHidden/>
    <w:rsid w:val="000F1E6B"/>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0F1E6B"/>
    <w:rPr>
      <w:b/>
      <w:bCs/>
    </w:rPr>
  </w:style>
  <w:style w:type="character" w:customStyle="1" w:styleId="PedmtkomenteChar">
    <w:name w:val="Předmět komentáře Char"/>
    <w:basedOn w:val="TextkomenteChar"/>
    <w:link w:val="Pedmtkomente"/>
    <w:uiPriority w:val="99"/>
    <w:semiHidden/>
    <w:rsid w:val="000F1E6B"/>
    <w:rPr>
      <w:rFonts w:ascii="Arial" w:eastAsia="Times New Roman" w:hAnsi="Arial"/>
      <w:b/>
      <w:bCs/>
      <w:lang w:eastAsia="cs-CZ"/>
    </w:rPr>
  </w:style>
  <w:style w:type="character" w:styleId="Sledovanodkaz">
    <w:name w:val="FollowedHyperlink"/>
    <w:basedOn w:val="Standardnpsmoodstavce"/>
    <w:uiPriority w:val="99"/>
    <w:semiHidden/>
    <w:unhideWhenUsed/>
    <w:rsid w:val="008B309E"/>
    <w:rPr>
      <w:color w:val="800080" w:themeColor="followedHyperlink"/>
      <w:u w:val="single"/>
    </w:rPr>
  </w:style>
  <w:style w:type="paragraph" w:styleId="Odstavecseseznamem">
    <w:name w:val="List Paragraph"/>
    <w:basedOn w:val="Normln"/>
    <w:uiPriority w:val="34"/>
    <w:qFormat/>
    <w:rsid w:val="00681D9E"/>
    <w:pPr>
      <w:spacing w:after="0" w:line="240" w:lineRule="auto"/>
      <w:ind w:left="720"/>
      <w:contextualSpacing/>
    </w:pPr>
    <w:rPr>
      <w:rFonts w:ascii="Times New Roman" w:hAnsi="Times New Roman"/>
      <w:sz w:val="24"/>
    </w:rPr>
  </w:style>
  <w:style w:type="paragraph" w:styleId="Normlnweb">
    <w:name w:val="Normal (Web)"/>
    <w:basedOn w:val="Normln"/>
    <w:uiPriority w:val="99"/>
    <w:semiHidden/>
    <w:unhideWhenUsed/>
    <w:rsid w:val="00681D9E"/>
    <w:pPr>
      <w:spacing w:before="100" w:beforeAutospacing="1" w:after="100" w:afterAutospacing="1" w:line="240" w:lineRule="auto"/>
    </w:pPr>
    <w:rPr>
      <w:rFonts w:ascii="Times New Roman" w:hAnsi="Times New Roman"/>
      <w:sz w:val="24"/>
    </w:rPr>
  </w:style>
  <w:style w:type="paragraph" w:styleId="Bezmezer">
    <w:name w:val="No Spacing"/>
    <w:uiPriority w:val="1"/>
    <w:qFormat/>
    <w:rsid w:val="008353D1"/>
    <w:pPr>
      <w:spacing w:line="360" w:lineRule="auto"/>
      <w:ind w:firstLine="709"/>
      <w:jc w:val="both"/>
    </w:pPr>
    <w:rPr>
      <w:rFonts w:ascii="Arial" w:eastAsiaTheme="minorHAnsi" w:hAnsi="Arial" w:cstheme="minorBidi"/>
      <w:szCs w:val="22"/>
    </w:rPr>
  </w:style>
  <w:style w:type="paragraph" w:styleId="Titulek">
    <w:name w:val="caption"/>
    <w:basedOn w:val="Normln"/>
    <w:next w:val="Normln"/>
    <w:uiPriority w:val="35"/>
    <w:unhideWhenUsed/>
    <w:qFormat/>
    <w:rsid w:val="006C6C48"/>
    <w:pPr>
      <w:spacing w:after="200" w:line="240" w:lineRule="auto"/>
    </w:pPr>
    <w:rPr>
      <w:b/>
      <w:bCs/>
      <w:color w:val="4F81BD" w:themeColor="accent1"/>
      <w:sz w:val="18"/>
      <w:szCs w:val="18"/>
    </w:rPr>
  </w:style>
  <w:style w:type="paragraph" w:styleId="Seznamobrzk">
    <w:name w:val="table of figures"/>
    <w:basedOn w:val="Normln"/>
    <w:next w:val="Normln"/>
    <w:uiPriority w:val="99"/>
    <w:unhideWhenUsed/>
    <w:rsid w:val="00C42E6C"/>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865330"/>
    <w:pPr>
      <w:keepNext/>
      <w:keepLines/>
      <w:spacing w:after="100" w:line="288" w:lineRule="auto"/>
      <w:contextualSpacing/>
      <w:outlineLvl w:val="0"/>
    </w:pPr>
    <w:rPr>
      <w:rFonts w:ascii="Arial" w:eastAsia="MS Gothic" w:hAnsi="Arial"/>
      <w:b/>
      <w:bCs/>
      <w:color w:val="009BB4"/>
      <w:sz w:val="32"/>
      <w:szCs w:val="28"/>
      <w:lang w:eastAsia="cs-CZ"/>
    </w:rPr>
  </w:style>
  <w:style w:type="paragraph" w:styleId="Nadpis2">
    <w:name w:val="heading 2"/>
    <w:next w:val="Normln"/>
    <w:link w:val="Nadpis2Char"/>
    <w:uiPriority w:val="9"/>
    <w:qFormat/>
    <w:rsid w:val="00865330"/>
    <w:pPr>
      <w:keepNext/>
      <w:keepLines/>
      <w:spacing w:line="288" w:lineRule="auto"/>
      <w:outlineLvl w:val="1"/>
    </w:pPr>
    <w:rPr>
      <w:rFonts w:ascii="Arial" w:eastAsia="MS Gothic" w:hAnsi="Arial"/>
      <w:b/>
      <w:bCs/>
      <w:color w:val="009BB4"/>
      <w:sz w:val="28"/>
      <w:szCs w:val="26"/>
      <w:lang w:eastAsia="cs-CZ"/>
    </w:rPr>
  </w:style>
  <w:style w:type="paragraph" w:styleId="Nadpis3">
    <w:name w:val="heading 3"/>
    <w:next w:val="Normln"/>
    <w:link w:val="Nadpis3Char"/>
    <w:uiPriority w:val="9"/>
    <w:qFormat/>
    <w:rsid w:val="00865330"/>
    <w:pPr>
      <w:keepNext/>
      <w:keepLines/>
      <w:spacing w:line="288" w:lineRule="auto"/>
      <w:outlineLvl w:val="2"/>
    </w:pPr>
    <w:rPr>
      <w:rFonts w:ascii="Arial" w:eastAsia="MS Gothic" w:hAnsi="Arial"/>
      <w:b/>
      <w:bCs/>
      <w:color w:val="009BB4"/>
      <w:sz w:val="24"/>
      <w:szCs w:val="24"/>
      <w:lang w:eastAsia="cs-CZ"/>
    </w:rPr>
  </w:style>
  <w:style w:type="paragraph" w:styleId="Nadpis4">
    <w:name w:val="heading 4"/>
    <w:next w:val="Normln"/>
    <w:link w:val="Nadpis4Char"/>
    <w:uiPriority w:val="9"/>
    <w:qFormat/>
    <w:rsid w:val="00865330"/>
    <w:pPr>
      <w:keepNext/>
      <w:keepLines/>
      <w:spacing w:line="288" w:lineRule="auto"/>
      <w:outlineLvl w:val="3"/>
    </w:pPr>
    <w:rPr>
      <w:rFonts w:ascii="Arial" w:eastAsia="MS Gothic" w:hAnsi="Arial"/>
      <w:b/>
      <w:bCs/>
      <w:iCs/>
      <w:color w:val="009BB4"/>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865330"/>
    <w:rPr>
      <w:rFonts w:ascii="Arial" w:eastAsia="MS Gothic" w:hAnsi="Arial"/>
      <w:b/>
      <w:bCs/>
      <w:color w:val="009BB4"/>
      <w:sz w:val="32"/>
      <w:szCs w:val="28"/>
    </w:rPr>
  </w:style>
  <w:style w:type="character" w:customStyle="1" w:styleId="Nadpis2Char">
    <w:name w:val="Nadpis 2 Char"/>
    <w:link w:val="Nadpis2"/>
    <w:uiPriority w:val="9"/>
    <w:rsid w:val="00865330"/>
    <w:rPr>
      <w:rFonts w:ascii="Arial" w:eastAsia="MS Gothic" w:hAnsi="Arial"/>
      <w:b/>
      <w:bCs/>
      <w:color w:val="009BB4"/>
      <w:sz w:val="28"/>
      <w:szCs w:val="26"/>
    </w:rPr>
  </w:style>
  <w:style w:type="character" w:customStyle="1" w:styleId="Nadpis3Char">
    <w:name w:val="Nadpis 3 Char"/>
    <w:link w:val="Nadpis3"/>
    <w:uiPriority w:val="9"/>
    <w:rsid w:val="00865330"/>
    <w:rPr>
      <w:rFonts w:ascii="Arial" w:eastAsia="MS Gothic" w:hAnsi="Arial"/>
      <w:b/>
      <w:bCs/>
      <w:color w:val="009BB4"/>
      <w:sz w:val="24"/>
      <w:szCs w:val="24"/>
    </w:rPr>
  </w:style>
  <w:style w:type="character" w:customStyle="1" w:styleId="Nadpis4Char">
    <w:name w:val="Nadpis 4 Char"/>
    <w:link w:val="Nadpis4"/>
    <w:uiPriority w:val="9"/>
    <w:rsid w:val="00865330"/>
    <w:rPr>
      <w:rFonts w:ascii="Arial" w:eastAsia="MS Gothic" w:hAnsi="Arial"/>
      <w:b/>
      <w:bCs/>
      <w:iCs/>
      <w:color w:val="009BB4"/>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lang w:val="x-none" w:eastAsia="x-none"/>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CE15A4"/>
    <w:pPr>
      <w:spacing w:before="120"/>
    </w:pPr>
    <w:rPr>
      <w:b/>
      <w:noProof/>
    </w:rPr>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65330"/>
    <w:pPr>
      <w:spacing w:after="80" w:line="288" w:lineRule="auto"/>
    </w:pPr>
    <w:rPr>
      <w:rFonts w:ascii="Arial" w:eastAsia="Times New Roman" w:hAnsi="Arial"/>
      <w:b/>
      <w:color w:val="009BB4"/>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865330"/>
    <w:pPr>
      <w:shd w:val="clear" w:color="auto" w:fill="D9F0F4"/>
      <w:spacing w:before="240" w:after="240" w:line="288" w:lineRule="auto"/>
      <w:ind w:left="709"/>
      <w:contextualSpacing/>
    </w:pPr>
    <w:rPr>
      <w:rFonts w:ascii="Arial" w:hAnsi="Arial" w:cs="Arial"/>
      <w:lang w:eastAsia="cs-CZ"/>
    </w:rPr>
  </w:style>
  <w:style w:type="paragraph" w:customStyle="1" w:styleId="Box2">
    <w:name w:val="Box 2"/>
    <w:qFormat/>
    <w:rsid w:val="00865330"/>
    <w:pPr>
      <w:spacing w:before="240" w:after="240" w:line="288" w:lineRule="auto"/>
      <w:ind w:left="709"/>
      <w:contextualSpacing/>
    </w:pPr>
    <w:rPr>
      <w:rFonts w:ascii="Arial" w:hAnsi="Arial" w:cs="Arial"/>
      <w:color w:val="009BB4"/>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65330"/>
    <w:pPr>
      <w:spacing w:line="288" w:lineRule="auto"/>
    </w:pPr>
    <w:rPr>
      <w:rFonts w:ascii="Arial" w:eastAsia="Times New Roman" w:hAnsi="Arial"/>
      <w:b/>
      <w:bCs/>
      <w:caps/>
      <w:color w:val="009BB4"/>
      <w:kern w:val="28"/>
      <w:sz w:val="56"/>
      <w:szCs w:val="32"/>
      <w:lang w:eastAsia="cs-CZ"/>
    </w:rPr>
  </w:style>
  <w:style w:type="character" w:customStyle="1" w:styleId="NzevChar">
    <w:name w:val="Název Char"/>
    <w:link w:val="Nzev"/>
    <w:uiPriority w:val="10"/>
    <w:rsid w:val="00865330"/>
    <w:rPr>
      <w:rFonts w:ascii="Arial" w:eastAsia="Times New Roman" w:hAnsi="Arial"/>
      <w:b/>
      <w:bCs/>
      <w:caps/>
      <w:color w:val="009BB4"/>
      <w:kern w:val="28"/>
      <w:sz w:val="56"/>
      <w:szCs w:val="32"/>
    </w:rPr>
  </w:style>
  <w:style w:type="paragraph" w:styleId="Podtitul">
    <w:name w:val="Subtitle"/>
    <w:link w:val="PodtitulChar"/>
    <w:uiPriority w:val="11"/>
    <w:qFormat/>
    <w:rsid w:val="00865330"/>
    <w:pPr>
      <w:spacing w:line="288" w:lineRule="auto"/>
    </w:pPr>
    <w:rPr>
      <w:rFonts w:ascii="Arial" w:eastAsia="Times New Roman" w:hAnsi="Arial" w:cs="Arial"/>
      <w:b/>
      <w:color w:val="009BB4"/>
      <w:sz w:val="28"/>
      <w:szCs w:val="24"/>
      <w:lang w:eastAsia="cs-CZ"/>
    </w:rPr>
  </w:style>
  <w:style w:type="character" w:customStyle="1" w:styleId="PodtitulChar">
    <w:name w:val="Podtitul Char"/>
    <w:link w:val="Podtitul"/>
    <w:uiPriority w:val="11"/>
    <w:rsid w:val="00865330"/>
    <w:rPr>
      <w:rFonts w:ascii="Arial" w:eastAsia="Times New Roman" w:hAnsi="Arial" w:cs="Arial"/>
      <w:b/>
      <w:color w:val="009BB4"/>
      <w:sz w:val="28"/>
      <w:szCs w:val="24"/>
    </w:rPr>
  </w:style>
  <w:style w:type="paragraph" w:styleId="Obsah2">
    <w:name w:val="toc 2"/>
    <w:basedOn w:val="Obsahpoloky"/>
    <w:next w:val="Obsahpoloky"/>
    <w:autoRedefine/>
    <w:uiPriority w:val="39"/>
    <w:unhideWhenUsed/>
    <w:rsid w:val="00CE15A4"/>
    <w:pPr>
      <w:spacing w:before="60"/>
      <w:ind w:left="198"/>
    </w:pPr>
    <w:rPr>
      <w:b/>
      <w:noProof/>
    </w:rPr>
  </w:style>
  <w:style w:type="paragraph" w:styleId="Obsah3">
    <w:name w:val="toc 3"/>
    <w:basedOn w:val="Obsahpoloky"/>
    <w:next w:val="Obsahpoloky"/>
    <w:autoRedefine/>
    <w:uiPriority w:val="39"/>
    <w:unhideWhenUsed/>
    <w:rsid w:val="00CE15A4"/>
    <w:pPr>
      <w:ind w:left="400"/>
    </w:pPr>
    <w:rPr>
      <w:noProof/>
    </w:r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styleId="Zkladntext">
    <w:name w:val="Body Text"/>
    <w:basedOn w:val="Normln"/>
    <w:link w:val="ZkladntextChar"/>
    <w:semiHidden/>
    <w:rsid w:val="00471EB7"/>
    <w:pPr>
      <w:spacing w:before="240" w:after="0" w:line="240" w:lineRule="auto"/>
      <w:jc w:val="both"/>
    </w:pPr>
    <w:rPr>
      <w:sz w:val="15"/>
    </w:rPr>
  </w:style>
  <w:style w:type="character" w:customStyle="1" w:styleId="ZkladntextChar">
    <w:name w:val="Základní text Char"/>
    <w:basedOn w:val="Standardnpsmoodstavce"/>
    <w:link w:val="Zkladntext"/>
    <w:semiHidden/>
    <w:rsid w:val="00471EB7"/>
    <w:rPr>
      <w:rFonts w:ascii="Arial" w:eastAsia="Times New Roman" w:hAnsi="Arial"/>
      <w:sz w:val="15"/>
      <w:szCs w:val="24"/>
      <w:lang w:eastAsia="cs-CZ"/>
    </w:rPr>
  </w:style>
  <w:style w:type="paragraph" w:styleId="Textpoznpodarou">
    <w:name w:val="footnote text"/>
    <w:basedOn w:val="Normln"/>
    <w:link w:val="TextpoznpodarouChar"/>
    <w:uiPriority w:val="99"/>
    <w:unhideWhenUsed/>
    <w:rsid w:val="00471EB7"/>
    <w:pPr>
      <w:spacing w:after="0" w:line="240" w:lineRule="auto"/>
    </w:pPr>
    <w:rPr>
      <w:rFonts w:ascii="Times New Roman" w:hAnsi="Times New Roman"/>
      <w:szCs w:val="20"/>
    </w:rPr>
  </w:style>
  <w:style w:type="character" w:customStyle="1" w:styleId="TextpoznpodarouChar">
    <w:name w:val="Text pozn. pod čarou Char"/>
    <w:basedOn w:val="Standardnpsmoodstavce"/>
    <w:link w:val="Textpoznpodarou"/>
    <w:uiPriority w:val="99"/>
    <w:rsid w:val="00471EB7"/>
    <w:rPr>
      <w:rFonts w:ascii="Times New Roman" w:eastAsia="Times New Roman" w:hAnsi="Times New Roman"/>
      <w:lang w:eastAsia="cs-CZ"/>
    </w:rPr>
  </w:style>
  <w:style w:type="character" w:styleId="Znakapoznpodarou">
    <w:name w:val="footnote reference"/>
    <w:uiPriority w:val="99"/>
    <w:semiHidden/>
    <w:unhideWhenUsed/>
    <w:rsid w:val="00471EB7"/>
    <w:rPr>
      <w:vertAlign w:val="superscript"/>
    </w:rPr>
  </w:style>
  <w:style w:type="character" w:styleId="Odkaznakoment">
    <w:name w:val="annotation reference"/>
    <w:basedOn w:val="Standardnpsmoodstavce"/>
    <w:uiPriority w:val="99"/>
    <w:semiHidden/>
    <w:unhideWhenUsed/>
    <w:rsid w:val="000F1E6B"/>
    <w:rPr>
      <w:sz w:val="16"/>
      <w:szCs w:val="16"/>
    </w:rPr>
  </w:style>
  <w:style w:type="paragraph" w:styleId="Textkomente">
    <w:name w:val="annotation text"/>
    <w:basedOn w:val="Normln"/>
    <w:link w:val="TextkomenteChar"/>
    <w:uiPriority w:val="99"/>
    <w:semiHidden/>
    <w:unhideWhenUsed/>
    <w:rsid w:val="000F1E6B"/>
    <w:pPr>
      <w:spacing w:line="240" w:lineRule="auto"/>
    </w:pPr>
    <w:rPr>
      <w:szCs w:val="20"/>
    </w:rPr>
  </w:style>
  <w:style w:type="character" w:customStyle="1" w:styleId="TextkomenteChar">
    <w:name w:val="Text komentáře Char"/>
    <w:basedOn w:val="Standardnpsmoodstavce"/>
    <w:link w:val="Textkomente"/>
    <w:uiPriority w:val="99"/>
    <w:semiHidden/>
    <w:rsid w:val="000F1E6B"/>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0F1E6B"/>
    <w:rPr>
      <w:b/>
      <w:bCs/>
    </w:rPr>
  </w:style>
  <w:style w:type="character" w:customStyle="1" w:styleId="PedmtkomenteChar">
    <w:name w:val="Předmět komentáře Char"/>
    <w:basedOn w:val="TextkomenteChar"/>
    <w:link w:val="Pedmtkomente"/>
    <w:uiPriority w:val="99"/>
    <w:semiHidden/>
    <w:rsid w:val="000F1E6B"/>
    <w:rPr>
      <w:rFonts w:ascii="Arial" w:eastAsia="Times New Roman" w:hAnsi="Arial"/>
      <w:b/>
      <w:bCs/>
      <w:lang w:eastAsia="cs-CZ"/>
    </w:rPr>
  </w:style>
  <w:style w:type="character" w:styleId="Sledovanodkaz">
    <w:name w:val="FollowedHyperlink"/>
    <w:basedOn w:val="Standardnpsmoodstavce"/>
    <w:uiPriority w:val="99"/>
    <w:semiHidden/>
    <w:unhideWhenUsed/>
    <w:rsid w:val="008B309E"/>
    <w:rPr>
      <w:color w:val="800080" w:themeColor="followedHyperlink"/>
      <w:u w:val="single"/>
    </w:rPr>
  </w:style>
  <w:style w:type="paragraph" w:styleId="Odstavecseseznamem">
    <w:name w:val="List Paragraph"/>
    <w:basedOn w:val="Normln"/>
    <w:uiPriority w:val="34"/>
    <w:qFormat/>
    <w:rsid w:val="00681D9E"/>
    <w:pPr>
      <w:spacing w:after="0" w:line="240" w:lineRule="auto"/>
      <w:ind w:left="720"/>
      <w:contextualSpacing/>
    </w:pPr>
    <w:rPr>
      <w:rFonts w:ascii="Times New Roman" w:hAnsi="Times New Roman"/>
      <w:sz w:val="24"/>
    </w:rPr>
  </w:style>
  <w:style w:type="paragraph" w:styleId="Normlnweb">
    <w:name w:val="Normal (Web)"/>
    <w:basedOn w:val="Normln"/>
    <w:uiPriority w:val="99"/>
    <w:semiHidden/>
    <w:unhideWhenUsed/>
    <w:rsid w:val="00681D9E"/>
    <w:pPr>
      <w:spacing w:before="100" w:beforeAutospacing="1" w:after="100" w:afterAutospacing="1" w:line="240" w:lineRule="auto"/>
    </w:pPr>
    <w:rPr>
      <w:rFonts w:ascii="Times New Roman" w:hAnsi="Times New Roman"/>
      <w:sz w:val="24"/>
    </w:rPr>
  </w:style>
  <w:style w:type="paragraph" w:styleId="Bezmezer">
    <w:name w:val="No Spacing"/>
    <w:uiPriority w:val="1"/>
    <w:qFormat/>
    <w:rsid w:val="008353D1"/>
    <w:pPr>
      <w:spacing w:line="360" w:lineRule="auto"/>
      <w:ind w:firstLine="709"/>
      <w:jc w:val="both"/>
    </w:pPr>
    <w:rPr>
      <w:rFonts w:ascii="Arial" w:eastAsiaTheme="minorHAnsi" w:hAnsi="Arial" w:cstheme="minorBidi"/>
      <w:szCs w:val="22"/>
    </w:rPr>
  </w:style>
  <w:style w:type="paragraph" w:styleId="Titulek">
    <w:name w:val="caption"/>
    <w:basedOn w:val="Normln"/>
    <w:next w:val="Normln"/>
    <w:uiPriority w:val="35"/>
    <w:unhideWhenUsed/>
    <w:qFormat/>
    <w:rsid w:val="006C6C48"/>
    <w:pPr>
      <w:spacing w:after="200" w:line="240" w:lineRule="auto"/>
    </w:pPr>
    <w:rPr>
      <w:b/>
      <w:bCs/>
      <w:color w:val="4F81BD" w:themeColor="accent1"/>
      <w:sz w:val="18"/>
      <w:szCs w:val="18"/>
    </w:rPr>
  </w:style>
  <w:style w:type="paragraph" w:styleId="Seznamobrzk">
    <w:name w:val="table of figures"/>
    <w:basedOn w:val="Normln"/>
    <w:next w:val="Normln"/>
    <w:uiPriority w:val="99"/>
    <w:unhideWhenUsed/>
    <w:rsid w:val="00C42E6C"/>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44107725">
      <w:bodyDiv w:val="1"/>
      <w:marLeft w:val="0"/>
      <w:marRight w:val="0"/>
      <w:marTop w:val="0"/>
      <w:marBottom w:val="0"/>
      <w:divBdr>
        <w:top w:val="none" w:sz="0" w:space="0" w:color="auto"/>
        <w:left w:val="none" w:sz="0" w:space="0" w:color="auto"/>
        <w:bottom w:val="none" w:sz="0" w:space="0" w:color="auto"/>
        <w:right w:val="none" w:sz="0" w:space="0" w:color="auto"/>
      </w:divBdr>
    </w:div>
    <w:div w:id="60911430">
      <w:bodyDiv w:val="1"/>
      <w:marLeft w:val="0"/>
      <w:marRight w:val="0"/>
      <w:marTop w:val="0"/>
      <w:marBottom w:val="0"/>
      <w:divBdr>
        <w:top w:val="none" w:sz="0" w:space="0" w:color="auto"/>
        <w:left w:val="none" w:sz="0" w:space="0" w:color="auto"/>
        <w:bottom w:val="none" w:sz="0" w:space="0" w:color="auto"/>
        <w:right w:val="none" w:sz="0" w:space="0" w:color="auto"/>
      </w:divBdr>
    </w:div>
    <w:div w:id="93938263">
      <w:bodyDiv w:val="1"/>
      <w:marLeft w:val="0"/>
      <w:marRight w:val="0"/>
      <w:marTop w:val="0"/>
      <w:marBottom w:val="0"/>
      <w:divBdr>
        <w:top w:val="none" w:sz="0" w:space="0" w:color="auto"/>
        <w:left w:val="none" w:sz="0" w:space="0" w:color="auto"/>
        <w:bottom w:val="none" w:sz="0" w:space="0" w:color="auto"/>
        <w:right w:val="none" w:sz="0" w:space="0" w:color="auto"/>
      </w:divBdr>
    </w:div>
    <w:div w:id="103310191">
      <w:bodyDiv w:val="1"/>
      <w:marLeft w:val="0"/>
      <w:marRight w:val="0"/>
      <w:marTop w:val="0"/>
      <w:marBottom w:val="0"/>
      <w:divBdr>
        <w:top w:val="none" w:sz="0" w:space="0" w:color="auto"/>
        <w:left w:val="none" w:sz="0" w:space="0" w:color="auto"/>
        <w:bottom w:val="none" w:sz="0" w:space="0" w:color="auto"/>
        <w:right w:val="none" w:sz="0" w:space="0" w:color="auto"/>
      </w:divBdr>
    </w:div>
    <w:div w:id="147983956">
      <w:bodyDiv w:val="1"/>
      <w:marLeft w:val="0"/>
      <w:marRight w:val="0"/>
      <w:marTop w:val="0"/>
      <w:marBottom w:val="0"/>
      <w:divBdr>
        <w:top w:val="none" w:sz="0" w:space="0" w:color="auto"/>
        <w:left w:val="none" w:sz="0" w:space="0" w:color="auto"/>
        <w:bottom w:val="none" w:sz="0" w:space="0" w:color="auto"/>
        <w:right w:val="none" w:sz="0" w:space="0" w:color="auto"/>
      </w:divBdr>
    </w:div>
    <w:div w:id="24669022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274560969">
      <w:bodyDiv w:val="1"/>
      <w:marLeft w:val="0"/>
      <w:marRight w:val="0"/>
      <w:marTop w:val="0"/>
      <w:marBottom w:val="0"/>
      <w:divBdr>
        <w:top w:val="none" w:sz="0" w:space="0" w:color="auto"/>
        <w:left w:val="none" w:sz="0" w:space="0" w:color="auto"/>
        <w:bottom w:val="none" w:sz="0" w:space="0" w:color="auto"/>
        <w:right w:val="none" w:sz="0" w:space="0" w:color="auto"/>
      </w:divBdr>
    </w:div>
    <w:div w:id="280650660">
      <w:bodyDiv w:val="1"/>
      <w:marLeft w:val="0"/>
      <w:marRight w:val="0"/>
      <w:marTop w:val="0"/>
      <w:marBottom w:val="0"/>
      <w:divBdr>
        <w:top w:val="none" w:sz="0" w:space="0" w:color="auto"/>
        <w:left w:val="none" w:sz="0" w:space="0" w:color="auto"/>
        <w:bottom w:val="none" w:sz="0" w:space="0" w:color="auto"/>
        <w:right w:val="none" w:sz="0" w:space="0" w:color="auto"/>
      </w:divBdr>
    </w:div>
    <w:div w:id="378482435">
      <w:bodyDiv w:val="1"/>
      <w:marLeft w:val="0"/>
      <w:marRight w:val="0"/>
      <w:marTop w:val="0"/>
      <w:marBottom w:val="0"/>
      <w:divBdr>
        <w:top w:val="none" w:sz="0" w:space="0" w:color="auto"/>
        <w:left w:val="none" w:sz="0" w:space="0" w:color="auto"/>
        <w:bottom w:val="none" w:sz="0" w:space="0" w:color="auto"/>
        <w:right w:val="none" w:sz="0" w:space="0" w:color="auto"/>
      </w:divBdr>
    </w:div>
    <w:div w:id="407076080">
      <w:bodyDiv w:val="1"/>
      <w:marLeft w:val="0"/>
      <w:marRight w:val="0"/>
      <w:marTop w:val="0"/>
      <w:marBottom w:val="0"/>
      <w:divBdr>
        <w:top w:val="none" w:sz="0" w:space="0" w:color="auto"/>
        <w:left w:val="none" w:sz="0" w:space="0" w:color="auto"/>
        <w:bottom w:val="none" w:sz="0" w:space="0" w:color="auto"/>
        <w:right w:val="none" w:sz="0" w:space="0" w:color="auto"/>
      </w:divBdr>
    </w:div>
    <w:div w:id="462189095">
      <w:bodyDiv w:val="1"/>
      <w:marLeft w:val="0"/>
      <w:marRight w:val="0"/>
      <w:marTop w:val="0"/>
      <w:marBottom w:val="0"/>
      <w:divBdr>
        <w:top w:val="none" w:sz="0" w:space="0" w:color="auto"/>
        <w:left w:val="none" w:sz="0" w:space="0" w:color="auto"/>
        <w:bottom w:val="none" w:sz="0" w:space="0" w:color="auto"/>
        <w:right w:val="none" w:sz="0" w:space="0" w:color="auto"/>
      </w:divBdr>
    </w:div>
    <w:div w:id="47522675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02550645">
      <w:bodyDiv w:val="1"/>
      <w:marLeft w:val="0"/>
      <w:marRight w:val="0"/>
      <w:marTop w:val="0"/>
      <w:marBottom w:val="0"/>
      <w:divBdr>
        <w:top w:val="none" w:sz="0" w:space="0" w:color="auto"/>
        <w:left w:val="none" w:sz="0" w:space="0" w:color="auto"/>
        <w:bottom w:val="none" w:sz="0" w:space="0" w:color="auto"/>
        <w:right w:val="none" w:sz="0" w:space="0" w:color="auto"/>
      </w:divBdr>
    </w:div>
    <w:div w:id="520247844">
      <w:bodyDiv w:val="1"/>
      <w:marLeft w:val="0"/>
      <w:marRight w:val="0"/>
      <w:marTop w:val="0"/>
      <w:marBottom w:val="0"/>
      <w:divBdr>
        <w:top w:val="none" w:sz="0" w:space="0" w:color="auto"/>
        <w:left w:val="none" w:sz="0" w:space="0" w:color="auto"/>
        <w:bottom w:val="none" w:sz="0" w:space="0" w:color="auto"/>
        <w:right w:val="none" w:sz="0" w:space="0" w:color="auto"/>
      </w:divBdr>
    </w:div>
    <w:div w:id="524758478">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568420448">
      <w:bodyDiv w:val="1"/>
      <w:marLeft w:val="0"/>
      <w:marRight w:val="0"/>
      <w:marTop w:val="0"/>
      <w:marBottom w:val="0"/>
      <w:divBdr>
        <w:top w:val="none" w:sz="0" w:space="0" w:color="auto"/>
        <w:left w:val="none" w:sz="0" w:space="0" w:color="auto"/>
        <w:bottom w:val="none" w:sz="0" w:space="0" w:color="auto"/>
        <w:right w:val="none" w:sz="0" w:space="0" w:color="auto"/>
      </w:divBdr>
    </w:div>
    <w:div w:id="575867436">
      <w:bodyDiv w:val="1"/>
      <w:marLeft w:val="0"/>
      <w:marRight w:val="0"/>
      <w:marTop w:val="0"/>
      <w:marBottom w:val="0"/>
      <w:divBdr>
        <w:top w:val="none" w:sz="0" w:space="0" w:color="auto"/>
        <w:left w:val="none" w:sz="0" w:space="0" w:color="auto"/>
        <w:bottom w:val="none" w:sz="0" w:space="0" w:color="auto"/>
        <w:right w:val="none" w:sz="0" w:space="0" w:color="auto"/>
      </w:divBdr>
    </w:div>
    <w:div w:id="587349536">
      <w:bodyDiv w:val="1"/>
      <w:marLeft w:val="0"/>
      <w:marRight w:val="0"/>
      <w:marTop w:val="0"/>
      <w:marBottom w:val="0"/>
      <w:divBdr>
        <w:top w:val="none" w:sz="0" w:space="0" w:color="auto"/>
        <w:left w:val="none" w:sz="0" w:space="0" w:color="auto"/>
        <w:bottom w:val="none" w:sz="0" w:space="0" w:color="auto"/>
        <w:right w:val="none" w:sz="0" w:space="0" w:color="auto"/>
      </w:divBdr>
    </w:div>
    <w:div w:id="671494091">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689990965">
      <w:bodyDiv w:val="1"/>
      <w:marLeft w:val="0"/>
      <w:marRight w:val="0"/>
      <w:marTop w:val="0"/>
      <w:marBottom w:val="0"/>
      <w:divBdr>
        <w:top w:val="none" w:sz="0" w:space="0" w:color="auto"/>
        <w:left w:val="none" w:sz="0" w:space="0" w:color="auto"/>
        <w:bottom w:val="none" w:sz="0" w:space="0" w:color="auto"/>
        <w:right w:val="none" w:sz="0" w:space="0" w:color="auto"/>
      </w:divBdr>
    </w:div>
    <w:div w:id="701054643">
      <w:bodyDiv w:val="1"/>
      <w:marLeft w:val="0"/>
      <w:marRight w:val="0"/>
      <w:marTop w:val="0"/>
      <w:marBottom w:val="0"/>
      <w:divBdr>
        <w:top w:val="none" w:sz="0" w:space="0" w:color="auto"/>
        <w:left w:val="none" w:sz="0" w:space="0" w:color="auto"/>
        <w:bottom w:val="none" w:sz="0" w:space="0" w:color="auto"/>
        <w:right w:val="none" w:sz="0" w:space="0" w:color="auto"/>
      </w:divBdr>
    </w:div>
    <w:div w:id="743138574">
      <w:bodyDiv w:val="1"/>
      <w:marLeft w:val="0"/>
      <w:marRight w:val="0"/>
      <w:marTop w:val="0"/>
      <w:marBottom w:val="0"/>
      <w:divBdr>
        <w:top w:val="none" w:sz="0" w:space="0" w:color="auto"/>
        <w:left w:val="none" w:sz="0" w:space="0" w:color="auto"/>
        <w:bottom w:val="none" w:sz="0" w:space="0" w:color="auto"/>
        <w:right w:val="none" w:sz="0" w:space="0" w:color="auto"/>
      </w:divBdr>
    </w:div>
    <w:div w:id="783234867">
      <w:bodyDiv w:val="1"/>
      <w:marLeft w:val="0"/>
      <w:marRight w:val="0"/>
      <w:marTop w:val="0"/>
      <w:marBottom w:val="0"/>
      <w:divBdr>
        <w:top w:val="none" w:sz="0" w:space="0" w:color="auto"/>
        <w:left w:val="none" w:sz="0" w:space="0" w:color="auto"/>
        <w:bottom w:val="none" w:sz="0" w:space="0" w:color="auto"/>
        <w:right w:val="none" w:sz="0" w:space="0" w:color="auto"/>
      </w:divBdr>
    </w:div>
    <w:div w:id="810706970">
      <w:bodyDiv w:val="1"/>
      <w:marLeft w:val="0"/>
      <w:marRight w:val="0"/>
      <w:marTop w:val="0"/>
      <w:marBottom w:val="0"/>
      <w:divBdr>
        <w:top w:val="none" w:sz="0" w:space="0" w:color="auto"/>
        <w:left w:val="none" w:sz="0" w:space="0" w:color="auto"/>
        <w:bottom w:val="none" w:sz="0" w:space="0" w:color="auto"/>
        <w:right w:val="none" w:sz="0" w:space="0" w:color="auto"/>
      </w:divBdr>
    </w:div>
    <w:div w:id="814641207">
      <w:bodyDiv w:val="1"/>
      <w:marLeft w:val="0"/>
      <w:marRight w:val="0"/>
      <w:marTop w:val="0"/>
      <w:marBottom w:val="0"/>
      <w:divBdr>
        <w:top w:val="none" w:sz="0" w:space="0" w:color="auto"/>
        <w:left w:val="none" w:sz="0" w:space="0" w:color="auto"/>
        <w:bottom w:val="none" w:sz="0" w:space="0" w:color="auto"/>
        <w:right w:val="none" w:sz="0" w:space="0" w:color="auto"/>
      </w:divBdr>
    </w:div>
    <w:div w:id="827021627">
      <w:bodyDiv w:val="1"/>
      <w:marLeft w:val="0"/>
      <w:marRight w:val="0"/>
      <w:marTop w:val="0"/>
      <w:marBottom w:val="0"/>
      <w:divBdr>
        <w:top w:val="none" w:sz="0" w:space="0" w:color="auto"/>
        <w:left w:val="none" w:sz="0" w:space="0" w:color="auto"/>
        <w:bottom w:val="none" w:sz="0" w:space="0" w:color="auto"/>
        <w:right w:val="none" w:sz="0" w:space="0" w:color="auto"/>
      </w:divBdr>
    </w:div>
    <w:div w:id="830487326">
      <w:bodyDiv w:val="1"/>
      <w:marLeft w:val="0"/>
      <w:marRight w:val="0"/>
      <w:marTop w:val="0"/>
      <w:marBottom w:val="0"/>
      <w:divBdr>
        <w:top w:val="none" w:sz="0" w:space="0" w:color="auto"/>
        <w:left w:val="none" w:sz="0" w:space="0" w:color="auto"/>
        <w:bottom w:val="none" w:sz="0" w:space="0" w:color="auto"/>
        <w:right w:val="none" w:sz="0" w:space="0" w:color="auto"/>
      </w:divBdr>
    </w:div>
    <w:div w:id="896670769">
      <w:bodyDiv w:val="1"/>
      <w:marLeft w:val="0"/>
      <w:marRight w:val="0"/>
      <w:marTop w:val="0"/>
      <w:marBottom w:val="0"/>
      <w:divBdr>
        <w:top w:val="none" w:sz="0" w:space="0" w:color="auto"/>
        <w:left w:val="none" w:sz="0" w:space="0" w:color="auto"/>
        <w:bottom w:val="none" w:sz="0" w:space="0" w:color="auto"/>
        <w:right w:val="none" w:sz="0" w:space="0" w:color="auto"/>
      </w:divBdr>
    </w:div>
    <w:div w:id="910893256">
      <w:bodyDiv w:val="1"/>
      <w:marLeft w:val="0"/>
      <w:marRight w:val="0"/>
      <w:marTop w:val="0"/>
      <w:marBottom w:val="0"/>
      <w:divBdr>
        <w:top w:val="none" w:sz="0" w:space="0" w:color="auto"/>
        <w:left w:val="none" w:sz="0" w:space="0" w:color="auto"/>
        <w:bottom w:val="none" w:sz="0" w:space="0" w:color="auto"/>
        <w:right w:val="none" w:sz="0" w:space="0" w:color="auto"/>
      </w:divBdr>
    </w:div>
    <w:div w:id="927616399">
      <w:bodyDiv w:val="1"/>
      <w:marLeft w:val="0"/>
      <w:marRight w:val="0"/>
      <w:marTop w:val="0"/>
      <w:marBottom w:val="0"/>
      <w:divBdr>
        <w:top w:val="none" w:sz="0" w:space="0" w:color="auto"/>
        <w:left w:val="none" w:sz="0" w:space="0" w:color="auto"/>
        <w:bottom w:val="none" w:sz="0" w:space="0" w:color="auto"/>
        <w:right w:val="none" w:sz="0" w:space="0" w:color="auto"/>
      </w:divBdr>
    </w:div>
    <w:div w:id="940726837">
      <w:bodyDiv w:val="1"/>
      <w:marLeft w:val="0"/>
      <w:marRight w:val="0"/>
      <w:marTop w:val="0"/>
      <w:marBottom w:val="0"/>
      <w:divBdr>
        <w:top w:val="none" w:sz="0" w:space="0" w:color="auto"/>
        <w:left w:val="none" w:sz="0" w:space="0" w:color="auto"/>
        <w:bottom w:val="none" w:sz="0" w:space="0" w:color="auto"/>
        <w:right w:val="none" w:sz="0" w:space="0" w:color="auto"/>
      </w:divBdr>
    </w:div>
    <w:div w:id="968781011">
      <w:bodyDiv w:val="1"/>
      <w:marLeft w:val="0"/>
      <w:marRight w:val="0"/>
      <w:marTop w:val="0"/>
      <w:marBottom w:val="0"/>
      <w:divBdr>
        <w:top w:val="none" w:sz="0" w:space="0" w:color="auto"/>
        <w:left w:val="none" w:sz="0" w:space="0" w:color="auto"/>
        <w:bottom w:val="none" w:sz="0" w:space="0" w:color="auto"/>
        <w:right w:val="none" w:sz="0" w:space="0" w:color="auto"/>
      </w:divBdr>
    </w:div>
    <w:div w:id="972441337">
      <w:bodyDiv w:val="1"/>
      <w:marLeft w:val="0"/>
      <w:marRight w:val="0"/>
      <w:marTop w:val="0"/>
      <w:marBottom w:val="0"/>
      <w:divBdr>
        <w:top w:val="none" w:sz="0" w:space="0" w:color="auto"/>
        <w:left w:val="none" w:sz="0" w:space="0" w:color="auto"/>
        <w:bottom w:val="none" w:sz="0" w:space="0" w:color="auto"/>
        <w:right w:val="none" w:sz="0" w:space="0" w:color="auto"/>
      </w:divBdr>
    </w:div>
    <w:div w:id="976955867">
      <w:bodyDiv w:val="1"/>
      <w:marLeft w:val="0"/>
      <w:marRight w:val="0"/>
      <w:marTop w:val="0"/>
      <w:marBottom w:val="0"/>
      <w:divBdr>
        <w:top w:val="none" w:sz="0" w:space="0" w:color="auto"/>
        <w:left w:val="none" w:sz="0" w:space="0" w:color="auto"/>
        <w:bottom w:val="none" w:sz="0" w:space="0" w:color="auto"/>
        <w:right w:val="none" w:sz="0" w:space="0" w:color="auto"/>
      </w:divBdr>
    </w:div>
    <w:div w:id="987175210">
      <w:bodyDiv w:val="1"/>
      <w:marLeft w:val="0"/>
      <w:marRight w:val="0"/>
      <w:marTop w:val="0"/>
      <w:marBottom w:val="0"/>
      <w:divBdr>
        <w:top w:val="none" w:sz="0" w:space="0" w:color="auto"/>
        <w:left w:val="none" w:sz="0" w:space="0" w:color="auto"/>
        <w:bottom w:val="none" w:sz="0" w:space="0" w:color="auto"/>
        <w:right w:val="none" w:sz="0" w:space="0" w:color="auto"/>
      </w:divBdr>
    </w:div>
    <w:div w:id="991788972">
      <w:bodyDiv w:val="1"/>
      <w:marLeft w:val="0"/>
      <w:marRight w:val="0"/>
      <w:marTop w:val="0"/>
      <w:marBottom w:val="0"/>
      <w:divBdr>
        <w:top w:val="none" w:sz="0" w:space="0" w:color="auto"/>
        <w:left w:val="none" w:sz="0" w:space="0" w:color="auto"/>
        <w:bottom w:val="none" w:sz="0" w:space="0" w:color="auto"/>
        <w:right w:val="none" w:sz="0" w:space="0" w:color="auto"/>
      </w:divBdr>
    </w:div>
    <w:div w:id="1007100748">
      <w:bodyDiv w:val="1"/>
      <w:marLeft w:val="0"/>
      <w:marRight w:val="0"/>
      <w:marTop w:val="0"/>
      <w:marBottom w:val="0"/>
      <w:divBdr>
        <w:top w:val="none" w:sz="0" w:space="0" w:color="auto"/>
        <w:left w:val="none" w:sz="0" w:space="0" w:color="auto"/>
        <w:bottom w:val="none" w:sz="0" w:space="0" w:color="auto"/>
        <w:right w:val="none" w:sz="0" w:space="0" w:color="auto"/>
      </w:divBdr>
    </w:div>
    <w:div w:id="1020620941">
      <w:bodyDiv w:val="1"/>
      <w:marLeft w:val="0"/>
      <w:marRight w:val="0"/>
      <w:marTop w:val="0"/>
      <w:marBottom w:val="0"/>
      <w:divBdr>
        <w:top w:val="none" w:sz="0" w:space="0" w:color="auto"/>
        <w:left w:val="none" w:sz="0" w:space="0" w:color="auto"/>
        <w:bottom w:val="none" w:sz="0" w:space="0" w:color="auto"/>
        <w:right w:val="none" w:sz="0" w:space="0" w:color="auto"/>
      </w:divBdr>
    </w:div>
    <w:div w:id="1039546547">
      <w:bodyDiv w:val="1"/>
      <w:marLeft w:val="0"/>
      <w:marRight w:val="0"/>
      <w:marTop w:val="0"/>
      <w:marBottom w:val="0"/>
      <w:divBdr>
        <w:top w:val="none" w:sz="0" w:space="0" w:color="auto"/>
        <w:left w:val="none" w:sz="0" w:space="0" w:color="auto"/>
        <w:bottom w:val="none" w:sz="0" w:space="0" w:color="auto"/>
        <w:right w:val="none" w:sz="0" w:space="0" w:color="auto"/>
      </w:divBdr>
    </w:div>
    <w:div w:id="1046836058">
      <w:bodyDiv w:val="1"/>
      <w:marLeft w:val="0"/>
      <w:marRight w:val="0"/>
      <w:marTop w:val="0"/>
      <w:marBottom w:val="0"/>
      <w:divBdr>
        <w:top w:val="none" w:sz="0" w:space="0" w:color="auto"/>
        <w:left w:val="none" w:sz="0" w:space="0" w:color="auto"/>
        <w:bottom w:val="none" w:sz="0" w:space="0" w:color="auto"/>
        <w:right w:val="none" w:sz="0" w:space="0" w:color="auto"/>
      </w:divBdr>
    </w:div>
    <w:div w:id="1141263042">
      <w:bodyDiv w:val="1"/>
      <w:marLeft w:val="0"/>
      <w:marRight w:val="0"/>
      <w:marTop w:val="0"/>
      <w:marBottom w:val="0"/>
      <w:divBdr>
        <w:top w:val="none" w:sz="0" w:space="0" w:color="auto"/>
        <w:left w:val="none" w:sz="0" w:space="0" w:color="auto"/>
        <w:bottom w:val="none" w:sz="0" w:space="0" w:color="auto"/>
        <w:right w:val="none" w:sz="0" w:space="0" w:color="auto"/>
      </w:divBdr>
    </w:div>
    <w:div w:id="1143698592">
      <w:bodyDiv w:val="1"/>
      <w:marLeft w:val="0"/>
      <w:marRight w:val="0"/>
      <w:marTop w:val="0"/>
      <w:marBottom w:val="0"/>
      <w:divBdr>
        <w:top w:val="none" w:sz="0" w:space="0" w:color="auto"/>
        <w:left w:val="none" w:sz="0" w:space="0" w:color="auto"/>
        <w:bottom w:val="none" w:sz="0" w:space="0" w:color="auto"/>
        <w:right w:val="none" w:sz="0" w:space="0" w:color="auto"/>
      </w:divBdr>
    </w:div>
    <w:div w:id="1148136480">
      <w:bodyDiv w:val="1"/>
      <w:marLeft w:val="0"/>
      <w:marRight w:val="0"/>
      <w:marTop w:val="0"/>
      <w:marBottom w:val="0"/>
      <w:divBdr>
        <w:top w:val="none" w:sz="0" w:space="0" w:color="auto"/>
        <w:left w:val="none" w:sz="0" w:space="0" w:color="auto"/>
        <w:bottom w:val="none" w:sz="0" w:space="0" w:color="auto"/>
        <w:right w:val="none" w:sz="0" w:space="0" w:color="auto"/>
      </w:divBdr>
    </w:div>
    <w:div w:id="119951409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246960224">
      <w:bodyDiv w:val="1"/>
      <w:marLeft w:val="0"/>
      <w:marRight w:val="0"/>
      <w:marTop w:val="0"/>
      <w:marBottom w:val="0"/>
      <w:divBdr>
        <w:top w:val="none" w:sz="0" w:space="0" w:color="auto"/>
        <w:left w:val="none" w:sz="0" w:space="0" w:color="auto"/>
        <w:bottom w:val="none" w:sz="0" w:space="0" w:color="auto"/>
        <w:right w:val="none" w:sz="0" w:space="0" w:color="auto"/>
      </w:divBdr>
    </w:div>
    <w:div w:id="1256475227">
      <w:bodyDiv w:val="1"/>
      <w:marLeft w:val="0"/>
      <w:marRight w:val="0"/>
      <w:marTop w:val="0"/>
      <w:marBottom w:val="0"/>
      <w:divBdr>
        <w:top w:val="none" w:sz="0" w:space="0" w:color="auto"/>
        <w:left w:val="none" w:sz="0" w:space="0" w:color="auto"/>
        <w:bottom w:val="none" w:sz="0" w:space="0" w:color="auto"/>
        <w:right w:val="none" w:sz="0" w:space="0" w:color="auto"/>
      </w:divBdr>
    </w:div>
    <w:div w:id="1260791988">
      <w:bodyDiv w:val="1"/>
      <w:marLeft w:val="0"/>
      <w:marRight w:val="0"/>
      <w:marTop w:val="0"/>
      <w:marBottom w:val="0"/>
      <w:divBdr>
        <w:top w:val="none" w:sz="0" w:space="0" w:color="auto"/>
        <w:left w:val="none" w:sz="0" w:space="0" w:color="auto"/>
        <w:bottom w:val="none" w:sz="0" w:space="0" w:color="auto"/>
        <w:right w:val="none" w:sz="0" w:space="0" w:color="auto"/>
      </w:divBdr>
    </w:div>
    <w:div w:id="1296793054">
      <w:bodyDiv w:val="1"/>
      <w:marLeft w:val="0"/>
      <w:marRight w:val="0"/>
      <w:marTop w:val="0"/>
      <w:marBottom w:val="0"/>
      <w:divBdr>
        <w:top w:val="none" w:sz="0" w:space="0" w:color="auto"/>
        <w:left w:val="none" w:sz="0" w:space="0" w:color="auto"/>
        <w:bottom w:val="none" w:sz="0" w:space="0" w:color="auto"/>
        <w:right w:val="none" w:sz="0" w:space="0" w:color="auto"/>
      </w:divBdr>
    </w:div>
    <w:div w:id="1402406886">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29423034">
      <w:bodyDiv w:val="1"/>
      <w:marLeft w:val="0"/>
      <w:marRight w:val="0"/>
      <w:marTop w:val="0"/>
      <w:marBottom w:val="0"/>
      <w:divBdr>
        <w:top w:val="none" w:sz="0" w:space="0" w:color="auto"/>
        <w:left w:val="none" w:sz="0" w:space="0" w:color="auto"/>
        <w:bottom w:val="none" w:sz="0" w:space="0" w:color="auto"/>
        <w:right w:val="none" w:sz="0" w:space="0" w:color="auto"/>
      </w:divBdr>
    </w:div>
    <w:div w:id="1465123600">
      <w:bodyDiv w:val="1"/>
      <w:marLeft w:val="0"/>
      <w:marRight w:val="0"/>
      <w:marTop w:val="0"/>
      <w:marBottom w:val="0"/>
      <w:divBdr>
        <w:top w:val="none" w:sz="0" w:space="0" w:color="auto"/>
        <w:left w:val="none" w:sz="0" w:space="0" w:color="auto"/>
        <w:bottom w:val="none" w:sz="0" w:space="0" w:color="auto"/>
        <w:right w:val="none" w:sz="0" w:space="0" w:color="auto"/>
      </w:divBdr>
    </w:div>
    <w:div w:id="1473717673">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3661814">
      <w:bodyDiv w:val="1"/>
      <w:marLeft w:val="0"/>
      <w:marRight w:val="0"/>
      <w:marTop w:val="0"/>
      <w:marBottom w:val="0"/>
      <w:divBdr>
        <w:top w:val="none" w:sz="0" w:space="0" w:color="auto"/>
        <w:left w:val="none" w:sz="0" w:space="0" w:color="auto"/>
        <w:bottom w:val="none" w:sz="0" w:space="0" w:color="auto"/>
        <w:right w:val="none" w:sz="0" w:space="0" w:color="auto"/>
      </w:divBdr>
    </w:div>
    <w:div w:id="1542933029">
      <w:bodyDiv w:val="1"/>
      <w:marLeft w:val="0"/>
      <w:marRight w:val="0"/>
      <w:marTop w:val="0"/>
      <w:marBottom w:val="0"/>
      <w:divBdr>
        <w:top w:val="none" w:sz="0" w:space="0" w:color="auto"/>
        <w:left w:val="none" w:sz="0" w:space="0" w:color="auto"/>
        <w:bottom w:val="none" w:sz="0" w:space="0" w:color="auto"/>
        <w:right w:val="none" w:sz="0" w:space="0" w:color="auto"/>
      </w:divBdr>
    </w:div>
    <w:div w:id="1558322327">
      <w:bodyDiv w:val="1"/>
      <w:marLeft w:val="0"/>
      <w:marRight w:val="0"/>
      <w:marTop w:val="0"/>
      <w:marBottom w:val="0"/>
      <w:divBdr>
        <w:top w:val="none" w:sz="0" w:space="0" w:color="auto"/>
        <w:left w:val="none" w:sz="0" w:space="0" w:color="auto"/>
        <w:bottom w:val="none" w:sz="0" w:space="0" w:color="auto"/>
        <w:right w:val="none" w:sz="0" w:space="0" w:color="auto"/>
      </w:divBdr>
    </w:div>
    <w:div w:id="1568570653">
      <w:bodyDiv w:val="1"/>
      <w:marLeft w:val="0"/>
      <w:marRight w:val="0"/>
      <w:marTop w:val="0"/>
      <w:marBottom w:val="0"/>
      <w:divBdr>
        <w:top w:val="none" w:sz="0" w:space="0" w:color="auto"/>
        <w:left w:val="none" w:sz="0" w:space="0" w:color="auto"/>
        <w:bottom w:val="none" w:sz="0" w:space="0" w:color="auto"/>
        <w:right w:val="none" w:sz="0" w:space="0" w:color="auto"/>
      </w:divBdr>
    </w:div>
    <w:div w:id="1574387069">
      <w:bodyDiv w:val="1"/>
      <w:marLeft w:val="0"/>
      <w:marRight w:val="0"/>
      <w:marTop w:val="0"/>
      <w:marBottom w:val="0"/>
      <w:divBdr>
        <w:top w:val="none" w:sz="0" w:space="0" w:color="auto"/>
        <w:left w:val="none" w:sz="0" w:space="0" w:color="auto"/>
        <w:bottom w:val="none" w:sz="0" w:space="0" w:color="auto"/>
        <w:right w:val="none" w:sz="0" w:space="0" w:color="auto"/>
      </w:divBdr>
    </w:div>
    <w:div w:id="1602954356">
      <w:bodyDiv w:val="1"/>
      <w:marLeft w:val="0"/>
      <w:marRight w:val="0"/>
      <w:marTop w:val="0"/>
      <w:marBottom w:val="0"/>
      <w:divBdr>
        <w:top w:val="none" w:sz="0" w:space="0" w:color="auto"/>
        <w:left w:val="none" w:sz="0" w:space="0" w:color="auto"/>
        <w:bottom w:val="none" w:sz="0" w:space="0" w:color="auto"/>
        <w:right w:val="none" w:sz="0" w:space="0" w:color="auto"/>
      </w:divBdr>
    </w:div>
    <w:div w:id="1668053408">
      <w:bodyDiv w:val="1"/>
      <w:marLeft w:val="0"/>
      <w:marRight w:val="0"/>
      <w:marTop w:val="0"/>
      <w:marBottom w:val="0"/>
      <w:divBdr>
        <w:top w:val="none" w:sz="0" w:space="0" w:color="auto"/>
        <w:left w:val="none" w:sz="0" w:space="0" w:color="auto"/>
        <w:bottom w:val="none" w:sz="0" w:space="0" w:color="auto"/>
        <w:right w:val="none" w:sz="0" w:space="0" w:color="auto"/>
      </w:divBdr>
    </w:div>
    <w:div w:id="1676373860">
      <w:bodyDiv w:val="1"/>
      <w:marLeft w:val="0"/>
      <w:marRight w:val="0"/>
      <w:marTop w:val="0"/>
      <w:marBottom w:val="0"/>
      <w:divBdr>
        <w:top w:val="none" w:sz="0" w:space="0" w:color="auto"/>
        <w:left w:val="none" w:sz="0" w:space="0" w:color="auto"/>
        <w:bottom w:val="none" w:sz="0" w:space="0" w:color="auto"/>
        <w:right w:val="none" w:sz="0" w:space="0" w:color="auto"/>
      </w:divBdr>
    </w:div>
    <w:div w:id="1731152999">
      <w:bodyDiv w:val="1"/>
      <w:marLeft w:val="0"/>
      <w:marRight w:val="0"/>
      <w:marTop w:val="0"/>
      <w:marBottom w:val="0"/>
      <w:divBdr>
        <w:top w:val="none" w:sz="0" w:space="0" w:color="auto"/>
        <w:left w:val="none" w:sz="0" w:space="0" w:color="auto"/>
        <w:bottom w:val="none" w:sz="0" w:space="0" w:color="auto"/>
        <w:right w:val="none" w:sz="0" w:space="0" w:color="auto"/>
      </w:divBdr>
    </w:div>
    <w:div w:id="1747337191">
      <w:bodyDiv w:val="1"/>
      <w:marLeft w:val="0"/>
      <w:marRight w:val="0"/>
      <w:marTop w:val="0"/>
      <w:marBottom w:val="0"/>
      <w:divBdr>
        <w:top w:val="none" w:sz="0" w:space="0" w:color="auto"/>
        <w:left w:val="none" w:sz="0" w:space="0" w:color="auto"/>
        <w:bottom w:val="none" w:sz="0" w:space="0" w:color="auto"/>
        <w:right w:val="none" w:sz="0" w:space="0" w:color="auto"/>
      </w:divBdr>
    </w:div>
    <w:div w:id="1749225493">
      <w:bodyDiv w:val="1"/>
      <w:marLeft w:val="0"/>
      <w:marRight w:val="0"/>
      <w:marTop w:val="0"/>
      <w:marBottom w:val="0"/>
      <w:divBdr>
        <w:top w:val="none" w:sz="0" w:space="0" w:color="auto"/>
        <w:left w:val="none" w:sz="0" w:space="0" w:color="auto"/>
        <w:bottom w:val="none" w:sz="0" w:space="0" w:color="auto"/>
        <w:right w:val="none" w:sz="0" w:space="0" w:color="auto"/>
      </w:divBdr>
    </w:div>
    <w:div w:id="1791781732">
      <w:bodyDiv w:val="1"/>
      <w:marLeft w:val="0"/>
      <w:marRight w:val="0"/>
      <w:marTop w:val="0"/>
      <w:marBottom w:val="0"/>
      <w:divBdr>
        <w:top w:val="none" w:sz="0" w:space="0" w:color="auto"/>
        <w:left w:val="none" w:sz="0" w:space="0" w:color="auto"/>
        <w:bottom w:val="none" w:sz="0" w:space="0" w:color="auto"/>
        <w:right w:val="none" w:sz="0" w:space="0" w:color="auto"/>
      </w:divBdr>
    </w:div>
    <w:div w:id="1797987749">
      <w:bodyDiv w:val="1"/>
      <w:marLeft w:val="0"/>
      <w:marRight w:val="0"/>
      <w:marTop w:val="0"/>
      <w:marBottom w:val="0"/>
      <w:divBdr>
        <w:top w:val="none" w:sz="0" w:space="0" w:color="auto"/>
        <w:left w:val="none" w:sz="0" w:space="0" w:color="auto"/>
        <w:bottom w:val="none" w:sz="0" w:space="0" w:color="auto"/>
        <w:right w:val="none" w:sz="0" w:space="0" w:color="auto"/>
      </w:divBdr>
    </w:div>
    <w:div w:id="185788643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02595171">
      <w:bodyDiv w:val="1"/>
      <w:marLeft w:val="0"/>
      <w:marRight w:val="0"/>
      <w:marTop w:val="0"/>
      <w:marBottom w:val="0"/>
      <w:divBdr>
        <w:top w:val="none" w:sz="0" w:space="0" w:color="auto"/>
        <w:left w:val="none" w:sz="0" w:space="0" w:color="auto"/>
        <w:bottom w:val="none" w:sz="0" w:space="0" w:color="auto"/>
        <w:right w:val="none" w:sz="0" w:space="0" w:color="auto"/>
      </w:divBdr>
    </w:div>
    <w:div w:id="1909227118">
      <w:bodyDiv w:val="1"/>
      <w:marLeft w:val="0"/>
      <w:marRight w:val="0"/>
      <w:marTop w:val="0"/>
      <w:marBottom w:val="0"/>
      <w:divBdr>
        <w:top w:val="none" w:sz="0" w:space="0" w:color="auto"/>
        <w:left w:val="none" w:sz="0" w:space="0" w:color="auto"/>
        <w:bottom w:val="none" w:sz="0" w:space="0" w:color="auto"/>
        <w:right w:val="none" w:sz="0" w:space="0" w:color="auto"/>
      </w:divBdr>
    </w:div>
    <w:div w:id="1917014031">
      <w:bodyDiv w:val="1"/>
      <w:marLeft w:val="0"/>
      <w:marRight w:val="0"/>
      <w:marTop w:val="0"/>
      <w:marBottom w:val="0"/>
      <w:divBdr>
        <w:top w:val="none" w:sz="0" w:space="0" w:color="auto"/>
        <w:left w:val="none" w:sz="0" w:space="0" w:color="auto"/>
        <w:bottom w:val="none" w:sz="0" w:space="0" w:color="auto"/>
        <w:right w:val="none" w:sz="0" w:space="0" w:color="auto"/>
      </w:divBdr>
    </w:div>
    <w:div w:id="1942715294">
      <w:bodyDiv w:val="1"/>
      <w:marLeft w:val="0"/>
      <w:marRight w:val="0"/>
      <w:marTop w:val="0"/>
      <w:marBottom w:val="0"/>
      <w:divBdr>
        <w:top w:val="none" w:sz="0" w:space="0" w:color="auto"/>
        <w:left w:val="none" w:sz="0" w:space="0" w:color="auto"/>
        <w:bottom w:val="none" w:sz="0" w:space="0" w:color="auto"/>
        <w:right w:val="none" w:sz="0" w:space="0" w:color="auto"/>
      </w:divBdr>
    </w:div>
    <w:div w:id="1985888262">
      <w:bodyDiv w:val="1"/>
      <w:marLeft w:val="0"/>
      <w:marRight w:val="0"/>
      <w:marTop w:val="0"/>
      <w:marBottom w:val="0"/>
      <w:divBdr>
        <w:top w:val="none" w:sz="0" w:space="0" w:color="auto"/>
        <w:left w:val="none" w:sz="0" w:space="0" w:color="auto"/>
        <w:bottom w:val="none" w:sz="0" w:space="0" w:color="auto"/>
        <w:right w:val="none" w:sz="0" w:space="0" w:color="auto"/>
      </w:divBdr>
    </w:div>
    <w:div w:id="1990085189">
      <w:bodyDiv w:val="1"/>
      <w:marLeft w:val="0"/>
      <w:marRight w:val="0"/>
      <w:marTop w:val="0"/>
      <w:marBottom w:val="0"/>
      <w:divBdr>
        <w:top w:val="none" w:sz="0" w:space="0" w:color="auto"/>
        <w:left w:val="none" w:sz="0" w:space="0" w:color="auto"/>
        <w:bottom w:val="none" w:sz="0" w:space="0" w:color="auto"/>
        <w:right w:val="none" w:sz="0" w:space="0" w:color="auto"/>
      </w:divBdr>
    </w:div>
    <w:div w:id="1995180885">
      <w:bodyDiv w:val="1"/>
      <w:marLeft w:val="0"/>
      <w:marRight w:val="0"/>
      <w:marTop w:val="0"/>
      <w:marBottom w:val="0"/>
      <w:divBdr>
        <w:top w:val="none" w:sz="0" w:space="0" w:color="auto"/>
        <w:left w:val="none" w:sz="0" w:space="0" w:color="auto"/>
        <w:bottom w:val="none" w:sz="0" w:space="0" w:color="auto"/>
        <w:right w:val="none" w:sz="0" w:space="0" w:color="auto"/>
      </w:divBdr>
    </w:div>
    <w:div w:id="1998681140">
      <w:bodyDiv w:val="1"/>
      <w:marLeft w:val="0"/>
      <w:marRight w:val="0"/>
      <w:marTop w:val="0"/>
      <w:marBottom w:val="0"/>
      <w:divBdr>
        <w:top w:val="none" w:sz="0" w:space="0" w:color="auto"/>
        <w:left w:val="none" w:sz="0" w:space="0" w:color="auto"/>
        <w:bottom w:val="none" w:sz="0" w:space="0" w:color="auto"/>
        <w:right w:val="none" w:sz="0" w:space="0" w:color="auto"/>
      </w:divBdr>
    </w:div>
    <w:div w:id="2048605474">
      <w:bodyDiv w:val="1"/>
      <w:marLeft w:val="0"/>
      <w:marRight w:val="0"/>
      <w:marTop w:val="0"/>
      <w:marBottom w:val="0"/>
      <w:divBdr>
        <w:top w:val="none" w:sz="0" w:space="0" w:color="auto"/>
        <w:left w:val="none" w:sz="0" w:space="0" w:color="auto"/>
        <w:bottom w:val="none" w:sz="0" w:space="0" w:color="auto"/>
        <w:right w:val="none" w:sz="0" w:space="0" w:color="auto"/>
      </w:divBdr>
    </w:div>
    <w:div w:id="2051804209">
      <w:bodyDiv w:val="1"/>
      <w:marLeft w:val="0"/>
      <w:marRight w:val="0"/>
      <w:marTop w:val="0"/>
      <w:marBottom w:val="0"/>
      <w:divBdr>
        <w:top w:val="none" w:sz="0" w:space="0" w:color="auto"/>
        <w:left w:val="none" w:sz="0" w:space="0" w:color="auto"/>
        <w:bottom w:val="none" w:sz="0" w:space="0" w:color="auto"/>
        <w:right w:val="none" w:sz="0" w:space="0" w:color="auto"/>
      </w:divBdr>
    </w:div>
    <w:div w:id="2054233652">
      <w:bodyDiv w:val="1"/>
      <w:marLeft w:val="0"/>
      <w:marRight w:val="0"/>
      <w:marTop w:val="0"/>
      <w:marBottom w:val="0"/>
      <w:divBdr>
        <w:top w:val="none" w:sz="0" w:space="0" w:color="auto"/>
        <w:left w:val="none" w:sz="0" w:space="0" w:color="auto"/>
        <w:bottom w:val="none" w:sz="0" w:space="0" w:color="auto"/>
        <w:right w:val="none" w:sz="0" w:space="0" w:color="auto"/>
      </w:divBdr>
    </w:div>
    <w:div w:id="2076269565">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08232729">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 w:id="2130272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2.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5" Type="http://schemas.openxmlformats.org/officeDocument/2006/relationships/chart" Target="charts/chart1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0.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hart" Target="charts/chart9.xml"/><Relationship Id="rId28" Type="http://schemas.openxmlformats.org/officeDocument/2006/relationships/chart" Target="charts/chart14.xml"/><Relationship Id="rId10" Type="http://schemas.openxmlformats.org/officeDocument/2006/relationships/chart" Target="charts/chart2.xml"/><Relationship Id="rId19" Type="http://schemas.openxmlformats.org/officeDocument/2006/relationships/header" Target="head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nsez.c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TRBA~1\AppData\Local\Temp\Publikace%20bar%20CZ_veda%20IT_2017-08-14.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ABFS2\DATA\DATA\ZPRAC\TECHNOL\oddeleni_6302\2_Informa&#269;n&#237;%20spole&#269;nost\IS%20v%20&#269;&#237;slech\IS_2018\grafy\IS2018_Grafy_Shrnut&#237;_G.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ABFS2\DATA\DATA\ZPRAC\TECHNOL\oddeleni_6302\2_Informa&#269;n&#237;%20spole&#269;nost\IS%20v%20&#269;&#237;slech\IS_2018\grafy\IS2018_Grafy_Shrnut&#237;_G.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ABFS2\DATA\DATA\ZPRAC\TECHNOL\oddeleni_6302\2_Informa&#269;n&#237;%20spole&#269;nost\IS%20v%20&#269;&#237;slech\IS_2018\grafy\IS2018_Grafy_Shrnut&#237;_G.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ABFS2\DATA\DATA\ZPRAC\TECHNOL\oddeleni_6302\2_Informa&#269;n&#237;%20spole&#269;nost\IS%20v%20&#269;&#237;slech\IS_2018\grafy\IS2018_Grafy_Shrnut&#237;_G.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ABFS2\DATA\DATA\ZPRAC\TECHNOL\oddeleni_6302\2_Informa&#269;n&#237;%20spole&#269;nost\IS%20v%20&#269;&#237;slech\IS_2018\grafy\IS2018_Grafy_Shrnut&#237;_G.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ABFS2\DATA\DATA\ZPRAC\TECHNOL\oddeleni_6302\2_Informa&#269;n&#237;%20spole&#269;nost\IS%20v%20&#269;&#237;slech\IS_2018\grafy\IS2018_Grafy_Shrnut&#237;_G.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ABFS2\DATA\DATA\ZPRAC\TECHNOL\oddeleni_6302\2_Informa&#269;n&#237;%20spole&#269;nost\IS%20v%20&#269;&#237;slech\IS_2018\grafy\IS2018_Grafy_Shrnut&#237;_G.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ABFS2\DATA\DATA\ZPRAC\TECHNOL\oddeleni_6302\2_Informa&#269;n&#237;%20spole&#269;nost\IS%20v%20&#269;&#237;slech\IS_2018\grafy\IS2018_Grafy_Shrnut&#237;_G.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ABFS2\DATA\DATA\ZPRAC\TECHNOL\oddeleni_6302\2_Informa&#269;n&#237;%20spole&#269;nost\IS%20v%20&#269;&#237;slech\IS_2018\grafy\IS2018_Grafy_Shrnut&#237;_G.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ABFS2\DATA\DATA\ZPRAC\TECHNOL\oddeleni_6302\2_Informa&#269;n&#237;%20spole&#269;nost\IS%20v%20&#269;&#237;slech\IS_2018\grafy\IS2018_Grafy_Shrnut&#237;_G.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ABFS2\DATA\DATA\ZPRAC\TECHNOL\oddeleni_6302\2_Informa&#269;n&#237;%20spole&#269;nost\IS%20v%20&#269;&#237;slech\IS_2018\grafy\IS2018_Grafy_Shrnut&#237;_G.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ABFS2\DATA\DATA\ZPRAC\TECHNOL\oddeleni_6302\2_Informa&#269;n&#237;%20spole&#269;nost\IS%20v%20&#269;&#237;slech\IS_2018\grafy\IS2018_Grafy_Shrnut&#237;_G.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ABFS2\DATA\DATA\ZPRAC\TECHNOL\oddeleni_6302\2_Informa&#269;n&#237;%20spole&#269;nost\IS%20v%20&#269;&#237;slech\IS_2018\grafy\IS2018_Grafy_Shrnut&#237;_G.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ABFS2\DATA\DATA\ZPRAC\TECHNOL\oddeleni_6302\2_Informa&#269;n&#237;%20spole&#269;nost\IS%20v%20&#269;&#237;slech\IS_2018\grafy\IS2018_Grafy_Shrnut&#237;_G.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ABFS2\DATA\DATA\ZPRAC\TECHNOL\oddeleni_6302\2_Informa&#269;n&#237;%20spole&#269;nost\IS%20v%20&#269;&#237;slech\IS_2018\grafy\IS2018_Grafy_Shrnut&#237;_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a:pPr>
            <a:r>
              <a:rPr lang="cs-CZ" sz="800" b="1"/>
              <a:t>Graf</a:t>
            </a:r>
            <a:r>
              <a:rPr lang="cs-CZ" sz="800" b="1" baseline="0"/>
              <a:t> G1 Samostatné </a:t>
            </a:r>
            <a:r>
              <a:rPr lang="cs-CZ" sz="800" b="1" i="0" u="none" strike="noStrike" baseline="0">
                <a:effectLst/>
              </a:rPr>
              <a:t>ordinace lékařů v Česku s připojením k internetu a vlastními webovými stránkami (%)*</a:t>
            </a:r>
            <a:endParaRPr lang="en-US" sz="800" b="1"/>
          </a:p>
        </c:rich>
      </c:tx>
      <c:layout/>
      <c:overlay val="0"/>
    </c:title>
    <c:autoTitleDeleted val="0"/>
    <c:plotArea>
      <c:layout>
        <c:manualLayout>
          <c:layoutTarget val="inner"/>
          <c:xMode val="edge"/>
          <c:yMode val="edge"/>
          <c:x val="0.14552515815817371"/>
          <c:y val="0.14807839506172846"/>
          <c:w val="0.80679200568240905"/>
          <c:h val="0.70463950617283977"/>
        </c:manualLayout>
      </c:layout>
      <c:barChart>
        <c:barDir val="bar"/>
        <c:grouping val="clustered"/>
        <c:varyColors val="0"/>
        <c:ser>
          <c:idx val="0"/>
          <c:order val="0"/>
          <c:tx>
            <c:strRef>
              <c:f>G_CZ!$J$3</c:f>
              <c:strCache>
                <c:ptCount val="1"/>
                <c:pt idx="0">
                  <c:v> internet</c:v>
                </c:pt>
              </c:strCache>
            </c:strRef>
          </c:tx>
          <c:spPr>
            <a:solidFill>
              <a:srgbClr val="47E5FF"/>
            </a:solidFill>
          </c:spPr>
          <c:invertIfNegative val="0"/>
          <c:dLbls>
            <c:spPr>
              <a:noFill/>
              <a:ln>
                <a:noFill/>
              </a:ln>
              <a:effectLst/>
            </c:spPr>
            <c:txPr>
              <a:bodyPr/>
              <a:lstStyle/>
              <a:p>
                <a:pPr>
                  <a:defRPr sz="800" b="1">
                    <a:solidFill>
                      <a:sysClr val="windowText" lastClr="000000"/>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G_CZ!$I$4:$I$6</c:f>
              <c:strCache>
                <c:ptCount val="3"/>
                <c:pt idx="0">
                  <c:v>2016</c:v>
                </c:pt>
                <c:pt idx="1">
                  <c:v>2011</c:v>
                </c:pt>
                <c:pt idx="2">
                  <c:v> 2006</c:v>
                </c:pt>
              </c:strCache>
            </c:strRef>
          </c:cat>
          <c:val>
            <c:numRef>
              <c:f>G_CZ!$J$4:$J$6</c:f>
              <c:numCache>
                <c:formatCode>0%</c:formatCode>
                <c:ptCount val="3"/>
                <c:pt idx="0">
                  <c:v>0.92254411522181301</c:v>
                </c:pt>
                <c:pt idx="1">
                  <c:v>0.77</c:v>
                </c:pt>
                <c:pt idx="2">
                  <c:v>0.60259724643780432</c:v>
                </c:pt>
              </c:numCache>
            </c:numRef>
          </c:val>
          <c:extLst xmlns:c16r2="http://schemas.microsoft.com/office/drawing/2015/06/chart">
            <c:ext xmlns:c16="http://schemas.microsoft.com/office/drawing/2014/chart" uri="{C3380CC4-5D6E-409C-BE32-E72D297353CC}">
              <c16:uniqueId val="{00000000-1CBE-47BD-8267-2F457A5D8EE5}"/>
            </c:ext>
          </c:extLst>
        </c:ser>
        <c:ser>
          <c:idx val="1"/>
          <c:order val="1"/>
          <c:tx>
            <c:strRef>
              <c:f>G_CZ!$K$3</c:f>
              <c:strCache>
                <c:ptCount val="1"/>
                <c:pt idx="0">
                  <c:v> webové stránky</c:v>
                </c:pt>
              </c:strCache>
            </c:strRef>
          </c:tx>
          <c:spPr>
            <a:solidFill>
              <a:srgbClr val="009BB4"/>
            </a:solidFill>
          </c:spPr>
          <c:invertIfNegative val="0"/>
          <c:dLbls>
            <c:dLbl>
              <c:idx val="1"/>
              <c:layout>
                <c:manualLayout>
                  <c:x val="-9.5025578099680139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1CBE-47BD-8267-2F457A5D8EE5}"/>
                </c:ext>
              </c:extLst>
            </c:dLbl>
            <c:dLbl>
              <c:idx val="2"/>
              <c:layout>
                <c:manualLayout>
                  <c:x val="-9.3066993464052283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1CBE-47BD-8267-2F457A5D8EE5}"/>
                </c:ext>
              </c:extLst>
            </c:dLbl>
            <c:spPr>
              <a:noFill/>
              <a:ln>
                <a:noFill/>
              </a:ln>
              <a:effectLst/>
            </c:spPr>
            <c:txPr>
              <a:bodyPr/>
              <a:lstStyle/>
              <a:p>
                <a:pPr>
                  <a:defRPr sz="800" b="1">
                    <a:solidFill>
                      <a:schemeClr val="bg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G_CZ!$I$4:$I$6</c:f>
              <c:strCache>
                <c:ptCount val="3"/>
                <c:pt idx="0">
                  <c:v>2016</c:v>
                </c:pt>
                <c:pt idx="1">
                  <c:v>2011</c:v>
                </c:pt>
                <c:pt idx="2">
                  <c:v> 2006</c:v>
                </c:pt>
              </c:strCache>
            </c:strRef>
          </c:cat>
          <c:val>
            <c:numRef>
              <c:f>G_CZ!$K$4:$K$6</c:f>
              <c:numCache>
                <c:formatCode>0%</c:formatCode>
                <c:ptCount val="3"/>
                <c:pt idx="0">
                  <c:v>0.36111263811775102</c:v>
                </c:pt>
                <c:pt idx="1">
                  <c:v>0.23</c:v>
                </c:pt>
                <c:pt idx="2">
                  <c:v>9.9921842121084584E-2</c:v>
                </c:pt>
              </c:numCache>
            </c:numRef>
          </c:val>
          <c:extLst xmlns:c16r2="http://schemas.microsoft.com/office/drawing/2015/06/chart">
            <c:ext xmlns:c16="http://schemas.microsoft.com/office/drawing/2014/chart" uri="{C3380CC4-5D6E-409C-BE32-E72D297353CC}">
              <c16:uniqueId val="{00000003-1CBE-47BD-8267-2F457A5D8EE5}"/>
            </c:ext>
          </c:extLst>
        </c:ser>
        <c:dLbls>
          <c:showLegendKey val="0"/>
          <c:showVal val="0"/>
          <c:showCatName val="0"/>
          <c:showSerName val="0"/>
          <c:showPercent val="0"/>
          <c:showBubbleSize val="0"/>
        </c:dLbls>
        <c:gapWidth val="30"/>
        <c:axId val="224905728"/>
        <c:axId val="226023040"/>
      </c:barChart>
      <c:catAx>
        <c:axId val="224905728"/>
        <c:scaling>
          <c:orientation val="minMax"/>
        </c:scaling>
        <c:delete val="0"/>
        <c:axPos val="l"/>
        <c:numFmt formatCode="General" sourceLinked="1"/>
        <c:majorTickMark val="out"/>
        <c:minorTickMark val="none"/>
        <c:tickLblPos val="nextTo"/>
        <c:spPr>
          <a:ln>
            <a:solidFill>
              <a:schemeClr val="tx1"/>
            </a:solidFill>
          </a:ln>
        </c:spPr>
        <c:crossAx val="226023040"/>
        <c:crosses val="autoZero"/>
        <c:auto val="1"/>
        <c:lblAlgn val="ctr"/>
        <c:lblOffset val="100"/>
        <c:noMultiLvlLbl val="0"/>
      </c:catAx>
      <c:valAx>
        <c:axId val="226023040"/>
        <c:scaling>
          <c:orientation val="minMax"/>
          <c:max val="1"/>
        </c:scaling>
        <c:delete val="0"/>
        <c:axPos val="b"/>
        <c:numFmt formatCode="0%" sourceLinked="1"/>
        <c:majorTickMark val="none"/>
        <c:minorTickMark val="none"/>
        <c:tickLblPos val="none"/>
        <c:crossAx val="224905728"/>
        <c:crosses val="autoZero"/>
        <c:crossBetween val="between"/>
        <c:majorUnit val="0.1"/>
        <c:minorUnit val="5.0000000000000024E-2"/>
      </c:valAx>
      <c:spPr>
        <a:ln w="12700">
          <a:solidFill>
            <a:schemeClr val="bg1">
              <a:lumMod val="65000"/>
            </a:schemeClr>
          </a:solidFill>
        </a:ln>
      </c:spPr>
    </c:plotArea>
    <c:legend>
      <c:legendPos val="r"/>
      <c:layout>
        <c:manualLayout>
          <c:xMode val="edge"/>
          <c:yMode val="edge"/>
          <c:x val="0.64777287581699361"/>
          <c:y val="0.20575679012345685"/>
          <c:w val="0.26305915032679733"/>
          <c:h val="0.20245216049382725"/>
        </c:manualLayout>
      </c:layout>
      <c:overlay val="0"/>
      <c:spPr>
        <a:solidFill>
          <a:schemeClr val="bg1"/>
        </a:solidFill>
        <a:ln>
          <a:solidFill>
            <a:schemeClr val="bg1">
              <a:lumMod val="50000"/>
            </a:schemeClr>
          </a:solidFill>
        </a:ln>
      </c:spPr>
    </c:legend>
    <c:plotVisOnly val="1"/>
    <c:dispBlanksAs val="gap"/>
    <c:showDLblsOverMax val="0"/>
  </c:chart>
  <c:spPr>
    <a:ln>
      <a:noFill/>
    </a:ln>
  </c:spPr>
  <c:txPr>
    <a:bodyPr/>
    <a:lstStyle/>
    <a:p>
      <a:pPr>
        <a:defRPr sz="800" b="0">
          <a:latin typeface="Arial" pitchFamily="34" charset="0"/>
          <a:cs typeface="Arial" pitchFamily="34" charset="0"/>
        </a:defRPr>
      </a:pPr>
      <a:endParaRPr lang="cs-CZ"/>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273246915470549"/>
          <c:y val="0.10939430648092069"/>
          <c:w val="0.71867705504675461"/>
          <c:h val="0.76690709876543239"/>
        </c:manualLayout>
      </c:layout>
      <c:barChart>
        <c:barDir val="bar"/>
        <c:grouping val="clustered"/>
        <c:varyColors val="0"/>
        <c:ser>
          <c:idx val="0"/>
          <c:order val="0"/>
          <c:tx>
            <c:strRef>
              <c:f>G_CZ!$I$161</c:f>
              <c:strCache>
                <c:ptCount val="1"/>
                <c:pt idx="0">
                  <c:v> muži</c:v>
                </c:pt>
              </c:strCache>
            </c:strRef>
          </c:tx>
          <c:spPr>
            <a:solidFill>
              <a:srgbClr val="ABF3FF"/>
            </a:solidFill>
          </c:spPr>
          <c:invertIfNegative val="0"/>
          <c:dLbls>
            <c:spPr>
              <a:noFill/>
              <a:ln>
                <a:noFill/>
              </a:ln>
              <a:effectLst/>
            </c:spPr>
            <c:txPr>
              <a:bodyPr/>
              <a:lstStyle/>
              <a:p>
                <a:pPr>
                  <a:defRPr sz="800" b="1">
                    <a:solidFill>
                      <a:sysClr val="windowText" lastClr="000000"/>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G_CZ!$H$162:$H$165</c:f>
              <c:strCache>
                <c:ptCount val="4"/>
                <c:pt idx="0">
                  <c:v> 2017</c:v>
                </c:pt>
                <c:pt idx="1">
                  <c:v> 2016</c:v>
                </c:pt>
                <c:pt idx="2">
                  <c:v> 2015</c:v>
                </c:pt>
                <c:pt idx="3">
                  <c:v> 2007</c:v>
                </c:pt>
              </c:strCache>
            </c:strRef>
          </c:cat>
          <c:val>
            <c:numRef>
              <c:f>G_CZ!$I$162:$I$165</c:f>
              <c:numCache>
                <c:formatCode>0%</c:formatCode>
                <c:ptCount val="4"/>
                <c:pt idx="0">
                  <c:v>0.35733941656089629</c:v>
                </c:pt>
                <c:pt idx="1">
                  <c:v>0.31</c:v>
                </c:pt>
                <c:pt idx="2">
                  <c:v>0.26350200389694001</c:v>
                </c:pt>
                <c:pt idx="3">
                  <c:v>6.5092056939897627E-2</c:v>
                </c:pt>
              </c:numCache>
            </c:numRef>
          </c:val>
          <c:extLst xmlns:c16r2="http://schemas.microsoft.com/office/drawing/2015/06/chart">
            <c:ext xmlns:c16="http://schemas.microsoft.com/office/drawing/2014/chart" uri="{C3380CC4-5D6E-409C-BE32-E72D297353CC}">
              <c16:uniqueId val="{00000000-C24F-46FB-9EE1-BF1C26F2E0C3}"/>
            </c:ext>
          </c:extLst>
        </c:ser>
        <c:ser>
          <c:idx val="1"/>
          <c:order val="1"/>
          <c:tx>
            <c:strRef>
              <c:f>G_CZ!$J$161</c:f>
              <c:strCache>
                <c:ptCount val="1"/>
                <c:pt idx="0">
                  <c:v> ženy</c:v>
                </c:pt>
              </c:strCache>
            </c:strRef>
          </c:tx>
          <c:spPr>
            <a:solidFill>
              <a:srgbClr val="47E5FF"/>
            </a:solidFill>
          </c:spPr>
          <c:invertIfNegative val="0"/>
          <c:dLbls>
            <c:spPr>
              <a:noFill/>
              <a:ln>
                <a:noFill/>
              </a:ln>
              <a:effectLst/>
            </c:spPr>
            <c:txPr>
              <a:bodyPr/>
              <a:lstStyle/>
              <a:p>
                <a:pPr>
                  <a:defRPr sz="800" b="1">
                    <a:solidFill>
                      <a:sysClr val="windowText" lastClr="000000"/>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G_CZ!$H$162:$H$165</c:f>
              <c:strCache>
                <c:ptCount val="4"/>
                <c:pt idx="0">
                  <c:v> 2017</c:v>
                </c:pt>
                <c:pt idx="1">
                  <c:v> 2016</c:v>
                </c:pt>
                <c:pt idx="2">
                  <c:v> 2015</c:v>
                </c:pt>
                <c:pt idx="3">
                  <c:v> 2007</c:v>
                </c:pt>
              </c:strCache>
            </c:strRef>
          </c:cat>
          <c:val>
            <c:numRef>
              <c:f>G_CZ!$J$162:$J$165</c:f>
              <c:numCache>
                <c:formatCode>0%</c:formatCode>
                <c:ptCount val="4"/>
                <c:pt idx="0">
                  <c:v>0.59350765160197472</c:v>
                </c:pt>
                <c:pt idx="1">
                  <c:v>0.53799999999999992</c:v>
                </c:pt>
                <c:pt idx="2">
                  <c:v>0.47851148170255797</c:v>
                </c:pt>
                <c:pt idx="3">
                  <c:v>0.13117896128414283</c:v>
                </c:pt>
              </c:numCache>
            </c:numRef>
          </c:val>
          <c:extLst xmlns:c16r2="http://schemas.microsoft.com/office/drawing/2015/06/chart">
            <c:ext xmlns:c16="http://schemas.microsoft.com/office/drawing/2014/chart" uri="{C3380CC4-5D6E-409C-BE32-E72D297353CC}">
              <c16:uniqueId val="{00000001-C24F-46FB-9EE1-BF1C26F2E0C3}"/>
            </c:ext>
          </c:extLst>
        </c:ser>
        <c:ser>
          <c:idx val="2"/>
          <c:order val="2"/>
          <c:tx>
            <c:strRef>
              <c:f>G_CZ!$K$161</c:f>
              <c:strCache>
                <c:ptCount val="1"/>
                <c:pt idx="0">
                  <c:v> Celkem</c:v>
                </c:pt>
              </c:strCache>
            </c:strRef>
          </c:tx>
          <c:spPr>
            <a:solidFill>
              <a:srgbClr val="009BB4"/>
            </a:solidFill>
          </c:spPr>
          <c:invertIfNegative val="0"/>
          <c:dLbls>
            <c:dLbl>
              <c:idx val="3"/>
              <c:layout>
                <c:manualLayout>
                  <c:x val="-8.3743782730435687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C24F-46FB-9EE1-BF1C26F2E0C3}"/>
                </c:ext>
              </c:extLst>
            </c:dLbl>
            <c:spPr>
              <a:noFill/>
              <a:ln>
                <a:noFill/>
              </a:ln>
              <a:effectLst/>
            </c:spPr>
            <c:txPr>
              <a:bodyPr/>
              <a:lstStyle/>
              <a:p>
                <a:pPr>
                  <a:defRPr b="1">
                    <a:solidFill>
                      <a:schemeClr val="bg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G_CZ!$H$162:$H$165</c:f>
              <c:strCache>
                <c:ptCount val="4"/>
                <c:pt idx="0">
                  <c:v> 2017</c:v>
                </c:pt>
                <c:pt idx="1">
                  <c:v> 2016</c:v>
                </c:pt>
                <c:pt idx="2">
                  <c:v> 2015</c:v>
                </c:pt>
                <c:pt idx="3">
                  <c:v> 2007</c:v>
                </c:pt>
              </c:strCache>
            </c:strRef>
          </c:cat>
          <c:val>
            <c:numRef>
              <c:f>G_CZ!$K$162:$K$165</c:f>
              <c:numCache>
                <c:formatCode>0%</c:formatCode>
                <c:ptCount val="4"/>
                <c:pt idx="0">
                  <c:v>0.47652253587490034</c:v>
                </c:pt>
                <c:pt idx="1">
                  <c:v>0.42700000000000005</c:v>
                </c:pt>
                <c:pt idx="2">
                  <c:v>0.373497262568807</c:v>
                </c:pt>
                <c:pt idx="3">
                  <c:v>9.9179650000000008E-2</c:v>
                </c:pt>
              </c:numCache>
            </c:numRef>
          </c:val>
          <c:extLst xmlns:c16r2="http://schemas.microsoft.com/office/drawing/2015/06/chart">
            <c:ext xmlns:c16="http://schemas.microsoft.com/office/drawing/2014/chart" uri="{C3380CC4-5D6E-409C-BE32-E72D297353CC}">
              <c16:uniqueId val="{00000003-C24F-46FB-9EE1-BF1C26F2E0C3}"/>
            </c:ext>
          </c:extLst>
        </c:ser>
        <c:dLbls>
          <c:showLegendKey val="0"/>
          <c:showVal val="0"/>
          <c:showCatName val="0"/>
          <c:showSerName val="0"/>
          <c:showPercent val="0"/>
          <c:showBubbleSize val="0"/>
        </c:dLbls>
        <c:gapWidth val="30"/>
        <c:axId val="50192384"/>
        <c:axId val="49935424"/>
      </c:barChart>
      <c:catAx>
        <c:axId val="50192384"/>
        <c:scaling>
          <c:orientation val="minMax"/>
        </c:scaling>
        <c:delete val="0"/>
        <c:axPos val="l"/>
        <c:numFmt formatCode="General" sourceLinked="1"/>
        <c:majorTickMark val="out"/>
        <c:minorTickMark val="none"/>
        <c:tickLblPos val="nextTo"/>
        <c:spPr>
          <a:ln>
            <a:solidFill>
              <a:schemeClr val="tx1"/>
            </a:solidFill>
          </a:ln>
        </c:spPr>
        <c:crossAx val="49935424"/>
        <c:crosses val="autoZero"/>
        <c:auto val="1"/>
        <c:lblAlgn val="ctr"/>
        <c:lblOffset val="100"/>
        <c:noMultiLvlLbl val="0"/>
      </c:catAx>
      <c:valAx>
        <c:axId val="49935424"/>
        <c:scaling>
          <c:orientation val="minMax"/>
          <c:max val="1"/>
          <c:min val="0"/>
        </c:scaling>
        <c:delete val="0"/>
        <c:axPos val="b"/>
        <c:numFmt formatCode="0%" sourceLinked="1"/>
        <c:majorTickMark val="none"/>
        <c:minorTickMark val="none"/>
        <c:tickLblPos val="none"/>
        <c:crossAx val="50192384"/>
        <c:crosses val="autoZero"/>
        <c:crossBetween val="between"/>
        <c:majorUnit val="0.1"/>
        <c:minorUnit val="4.0000000000000022E-2"/>
      </c:valAx>
      <c:spPr>
        <a:ln w="12700">
          <a:solidFill>
            <a:schemeClr val="bg1">
              <a:lumMod val="65000"/>
            </a:schemeClr>
          </a:solidFill>
        </a:ln>
      </c:spPr>
    </c:plotArea>
    <c:legend>
      <c:legendPos val="r"/>
      <c:layout>
        <c:manualLayout>
          <c:xMode val="edge"/>
          <c:yMode val="edge"/>
          <c:x val="0.64033239749957505"/>
          <c:y val="0.40475822225436398"/>
          <c:w val="0.22748012905341114"/>
          <c:h val="0.1936805389994023"/>
        </c:manualLayout>
      </c:layout>
      <c:overlay val="0"/>
      <c:spPr>
        <a:solidFill>
          <a:schemeClr val="bg1"/>
        </a:solidFill>
        <a:ln>
          <a:solidFill>
            <a:schemeClr val="bg1">
              <a:lumMod val="50000"/>
            </a:schemeClr>
          </a:solidFill>
        </a:ln>
      </c:spPr>
    </c:legend>
    <c:plotVisOnly val="1"/>
    <c:dispBlanksAs val="gap"/>
    <c:showDLblsOverMax val="0"/>
  </c:chart>
  <c:spPr>
    <a:ln>
      <a:noFill/>
    </a:ln>
  </c:spPr>
  <c:txPr>
    <a:bodyPr/>
    <a:lstStyle/>
    <a:p>
      <a:pPr>
        <a:defRPr sz="800" b="0">
          <a:latin typeface="Arial" pitchFamily="34" charset="0"/>
          <a:cs typeface="Arial" pitchFamily="34" charset="0"/>
        </a:defRPr>
      </a:pPr>
      <a:endParaRPr lang="cs-CZ"/>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en-US" sz="800"/>
              <a:t>Graf </a:t>
            </a:r>
            <a:r>
              <a:rPr lang="cs-CZ" sz="800"/>
              <a:t>G11</a:t>
            </a:r>
            <a:r>
              <a:rPr lang="cs-CZ" sz="800" baseline="0"/>
              <a:t> </a:t>
            </a:r>
            <a:r>
              <a:rPr lang="cs-CZ" sz="800"/>
              <a:t>Jednotlivci </a:t>
            </a:r>
            <a:r>
              <a:rPr lang="en-US" sz="800"/>
              <a:t>v zemích EU vyhledávající na internetu informace o zdra</a:t>
            </a:r>
            <a:r>
              <a:rPr lang="cs-CZ" sz="800"/>
              <a:t>ví</a:t>
            </a:r>
            <a:r>
              <a:rPr lang="cs-CZ" sz="800" baseline="0"/>
              <a:t> </a:t>
            </a:r>
            <a:r>
              <a:rPr lang="cs-CZ" sz="800"/>
              <a:t> </a:t>
            </a:r>
            <a:r>
              <a:rPr lang="en-US" sz="800"/>
              <a:t>(%)</a:t>
            </a:r>
            <a:r>
              <a:rPr lang="cs-CZ" sz="800"/>
              <a:t>*</a:t>
            </a:r>
            <a:endParaRPr lang="en-US" sz="800"/>
          </a:p>
        </c:rich>
      </c:tx>
      <c:layout>
        <c:manualLayout>
          <c:xMode val="edge"/>
          <c:yMode val="edge"/>
          <c:x val="0.17111085994633446"/>
          <c:y val="3.4828091856918583E-2"/>
        </c:manualLayout>
      </c:layout>
      <c:overlay val="0"/>
    </c:title>
    <c:autoTitleDeleted val="0"/>
    <c:plotArea>
      <c:layout>
        <c:manualLayout>
          <c:layoutTarget val="inner"/>
          <c:xMode val="edge"/>
          <c:yMode val="edge"/>
          <c:x val="5.7649183006535945E-2"/>
          <c:y val="0.12188240740740741"/>
          <c:w val="0.91241813725490184"/>
          <c:h val="0.54649628555827789"/>
        </c:manualLayout>
      </c:layout>
      <c:barChart>
        <c:barDir val="col"/>
        <c:grouping val="clustered"/>
        <c:varyColors val="0"/>
        <c:ser>
          <c:idx val="0"/>
          <c:order val="0"/>
          <c:tx>
            <c:strRef>
              <c:f>G_CZ!$S$162</c:f>
              <c:strCache>
                <c:ptCount val="1"/>
                <c:pt idx="0">
                  <c:v> 2017</c:v>
                </c:pt>
              </c:strCache>
            </c:strRef>
          </c:tx>
          <c:spPr>
            <a:solidFill>
              <a:srgbClr val="009BB4"/>
            </a:solidFill>
            <a:ln>
              <a:noFill/>
            </a:ln>
          </c:spPr>
          <c:invertIfNegative val="0"/>
          <c:dPt>
            <c:idx val="8"/>
            <c:invertIfNegative val="0"/>
            <c:bubble3D val="0"/>
            <c:spPr>
              <a:solidFill>
                <a:srgbClr val="009BB4"/>
              </a:solidFill>
              <a:ln w="9525">
                <a:noFill/>
              </a:ln>
            </c:spPr>
            <c:extLst xmlns:c16r2="http://schemas.microsoft.com/office/drawing/2015/06/chart">
              <c:ext xmlns:c16="http://schemas.microsoft.com/office/drawing/2014/chart" uri="{C3380CC4-5D6E-409C-BE32-E72D297353CC}">
                <c16:uniqueId val="{00000001-3B5D-4E5E-B623-B53ABEE8B854}"/>
              </c:ext>
            </c:extLst>
          </c:dPt>
          <c:dPt>
            <c:idx val="13"/>
            <c:invertIfNegative val="0"/>
            <c:bubble3D val="0"/>
            <c:spPr>
              <a:solidFill>
                <a:srgbClr val="009BB4"/>
              </a:solidFill>
              <a:ln w="19050">
                <a:noFill/>
              </a:ln>
            </c:spPr>
            <c:extLst xmlns:c16r2="http://schemas.microsoft.com/office/drawing/2015/06/chart">
              <c:ext xmlns:c16="http://schemas.microsoft.com/office/drawing/2014/chart" uri="{C3380CC4-5D6E-409C-BE32-E72D297353CC}">
                <c16:uniqueId val="{00000003-3B5D-4E5E-B623-B53ABEE8B854}"/>
              </c:ext>
            </c:extLst>
          </c:dPt>
          <c:dPt>
            <c:idx val="17"/>
            <c:invertIfNegative val="0"/>
            <c:bubble3D val="0"/>
            <c:spPr>
              <a:solidFill>
                <a:srgbClr val="009BB4"/>
              </a:solidFill>
              <a:ln>
                <a:solidFill>
                  <a:srgbClr val="FF0000"/>
                </a:solidFill>
              </a:ln>
            </c:spPr>
            <c:extLst xmlns:c16r2="http://schemas.microsoft.com/office/drawing/2015/06/chart">
              <c:ext xmlns:c16="http://schemas.microsoft.com/office/drawing/2014/chart" uri="{C3380CC4-5D6E-409C-BE32-E72D297353CC}">
                <c16:uniqueId val="{00000005-3B5D-4E5E-B623-B53ABEE8B854}"/>
              </c:ext>
            </c:extLst>
          </c:dPt>
          <c:dPt>
            <c:idx val="18"/>
            <c:invertIfNegative val="0"/>
            <c:bubble3D val="0"/>
            <c:spPr>
              <a:solidFill>
                <a:srgbClr val="009BB4"/>
              </a:solidFill>
              <a:ln>
                <a:solidFill>
                  <a:srgbClr val="FF0000"/>
                </a:solidFill>
              </a:ln>
            </c:spPr>
            <c:extLst xmlns:c16r2="http://schemas.microsoft.com/office/drawing/2015/06/chart">
              <c:ext xmlns:c16="http://schemas.microsoft.com/office/drawing/2014/chart" uri="{C3380CC4-5D6E-409C-BE32-E72D297353CC}">
                <c16:uniqueId val="{00000007-3B5D-4E5E-B623-B53ABEE8B854}"/>
              </c:ext>
            </c:extLst>
          </c:dPt>
          <c:dPt>
            <c:idx val="21"/>
            <c:invertIfNegative val="0"/>
            <c:bubble3D val="0"/>
            <c:extLst xmlns:c16r2="http://schemas.microsoft.com/office/drawing/2015/06/chart">
              <c:ext xmlns:c16="http://schemas.microsoft.com/office/drawing/2014/chart" uri="{C3380CC4-5D6E-409C-BE32-E72D297353CC}">
                <c16:uniqueId val="{00000008-3B5D-4E5E-B623-B53ABEE8B854}"/>
              </c:ext>
            </c:extLst>
          </c:dPt>
          <c:dPt>
            <c:idx val="23"/>
            <c:invertIfNegative val="0"/>
            <c:bubble3D val="0"/>
            <c:extLst xmlns:c16r2="http://schemas.microsoft.com/office/drawing/2015/06/chart">
              <c:ext xmlns:c16="http://schemas.microsoft.com/office/drawing/2014/chart" uri="{C3380CC4-5D6E-409C-BE32-E72D297353CC}">
                <c16:uniqueId val="{00000009-3B5D-4E5E-B623-B53ABEE8B854}"/>
              </c:ext>
            </c:extLst>
          </c:dPt>
          <c:dLbls>
            <c:spPr>
              <a:noFill/>
              <a:ln>
                <a:noFill/>
              </a:ln>
              <a:effectLst/>
            </c:spPr>
            <c:txPr>
              <a:bodyPr rot="-5400000" vert="horz"/>
              <a:lstStyle/>
              <a:p>
                <a:pPr>
                  <a:defRPr sz="800" b="1"/>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G_CZ!$R$163:$R$191</c:f>
              <c:strCache>
                <c:ptCount val="29"/>
                <c:pt idx="0">
                  <c:v>Nizozemsko</c:v>
                </c:pt>
                <c:pt idx="1">
                  <c:v>Finsko</c:v>
                </c:pt>
                <c:pt idx="2">
                  <c:v>Lucembursko</c:v>
                </c:pt>
                <c:pt idx="3">
                  <c:v>Dánsko</c:v>
                </c:pt>
                <c:pt idx="4">
                  <c:v>Švédsko</c:v>
                </c:pt>
                <c:pt idx="5">
                  <c:v>Německo</c:v>
                </c:pt>
                <c:pt idx="6">
                  <c:v>Malta</c:v>
                </c:pt>
                <c:pt idx="7">
                  <c:v>Estonsko</c:v>
                </c:pt>
                <c:pt idx="8">
                  <c:v>Kypr</c:v>
                </c:pt>
                <c:pt idx="9">
                  <c:v>Maďarsko</c:v>
                </c:pt>
                <c:pt idx="10">
                  <c:v>Španělsko</c:v>
                </c:pt>
                <c:pt idx="11">
                  <c:v>Velká Británie</c:v>
                </c:pt>
                <c:pt idx="12">
                  <c:v>Litva</c:v>
                </c:pt>
                <c:pt idx="13">
                  <c:v>Slovinsko</c:v>
                </c:pt>
                <c:pt idx="14">
                  <c:v>Rakousko</c:v>
                </c:pt>
                <c:pt idx="15">
                  <c:v>Chorvatsko</c:v>
                </c:pt>
                <c:pt idx="16">
                  <c:v>Belgie</c:v>
                </c:pt>
                <c:pt idx="17">
                  <c:v>Česko</c:v>
                </c:pt>
                <c:pt idx="18">
                  <c:v>EU28</c:v>
                </c:pt>
                <c:pt idx="19">
                  <c:v>Portugalsko</c:v>
                </c:pt>
                <c:pt idx="20">
                  <c:v>Slovensko</c:v>
                </c:pt>
                <c:pt idx="21">
                  <c:v>Řecko</c:v>
                </c:pt>
                <c:pt idx="22">
                  <c:v>Polsko</c:v>
                </c:pt>
                <c:pt idx="23">
                  <c:v>Francie</c:v>
                </c:pt>
                <c:pt idx="24">
                  <c:v>Lotyšsko</c:v>
                </c:pt>
                <c:pt idx="25">
                  <c:v>Irsko</c:v>
                </c:pt>
                <c:pt idx="26">
                  <c:v>Bulharsko</c:v>
                </c:pt>
                <c:pt idx="27">
                  <c:v>Itálie</c:v>
                </c:pt>
                <c:pt idx="28">
                  <c:v>Rumunsko</c:v>
                </c:pt>
              </c:strCache>
            </c:strRef>
          </c:cat>
          <c:val>
            <c:numRef>
              <c:f>G_CZ!$S$163:$S$191</c:f>
              <c:numCache>
                <c:formatCode>0%</c:formatCode>
                <c:ptCount val="29"/>
                <c:pt idx="0">
                  <c:v>0.71076799999999996</c:v>
                </c:pt>
                <c:pt idx="1">
                  <c:v>0.685033</c:v>
                </c:pt>
                <c:pt idx="2">
                  <c:v>0.64941099999999996</c:v>
                </c:pt>
                <c:pt idx="3">
                  <c:v>0.64147799999999999</c:v>
                </c:pt>
                <c:pt idx="4">
                  <c:v>0.64132599999999995</c:v>
                </c:pt>
                <c:pt idx="5">
                  <c:v>0.63421899999999998</c:v>
                </c:pt>
                <c:pt idx="6">
                  <c:v>0.59160800000000002</c:v>
                </c:pt>
                <c:pt idx="7">
                  <c:v>0.58724799999999999</c:v>
                </c:pt>
                <c:pt idx="8">
                  <c:v>0.57961099999999999</c:v>
                </c:pt>
                <c:pt idx="9">
                  <c:v>0.57714900000000002</c:v>
                </c:pt>
                <c:pt idx="10">
                  <c:v>0.56942599999999999</c:v>
                </c:pt>
                <c:pt idx="11">
                  <c:v>0.56735400000000002</c:v>
                </c:pt>
                <c:pt idx="12">
                  <c:v>0.55138200000000004</c:v>
                </c:pt>
                <c:pt idx="13">
                  <c:v>0.54497300000000004</c:v>
                </c:pt>
                <c:pt idx="14">
                  <c:v>0.53748099999999999</c:v>
                </c:pt>
                <c:pt idx="15">
                  <c:v>0.527729</c:v>
                </c:pt>
                <c:pt idx="16">
                  <c:v>0.51961400000000002</c:v>
                </c:pt>
                <c:pt idx="17">
                  <c:v>0.51389099999999999</c:v>
                </c:pt>
                <c:pt idx="18">
                  <c:v>0.51083500000000004</c:v>
                </c:pt>
                <c:pt idx="19">
                  <c:v>0.50657399999999997</c:v>
                </c:pt>
                <c:pt idx="20">
                  <c:v>0.49873600000000001</c:v>
                </c:pt>
                <c:pt idx="21">
                  <c:v>0.47251900000000002</c:v>
                </c:pt>
                <c:pt idx="22">
                  <c:v>0.449988</c:v>
                </c:pt>
                <c:pt idx="23">
                  <c:v>0.43601200000000001</c:v>
                </c:pt>
                <c:pt idx="24">
                  <c:v>0.42629499999999998</c:v>
                </c:pt>
                <c:pt idx="25">
                  <c:v>0.37450899999999998</c:v>
                </c:pt>
                <c:pt idx="26">
                  <c:v>0.33648099999999997</c:v>
                </c:pt>
                <c:pt idx="27">
                  <c:v>0.32694099999999998</c:v>
                </c:pt>
                <c:pt idx="28">
                  <c:v>0.32600800000000002</c:v>
                </c:pt>
              </c:numCache>
            </c:numRef>
          </c:val>
          <c:extLst xmlns:c16r2="http://schemas.microsoft.com/office/drawing/2015/06/chart">
            <c:ext xmlns:c16="http://schemas.microsoft.com/office/drawing/2014/chart" uri="{C3380CC4-5D6E-409C-BE32-E72D297353CC}">
              <c16:uniqueId val="{0000000A-3B5D-4E5E-B623-B53ABEE8B854}"/>
            </c:ext>
          </c:extLst>
        </c:ser>
        <c:ser>
          <c:idx val="1"/>
          <c:order val="1"/>
          <c:tx>
            <c:strRef>
              <c:f>G_CZ!$T$162</c:f>
              <c:strCache>
                <c:ptCount val="1"/>
                <c:pt idx="0">
                  <c:v> 2007</c:v>
                </c:pt>
              </c:strCache>
            </c:strRef>
          </c:tx>
          <c:spPr>
            <a:solidFill>
              <a:srgbClr val="47E5FF"/>
            </a:solidFill>
            <a:ln>
              <a:noFill/>
            </a:ln>
          </c:spPr>
          <c:invertIfNegative val="0"/>
          <c:dPt>
            <c:idx val="8"/>
            <c:invertIfNegative val="0"/>
            <c:bubble3D val="0"/>
            <c:extLst xmlns:c16r2="http://schemas.microsoft.com/office/drawing/2015/06/chart">
              <c:ext xmlns:c16="http://schemas.microsoft.com/office/drawing/2014/chart" uri="{C3380CC4-5D6E-409C-BE32-E72D297353CC}">
                <c16:uniqueId val="{0000000B-3B5D-4E5E-B623-B53ABEE8B854}"/>
              </c:ext>
            </c:extLst>
          </c:dPt>
          <c:dPt>
            <c:idx val="17"/>
            <c:invertIfNegative val="0"/>
            <c:bubble3D val="0"/>
            <c:spPr>
              <a:solidFill>
                <a:srgbClr val="47E5FF"/>
              </a:solidFill>
              <a:ln>
                <a:solidFill>
                  <a:srgbClr val="FF0000"/>
                </a:solidFill>
              </a:ln>
            </c:spPr>
            <c:extLst xmlns:c16r2="http://schemas.microsoft.com/office/drawing/2015/06/chart">
              <c:ext xmlns:c16="http://schemas.microsoft.com/office/drawing/2014/chart" uri="{C3380CC4-5D6E-409C-BE32-E72D297353CC}">
                <c16:uniqueId val="{0000000D-3B5D-4E5E-B623-B53ABEE8B854}"/>
              </c:ext>
            </c:extLst>
          </c:dPt>
          <c:dPt>
            <c:idx val="18"/>
            <c:invertIfNegative val="0"/>
            <c:bubble3D val="0"/>
            <c:spPr>
              <a:solidFill>
                <a:srgbClr val="47E5FF"/>
              </a:solidFill>
              <a:ln>
                <a:solidFill>
                  <a:srgbClr val="FF0000"/>
                </a:solidFill>
              </a:ln>
            </c:spPr>
            <c:extLst xmlns:c16r2="http://schemas.microsoft.com/office/drawing/2015/06/chart">
              <c:ext xmlns:c16="http://schemas.microsoft.com/office/drawing/2014/chart" uri="{C3380CC4-5D6E-409C-BE32-E72D297353CC}">
                <c16:uniqueId val="{0000000F-3B5D-4E5E-B623-B53ABEE8B854}"/>
              </c:ext>
            </c:extLst>
          </c:dPt>
          <c:dPt>
            <c:idx val="21"/>
            <c:invertIfNegative val="0"/>
            <c:bubble3D val="0"/>
            <c:extLst xmlns:c16r2="http://schemas.microsoft.com/office/drawing/2015/06/chart">
              <c:ext xmlns:c16="http://schemas.microsoft.com/office/drawing/2014/chart" uri="{C3380CC4-5D6E-409C-BE32-E72D297353CC}">
                <c16:uniqueId val="{00000010-3B5D-4E5E-B623-B53ABEE8B854}"/>
              </c:ext>
            </c:extLst>
          </c:dPt>
          <c:dPt>
            <c:idx val="23"/>
            <c:invertIfNegative val="0"/>
            <c:bubble3D val="0"/>
            <c:extLst xmlns:c16r2="http://schemas.microsoft.com/office/drawing/2015/06/chart">
              <c:ext xmlns:c16="http://schemas.microsoft.com/office/drawing/2014/chart" uri="{C3380CC4-5D6E-409C-BE32-E72D297353CC}">
                <c16:uniqueId val="{00000011-3B5D-4E5E-B623-B53ABEE8B854}"/>
              </c:ext>
            </c:extLst>
          </c:dPt>
          <c:dLbls>
            <c:spPr>
              <a:noFill/>
              <a:ln>
                <a:noFill/>
              </a:ln>
              <a:effectLst/>
            </c:spPr>
            <c:txPr>
              <a:bodyPr rot="-5400000" vert="horz"/>
              <a:lstStyle/>
              <a:p>
                <a:pPr>
                  <a:defRPr b="1"/>
                </a:pPr>
                <a:endParaRPr lang="cs-CZ"/>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G_CZ!$R$163:$R$191</c:f>
              <c:strCache>
                <c:ptCount val="29"/>
                <c:pt idx="0">
                  <c:v>Nizozemsko</c:v>
                </c:pt>
                <c:pt idx="1">
                  <c:v>Finsko</c:v>
                </c:pt>
                <c:pt idx="2">
                  <c:v>Lucembursko</c:v>
                </c:pt>
                <c:pt idx="3">
                  <c:v>Dánsko</c:v>
                </c:pt>
                <c:pt idx="4">
                  <c:v>Švédsko</c:v>
                </c:pt>
                <c:pt idx="5">
                  <c:v>Německo</c:v>
                </c:pt>
                <c:pt idx="6">
                  <c:v>Malta</c:v>
                </c:pt>
                <c:pt idx="7">
                  <c:v>Estonsko</c:v>
                </c:pt>
                <c:pt idx="8">
                  <c:v>Kypr</c:v>
                </c:pt>
                <c:pt idx="9">
                  <c:v>Maďarsko</c:v>
                </c:pt>
                <c:pt idx="10">
                  <c:v>Španělsko</c:v>
                </c:pt>
                <c:pt idx="11">
                  <c:v>Velká Británie</c:v>
                </c:pt>
                <c:pt idx="12">
                  <c:v>Litva</c:v>
                </c:pt>
                <c:pt idx="13">
                  <c:v>Slovinsko</c:v>
                </c:pt>
                <c:pt idx="14">
                  <c:v>Rakousko</c:v>
                </c:pt>
                <c:pt idx="15">
                  <c:v>Chorvatsko</c:v>
                </c:pt>
                <c:pt idx="16">
                  <c:v>Belgie</c:v>
                </c:pt>
                <c:pt idx="17">
                  <c:v>Česko</c:v>
                </c:pt>
                <c:pt idx="18">
                  <c:v>EU28</c:v>
                </c:pt>
                <c:pt idx="19">
                  <c:v>Portugalsko</c:v>
                </c:pt>
                <c:pt idx="20">
                  <c:v>Slovensko</c:v>
                </c:pt>
                <c:pt idx="21">
                  <c:v>Řecko</c:v>
                </c:pt>
                <c:pt idx="22">
                  <c:v>Polsko</c:v>
                </c:pt>
                <c:pt idx="23">
                  <c:v>Francie</c:v>
                </c:pt>
                <c:pt idx="24">
                  <c:v>Lotyšsko</c:v>
                </c:pt>
                <c:pt idx="25">
                  <c:v>Irsko</c:v>
                </c:pt>
                <c:pt idx="26">
                  <c:v>Bulharsko</c:v>
                </c:pt>
                <c:pt idx="27">
                  <c:v>Itálie</c:v>
                </c:pt>
                <c:pt idx="28">
                  <c:v>Rumunsko</c:v>
                </c:pt>
              </c:strCache>
            </c:strRef>
          </c:cat>
          <c:val>
            <c:numRef>
              <c:f>G_CZ!$T$163:$T$191</c:f>
              <c:numCache>
                <c:formatCode>0%</c:formatCode>
                <c:ptCount val="29"/>
                <c:pt idx="0">
                  <c:v>0.45454800000000001</c:v>
                </c:pt>
                <c:pt idx="1">
                  <c:v>0.47137699999999999</c:v>
                </c:pt>
                <c:pt idx="2">
                  <c:v>0.483734</c:v>
                </c:pt>
                <c:pt idx="3">
                  <c:v>0.38031799999999999</c:v>
                </c:pt>
                <c:pt idx="4">
                  <c:v>0.25373699999999999</c:v>
                </c:pt>
                <c:pt idx="5">
                  <c:v>0.40864600000000001</c:v>
                </c:pt>
                <c:pt idx="6">
                  <c:v>0.202709</c:v>
                </c:pt>
                <c:pt idx="7">
                  <c:v>0.25626500000000002</c:v>
                </c:pt>
                <c:pt idx="8">
                  <c:v>0.14346600000000001</c:v>
                </c:pt>
                <c:pt idx="9">
                  <c:v>0.22079499999999999</c:v>
                </c:pt>
                <c:pt idx="10">
                  <c:v>0.20960699999999999</c:v>
                </c:pt>
                <c:pt idx="11">
                  <c:v>0.198462</c:v>
                </c:pt>
                <c:pt idx="12">
                  <c:v>0.191775</c:v>
                </c:pt>
                <c:pt idx="13">
                  <c:v>0.261351</c:v>
                </c:pt>
                <c:pt idx="14">
                  <c:v>0.273594</c:v>
                </c:pt>
                <c:pt idx="15">
                  <c:v>0.147399</c:v>
                </c:pt>
                <c:pt idx="16">
                  <c:v>0.25088300000000002</c:v>
                </c:pt>
                <c:pt idx="17">
                  <c:v>0.106977</c:v>
                </c:pt>
                <c:pt idx="18">
                  <c:v>0.23785300000000001</c:v>
                </c:pt>
                <c:pt idx="19">
                  <c:v>0.177785</c:v>
                </c:pt>
                <c:pt idx="20">
                  <c:v>0.16491600000000001</c:v>
                </c:pt>
                <c:pt idx="21">
                  <c:v>7.6630000000000004E-2</c:v>
                </c:pt>
                <c:pt idx="22">
                  <c:v>0.12756100000000001</c:v>
                </c:pt>
                <c:pt idx="23">
                  <c:v>0.29481099999999999</c:v>
                </c:pt>
                <c:pt idx="24">
                  <c:v>0.111515</c:v>
                </c:pt>
                <c:pt idx="25">
                  <c:v>0.126301</c:v>
                </c:pt>
                <c:pt idx="26">
                  <c:v>5.0269000000000001E-2</c:v>
                </c:pt>
                <c:pt idx="27">
                  <c:v>0.15747700000000001</c:v>
                </c:pt>
                <c:pt idx="28">
                  <c:v>6.2903000000000001E-2</c:v>
                </c:pt>
              </c:numCache>
            </c:numRef>
          </c:val>
          <c:extLst xmlns:c16r2="http://schemas.microsoft.com/office/drawing/2015/06/chart">
            <c:ext xmlns:c16="http://schemas.microsoft.com/office/drawing/2014/chart" uri="{C3380CC4-5D6E-409C-BE32-E72D297353CC}">
              <c16:uniqueId val="{00000012-3B5D-4E5E-B623-B53ABEE8B854}"/>
            </c:ext>
          </c:extLst>
        </c:ser>
        <c:dLbls>
          <c:showLegendKey val="0"/>
          <c:showVal val="0"/>
          <c:showCatName val="0"/>
          <c:showSerName val="0"/>
          <c:showPercent val="0"/>
          <c:showBubbleSize val="0"/>
        </c:dLbls>
        <c:gapWidth val="30"/>
        <c:axId val="50192896"/>
        <c:axId val="49937152"/>
      </c:barChart>
      <c:catAx>
        <c:axId val="50192896"/>
        <c:scaling>
          <c:orientation val="minMax"/>
        </c:scaling>
        <c:delete val="0"/>
        <c:axPos val="b"/>
        <c:numFmt formatCode="General" sourceLinked="0"/>
        <c:majorTickMark val="out"/>
        <c:minorTickMark val="none"/>
        <c:tickLblPos val="nextTo"/>
        <c:spPr>
          <a:ln>
            <a:solidFill>
              <a:schemeClr val="tx1"/>
            </a:solidFill>
          </a:ln>
        </c:spPr>
        <c:crossAx val="49937152"/>
        <c:crosses val="autoZero"/>
        <c:auto val="1"/>
        <c:lblAlgn val="ctr"/>
        <c:lblOffset val="100"/>
        <c:noMultiLvlLbl val="0"/>
      </c:catAx>
      <c:valAx>
        <c:axId val="49937152"/>
        <c:scaling>
          <c:orientation val="minMax"/>
          <c:max val="0.9"/>
          <c:min val="0"/>
        </c:scaling>
        <c:delete val="1"/>
        <c:axPos val="l"/>
        <c:numFmt formatCode="0%" sourceLinked="1"/>
        <c:majorTickMark val="out"/>
        <c:minorTickMark val="none"/>
        <c:tickLblPos val="nextTo"/>
        <c:crossAx val="50192896"/>
        <c:crosses val="autoZero"/>
        <c:crossBetween val="between"/>
        <c:majorUnit val="0.1"/>
        <c:minorUnit val="5.0000000000000024E-2"/>
      </c:valAx>
      <c:spPr>
        <a:ln>
          <a:solidFill>
            <a:schemeClr val="tx1">
              <a:tint val="75000"/>
              <a:shade val="95000"/>
              <a:satMod val="105000"/>
            </a:schemeClr>
          </a:solidFill>
        </a:ln>
      </c:spPr>
    </c:plotArea>
    <c:legend>
      <c:legendPos val="r"/>
      <c:layout>
        <c:manualLayout>
          <c:xMode val="edge"/>
          <c:yMode val="edge"/>
          <c:x val="0.57237843137254907"/>
          <c:y val="0.13702549207101269"/>
          <c:w val="0.21277303921568627"/>
          <c:h val="8.5802947523807224E-2"/>
        </c:manualLayout>
      </c:layout>
      <c:overlay val="0"/>
      <c:spPr>
        <a:solidFill>
          <a:schemeClr val="bg1"/>
        </a:solidFill>
        <a:ln>
          <a:solidFill>
            <a:schemeClr val="bg1">
              <a:lumMod val="50000"/>
            </a:schemeClr>
          </a:solidFill>
        </a:ln>
      </c:spPr>
      <c:txPr>
        <a:bodyPr/>
        <a:lstStyle/>
        <a:p>
          <a:pPr>
            <a:defRPr b="0"/>
          </a:pPr>
          <a:endParaRPr lang="cs-CZ"/>
        </a:p>
      </c:txPr>
    </c:legend>
    <c:plotVisOnly val="1"/>
    <c:dispBlanksAs val="gap"/>
    <c:showDLblsOverMax val="0"/>
  </c:chart>
  <c:spPr>
    <a:noFill/>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a:pPr>
            <a:r>
              <a:rPr lang="en-US" sz="800"/>
              <a:t>Graf </a:t>
            </a:r>
            <a:r>
              <a:rPr lang="cs-CZ" sz="800"/>
              <a:t>G12</a:t>
            </a:r>
            <a:r>
              <a:rPr lang="cs-CZ" sz="800" baseline="0"/>
              <a:t> </a:t>
            </a:r>
            <a:r>
              <a:rPr lang="cs-CZ" sz="800"/>
              <a:t>Uživatelé internetu</a:t>
            </a:r>
            <a:r>
              <a:rPr lang="cs-CZ" sz="800" baseline="0"/>
              <a:t> </a:t>
            </a:r>
            <a:r>
              <a:rPr lang="en-US" sz="800"/>
              <a:t>v zemích EU vyhledávající na internetu informace o zdra</a:t>
            </a:r>
            <a:r>
              <a:rPr lang="cs-CZ" sz="800"/>
              <a:t>ví</a:t>
            </a:r>
            <a:r>
              <a:rPr lang="cs-CZ" sz="800" baseline="0"/>
              <a:t>  podle pohlaví v</a:t>
            </a:r>
            <a:r>
              <a:rPr lang="cs-CZ" sz="800"/>
              <a:t> roce 2017 </a:t>
            </a:r>
            <a:r>
              <a:rPr lang="en-US" sz="800"/>
              <a:t>(%)</a:t>
            </a:r>
            <a:r>
              <a:rPr lang="cs-CZ" sz="800"/>
              <a:t>*</a:t>
            </a:r>
            <a:endParaRPr lang="en-US" sz="800"/>
          </a:p>
        </c:rich>
      </c:tx>
      <c:layout>
        <c:manualLayout>
          <c:xMode val="edge"/>
          <c:yMode val="edge"/>
          <c:x val="0.10093545751633994"/>
          <c:y val="2.3206976501640632E-2"/>
        </c:manualLayout>
      </c:layout>
      <c:overlay val="0"/>
    </c:title>
    <c:autoTitleDeleted val="0"/>
    <c:plotArea>
      <c:layout>
        <c:manualLayout>
          <c:layoutTarget val="inner"/>
          <c:xMode val="edge"/>
          <c:yMode val="edge"/>
          <c:x val="5.7649183006535945E-2"/>
          <c:y val="0.12188240740740741"/>
          <c:w val="0.91241813725490184"/>
          <c:h val="0.54649628555827789"/>
        </c:manualLayout>
      </c:layout>
      <c:barChart>
        <c:barDir val="col"/>
        <c:grouping val="clustered"/>
        <c:varyColors val="0"/>
        <c:ser>
          <c:idx val="0"/>
          <c:order val="0"/>
          <c:tx>
            <c:strRef>
              <c:f>G_CZ!$O$162</c:f>
              <c:strCache>
                <c:ptCount val="1"/>
                <c:pt idx="0">
                  <c:v> muži</c:v>
                </c:pt>
              </c:strCache>
            </c:strRef>
          </c:tx>
          <c:spPr>
            <a:solidFill>
              <a:srgbClr val="009BB4"/>
            </a:solidFill>
            <a:ln>
              <a:noFill/>
            </a:ln>
          </c:spPr>
          <c:invertIfNegative val="0"/>
          <c:dPt>
            <c:idx val="8"/>
            <c:invertIfNegative val="0"/>
            <c:bubble3D val="0"/>
            <c:spPr>
              <a:solidFill>
                <a:srgbClr val="009BB4"/>
              </a:solidFill>
              <a:ln w="9525">
                <a:noFill/>
              </a:ln>
            </c:spPr>
            <c:extLst xmlns:c16r2="http://schemas.microsoft.com/office/drawing/2015/06/chart">
              <c:ext xmlns:c16="http://schemas.microsoft.com/office/drawing/2014/chart" uri="{C3380CC4-5D6E-409C-BE32-E72D297353CC}">
                <c16:uniqueId val="{00000001-24BE-4772-9CC9-76008EBEDEBA}"/>
              </c:ext>
            </c:extLst>
          </c:dPt>
          <c:dPt>
            <c:idx val="13"/>
            <c:invertIfNegative val="0"/>
            <c:bubble3D val="0"/>
            <c:spPr>
              <a:solidFill>
                <a:srgbClr val="009BB4"/>
              </a:solidFill>
              <a:ln w="19050">
                <a:noFill/>
              </a:ln>
            </c:spPr>
            <c:extLst xmlns:c16r2="http://schemas.microsoft.com/office/drawing/2015/06/chart">
              <c:ext xmlns:c16="http://schemas.microsoft.com/office/drawing/2014/chart" uri="{C3380CC4-5D6E-409C-BE32-E72D297353CC}">
                <c16:uniqueId val="{00000003-24BE-4772-9CC9-76008EBEDEBA}"/>
              </c:ext>
            </c:extLst>
          </c:dPt>
          <c:dPt>
            <c:idx val="17"/>
            <c:invertIfNegative val="0"/>
            <c:bubble3D val="0"/>
            <c:spPr>
              <a:solidFill>
                <a:srgbClr val="009BB4"/>
              </a:solidFill>
              <a:ln>
                <a:solidFill>
                  <a:srgbClr val="FF0000"/>
                </a:solidFill>
              </a:ln>
            </c:spPr>
            <c:extLst xmlns:c16r2="http://schemas.microsoft.com/office/drawing/2015/06/chart">
              <c:ext xmlns:c16="http://schemas.microsoft.com/office/drawing/2014/chart" uri="{C3380CC4-5D6E-409C-BE32-E72D297353CC}">
                <c16:uniqueId val="{00000005-24BE-4772-9CC9-76008EBEDEBA}"/>
              </c:ext>
            </c:extLst>
          </c:dPt>
          <c:dPt>
            <c:idx val="21"/>
            <c:invertIfNegative val="0"/>
            <c:bubble3D val="0"/>
            <c:extLst xmlns:c16r2="http://schemas.microsoft.com/office/drawing/2015/06/chart">
              <c:ext xmlns:c16="http://schemas.microsoft.com/office/drawing/2014/chart" uri="{C3380CC4-5D6E-409C-BE32-E72D297353CC}">
                <c16:uniqueId val="{00000006-24BE-4772-9CC9-76008EBEDEBA}"/>
              </c:ext>
            </c:extLst>
          </c:dPt>
          <c:dPt>
            <c:idx val="23"/>
            <c:invertIfNegative val="0"/>
            <c:bubble3D val="0"/>
            <c:spPr>
              <a:solidFill>
                <a:srgbClr val="009BB4"/>
              </a:solidFill>
              <a:ln>
                <a:solidFill>
                  <a:srgbClr val="FF0000"/>
                </a:solidFill>
              </a:ln>
            </c:spPr>
            <c:extLst xmlns:c16r2="http://schemas.microsoft.com/office/drawing/2015/06/chart">
              <c:ext xmlns:c16="http://schemas.microsoft.com/office/drawing/2014/chart" uri="{C3380CC4-5D6E-409C-BE32-E72D297353CC}">
                <c16:uniqueId val="{00000008-24BE-4772-9CC9-76008EBEDEBA}"/>
              </c:ext>
            </c:extLst>
          </c:dPt>
          <c:dLbls>
            <c:spPr>
              <a:noFill/>
              <a:ln>
                <a:noFill/>
              </a:ln>
              <a:effectLst/>
            </c:spPr>
            <c:txPr>
              <a:bodyPr rot="-5400000" vert="horz"/>
              <a:lstStyle/>
              <a:p>
                <a:pPr>
                  <a:defRPr sz="800" b="1"/>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G_CZ!$N$163:$N$191</c:f>
              <c:strCache>
                <c:ptCount val="29"/>
                <c:pt idx="0">
                  <c:v>Chorvatsko</c:v>
                </c:pt>
                <c:pt idx="1">
                  <c:v>Nizozemsko</c:v>
                </c:pt>
                <c:pt idx="2">
                  <c:v>Maďarsko</c:v>
                </c:pt>
                <c:pt idx="3">
                  <c:v>Kypr</c:v>
                </c:pt>
                <c:pt idx="4">
                  <c:v>Malta</c:v>
                </c:pt>
                <c:pt idx="5">
                  <c:v>Řecko</c:v>
                </c:pt>
                <c:pt idx="6">
                  <c:v>Finsko</c:v>
                </c:pt>
                <c:pt idx="7">
                  <c:v>Portugalsko</c:v>
                </c:pt>
                <c:pt idx="8">
                  <c:v>Španělsko</c:v>
                </c:pt>
                <c:pt idx="9">
                  <c:v>Německo</c:v>
                </c:pt>
                <c:pt idx="10">
                  <c:v>Litva</c:v>
                </c:pt>
                <c:pt idx="11">
                  <c:v>Slovinsko</c:v>
                </c:pt>
                <c:pt idx="12">
                  <c:v>Lucembursko</c:v>
                </c:pt>
                <c:pt idx="13">
                  <c:v>Švédsko</c:v>
                </c:pt>
                <c:pt idx="14">
                  <c:v>Dánsko</c:v>
                </c:pt>
                <c:pt idx="15">
                  <c:v>Estonsko</c:v>
                </c:pt>
                <c:pt idx="16">
                  <c:v>Velká Británie</c:v>
                </c:pt>
                <c:pt idx="17">
                  <c:v>EU28</c:v>
                </c:pt>
                <c:pt idx="18">
                  <c:v>Slovensko</c:v>
                </c:pt>
                <c:pt idx="19">
                  <c:v>Belgie</c:v>
                </c:pt>
                <c:pt idx="20">
                  <c:v>Rakousko</c:v>
                </c:pt>
                <c:pt idx="21">
                  <c:v>Polsko</c:v>
                </c:pt>
                <c:pt idx="22">
                  <c:v>Rumunsko</c:v>
                </c:pt>
                <c:pt idx="23">
                  <c:v>Česko</c:v>
                </c:pt>
                <c:pt idx="24">
                  <c:v>Francie</c:v>
                </c:pt>
                <c:pt idx="25">
                  <c:v>Irsko</c:v>
                </c:pt>
                <c:pt idx="26">
                  <c:v>Bulharsko</c:v>
                </c:pt>
                <c:pt idx="27">
                  <c:v>Itálie</c:v>
                </c:pt>
                <c:pt idx="28">
                  <c:v>Lotyšsko</c:v>
                </c:pt>
              </c:strCache>
            </c:strRef>
          </c:cat>
          <c:val>
            <c:numRef>
              <c:f>G_CZ!$O$163:$O$191</c:f>
              <c:numCache>
                <c:formatCode>0%</c:formatCode>
                <c:ptCount val="29"/>
                <c:pt idx="0">
                  <c:v>0.74554799999999999</c:v>
                </c:pt>
                <c:pt idx="1">
                  <c:v>0.68258300000000005</c:v>
                </c:pt>
                <c:pt idx="2">
                  <c:v>0.676709</c:v>
                </c:pt>
                <c:pt idx="3">
                  <c:v>0.66224799999999995</c:v>
                </c:pt>
                <c:pt idx="4">
                  <c:v>0.64719499999999996</c:v>
                </c:pt>
                <c:pt idx="5">
                  <c:v>0.638992</c:v>
                </c:pt>
                <c:pt idx="6">
                  <c:v>0.62442600000000004</c:v>
                </c:pt>
                <c:pt idx="7">
                  <c:v>0.623946</c:v>
                </c:pt>
                <c:pt idx="8">
                  <c:v>0.62262200000000001</c:v>
                </c:pt>
                <c:pt idx="9">
                  <c:v>0.61580400000000002</c:v>
                </c:pt>
                <c:pt idx="10">
                  <c:v>0.60912900000000003</c:v>
                </c:pt>
                <c:pt idx="11">
                  <c:v>0.60659600000000002</c:v>
                </c:pt>
                <c:pt idx="12">
                  <c:v>0.59091499999999997</c:v>
                </c:pt>
                <c:pt idx="13">
                  <c:v>0.58409299999999997</c:v>
                </c:pt>
                <c:pt idx="14">
                  <c:v>0.57874599999999998</c:v>
                </c:pt>
                <c:pt idx="15">
                  <c:v>0.55937700000000001</c:v>
                </c:pt>
                <c:pt idx="16">
                  <c:v>0.55721799999999999</c:v>
                </c:pt>
                <c:pt idx="17">
                  <c:v>0.53824099999999997</c:v>
                </c:pt>
                <c:pt idx="18">
                  <c:v>0.53204200000000001</c:v>
                </c:pt>
                <c:pt idx="19">
                  <c:v>0.52656199999999997</c:v>
                </c:pt>
                <c:pt idx="20">
                  <c:v>0.51762699999999995</c:v>
                </c:pt>
                <c:pt idx="21">
                  <c:v>0.46321099999999998</c:v>
                </c:pt>
                <c:pt idx="22">
                  <c:v>0.43721599999999999</c:v>
                </c:pt>
                <c:pt idx="23">
                  <c:v>0.43497999999999998</c:v>
                </c:pt>
                <c:pt idx="24">
                  <c:v>0.43088399999999999</c:v>
                </c:pt>
                <c:pt idx="25">
                  <c:v>0.428923</c:v>
                </c:pt>
                <c:pt idx="26">
                  <c:v>0.42571199999999998</c:v>
                </c:pt>
                <c:pt idx="27">
                  <c:v>0.40436299999999997</c:v>
                </c:pt>
                <c:pt idx="28">
                  <c:v>0.38344499999999998</c:v>
                </c:pt>
              </c:numCache>
            </c:numRef>
          </c:val>
          <c:extLst xmlns:c16r2="http://schemas.microsoft.com/office/drawing/2015/06/chart">
            <c:ext xmlns:c16="http://schemas.microsoft.com/office/drawing/2014/chart" uri="{C3380CC4-5D6E-409C-BE32-E72D297353CC}">
              <c16:uniqueId val="{00000009-24BE-4772-9CC9-76008EBEDEBA}"/>
            </c:ext>
          </c:extLst>
        </c:ser>
        <c:ser>
          <c:idx val="1"/>
          <c:order val="1"/>
          <c:tx>
            <c:strRef>
              <c:f>G_CZ!$P$162</c:f>
              <c:strCache>
                <c:ptCount val="1"/>
                <c:pt idx="0">
                  <c:v> ženy</c:v>
                </c:pt>
              </c:strCache>
            </c:strRef>
          </c:tx>
          <c:spPr>
            <a:solidFill>
              <a:srgbClr val="47E5FF"/>
            </a:solidFill>
            <a:ln>
              <a:noFill/>
            </a:ln>
          </c:spPr>
          <c:invertIfNegative val="0"/>
          <c:dPt>
            <c:idx val="8"/>
            <c:invertIfNegative val="0"/>
            <c:bubble3D val="0"/>
            <c:extLst xmlns:c16r2="http://schemas.microsoft.com/office/drawing/2015/06/chart">
              <c:ext xmlns:c16="http://schemas.microsoft.com/office/drawing/2014/chart" uri="{C3380CC4-5D6E-409C-BE32-E72D297353CC}">
                <c16:uniqueId val="{0000000A-24BE-4772-9CC9-76008EBEDEBA}"/>
              </c:ext>
            </c:extLst>
          </c:dPt>
          <c:dPt>
            <c:idx val="17"/>
            <c:invertIfNegative val="0"/>
            <c:bubble3D val="0"/>
            <c:spPr>
              <a:solidFill>
                <a:srgbClr val="47E5FF"/>
              </a:solidFill>
              <a:ln>
                <a:solidFill>
                  <a:srgbClr val="FF0000"/>
                </a:solidFill>
              </a:ln>
            </c:spPr>
            <c:extLst xmlns:c16r2="http://schemas.microsoft.com/office/drawing/2015/06/chart">
              <c:ext xmlns:c16="http://schemas.microsoft.com/office/drawing/2014/chart" uri="{C3380CC4-5D6E-409C-BE32-E72D297353CC}">
                <c16:uniqueId val="{0000000C-24BE-4772-9CC9-76008EBEDEBA}"/>
              </c:ext>
            </c:extLst>
          </c:dPt>
          <c:dPt>
            <c:idx val="21"/>
            <c:invertIfNegative val="0"/>
            <c:bubble3D val="0"/>
            <c:extLst xmlns:c16r2="http://schemas.microsoft.com/office/drawing/2015/06/chart">
              <c:ext xmlns:c16="http://schemas.microsoft.com/office/drawing/2014/chart" uri="{C3380CC4-5D6E-409C-BE32-E72D297353CC}">
                <c16:uniqueId val="{0000000D-24BE-4772-9CC9-76008EBEDEBA}"/>
              </c:ext>
            </c:extLst>
          </c:dPt>
          <c:dPt>
            <c:idx val="23"/>
            <c:invertIfNegative val="0"/>
            <c:bubble3D val="0"/>
            <c:spPr>
              <a:solidFill>
                <a:srgbClr val="47E5FF"/>
              </a:solidFill>
              <a:ln>
                <a:solidFill>
                  <a:srgbClr val="FF0000"/>
                </a:solidFill>
              </a:ln>
            </c:spPr>
            <c:extLst xmlns:c16r2="http://schemas.microsoft.com/office/drawing/2015/06/chart">
              <c:ext xmlns:c16="http://schemas.microsoft.com/office/drawing/2014/chart" uri="{C3380CC4-5D6E-409C-BE32-E72D297353CC}">
                <c16:uniqueId val="{0000000F-24BE-4772-9CC9-76008EBEDEBA}"/>
              </c:ext>
            </c:extLst>
          </c:dPt>
          <c:dLbls>
            <c:spPr>
              <a:noFill/>
              <a:ln>
                <a:noFill/>
              </a:ln>
              <a:effectLst/>
            </c:spPr>
            <c:txPr>
              <a:bodyPr rot="-5400000" vert="horz"/>
              <a:lstStyle/>
              <a:p>
                <a:pPr>
                  <a:defRPr b="1"/>
                </a:pPr>
                <a:endParaRPr lang="cs-CZ"/>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G_CZ!$N$163:$N$191</c:f>
              <c:strCache>
                <c:ptCount val="29"/>
                <c:pt idx="0">
                  <c:v>Chorvatsko</c:v>
                </c:pt>
                <c:pt idx="1">
                  <c:v>Nizozemsko</c:v>
                </c:pt>
                <c:pt idx="2">
                  <c:v>Maďarsko</c:v>
                </c:pt>
                <c:pt idx="3">
                  <c:v>Kypr</c:v>
                </c:pt>
                <c:pt idx="4">
                  <c:v>Malta</c:v>
                </c:pt>
                <c:pt idx="5">
                  <c:v>Řecko</c:v>
                </c:pt>
                <c:pt idx="6">
                  <c:v>Finsko</c:v>
                </c:pt>
                <c:pt idx="7">
                  <c:v>Portugalsko</c:v>
                </c:pt>
                <c:pt idx="8">
                  <c:v>Španělsko</c:v>
                </c:pt>
                <c:pt idx="9">
                  <c:v>Německo</c:v>
                </c:pt>
                <c:pt idx="10">
                  <c:v>Litva</c:v>
                </c:pt>
                <c:pt idx="11">
                  <c:v>Slovinsko</c:v>
                </c:pt>
                <c:pt idx="12">
                  <c:v>Lucembursko</c:v>
                </c:pt>
                <c:pt idx="13">
                  <c:v>Švédsko</c:v>
                </c:pt>
                <c:pt idx="14">
                  <c:v>Dánsko</c:v>
                </c:pt>
                <c:pt idx="15">
                  <c:v>Estonsko</c:v>
                </c:pt>
                <c:pt idx="16">
                  <c:v>Velká Británie</c:v>
                </c:pt>
                <c:pt idx="17">
                  <c:v>EU28</c:v>
                </c:pt>
                <c:pt idx="18">
                  <c:v>Slovensko</c:v>
                </c:pt>
                <c:pt idx="19">
                  <c:v>Belgie</c:v>
                </c:pt>
                <c:pt idx="20">
                  <c:v>Rakousko</c:v>
                </c:pt>
                <c:pt idx="21">
                  <c:v>Polsko</c:v>
                </c:pt>
                <c:pt idx="22">
                  <c:v>Rumunsko</c:v>
                </c:pt>
                <c:pt idx="23">
                  <c:v>Česko</c:v>
                </c:pt>
                <c:pt idx="24">
                  <c:v>Francie</c:v>
                </c:pt>
                <c:pt idx="25">
                  <c:v>Irsko</c:v>
                </c:pt>
                <c:pt idx="26">
                  <c:v>Bulharsko</c:v>
                </c:pt>
                <c:pt idx="27">
                  <c:v>Itálie</c:v>
                </c:pt>
                <c:pt idx="28">
                  <c:v>Lotyšsko</c:v>
                </c:pt>
              </c:strCache>
            </c:strRef>
          </c:cat>
          <c:val>
            <c:numRef>
              <c:f>G_CZ!$P$163:$P$191</c:f>
              <c:numCache>
                <c:formatCode>0%</c:formatCode>
                <c:ptCount val="29"/>
                <c:pt idx="0">
                  <c:v>0.83318800000000004</c:v>
                </c:pt>
                <c:pt idx="1">
                  <c:v>0.80902099999999999</c:v>
                </c:pt>
                <c:pt idx="2">
                  <c:v>0.82399699999999998</c:v>
                </c:pt>
                <c:pt idx="3">
                  <c:v>0.76862799999999998</c:v>
                </c:pt>
                <c:pt idx="4">
                  <c:v>0.83684599999999998</c:v>
                </c:pt>
                <c:pt idx="5">
                  <c:v>0.71349600000000002</c:v>
                </c:pt>
                <c:pt idx="6">
                  <c:v>0.837368</c:v>
                </c:pt>
                <c:pt idx="7">
                  <c:v>0.747475</c:v>
                </c:pt>
                <c:pt idx="8">
                  <c:v>0.72382899999999994</c:v>
                </c:pt>
                <c:pt idx="9">
                  <c:v>0.79331600000000002</c:v>
                </c:pt>
                <c:pt idx="10">
                  <c:v>0.79937000000000002</c:v>
                </c:pt>
                <c:pt idx="11">
                  <c:v>0.77905199999999997</c:v>
                </c:pt>
                <c:pt idx="12">
                  <c:v>0.74605600000000005</c:v>
                </c:pt>
                <c:pt idx="13">
                  <c:v>0.75267899999999999</c:v>
                </c:pt>
                <c:pt idx="14">
                  <c:v>0.74315500000000001</c:v>
                </c:pt>
                <c:pt idx="15">
                  <c:v>0.76561199999999996</c:v>
                </c:pt>
                <c:pt idx="16">
                  <c:v>0.65970300000000004</c:v>
                </c:pt>
                <c:pt idx="17">
                  <c:v>0.68791199999999997</c:v>
                </c:pt>
                <c:pt idx="18">
                  <c:v>0.69083300000000003</c:v>
                </c:pt>
                <c:pt idx="19">
                  <c:v>0.65948700000000005</c:v>
                </c:pt>
                <c:pt idx="20">
                  <c:v>0.70994699999999999</c:v>
                </c:pt>
                <c:pt idx="21">
                  <c:v>0.71840099999999996</c:v>
                </c:pt>
                <c:pt idx="22">
                  <c:v>0.58800699999999995</c:v>
                </c:pt>
                <c:pt idx="23">
                  <c:v>0.78278000000000003</c:v>
                </c:pt>
                <c:pt idx="24">
                  <c:v>0.57308000000000003</c:v>
                </c:pt>
                <c:pt idx="25">
                  <c:v>0.48784</c:v>
                </c:pt>
                <c:pt idx="26">
                  <c:v>0.63732900000000003</c:v>
                </c:pt>
                <c:pt idx="27">
                  <c:v>0.52032199999999995</c:v>
                </c:pt>
                <c:pt idx="28">
                  <c:v>0.64871299999999998</c:v>
                </c:pt>
              </c:numCache>
            </c:numRef>
          </c:val>
          <c:extLst xmlns:c16r2="http://schemas.microsoft.com/office/drawing/2015/06/chart">
            <c:ext xmlns:c16="http://schemas.microsoft.com/office/drawing/2014/chart" uri="{C3380CC4-5D6E-409C-BE32-E72D297353CC}">
              <c16:uniqueId val="{00000010-24BE-4772-9CC9-76008EBEDEBA}"/>
            </c:ext>
          </c:extLst>
        </c:ser>
        <c:dLbls>
          <c:showLegendKey val="0"/>
          <c:showVal val="0"/>
          <c:showCatName val="0"/>
          <c:showSerName val="0"/>
          <c:showPercent val="0"/>
          <c:showBubbleSize val="0"/>
        </c:dLbls>
        <c:gapWidth val="30"/>
        <c:axId val="50195968"/>
        <c:axId val="50364992"/>
      </c:barChart>
      <c:catAx>
        <c:axId val="50195968"/>
        <c:scaling>
          <c:orientation val="minMax"/>
        </c:scaling>
        <c:delete val="0"/>
        <c:axPos val="b"/>
        <c:numFmt formatCode="General" sourceLinked="0"/>
        <c:majorTickMark val="out"/>
        <c:minorTickMark val="none"/>
        <c:tickLblPos val="nextTo"/>
        <c:spPr>
          <a:ln>
            <a:solidFill>
              <a:schemeClr val="tx1"/>
            </a:solidFill>
          </a:ln>
        </c:spPr>
        <c:crossAx val="50364992"/>
        <c:crosses val="autoZero"/>
        <c:auto val="1"/>
        <c:lblAlgn val="ctr"/>
        <c:lblOffset val="100"/>
        <c:noMultiLvlLbl val="0"/>
      </c:catAx>
      <c:valAx>
        <c:axId val="50364992"/>
        <c:scaling>
          <c:orientation val="minMax"/>
          <c:max val="0.9"/>
          <c:min val="0"/>
        </c:scaling>
        <c:delete val="1"/>
        <c:axPos val="l"/>
        <c:numFmt formatCode="0%" sourceLinked="1"/>
        <c:majorTickMark val="out"/>
        <c:minorTickMark val="none"/>
        <c:tickLblPos val="nextTo"/>
        <c:crossAx val="50195968"/>
        <c:crosses val="autoZero"/>
        <c:crossBetween val="between"/>
        <c:majorUnit val="0.1"/>
        <c:minorUnit val="5.0000000000000024E-2"/>
      </c:valAx>
      <c:spPr>
        <a:ln>
          <a:solidFill>
            <a:schemeClr val="tx1">
              <a:tint val="75000"/>
              <a:shade val="95000"/>
              <a:satMod val="105000"/>
            </a:schemeClr>
          </a:solidFill>
        </a:ln>
      </c:spPr>
    </c:plotArea>
    <c:legend>
      <c:legendPos val="r"/>
      <c:layout>
        <c:manualLayout>
          <c:xMode val="edge"/>
          <c:yMode val="edge"/>
          <c:x val="0.57237843137254907"/>
          <c:y val="0.13702549207101269"/>
          <c:w val="0.21277303921568627"/>
          <c:h val="8.5802947523807224E-2"/>
        </c:manualLayout>
      </c:layout>
      <c:overlay val="0"/>
      <c:spPr>
        <a:solidFill>
          <a:schemeClr val="bg1"/>
        </a:solidFill>
        <a:ln>
          <a:solidFill>
            <a:schemeClr val="bg1">
              <a:lumMod val="50000"/>
            </a:schemeClr>
          </a:solidFill>
        </a:ln>
      </c:spPr>
      <c:txPr>
        <a:bodyPr/>
        <a:lstStyle/>
        <a:p>
          <a:pPr>
            <a:defRPr b="0"/>
          </a:pPr>
          <a:endParaRPr lang="cs-CZ"/>
        </a:p>
      </c:txPr>
    </c:legend>
    <c:plotVisOnly val="1"/>
    <c:dispBlanksAs val="gap"/>
    <c:showDLblsOverMax val="0"/>
  </c:chart>
  <c:spPr>
    <a:noFill/>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302070313387718"/>
          <c:y val="0.10939430648092069"/>
          <c:w val="0.79678839940588331"/>
          <c:h val="0.76690709876543239"/>
        </c:manualLayout>
      </c:layout>
      <c:barChart>
        <c:barDir val="bar"/>
        <c:grouping val="clustered"/>
        <c:varyColors val="0"/>
        <c:ser>
          <c:idx val="0"/>
          <c:order val="0"/>
          <c:tx>
            <c:strRef>
              <c:f>G_CZ!$I$194</c:f>
              <c:strCache>
                <c:ptCount val="1"/>
                <c:pt idx="0">
                  <c:v> % uživatelů internetu</c:v>
                </c:pt>
              </c:strCache>
            </c:strRef>
          </c:tx>
          <c:spPr>
            <a:solidFill>
              <a:srgbClr val="47E5FF"/>
            </a:solidFill>
          </c:spPr>
          <c:invertIfNegative val="0"/>
          <c:dLbls>
            <c:spPr>
              <a:noFill/>
              <a:ln>
                <a:noFill/>
              </a:ln>
              <a:effectLst/>
            </c:spPr>
            <c:txPr>
              <a:bodyPr/>
              <a:lstStyle/>
              <a:p>
                <a:pPr>
                  <a:defRPr sz="800" b="1">
                    <a:solidFill>
                      <a:sysClr val="windowText" lastClr="000000"/>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G_CZ!$H$195:$H$205</c:f>
              <c:strCache>
                <c:ptCount val="11"/>
                <c:pt idx="0">
                  <c:v>65+</c:v>
                </c:pt>
                <c:pt idx="1">
                  <c:v>55–64</c:v>
                </c:pt>
                <c:pt idx="2">
                  <c:v>45–54</c:v>
                </c:pt>
                <c:pt idx="3">
                  <c:v>35–44</c:v>
                </c:pt>
                <c:pt idx="4">
                  <c:v>25–34</c:v>
                </c:pt>
                <c:pt idx="5">
                  <c:v>16–24</c:v>
                </c:pt>
                <c:pt idx="7">
                  <c:v>ženy</c:v>
                </c:pt>
                <c:pt idx="8">
                  <c:v>muži</c:v>
                </c:pt>
                <c:pt idx="10">
                  <c:v>Celkem</c:v>
                </c:pt>
              </c:strCache>
            </c:strRef>
          </c:cat>
          <c:val>
            <c:numRef>
              <c:f>G_CZ!$I$195:$I$205</c:f>
              <c:numCache>
                <c:formatCode>0%</c:formatCode>
                <c:ptCount val="11"/>
                <c:pt idx="0">
                  <c:v>4.9325174241743576E-2</c:v>
                </c:pt>
                <c:pt idx="1">
                  <c:v>4.3966466381032035E-2</c:v>
                </c:pt>
                <c:pt idx="2">
                  <c:v>5.465961357104003E-2</c:v>
                </c:pt>
                <c:pt idx="3">
                  <c:v>6.8714886331803657E-2</c:v>
                </c:pt>
                <c:pt idx="4">
                  <c:v>5.2484115049958431E-2</c:v>
                </c:pt>
                <c:pt idx="5">
                  <c:v>2.8281105349326888E-2</c:v>
                </c:pt>
                <c:pt idx="7">
                  <c:v>7.1372796751110107E-2</c:v>
                </c:pt>
                <c:pt idx="8">
                  <c:v>3.29481334571987E-2</c:v>
                </c:pt>
                <c:pt idx="10">
                  <c:v>5.2162624046969801E-2</c:v>
                </c:pt>
              </c:numCache>
            </c:numRef>
          </c:val>
          <c:extLst xmlns:c16r2="http://schemas.microsoft.com/office/drawing/2015/06/chart">
            <c:ext xmlns:c16="http://schemas.microsoft.com/office/drawing/2014/chart" uri="{C3380CC4-5D6E-409C-BE32-E72D297353CC}">
              <c16:uniqueId val="{00000000-4F2C-40CD-A1C6-C6FE64BF4019}"/>
            </c:ext>
          </c:extLst>
        </c:ser>
        <c:ser>
          <c:idx val="1"/>
          <c:order val="1"/>
          <c:tx>
            <c:strRef>
              <c:f>G_CZ!$J$194</c:f>
              <c:strCache>
                <c:ptCount val="1"/>
                <c:pt idx="0">
                  <c:v> % jednotlivců celkem</c:v>
                </c:pt>
              </c:strCache>
            </c:strRef>
          </c:tx>
          <c:spPr>
            <a:solidFill>
              <a:srgbClr val="009BB4"/>
            </a:solidFill>
          </c:spPr>
          <c:invertIfNegative val="0"/>
          <c:dLbls>
            <c:dLbl>
              <c:idx val="0"/>
              <c:layout/>
              <c:spPr/>
              <c:txPr>
                <a:bodyPr/>
                <a:lstStyle/>
                <a:p>
                  <a:pPr>
                    <a:defRPr sz="800" b="1">
                      <a:solidFill>
                        <a:sysClr val="windowText" lastClr="000000"/>
                      </a:solidFill>
                    </a:defRPr>
                  </a:pPr>
                  <a:endParaRPr lang="cs-CZ"/>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4F2C-40CD-A1C6-C6FE64BF4019}"/>
                </c:ext>
              </c:extLst>
            </c:dLbl>
            <c:dLbl>
              <c:idx val="1"/>
              <c:layout>
                <c:manualLayout>
                  <c:x val="-9.5025578099680139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4F2C-40CD-A1C6-C6FE64BF4019}"/>
                </c:ext>
              </c:extLst>
            </c:dLbl>
            <c:spPr>
              <a:noFill/>
              <a:ln>
                <a:noFill/>
              </a:ln>
              <a:effectLst/>
            </c:spPr>
            <c:txPr>
              <a:bodyPr/>
              <a:lstStyle/>
              <a:p>
                <a:pPr>
                  <a:defRPr sz="800" b="1">
                    <a:solidFill>
                      <a:schemeClr val="bg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G_CZ!$H$195:$H$205</c:f>
              <c:strCache>
                <c:ptCount val="11"/>
                <c:pt idx="0">
                  <c:v>65+</c:v>
                </c:pt>
                <c:pt idx="1">
                  <c:v>55–64</c:v>
                </c:pt>
                <c:pt idx="2">
                  <c:v>45–54</c:v>
                </c:pt>
                <c:pt idx="3">
                  <c:v>35–44</c:v>
                </c:pt>
                <c:pt idx="4">
                  <c:v>25–34</c:v>
                </c:pt>
                <c:pt idx="5">
                  <c:v>16–24</c:v>
                </c:pt>
                <c:pt idx="7">
                  <c:v>ženy</c:v>
                </c:pt>
                <c:pt idx="8">
                  <c:v>muži</c:v>
                </c:pt>
                <c:pt idx="10">
                  <c:v>Celkem</c:v>
                </c:pt>
              </c:strCache>
            </c:strRef>
          </c:cat>
          <c:val>
            <c:numRef>
              <c:f>G_CZ!$J$195:$J$205</c:f>
              <c:numCache>
                <c:formatCode>0%</c:formatCode>
                <c:ptCount val="11"/>
                <c:pt idx="0">
                  <c:v>1.603755572689362E-2</c:v>
                </c:pt>
                <c:pt idx="1">
                  <c:v>3.0320353505701204E-2</c:v>
                </c:pt>
                <c:pt idx="2">
                  <c:v>4.9035127801442709E-2</c:v>
                </c:pt>
                <c:pt idx="3">
                  <c:v>6.5151003919011657E-2</c:v>
                </c:pt>
                <c:pt idx="4">
                  <c:v>4.9573340137211541E-2</c:v>
                </c:pt>
                <c:pt idx="5">
                  <c:v>2.7243490827670021E-2</c:v>
                </c:pt>
                <c:pt idx="7">
                  <c:v>5.3393783082861399E-2</c:v>
                </c:pt>
                <c:pt idx="8">
                  <c:v>2.57751651687184E-2</c:v>
                </c:pt>
                <c:pt idx="10">
                  <c:v>3.9894604827864402E-2</c:v>
                </c:pt>
              </c:numCache>
            </c:numRef>
          </c:val>
          <c:extLst xmlns:c16r2="http://schemas.microsoft.com/office/drawing/2015/06/chart">
            <c:ext xmlns:c16="http://schemas.microsoft.com/office/drawing/2014/chart" uri="{C3380CC4-5D6E-409C-BE32-E72D297353CC}">
              <c16:uniqueId val="{00000003-4F2C-40CD-A1C6-C6FE64BF4019}"/>
            </c:ext>
          </c:extLst>
        </c:ser>
        <c:dLbls>
          <c:showLegendKey val="0"/>
          <c:showVal val="0"/>
          <c:showCatName val="0"/>
          <c:showSerName val="0"/>
          <c:showPercent val="0"/>
          <c:showBubbleSize val="0"/>
        </c:dLbls>
        <c:gapWidth val="30"/>
        <c:axId val="50194944"/>
        <c:axId val="50366720"/>
      </c:barChart>
      <c:catAx>
        <c:axId val="50194944"/>
        <c:scaling>
          <c:orientation val="minMax"/>
        </c:scaling>
        <c:delete val="0"/>
        <c:axPos val="l"/>
        <c:numFmt formatCode="General" sourceLinked="1"/>
        <c:majorTickMark val="out"/>
        <c:minorTickMark val="none"/>
        <c:tickLblPos val="nextTo"/>
        <c:spPr>
          <a:ln>
            <a:solidFill>
              <a:schemeClr val="tx1"/>
            </a:solidFill>
          </a:ln>
        </c:spPr>
        <c:crossAx val="50366720"/>
        <c:crosses val="autoZero"/>
        <c:auto val="1"/>
        <c:lblAlgn val="ctr"/>
        <c:lblOffset val="100"/>
        <c:noMultiLvlLbl val="0"/>
      </c:catAx>
      <c:valAx>
        <c:axId val="50366720"/>
        <c:scaling>
          <c:orientation val="minMax"/>
          <c:max val="0.1"/>
        </c:scaling>
        <c:delete val="0"/>
        <c:axPos val="b"/>
        <c:majorGridlines>
          <c:spPr>
            <a:ln>
              <a:solidFill>
                <a:schemeClr val="bg1">
                  <a:lumMod val="65000"/>
                </a:schemeClr>
              </a:solidFill>
              <a:prstDash val="dash"/>
            </a:ln>
          </c:spPr>
        </c:majorGridlines>
        <c:numFmt formatCode="0%" sourceLinked="1"/>
        <c:majorTickMark val="out"/>
        <c:minorTickMark val="none"/>
        <c:tickLblPos val="none"/>
        <c:crossAx val="50194944"/>
        <c:crosses val="autoZero"/>
        <c:crossBetween val="between"/>
        <c:majorUnit val="0.1"/>
        <c:minorUnit val="1.0000000000000005E-2"/>
      </c:valAx>
      <c:spPr>
        <a:ln w="12700">
          <a:solidFill>
            <a:schemeClr val="bg1">
              <a:lumMod val="65000"/>
            </a:schemeClr>
          </a:solidFill>
        </a:ln>
      </c:spPr>
    </c:plotArea>
    <c:legend>
      <c:legendPos val="r"/>
      <c:layout>
        <c:manualLayout>
          <c:xMode val="edge"/>
          <c:yMode val="edge"/>
          <c:x val="0.59390898983970064"/>
          <c:y val="0.122976488372605"/>
          <c:w val="0.33801045751633985"/>
          <c:h val="0.20233796296296302"/>
        </c:manualLayout>
      </c:layout>
      <c:overlay val="0"/>
      <c:spPr>
        <a:solidFill>
          <a:schemeClr val="bg1"/>
        </a:solidFill>
        <a:ln>
          <a:solidFill>
            <a:schemeClr val="bg1">
              <a:lumMod val="50000"/>
            </a:schemeClr>
          </a:solidFill>
        </a:ln>
      </c:spPr>
    </c:legend>
    <c:plotVisOnly val="1"/>
    <c:dispBlanksAs val="gap"/>
    <c:showDLblsOverMax val="0"/>
  </c:chart>
  <c:spPr>
    <a:ln>
      <a:noFill/>
    </a:ln>
  </c:spPr>
  <c:txPr>
    <a:bodyPr/>
    <a:lstStyle/>
    <a:p>
      <a:pPr>
        <a:defRPr sz="800" b="0">
          <a:latin typeface="Arial" pitchFamily="34" charset="0"/>
          <a:cs typeface="Arial" pitchFamily="34" charset="0"/>
        </a:defRPr>
      </a:pPr>
      <a:endParaRPr lang="cs-CZ"/>
    </a:p>
  </c:tx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302070313387718"/>
          <c:y val="0.10939430648092069"/>
          <c:w val="0.79678839940588331"/>
          <c:h val="0.76690709876543239"/>
        </c:manualLayout>
      </c:layout>
      <c:barChart>
        <c:barDir val="bar"/>
        <c:grouping val="clustered"/>
        <c:varyColors val="0"/>
        <c:ser>
          <c:idx val="0"/>
          <c:order val="0"/>
          <c:tx>
            <c:strRef>
              <c:f>G_CZ!$I$213</c:f>
              <c:strCache>
                <c:ptCount val="1"/>
                <c:pt idx="0">
                  <c:v> % uživatelů internetu</c:v>
                </c:pt>
              </c:strCache>
            </c:strRef>
          </c:tx>
          <c:spPr>
            <a:solidFill>
              <a:srgbClr val="47E5FF"/>
            </a:solidFill>
          </c:spPr>
          <c:invertIfNegative val="0"/>
          <c:dLbls>
            <c:spPr>
              <a:noFill/>
              <a:ln>
                <a:noFill/>
              </a:ln>
              <a:effectLst/>
            </c:spPr>
            <c:txPr>
              <a:bodyPr/>
              <a:lstStyle/>
              <a:p>
                <a:pPr>
                  <a:defRPr sz="800" b="1">
                    <a:solidFill>
                      <a:sysClr val="windowText" lastClr="000000"/>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G_CZ!$H$214:$H$224</c:f>
              <c:strCache>
                <c:ptCount val="11"/>
                <c:pt idx="0">
                  <c:v>65+</c:v>
                </c:pt>
                <c:pt idx="1">
                  <c:v>55–64</c:v>
                </c:pt>
                <c:pt idx="2">
                  <c:v>45–54</c:v>
                </c:pt>
                <c:pt idx="3">
                  <c:v>35–44</c:v>
                </c:pt>
                <c:pt idx="4">
                  <c:v>25–34</c:v>
                </c:pt>
                <c:pt idx="5">
                  <c:v>16–24</c:v>
                </c:pt>
                <c:pt idx="7">
                  <c:v>ženy</c:v>
                </c:pt>
                <c:pt idx="8">
                  <c:v>muži</c:v>
                </c:pt>
                <c:pt idx="10">
                  <c:v>Celkem</c:v>
                </c:pt>
              </c:strCache>
            </c:strRef>
          </c:cat>
          <c:val>
            <c:numRef>
              <c:f>G_CZ!$I$214:$I$224</c:f>
              <c:numCache>
                <c:formatCode>0%</c:formatCode>
                <c:ptCount val="11"/>
                <c:pt idx="0">
                  <c:v>5.904324275757615E-2</c:v>
                </c:pt>
                <c:pt idx="1">
                  <c:v>8.8121673393226935E-2</c:v>
                </c:pt>
                <c:pt idx="2">
                  <c:v>0.11507163462118744</c:v>
                </c:pt>
                <c:pt idx="3">
                  <c:v>0.12847882841697189</c:v>
                </c:pt>
                <c:pt idx="4">
                  <c:v>0.12493199940872314</c:v>
                </c:pt>
                <c:pt idx="5">
                  <c:v>7.5210064538366192E-2</c:v>
                </c:pt>
                <c:pt idx="7">
                  <c:v>0.14599156042634501</c:v>
                </c:pt>
                <c:pt idx="8">
                  <c:v>6.6000104414495706E-2</c:v>
                </c:pt>
                <c:pt idx="10">
                  <c:v>0.10600043659618401</c:v>
                </c:pt>
              </c:numCache>
            </c:numRef>
          </c:val>
          <c:extLst xmlns:c16r2="http://schemas.microsoft.com/office/drawing/2015/06/chart">
            <c:ext xmlns:c16="http://schemas.microsoft.com/office/drawing/2014/chart" uri="{C3380CC4-5D6E-409C-BE32-E72D297353CC}">
              <c16:uniqueId val="{00000000-91CB-4C7E-8FF8-F1D02771F653}"/>
            </c:ext>
          </c:extLst>
        </c:ser>
        <c:ser>
          <c:idx val="1"/>
          <c:order val="1"/>
          <c:tx>
            <c:strRef>
              <c:f>G_CZ!$J$213</c:f>
              <c:strCache>
                <c:ptCount val="1"/>
                <c:pt idx="0">
                  <c:v> % jednotlivců celkem</c:v>
                </c:pt>
              </c:strCache>
            </c:strRef>
          </c:tx>
          <c:spPr>
            <a:solidFill>
              <a:srgbClr val="009BB4"/>
            </a:solidFill>
          </c:spPr>
          <c:invertIfNegative val="0"/>
          <c:dLbls>
            <c:dLbl>
              <c:idx val="0"/>
              <c:layout/>
              <c:spPr/>
              <c:txPr>
                <a:bodyPr/>
                <a:lstStyle/>
                <a:p>
                  <a:pPr>
                    <a:defRPr sz="800" b="1">
                      <a:solidFill>
                        <a:sysClr val="windowText" lastClr="000000"/>
                      </a:solidFill>
                    </a:defRPr>
                  </a:pPr>
                  <a:endParaRPr lang="cs-CZ"/>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91CB-4C7E-8FF8-F1D02771F653}"/>
                </c:ext>
              </c:extLst>
            </c:dLbl>
            <c:dLbl>
              <c:idx val="1"/>
              <c:layout>
                <c:manualLayout>
                  <c:x val="-9.5025578099680139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91CB-4C7E-8FF8-F1D02771F653}"/>
                </c:ext>
              </c:extLst>
            </c:dLbl>
            <c:spPr>
              <a:noFill/>
              <a:ln>
                <a:noFill/>
              </a:ln>
              <a:effectLst/>
            </c:spPr>
            <c:txPr>
              <a:bodyPr/>
              <a:lstStyle/>
              <a:p>
                <a:pPr>
                  <a:defRPr sz="800" b="1">
                    <a:solidFill>
                      <a:schemeClr val="bg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G_CZ!$H$214:$H$224</c:f>
              <c:strCache>
                <c:ptCount val="11"/>
                <c:pt idx="0">
                  <c:v>65+</c:v>
                </c:pt>
                <c:pt idx="1">
                  <c:v>55–64</c:v>
                </c:pt>
                <c:pt idx="2">
                  <c:v>45–54</c:v>
                </c:pt>
                <c:pt idx="3">
                  <c:v>35–44</c:v>
                </c:pt>
                <c:pt idx="4">
                  <c:v>25–34</c:v>
                </c:pt>
                <c:pt idx="5">
                  <c:v>16–24</c:v>
                </c:pt>
                <c:pt idx="7">
                  <c:v>ženy</c:v>
                </c:pt>
                <c:pt idx="8">
                  <c:v>muži</c:v>
                </c:pt>
                <c:pt idx="10">
                  <c:v>Celkem</c:v>
                </c:pt>
              </c:strCache>
            </c:strRef>
          </c:cat>
          <c:val>
            <c:numRef>
              <c:f>G_CZ!$J$214:$J$224</c:f>
              <c:numCache>
                <c:formatCode>0%</c:formatCode>
                <c:ptCount val="11"/>
                <c:pt idx="0">
                  <c:v>1.9197282332553269E-2</c:v>
                </c:pt>
                <c:pt idx="1">
                  <c:v>6.0770887302483027E-2</c:v>
                </c:pt>
                <c:pt idx="2">
                  <c:v>0.10323074768608416</c:v>
                </c:pt>
                <c:pt idx="3">
                  <c:v>0.12181530613698864</c:v>
                </c:pt>
                <c:pt idx="4">
                  <c:v>0.11800326160680558</c:v>
                </c:pt>
                <c:pt idx="5">
                  <c:v>7.245065841983496E-2</c:v>
                </c:pt>
                <c:pt idx="7">
                  <c:v>0.10921586464539799</c:v>
                </c:pt>
                <c:pt idx="8">
                  <c:v>5.1631558557339099E-2</c:v>
                </c:pt>
                <c:pt idx="10">
                  <c:v>8.1070414053135101E-2</c:v>
                </c:pt>
              </c:numCache>
            </c:numRef>
          </c:val>
          <c:extLst xmlns:c16r2="http://schemas.microsoft.com/office/drawing/2015/06/chart">
            <c:ext xmlns:c16="http://schemas.microsoft.com/office/drawing/2014/chart" uri="{C3380CC4-5D6E-409C-BE32-E72D297353CC}">
              <c16:uniqueId val="{00000003-91CB-4C7E-8FF8-F1D02771F653}"/>
            </c:ext>
          </c:extLst>
        </c:ser>
        <c:dLbls>
          <c:showLegendKey val="0"/>
          <c:showVal val="0"/>
          <c:showCatName val="0"/>
          <c:showSerName val="0"/>
          <c:showPercent val="0"/>
          <c:showBubbleSize val="0"/>
        </c:dLbls>
        <c:gapWidth val="30"/>
        <c:axId val="50195456"/>
        <c:axId val="50368448"/>
      </c:barChart>
      <c:catAx>
        <c:axId val="50195456"/>
        <c:scaling>
          <c:orientation val="minMax"/>
        </c:scaling>
        <c:delete val="0"/>
        <c:axPos val="l"/>
        <c:numFmt formatCode="General" sourceLinked="1"/>
        <c:majorTickMark val="out"/>
        <c:minorTickMark val="none"/>
        <c:tickLblPos val="nextTo"/>
        <c:spPr>
          <a:ln>
            <a:solidFill>
              <a:schemeClr val="tx1"/>
            </a:solidFill>
          </a:ln>
        </c:spPr>
        <c:crossAx val="50368448"/>
        <c:crosses val="autoZero"/>
        <c:auto val="1"/>
        <c:lblAlgn val="ctr"/>
        <c:lblOffset val="100"/>
        <c:noMultiLvlLbl val="0"/>
      </c:catAx>
      <c:valAx>
        <c:axId val="50368448"/>
        <c:scaling>
          <c:orientation val="minMax"/>
          <c:max val="0.2"/>
        </c:scaling>
        <c:delete val="0"/>
        <c:axPos val="b"/>
        <c:majorGridlines>
          <c:spPr>
            <a:ln>
              <a:noFill/>
              <a:prstDash val="dash"/>
            </a:ln>
          </c:spPr>
        </c:majorGridlines>
        <c:numFmt formatCode="0%" sourceLinked="1"/>
        <c:majorTickMark val="none"/>
        <c:minorTickMark val="none"/>
        <c:tickLblPos val="none"/>
        <c:crossAx val="50195456"/>
        <c:crosses val="autoZero"/>
        <c:crossBetween val="between"/>
        <c:majorUnit val="0.1"/>
        <c:minorUnit val="4.0000000000000022E-2"/>
      </c:valAx>
      <c:spPr>
        <a:ln w="12700">
          <a:solidFill>
            <a:schemeClr val="bg1">
              <a:lumMod val="65000"/>
            </a:schemeClr>
          </a:solidFill>
        </a:ln>
      </c:spPr>
    </c:plotArea>
    <c:legend>
      <c:legendPos val="r"/>
      <c:layout>
        <c:manualLayout>
          <c:xMode val="edge"/>
          <c:yMode val="edge"/>
          <c:x val="0.606360130718954"/>
          <c:y val="0.13462576793285447"/>
          <c:w val="0.32555947712418315"/>
          <c:h val="0.20233796296296302"/>
        </c:manualLayout>
      </c:layout>
      <c:overlay val="0"/>
      <c:spPr>
        <a:solidFill>
          <a:schemeClr val="bg1"/>
        </a:solidFill>
        <a:ln>
          <a:solidFill>
            <a:schemeClr val="bg1">
              <a:lumMod val="50000"/>
            </a:schemeClr>
          </a:solidFill>
        </a:ln>
      </c:spPr>
    </c:legend>
    <c:plotVisOnly val="1"/>
    <c:dispBlanksAs val="gap"/>
    <c:showDLblsOverMax val="0"/>
  </c:chart>
  <c:spPr>
    <a:ln>
      <a:noFill/>
    </a:ln>
  </c:spPr>
  <c:txPr>
    <a:bodyPr/>
    <a:lstStyle/>
    <a:p>
      <a:pPr>
        <a:defRPr sz="800" b="0">
          <a:latin typeface="Arial" pitchFamily="34" charset="0"/>
          <a:cs typeface="Arial" pitchFamily="34" charset="0"/>
        </a:defRPr>
      </a:pPr>
      <a:endParaRPr lang="cs-CZ"/>
    </a:p>
  </c:txPr>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523092635930101E-2"/>
          <c:y val="0.10228368055555562"/>
          <c:w val="0.92454421900005634"/>
          <c:h val="0.62385833333333329"/>
        </c:manualLayout>
      </c:layout>
      <c:barChart>
        <c:barDir val="col"/>
        <c:grouping val="clustered"/>
        <c:varyColors val="0"/>
        <c:ser>
          <c:idx val="0"/>
          <c:order val="0"/>
          <c:tx>
            <c:strRef>
              <c:f>G_CZ!$O$233</c:f>
              <c:strCache>
                <c:ptCount val="1"/>
                <c:pt idx="0">
                  <c:v> 2016</c:v>
                </c:pt>
              </c:strCache>
            </c:strRef>
          </c:tx>
          <c:spPr>
            <a:solidFill>
              <a:srgbClr val="009BB4"/>
            </a:solidFill>
            <a:ln>
              <a:noFill/>
            </a:ln>
          </c:spPr>
          <c:invertIfNegative val="0"/>
          <c:dPt>
            <c:idx val="8"/>
            <c:invertIfNegative val="0"/>
            <c:bubble3D val="0"/>
            <c:spPr>
              <a:solidFill>
                <a:srgbClr val="009BB4"/>
              </a:solidFill>
              <a:ln w="19050">
                <a:noFill/>
              </a:ln>
            </c:spPr>
            <c:extLst xmlns:c16r2="http://schemas.microsoft.com/office/drawing/2015/06/chart">
              <c:ext xmlns:c16="http://schemas.microsoft.com/office/drawing/2014/chart" uri="{C3380CC4-5D6E-409C-BE32-E72D297353CC}">
                <c16:uniqueId val="{00000001-113C-40B4-B58A-36E6FE951F0B}"/>
              </c:ext>
            </c:extLst>
          </c:dPt>
          <c:dPt>
            <c:idx val="11"/>
            <c:invertIfNegative val="0"/>
            <c:bubble3D val="0"/>
            <c:spPr>
              <a:solidFill>
                <a:srgbClr val="009BB4"/>
              </a:solidFill>
              <a:ln>
                <a:solidFill>
                  <a:srgbClr val="FF0000"/>
                </a:solidFill>
              </a:ln>
            </c:spPr>
            <c:extLst xmlns:c16r2="http://schemas.microsoft.com/office/drawing/2015/06/chart">
              <c:ext xmlns:c16="http://schemas.microsoft.com/office/drawing/2014/chart" uri="{C3380CC4-5D6E-409C-BE32-E72D297353CC}">
                <c16:uniqueId val="{00000003-113C-40B4-B58A-36E6FE951F0B}"/>
              </c:ext>
            </c:extLst>
          </c:dPt>
          <c:dPt>
            <c:idx val="12"/>
            <c:invertIfNegative val="0"/>
            <c:bubble3D val="0"/>
            <c:spPr>
              <a:solidFill>
                <a:srgbClr val="009BB4"/>
              </a:solidFill>
              <a:ln w="19050">
                <a:noFill/>
              </a:ln>
            </c:spPr>
            <c:extLst xmlns:c16r2="http://schemas.microsoft.com/office/drawing/2015/06/chart">
              <c:ext xmlns:c16="http://schemas.microsoft.com/office/drawing/2014/chart" uri="{C3380CC4-5D6E-409C-BE32-E72D297353CC}">
                <c16:uniqueId val="{00000005-113C-40B4-B58A-36E6FE951F0B}"/>
              </c:ext>
            </c:extLst>
          </c:dPt>
          <c:dPt>
            <c:idx val="13"/>
            <c:invertIfNegative val="0"/>
            <c:bubble3D val="0"/>
            <c:spPr>
              <a:solidFill>
                <a:srgbClr val="009BB4"/>
              </a:solidFill>
              <a:ln w="19050">
                <a:noFill/>
              </a:ln>
            </c:spPr>
            <c:extLst xmlns:c16r2="http://schemas.microsoft.com/office/drawing/2015/06/chart">
              <c:ext xmlns:c16="http://schemas.microsoft.com/office/drawing/2014/chart" uri="{C3380CC4-5D6E-409C-BE32-E72D297353CC}">
                <c16:uniqueId val="{00000007-113C-40B4-B58A-36E6FE951F0B}"/>
              </c:ext>
            </c:extLst>
          </c:dPt>
          <c:dPt>
            <c:idx val="16"/>
            <c:invertIfNegative val="0"/>
            <c:bubble3D val="0"/>
            <c:spPr>
              <a:solidFill>
                <a:srgbClr val="009BB4"/>
              </a:solidFill>
              <a:ln>
                <a:solidFill>
                  <a:srgbClr val="FF0000"/>
                </a:solidFill>
              </a:ln>
            </c:spPr>
            <c:extLst xmlns:c16r2="http://schemas.microsoft.com/office/drawing/2015/06/chart">
              <c:ext xmlns:c16="http://schemas.microsoft.com/office/drawing/2014/chart" uri="{C3380CC4-5D6E-409C-BE32-E72D297353CC}">
                <c16:uniqueId val="{00000009-113C-40B4-B58A-36E6FE951F0B}"/>
              </c:ext>
            </c:extLst>
          </c:dPt>
          <c:dPt>
            <c:idx val="17"/>
            <c:invertIfNegative val="0"/>
            <c:bubble3D val="0"/>
            <c:spPr>
              <a:solidFill>
                <a:srgbClr val="009BB4"/>
              </a:solidFill>
              <a:ln w="19050">
                <a:noFill/>
              </a:ln>
            </c:spPr>
            <c:extLst xmlns:c16r2="http://schemas.microsoft.com/office/drawing/2015/06/chart">
              <c:ext xmlns:c16="http://schemas.microsoft.com/office/drawing/2014/chart" uri="{C3380CC4-5D6E-409C-BE32-E72D297353CC}">
                <c16:uniqueId val="{0000000B-113C-40B4-B58A-36E6FE951F0B}"/>
              </c:ext>
            </c:extLst>
          </c:dPt>
          <c:dLbls>
            <c:dLbl>
              <c:idx val="0"/>
              <c:layout>
                <c:manualLayout>
                  <c:x val="0"/>
                  <c:y val="0.10191358024691358"/>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113C-40B4-B58A-36E6FE951F0B}"/>
                </c:ext>
              </c:extLst>
            </c:dLbl>
            <c:dLbl>
              <c:idx val="16"/>
              <c:layout>
                <c:manualLayout>
                  <c:x val="-2.0426709128487219E-3"/>
                  <c:y val="1.1817901234567973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113C-40B4-B58A-36E6FE951F0B}"/>
                </c:ext>
              </c:extLst>
            </c:dLbl>
            <c:dLbl>
              <c:idx val="17"/>
              <c:layout>
                <c:manualLayout>
                  <c:x val="-1.6084022943306414E-7"/>
                  <c:y val="-7.780864197530864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113C-40B4-B58A-36E6FE951F0B}"/>
                </c:ext>
              </c:extLst>
            </c:dLbl>
            <c:dLbl>
              <c:idx val="18"/>
              <c:layout>
                <c:manualLayout>
                  <c:x val="-7.4897068253796117E-17"/>
                  <c:y val="5.6478395061727677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113C-40B4-B58A-36E6FE951F0B}"/>
                </c:ext>
              </c:extLst>
            </c:dLbl>
            <c:dLbl>
              <c:idx val="19"/>
              <c:layout>
                <c:manualLayout>
                  <c:x val="0"/>
                  <c:y val="-8.3456790123456791E-4"/>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113C-40B4-B58A-36E6FE951F0B}"/>
                </c:ext>
              </c:extLst>
            </c:dLbl>
            <c:dLbl>
              <c:idx val="20"/>
              <c:layout>
                <c:manualLayout>
                  <c:x val="2.0426709128487219E-3"/>
                  <c:y val="5.864197530871384E-5"/>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113C-40B4-B58A-36E6FE951F0B}"/>
                </c:ext>
              </c:extLst>
            </c:dLbl>
            <c:dLbl>
              <c:idx val="21"/>
              <c:layout>
                <c:manualLayout>
                  <c:x val="0"/>
                  <c:y val="3.978086419753086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113C-40B4-B58A-36E6FE951F0B}"/>
                </c:ext>
              </c:extLst>
            </c:dLbl>
            <c:dLbl>
              <c:idx val="22"/>
              <c:layout>
                <c:manualLayout>
                  <c:x val="-1.4979413650759223E-16"/>
                  <c:y val="-7.942283950617355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113C-40B4-B58A-36E6FE951F0B}"/>
                </c:ext>
              </c:extLst>
            </c:dLbl>
            <c:dLbl>
              <c:idx val="23"/>
              <c:layout>
                <c:manualLayout>
                  <c:x val="0"/>
                  <c:y val="-7.780864197530792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2-113C-40B4-B58A-36E6FE951F0B}"/>
                </c:ext>
              </c:extLst>
            </c:dLbl>
            <c:dLbl>
              <c:idx val="24"/>
              <c:layout>
                <c:manualLayout>
                  <c:x val="0"/>
                  <c:y val="-2.515432098765432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3-113C-40B4-B58A-36E6FE951F0B}"/>
                </c:ext>
              </c:extLst>
            </c:dLbl>
            <c:dLbl>
              <c:idx val="25"/>
              <c:layout>
                <c:manualLayout>
                  <c:x val="-2.0426709128487219E-3"/>
                  <c:y val="3.978395061728467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4-113C-40B4-B58A-36E6FE951F0B}"/>
                </c:ext>
              </c:extLst>
            </c:dLbl>
            <c:dLbl>
              <c:idx val="26"/>
              <c:layout>
                <c:manualLayout>
                  <c:x val="-2.0426709128488715E-3"/>
                  <c:y val="-9.930555555555555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5-113C-40B4-B58A-36E6FE951F0B}"/>
                </c:ext>
              </c:extLst>
            </c:dLbl>
            <c:dLbl>
              <c:idx val="27"/>
              <c:layout>
                <c:manualLayout>
                  <c:x val="0"/>
                  <c:y val="-4.898981481481481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6-113C-40B4-B58A-36E6FE951F0B}"/>
                </c:ext>
              </c:extLst>
            </c:dLbl>
            <c:dLbl>
              <c:idx val="28"/>
              <c:layout/>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7-113C-40B4-B58A-36E6FE951F0B}"/>
                </c:ext>
              </c:extLst>
            </c:dLbl>
            <c:spPr>
              <a:noFill/>
              <a:ln>
                <a:noFill/>
              </a:ln>
              <a:effectLst/>
            </c:spPr>
            <c:txPr>
              <a:bodyPr rot="-5400000" vert="horz"/>
              <a:lstStyle/>
              <a:p>
                <a:pPr>
                  <a:defRPr sz="800" b="1">
                    <a:solidFill>
                      <a:schemeClr val="tx1"/>
                    </a:solidFill>
                  </a:defRPr>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G_CZ!$N$234:$N$262</c:f>
              <c:strCache>
                <c:ptCount val="29"/>
                <c:pt idx="0">
                  <c:v>Dánsko</c:v>
                </c:pt>
                <c:pt idx="1">
                  <c:v>Finsko</c:v>
                </c:pt>
                <c:pt idx="2">
                  <c:v>Španělsko</c:v>
                </c:pt>
                <c:pt idx="3">
                  <c:v>Estonsko</c:v>
                </c:pt>
                <c:pt idx="4">
                  <c:v>Belgie</c:v>
                </c:pt>
                <c:pt idx="5">
                  <c:v>Švédsko</c:v>
                </c:pt>
                <c:pt idx="6">
                  <c:v>Nizozemsko</c:v>
                </c:pt>
                <c:pt idx="7">
                  <c:v>Litva</c:v>
                </c:pt>
                <c:pt idx="8">
                  <c:v>Velká Británie</c:v>
                </c:pt>
                <c:pt idx="9">
                  <c:v>Lucembursko</c:v>
                </c:pt>
                <c:pt idx="10">
                  <c:v>Maďarsko</c:v>
                </c:pt>
                <c:pt idx="11">
                  <c:v>EU28</c:v>
                </c:pt>
                <c:pt idx="12">
                  <c:v>Německo</c:v>
                </c:pt>
                <c:pt idx="13">
                  <c:v>Francie</c:v>
                </c:pt>
                <c:pt idx="14">
                  <c:v>Chorvatsko</c:v>
                </c:pt>
                <c:pt idx="15">
                  <c:v>Portugalsko</c:v>
                </c:pt>
                <c:pt idx="16">
                  <c:v>Česko</c:v>
                </c:pt>
                <c:pt idx="17">
                  <c:v>Slovensko</c:v>
                </c:pt>
                <c:pt idx="18">
                  <c:v>Italy</c:v>
                </c:pt>
                <c:pt idx="19">
                  <c:v>Polsko</c:v>
                </c:pt>
                <c:pt idx="20">
                  <c:v>Lotyšsko</c:v>
                </c:pt>
                <c:pt idx="21">
                  <c:v>Rakousko</c:v>
                </c:pt>
                <c:pt idx="22">
                  <c:v>Irsko</c:v>
                </c:pt>
                <c:pt idx="23">
                  <c:v>Malta</c:v>
                </c:pt>
                <c:pt idx="24">
                  <c:v>Rumunsko</c:v>
                </c:pt>
                <c:pt idx="25">
                  <c:v>Slovinsko</c:v>
                </c:pt>
                <c:pt idx="26">
                  <c:v>Bulharsko</c:v>
                </c:pt>
                <c:pt idx="27">
                  <c:v>Řecko</c:v>
                </c:pt>
                <c:pt idx="28">
                  <c:v>Kypr</c:v>
                </c:pt>
              </c:strCache>
            </c:strRef>
          </c:cat>
          <c:val>
            <c:numRef>
              <c:f>G_CZ!$O$234:$O$262</c:f>
              <c:numCache>
                <c:formatCode>0%</c:formatCode>
                <c:ptCount val="29"/>
                <c:pt idx="0">
                  <c:v>0.48835800000000001</c:v>
                </c:pt>
                <c:pt idx="1">
                  <c:v>0.34628999999999999</c:v>
                </c:pt>
                <c:pt idx="2">
                  <c:v>0.30491299999999999</c:v>
                </c:pt>
                <c:pt idx="3">
                  <c:v>0.21929100000000001</c:v>
                </c:pt>
                <c:pt idx="4">
                  <c:v>0.21657100000000001</c:v>
                </c:pt>
                <c:pt idx="5">
                  <c:v>0.21507699999999999</c:v>
                </c:pt>
                <c:pt idx="6">
                  <c:v>0.20910200000000001</c:v>
                </c:pt>
                <c:pt idx="7">
                  <c:v>0.17926900000000001</c:v>
                </c:pt>
                <c:pt idx="8">
                  <c:v>0.161743</c:v>
                </c:pt>
                <c:pt idx="9">
                  <c:v>0.147929</c:v>
                </c:pt>
                <c:pt idx="10">
                  <c:v>0.143625</c:v>
                </c:pt>
                <c:pt idx="11">
                  <c:v>0.132469</c:v>
                </c:pt>
                <c:pt idx="12">
                  <c:v>0.111496</c:v>
                </c:pt>
                <c:pt idx="13">
                  <c:v>0.101964</c:v>
                </c:pt>
                <c:pt idx="14">
                  <c:v>9.9767999999999996E-2</c:v>
                </c:pt>
                <c:pt idx="15">
                  <c:v>9.3170000000000003E-2</c:v>
                </c:pt>
                <c:pt idx="16">
                  <c:v>8.8132000000000002E-2</c:v>
                </c:pt>
                <c:pt idx="17">
                  <c:v>7.3363999999999999E-2</c:v>
                </c:pt>
                <c:pt idx="18">
                  <c:v>7.0499000000000006E-2</c:v>
                </c:pt>
                <c:pt idx="19">
                  <c:v>6.8445000000000006E-2</c:v>
                </c:pt>
                <c:pt idx="20">
                  <c:v>6.7271999999999998E-2</c:v>
                </c:pt>
                <c:pt idx="21">
                  <c:v>5.9966999999999999E-2</c:v>
                </c:pt>
                <c:pt idx="22">
                  <c:v>5.9607E-2</c:v>
                </c:pt>
                <c:pt idx="23">
                  <c:v>4.8052999999999998E-2</c:v>
                </c:pt>
                <c:pt idx="24">
                  <c:v>4.5107000000000001E-2</c:v>
                </c:pt>
                <c:pt idx="25">
                  <c:v>4.1119999999999997E-2</c:v>
                </c:pt>
                <c:pt idx="26">
                  <c:v>3.2881000000000001E-2</c:v>
                </c:pt>
                <c:pt idx="27">
                  <c:v>2.0426E-2</c:v>
                </c:pt>
                <c:pt idx="28">
                  <c:v>1.771E-3</c:v>
                </c:pt>
              </c:numCache>
            </c:numRef>
          </c:val>
          <c:extLst xmlns:c16r2="http://schemas.microsoft.com/office/drawing/2015/06/chart">
            <c:ext xmlns:c16="http://schemas.microsoft.com/office/drawing/2014/chart" uri="{C3380CC4-5D6E-409C-BE32-E72D297353CC}">
              <c16:uniqueId val="{00000018-113C-40B4-B58A-36E6FE951F0B}"/>
            </c:ext>
          </c:extLst>
        </c:ser>
        <c:dLbls>
          <c:showLegendKey val="0"/>
          <c:showVal val="0"/>
          <c:showCatName val="0"/>
          <c:showSerName val="0"/>
          <c:showPercent val="0"/>
          <c:showBubbleSize val="0"/>
        </c:dLbls>
        <c:gapWidth val="50"/>
        <c:axId val="50304000"/>
        <c:axId val="50370176"/>
      </c:barChart>
      <c:barChart>
        <c:barDir val="col"/>
        <c:grouping val="clustered"/>
        <c:varyColors val="0"/>
        <c:ser>
          <c:idx val="1"/>
          <c:order val="1"/>
          <c:tx>
            <c:strRef>
              <c:f>G_CZ!$P$233</c:f>
              <c:strCache>
                <c:ptCount val="1"/>
                <c:pt idx="0">
                  <c:v> 2012</c:v>
                </c:pt>
              </c:strCache>
            </c:strRef>
          </c:tx>
          <c:spPr>
            <a:solidFill>
              <a:srgbClr val="47E5FF"/>
            </a:solidFill>
          </c:spPr>
          <c:invertIfNegative val="0"/>
          <c:dLbls>
            <c:dLbl>
              <c:idx val="27"/>
              <c:layout>
                <c:manualLayout>
                  <c:x val="0"/>
                  <c:y val="-7.210493827160565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9-113C-40B4-B58A-36E6FE951F0B}"/>
                </c:ext>
              </c:extLst>
            </c:dLbl>
            <c:spPr>
              <a:noFill/>
              <a:ln>
                <a:noFill/>
              </a:ln>
              <a:effectLst/>
            </c:spPr>
            <c:txPr>
              <a:bodyPr rot="-5400000" vert="horz"/>
              <a:lstStyle/>
              <a:p>
                <a:pPr>
                  <a:defRPr b="1"/>
                </a:pPr>
                <a:endParaRPr lang="cs-CZ"/>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G_CZ!$N$234:$N$262</c:f>
              <c:strCache>
                <c:ptCount val="29"/>
                <c:pt idx="0">
                  <c:v>Dánsko</c:v>
                </c:pt>
                <c:pt idx="1">
                  <c:v>Finsko</c:v>
                </c:pt>
                <c:pt idx="2">
                  <c:v>Španělsko</c:v>
                </c:pt>
                <c:pt idx="3">
                  <c:v>Estonsko</c:v>
                </c:pt>
                <c:pt idx="4">
                  <c:v>Belgie</c:v>
                </c:pt>
                <c:pt idx="5">
                  <c:v>Švédsko</c:v>
                </c:pt>
                <c:pt idx="6">
                  <c:v>Nizozemsko</c:v>
                </c:pt>
                <c:pt idx="7">
                  <c:v>Litva</c:v>
                </c:pt>
                <c:pt idx="8">
                  <c:v>Velká Británie</c:v>
                </c:pt>
                <c:pt idx="9">
                  <c:v>Lucembursko</c:v>
                </c:pt>
                <c:pt idx="10">
                  <c:v>Maďarsko</c:v>
                </c:pt>
                <c:pt idx="11">
                  <c:v>EU28</c:v>
                </c:pt>
                <c:pt idx="12">
                  <c:v>Německo</c:v>
                </c:pt>
                <c:pt idx="13">
                  <c:v>Francie</c:v>
                </c:pt>
                <c:pt idx="14">
                  <c:v>Chorvatsko</c:v>
                </c:pt>
                <c:pt idx="15">
                  <c:v>Portugalsko</c:v>
                </c:pt>
                <c:pt idx="16">
                  <c:v>Česko</c:v>
                </c:pt>
                <c:pt idx="17">
                  <c:v>Slovensko</c:v>
                </c:pt>
                <c:pt idx="18">
                  <c:v>Italy</c:v>
                </c:pt>
                <c:pt idx="19">
                  <c:v>Polsko</c:v>
                </c:pt>
                <c:pt idx="20">
                  <c:v>Lotyšsko</c:v>
                </c:pt>
                <c:pt idx="21">
                  <c:v>Rakousko</c:v>
                </c:pt>
                <c:pt idx="22">
                  <c:v>Irsko</c:v>
                </c:pt>
                <c:pt idx="23">
                  <c:v>Malta</c:v>
                </c:pt>
                <c:pt idx="24">
                  <c:v>Rumunsko</c:v>
                </c:pt>
                <c:pt idx="25">
                  <c:v>Slovinsko</c:v>
                </c:pt>
                <c:pt idx="26">
                  <c:v>Bulharsko</c:v>
                </c:pt>
                <c:pt idx="27">
                  <c:v>Řecko</c:v>
                </c:pt>
                <c:pt idx="28">
                  <c:v>Kypr</c:v>
                </c:pt>
              </c:strCache>
            </c:strRef>
          </c:cat>
          <c:val>
            <c:numRef>
              <c:f>G_CZ!$P$234:$P$262</c:f>
              <c:numCache>
                <c:formatCode>0%</c:formatCode>
                <c:ptCount val="29"/>
                <c:pt idx="0">
                  <c:v>0.29100799999999999</c:v>
                </c:pt>
                <c:pt idx="1">
                  <c:v>0.25840800000000003</c:v>
                </c:pt>
                <c:pt idx="2">
                  <c:v>0.209345</c:v>
                </c:pt>
                <c:pt idx="3">
                  <c:v>0.161602</c:v>
                </c:pt>
                <c:pt idx="4">
                  <c:v>0.11901200000000001</c:v>
                </c:pt>
                <c:pt idx="5">
                  <c:v>0.157336</c:v>
                </c:pt>
                <c:pt idx="6">
                  <c:v>0.10899499999999999</c:v>
                </c:pt>
                <c:pt idx="7">
                  <c:v>0.108211</c:v>
                </c:pt>
                <c:pt idx="8">
                  <c:v>0.10995199999999999</c:v>
                </c:pt>
                <c:pt idx="9">
                  <c:v>4.9717999999999998E-2</c:v>
                </c:pt>
                <c:pt idx="10">
                  <c:v>4.3527000000000003E-2</c:v>
                </c:pt>
                <c:pt idx="11">
                  <c:v>7.8367999999999993E-2</c:v>
                </c:pt>
                <c:pt idx="12">
                  <c:v>4.5147E-2</c:v>
                </c:pt>
                <c:pt idx="13">
                  <c:v>5.4715E-2</c:v>
                </c:pt>
                <c:pt idx="14">
                  <c:v>4.2361999999999997E-2</c:v>
                </c:pt>
                <c:pt idx="15">
                  <c:v>3.9094999999999998E-2</c:v>
                </c:pt>
                <c:pt idx="16">
                  <c:v>5.3899000000000002E-2</c:v>
                </c:pt>
                <c:pt idx="17">
                  <c:v>3.1186999999999999E-2</c:v>
                </c:pt>
                <c:pt idx="18">
                  <c:v>5.3191000000000002E-2</c:v>
                </c:pt>
                <c:pt idx="19">
                  <c:v>2.9404E-2</c:v>
                </c:pt>
                <c:pt idx="20">
                  <c:v>2.2412000000000001E-2</c:v>
                </c:pt>
                <c:pt idx="21">
                  <c:v>3.8216E-2</c:v>
                </c:pt>
                <c:pt idx="22">
                  <c:v>5.3289000000000003E-2</c:v>
                </c:pt>
                <c:pt idx="23">
                  <c:v>3.1119999999999998E-2</c:v>
                </c:pt>
                <c:pt idx="24">
                  <c:v>4.0812000000000001E-2</c:v>
                </c:pt>
                <c:pt idx="25">
                  <c:v>3.3410000000000002E-2</c:v>
                </c:pt>
                <c:pt idx="26">
                  <c:v>1.6244999999999999E-2</c:v>
                </c:pt>
                <c:pt idx="27">
                  <c:v>9.9290000000000003E-3</c:v>
                </c:pt>
                <c:pt idx="28">
                  <c:v>4.888E-3</c:v>
                </c:pt>
              </c:numCache>
            </c:numRef>
          </c:val>
          <c:extLst xmlns:c16r2="http://schemas.microsoft.com/office/drawing/2015/06/chart">
            <c:ext xmlns:c16="http://schemas.microsoft.com/office/drawing/2014/chart" uri="{C3380CC4-5D6E-409C-BE32-E72D297353CC}">
              <c16:uniqueId val="{0000001A-113C-40B4-B58A-36E6FE951F0B}"/>
            </c:ext>
          </c:extLst>
        </c:ser>
        <c:dLbls>
          <c:showLegendKey val="0"/>
          <c:showVal val="0"/>
          <c:showCatName val="0"/>
          <c:showSerName val="0"/>
          <c:showPercent val="0"/>
          <c:showBubbleSize val="0"/>
        </c:dLbls>
        <c:gapWidth val="200"/>
        <c:axId val="226167296"/>
        <c:axId val="50370752"/>
      </c:barChart>
      <c:catAx>
        <c:axId val="50304000"/>
        <c:scaling>
          <c:orientation val="minMax"/>
        </c:scaling>
        <c:delete val="0"/>
        <c:axPos val="b"/>
        <c:numFmt formatCode="General" sourceLinked="0"/>
        <c:majorTickMark val="out"/>
        <c:minorTickMark val="none"/>
        <c:tickLblPos val="nextTo"/>
        <c:spPr>
          <a:ln>
            <a:solidFill>
              <a:schemeClr val="tx1"/>
            </a:solidFill>
          </a:ln>
        </c:spPr>
        <c:crossAx val="50370176"/>
        <c:crosses val="autoZero"/>
        <c:auto val="1"/>
        <c:lblAlgn val="ctr"/>
        <c:lblOffset val="100"/>
        <c:noMultiLvlLbl val="0"/>
      </c:catAx>
      <c:valAx>
        <c:axId val="50370176"/>
        <c:scaling>
          <c:orientation val="minMax"/>
          <c:max val="0.5"/>
          <c:min val="0"/>
        </c:scaling>
        <c:delete val="1"/>
        <c:axPos val="l"/>
        <c:numFmt formatCode="0%" sourceLinked="1"/>
        <c:majorTickMark val="out"/>
        <c:minorTickMark val="none"/>
        <c:tickLblPos val="nextTo"/>
        <c:crossAx val="50304000"/>
        <c:crosses val="autoZero"/>
        <c:crossBetween val="between"/>
        <c:majorUnit val="0.1"/>
        <c:minorUnit val="5.0000000000000024E-2"/>
      </c:valAx>
      <c:valAx>
        <c:axId val="50370752"/>
        <c:scaling>
          <c:orientation val="minMax"/>
          <c:max val="0.5"/>
        </c:scaling>
        <c:delete val="0"/>
        <c:axPos val="r"/>
        <c:numFmt formatCode="0%" sourceLinked="1"/>
        <c:majorTickMark val="none"/>
        <c:minorTickMark val="none"/>
        <c:tickLblPos val="none"/>
        <c:crossAx val="226167296"/>
        <c:crosses val="max"/>
        <c:crossBetween val="between"/>
      </c:valAx>
      <c:catAx>
        <c:axId val="226167296"/>
        <c:scaling>
          <c:orientation val="minMax"/>
        </c:scaling>
        <c:delete val="1"/>
        <c:axPos val="b"/>
        <c:numFmt formatCode="General" sourceLinked="1"/>
        <c:majorTickMark val="out"/>
        <c:minorTickMark val="none"/>
        <c:tickLblPos val="none"/>
        <c:crossAx val="50370752"/>
        <c:crosses val="autoZero"/>
        <c:auto val="1"/>
        <c:lblAlgn val="ctr"/>
        <c:lblOffset val="100"/>
        <c:noMultiLvlLbl val="0"/>
      </c:catAx>
      <c:spPr>
        <a:ln>
          <a:solidFill>
            <a:schemeClr val="tx1">
              <a:tint val="75000"/>
              <a:shade val="95000"/>
              <a:satMod val="105000"/>
            </a:schemeClr>
          </a:solidFill>
        </a:ln>
      </c:spPr>
    </c:plotArea>
    <c:legend>
      <c:legendPos val="r"/>
      <c:layout>
        <c:manualLayout>
          <c:xMode val="edge"/>
          <c:yMode val="edge"/>
          <c:x val="0.86913315158387416"/>
          <c:y val="0.12861080246913581"/>
          <c:w val="6.9586721030664225E-2"/>
          <c:h val="0.1163820987654321"/>
        </c:manualLayout>
      </c:layout>
      <c:overlay val="0"/>
      <c:spPr>
        <a:solidFill>
          <a:schemeClr val="bg1"/>
        </a:solidFill>
        <a:ln>
          <a:solidFill>
            <a:schemeClr val="bg1">
              <a:lumMod val="65000"/>
            </a:schemeClr>
          </a:solidFill>
        </a:ln>
      </c:spPr>
      <c:txPr>
        <a:bodyPr/>
        <a:lstStyle/>
        <a:p>
          <a:pPr>
            <a:defRPr b="0"/>
          </a:pPr>
          <a:endParaRPr lang="cs-CZ"/>
        </a:p>
      </c:txPr>
    </c:legend>
    <c:plotVisOnly val="1"/>
    <c:dispBlanksAs val="gap"/>
    <c:showDLblsOverMax val="0"/>
  </c:chart>
  <c:spPr>
    <a:noFill/>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a:pPr>
            <a:r>
              <a:rPr lang="cs-CZ" sz="800" b="1"/>
              <a:t>Graf</a:t>
            </a:r>
            <a:r>
              <a:rPr lang="cs-CZ" sz="800" b="1" baseline="0"/>
              <a:t> G2 Samostatné </a:t>
            </a:r>
            <a:r>
              <a:rPr lang="cs-CZ" sz="800" b="1" i="0" u="none" strike="noStrike" baseline="0">
                <a:effectLst/>
              </a:rPr>
              <a:t>ordinace lékařů v Česku s vlastními webovými stránkami podle typu ordinace (%)*</a:t>
            </a:r>
            <a:endParaRPr lang="en-US" sz="800" b="1"/>
          </a:p>
        </c:rich>
      </c:tx>
      <c:layout/>
      <c:overlay val="0"/>
    </c:title>
    <c:autoTitleDeleted val="0"/>
    <c:plotArea>
      <c:layout>
        <c:manualLayout>
          <c:layoutTarget val="inner"/>
          <c:xMode val="edge"/>
          <c:yMode val="edge"/>
          <c:x val="0.22023104575163394"/>
          <c:y val="0.14807839506172846"/>
          <c:w val="0.73208627450980412"/>
          <c:h val="0.70463950617283977"/>
        </c:manualLayout>
      </c:layout>
      <c:barChart>
        <c:barDir val="bar"/>
        <c:grouping val="clustered"/>
        <c:varyColors val="0"/>
        <c:ser>
          <c:idx val="0"/>
          <c:order val="0"/>
          <c:tx>
            <c:strRef>
              <c:f>G_CZ!$J$24</c:f>
              <c:strCache>
                <c:ptCount val="1"/>
                <c:pt idx="0">
                  <c:v> 2011</c:v>
                </c:pt>
              </c:strCache>
            </c:strRef>
          </c:tx>
          <c:spPr>
            <a:solidFill>
              <a:srgbClr val="47E5FF"/>
            </a:solidFill>
          </c:spPr>
          <c:invertIfNegative val="0"/>
          <c:dLbls>
            <c:spPr>
              <a:noFill/>
              <a:ln>
                <a:noFill/>
              </a:ln>
              <a:effectLst/>
            </c:spPr>
            <c:txPr>
              <a:bodyPr/>
              <a:lstStyle/>
              <a:p>
                <a:pPr>
                  <a:defRPr sz="800" b="1">
                    <a:solidFill>
                      <a:sysClr val="windowText" lastClr="000000"/>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G_CZ!$I$25:$I$29</c:f>
              <c:strCache>
                <c:ptCount val="5"/>
                <c:pt idx="0">
                  <c:v>lékař specialista</c:v>
                </c:pt>
                <c:pt idx="1">
                  <c:v>gynekolog</c:v>
                </c:pt>
                <c:pt idx="2">
                  <c:v>zubní lékař</c:v>
                </c:pt>
                <c:pt idx="3">
                  <c:v>dětský lékař</c:v>
                </c:pt>
                <c:pt idx="4">
                  <c:v>praktický lékař pro dospělé</c:v>
                </c:pt>
              </c:strCache>
            </c:strRef>
          </c:cat>
          <c:val>
            <c:numRef>
              <c:f>G_CZ!$J$25:$J$29</c:f>
              <c:numCache>
                <c:formatCode>0%</c:formatCode>
                <c:ptCount val="5"/>
                <c:pt idx="0">
                  <c:v>0.27600000000000002</c:v>
                </c:pt>
                <c:pt idx="1">
                  <c:v>0.35099999999999998</c:v>
                </c:pt>
                <c:pt idx="2">
                  <c:v>0.13300000000000001</c:v>
                </c:pt>
                <c:pt idx="3">
                  <c:v>0.318</c:v>
                </c:pt>
                <c:pt idx="4">
                  <c:v>0.19400000000000001</c:v>
                </c:pt>
              </c:numCache>
            </c:numRef>
          </c:val>
          <c:extLst xmlns:c16r2="http://schemas.microsoft.com/office/drawing/2015/06/chart">
            <c:ext xmlns:c16="http://schemas.microsoft.com/office/drawing/2014/chart" uri="{C3380CC4-5D6E-409C-BE32-E72D297353CC}">
              <c16:uniqueId val="{00000000-E5FF-4E48-9176-4B8915769E82}"/>
            </c:ext>
          </c:extLst>
        </c:ser>
        <c:ser>
          <c:idx val="1"/>
          <c:order val="1"/>
          <c:tx>
            <c:strRef>
              <c:f>G_CZ!$K$24</c:f>
              <c:strCache>
                <c:ptCount val="1"/>
                <c:pt idx="0">
                  <c:v> 2016</c:v>
                </c:pt>
              </c:strCache>
            </c:strRef>
          </c:tx>
          <c:spPr>
            <a:solidFill>
              <a:srgbClr val="009BB4"/>
            </a:solidFill>
          </c:spPr>
          <c:invertIfNegative val="0"/>
          <c:dLbls>
            <c:dLbl>
              <c:idx val="1"/>
              <c:layout>
                <c:manualLayout>
                  <c:x val="-9.5025578099680139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E5FF-4E48-9176-4B8915769E82}"/>
                </c:ext>
              </c:extLst>
            </c:dLbl>
            <c:spPr>
              <a:noFill/>
              <a:ln>
                <a:noFill/>
              </a:ln>
              <a:effectLst/>
            </c:spPr>
            <c:txPr>
              <a:bodyPr/>
              <a:lstStyle/>
              <a:p>
                <a:pPr>
                  <a:defRPr sz="800" b="1">
                    <a:solidFill>
                      <a:schemeClr val="bg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G_CZ!$I$25:$I$29</c:f>
              <c:strCache>
                <c:ptCount val="5"/>
                <c:pt idx="0">
                  <c:v>lékař specialista</c:v>
                </c:pt>
                <c:pt idx="1">
                  <c:v>gynekolog</c:v>
                </c:pt>
                <c:pt idx="2">
                  <c:v>zubní lékař</c:v>
                </c:pt>
                <c:pt idx="3">
                  <c:v>dětský lékař</c:v>
                </c:pt>
                <c:pt idx="4">
                  <c:v>praktický lékař pro dospělé</c:v>
                </c:pt>
              </c:strCache>
            </c:strRef>
          </c:cat>
          <c:val>
            <c:numRef>
              <c:f>G_CZ!$K$25:$K$29</c:f>
              <c:numCache>
                <c:formatCode>0%</c:formatCode>
                <c:ptCount val="5"/>
                <c:pt idx="0">
                  <c:v>0.40172166427546629</c:v>
                </c:pt>
                <c:pt idx="1">
                  <c:v>0.56353591160220995</c:v>
                </c:pt>
                <c:pt idx="2">
                  <c:v>0.22968624296057924</c:v>
                </c:pt>
                <c:pt idx="3">
                  <c:v>0.50865438302624233</c:v>
                </c:pt>
                <c:pt idx="4">
                  <c:v>0.34013271073973944</c:v>
                </c:pt>
              </c:numCache>
            </c:numRef>
          </c:val>
          <c:extLst xmlns:c16r2="http://schemas.microsoft.com/office/drawing/2015/06/chart">
            <c:ext xmlns:c16="http://schemas.microsoft.com/office/drawing/2014/chart" uri="{C3380CC4-5D6E-409C-BE32-E72D297353CC}">
              <c16:uniqueId val="{00000002-E5FF-4E48-9176-4B8915769E82}"/>
            </c:ext>
          </c:extLst>
        </c:ser>
        <c:dLbls>
          <c:showLegendKey val="0"/>
          <c:showVal val="0"/>
          <c:showCatName val="0"/>
          <c:showSerName val="0"/>
          <c:showPercent val="0"/>
          <c:showBubbleSize val="0"/>
        </c:dLbls>
        <c:gapWidth val="30"/>
        <c:axId val="225703424"/>
        <c:axId val="226024768"/>
      </c:barChart>
      <c:catAx>
        <c:axId val="225703424"/>
        <c:scaling>
          <c:orientation val="minMax"/>
        </c:scaling>
        <c:delete val="0"/>
        <c:axPos val="l"/>
        <c:numFmt formatCode="General" sourceLinked="1"/>
        <c:majorTickMark val="out"/>
        <c:minorTickMark val="none"/>
        <c:tickLblPos val="nextTo"/>
        <c:spPr>
          <a:ln>
            <a:solidFill>
              <a:schemeClr val="tx1"/>
            </a:solidFill>
          </a:ln>
        </c:spPr>
        <c:crossAx val="226024768"/>
        <c:crosses val="autoZero"/>
        <c:auto val="1"/>
        <c:lblAlgn val="ctr"/>
        <c:lblOffset val="100"/>
        <c:noMultiLvlLbl val="0"/>
      </c:catAx>
      <c:valAx>
        <c:axId val="226024768"/>
        <c:scaling>
          <c:orientation val="minMax"/>
          <c:max val="0.9"/>
        </c:scaling>
        <c:delete val="0"/>
        <c:axPos val="b"/>
        <c:numFmt formatCode="0%" sourceLinked="1"/>
        <c:majorTickMark val="none"/>
        <c:minorTickMark val="none"/>
        <c:tickLblPos val="none"/>
        <c:crossAx val="225703424"/>
        <c:crosses val="autoZero"/>
        <c:crossBetween val="between"/>
        <c:majorUnit val="0.1"/>
        <c:minorUnit val="0.1"/>
      </c:valAx>
      <c:spPr>
        <a:ln w="12700">
          <a:solidFill>
            <a:schemeClr val="bg1">
              <a:lumMod val="65000"/>
            </a:schemeClr>
          </a:solidFill>
        </a:ln>
      </c:spPr>
    </c:plotArea>
    <c:legend>
      <c:legendPos val="r"/>
      <c:layout>
        <c:manualLayout>
          <c:xMode val="edge"/>
          <c:yMode val="edge"/>
          <c:x val="0.66852450980392153"/>
          <c:y val="0.23711481481481481"/>
          <c:w val="0.22570620915032694"/>
          <c:h val="0.17893364197530873"/>
        </c:manualLayout>
      </c:layout>
      <c:overlay val="0"/>
      <c:spPr>
        <a:solidFill>
          <a:schemeClr val="bg1"/>
        </a:solidFill>
        <a:ln>
          <a:solidFill>
            <a:schemeClr val="bg1">
              <a:lumMod val="50000"/>
            </a:schemeClr>
          </a:solidFill>
        </a:ln>
      </c:spPr>
    </c:legend>
    <c:plotVisOnly val="1"/>
    <c:dispBlanksAs val="gap"/>
    <c:showDLblsOverMax val="0"/>
  </c:chart>
  <c:spPr>
    <a:ln>
      <a:noFill/>
    </a:ln>
  </c:spPr>
  <c:txPr>
    <a:bodyPr/>
    <a:lstStyle/>
    <a:p>
      <a:pPr>
        <a:defRPr sz="800" b="0">
          <a:latin typeface="Arial" pitchFamily="34" charset="0"/>
          <a:cs typeface="Arial" pitchFamily="34" charset="0"/>
        </a:defRPr>
      </a:pPr>
      <a:endParaRPr lang="cs-CZ"/>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a:pPr>
            <a:r>
              <a:rPr lang="cs-CZ" sz="800" b="1"/>
              <a:t>Graf G3</a:t>
            </a:r>
            <a:r>
              <a:rPr lang="cs-CZ" sz="800" b="1" baseline="0"/>
              <a:t> </a:t>
            </a:r>
            <a:r>
              <a:rPr lang="cs-CZ" sz="800" b="1"/>
              <a:t>Samostatné ordinace lékařů v Česku</a:t>
            </a:r>
            <a:r>
              <a:rPr lang="cs-CZ" sz="800" b="1" baseline="0"/>
              <a:t> </a:t>
            </a:r>
            <a:r>
              <a:rPr lang="cs-CZ" sz="800" b="1"/>
              <a:t>nabízející pacientům</a:t>
            </a:r>
            <a:r>
              <a:rPr lang="cs-CZ" sz="800" b="1" baseline="0"/>
              <a:t> možnost objednat se</a:t>
            </a:r>
            <a:r>
              <a:rPr lang="cs-CZ" sz="800" b="1"/>
              <a:t> přes webové stránky (%)*</a:t>
            </a:r>
            <a:endParaRPr lang="en-US" sz="800" b="1"/>
          </a:p>
        </c:rich>
      </c:tx>
      <c:layout>
        <c:manualLayout>
          <c:xMode val="edge"/>
          <c:yMode val="edge"/>
          <c:x val="0.11332797533707865"/>
          <c:y val="1.4486814574762089E-2"/>
        </c:manualLayout>
      </c:layout>
      <c:overlay val="0"/>
    </c:title>
    <c:autoTitleDeleted val="0"/>
    <c:plotArea>
      <c:layout>
        <c:manualLayout>
          <c:layoutTarget val="inner"/>
          <c:xMode val="edge"/>
          <c:yMode val="edge"/>
          <c:x val="0.2517846405228758"/>
          <c:y val="0.16640238095238102"/>
          <c:w val="0.68962483660130713"/>
          <c:h val="0.6637043829738658"/>
        </c:manualLayout>
      </c:layout>
      <c:barChart>
        <c:barDir val="bar"/>
        <c:grouping val="clustered"/>
        <c:varyColors val="0"/>
        <c:ser>
          <c:idx val="0"/>
          <c:order val="0"/>
          <c:tx>
            <c:strRef>
              <c:f>G_CZ!$I$42</c:f>
              <c:strCache>
                <c:ptCount val="1"/>
                <c:pt idx="0">
                  <c:v> 2011</c:v>
                </c:pt>
              </c:strCache>
            </c:strRef>
          </c:tx>
          <c:spPr>
            <a:solidFill>
              <a:srgbClr val="47E5FF"/>
            </a:solidFill>
          </c:spPr>
          <c:invertIfNegative val="0"/>
          <c:dLbls>
            <c:spPr>
              <a:noFill/>
              <a:ln>
                <a:noFill/>
              </a:ln>
              <a:effectLst/>
            </c:spPr>
            <c:txPr>
              <a:bodyPr/>
              <a:lstStyle/>
              <a:p>
                <a:pPr>
                  <a:defRPr sz="800" b="1">
                    <a:solidFill>
                      <a:sysClr val="windowText" lastClr="000000"/>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G_CZ!$H$43:$H$49</c:f>
              <c:strCache>
                <c:ptCount val="7"/>
                <c:pt idx="0">
                  <c:v>lékař 
specialista</c:v>
                </c:pt>
                <c:pt idx="1">
                  <c:v>gynekolog</c:v>
                </c:pt>
                <c:pt idx="2">
                  <c:v>zubní lékař</c:v>
                </c:pt>
                <c:pt idx="3">
                  <c:v>dětský lékař</c:v>
                </c:pt>
                <c:pt idx="4">
                  <c:v>praktický lékař pro dospělé</c:v>
                </c:pt>
                <c:pt idx="6">
                  <c:v>Ordinace celkem</c:v>
                </c:pt>
              </c:strCache>
            </c:strRef>
          </c:cat>
          <c:val>
            <c:numRef>
              <c:f>G_CZ!$I$43:$I$49</c:f>
              <c:numCache>
                <c:formatCode>0%</c:formatCode>
                <c:ptCount val="7"/>
                <c:pt idx="0">
                  <c:v>9.1999999999999998E-2</c:v>
                </c:pt>
                <c:pt idx="1">
                  <c:v>0.106</c:v>
                </c:pt>
                <c:pt idx="2">
                  <c:v>3.2000000000000001E-2</c:v>
                </c:pt>
                <c:pt idx="3">
                  <c:v>0.111</c:v>
                </c:pt>
                <c:pt idx="4">
                  <c:v>8.3000000000000004E-2</c:v>
                </c:pt>
                <c:pt idx="6">
                  <c:v>7.5999999999999998E-2</c:v>
                </c:pt>
              </c:numCache>
            </c:numRef>
          </c:val>
          <c:extLst xmlns:c16r2="http://schemas.microsoft.com/office/drawing/2015/06/chart">
            <c:ext xmlns:c16="http://schemas.microsoft.com/office/drawing/2014/chart" uri="{C3380CC4-5D6E-409C-BE32-E72D297353CC}">
              <c16:uniqueId val="{00000000-F774-432E-B57C-55623D77F4B7}"/>
            </c:ext>
          </c:extLst>
        </c:ser>
        <c:ser>
          <c:idx val="1"/>
          <c:order val="1"/>
          <c:tx>
            <c:strRef>
              <c:f>G_CZ!$J$42</c:f>
              <c:strCache>
                <c:ptCount val="1"/>
                <c:pt idx="0">
                  <c:v> 2016</c:v>
                </c:pt>
              </c:strCache>
            </c:strRef>
          </c:tx>
          <c:spPr>
            <a:solidFill>
              <a:srgbClr val="009BB4"/>
            </a:solidFill>
          </c:spPr>
          <c:invertIfNegative val="0"/>
          <c:dLbls>
            <c:dLbl>
              <c:idx val="0"/>
              <c:spPr/>
              <c:txPr>
                <a:bodyPr/>
                <a:lstStyle/>
                <a:p>
                  <a:pPr>
                    <a:defRPr sz="800" b="1">
                      <a:solidFill>
                        <a:schemeClr val="bg1"/>
                      </a:solidFill>
                    </a:defRPr>
                  </a:pPr>
                  <a:endParaRPr lang="cs-CZ"/>
                </a:p>
              </c:txPr>
              <c:dLblPos val="inEnd"/>
              <c:showLegendKey val="0"/>
              <c:showVal val="1"/>
              <c:showCatName val="0"/>
              <c:showSerName val="0"/>
              <c:showPercent val="0"/>
              <c:showBubbleSize val="0"/>
            </c:dLbl>
            <c:dLbl>
              <c:idx val="1"/>
              <c:layout>
                <c:manualLayout>
                  <c:x val="-9.5025578099680139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F774-432E-B57C-55623D77F4B7}"/>
                </c:ext>
              </c:extLst>
            </c:dLbl>
            <c:spPr>
              <a:noFill/>
              <a:ln>
                <a:noFill/>
              </a:ln>
              <a:effectLst/>
            </c:spPr>
            <c:txPr>
              <a:bodyPr/>
              <a:lstStyle/>
              <a:p>
                <a:pPr>
                  <a:defRPr sz="800" b="1">
                    <a:solidFill>
                      <a:schemeClr val="bg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G_CZ!$H$43:$H$49</c:f>
              <c:strCache>
                <c:ptCount val="7"/>
                <c:pt idx="0">
                  <c:v>lékař 
specialista</c:v>
                </c:pt>
                <c:pt idx="1">
                  <c:v>gynekolog</c:v>
                </c:pt>
                <c:pt idx="2">
                  <c:v>zubní lékař</c:v>
                </c:pt>
                <c:pt idx="3">
                  <c:v>dětský lékař</c:v>
                </c:pt>
                <c:pt idx="4">
                  <c:v>praktický lékař pro dospělé</c:v>
                </c:pt>
                <c:pt idx="6">
                  <c:v>Ordinace celkem</c:v>
                </c:pt>
              </c:strCache>
            </c:strRef>
          </c:cat>
          <c:val>
            <c:numRef>
              <c:f>G_CZ!$J$43:$J$49</c:f>
              <c:numCache>
                <c:formatCode>0%</c:formatCode>
                <c:ptCount val="7"/>
                <c:pt idx="0">
                  <c:v>0.10935756416387693</c:v>
                </c:pt>
                <c:pt idx="1">
                  <c:v>0.2292817679558011</c:v>
                </c:pt>
                <c:pt idx="2">
                  <c:v>5.4907481898632343E-2</c:v>
                </c:pt>
                <c:pt idx="3">
                  <c:v>0.18760469011725292</c:v>
                </c:pt>
                <c:pt idx="4">
                  <c:v>0.16416810027033668</c:v>
                </c:pt>
                <c:pt idx="6">
                  <c:v>0.12159859271068101</c:v>
                </c:pt>
              </c:numCache>
            </c:numRef>
          </c:val>
          <c:extLst xmlns:c16r2="http://schemas.microsoft.com/office/drawing/2015/06/chart">
            <c:ext xmlns:c16="http://schemas.microsoft.com/office/drawing/2014/chart" uri="{C3380CC4-5D6E-409C-BE32-E72D297353CC}">
              <c16:uniqueId val="{00000003-F774-432E-B57C-55623D77F4B7}"/>
            </c:ext>
          </c:extLst>
        </c:ser>
        <c:dLbls>
          <c:showLegendKey val="0"/>
          <c:showVal val="0"/>
          <c:showCatName val="0"/>
          <c:showSerName val="0"/>
          <c:showPercent val="0"/>
          <c:showBubbleSize val="0"/>
        </c:dLbls>
        <c:gapWidth val="30"/>
        <c:axId val="225703936"/>
        <c:axId val="50119808"/>
      </c:barChart>
      <c:catAx>
        <c:axId val="225703936"/>
        <c:scaling>
          <c:orientation val="minMax"/>
        </c:scaling>
        <c:delete val="0"/>
        <c:axPos val="l"/>
        <c:numFmt formatCode="General" sourceLinked="1"/>
        <c:majorTickMark val="out"/>
        <c:minorTickMark val="none"/>
        <c:tickLblPos val="nextTo"/>
        <c:spPr>
          <a:ln>
            <a:solidFill>
              <a:schemeClr val="tx1"/>
            </a:solidFill>
          </a:ln>
        </c:spPr>
        <c:crossAx val="50119808"/>
        <c:crosses val="autoZero"/>
        <c:auto val="1"/>
        <c:lblAlgn val="ctr"/>
        <c:lblOffset val="100"/>
        <c:noMultiLvlLbl val="0"/>
      </c:catAx>
      <c:valAx>
        <c:axId val="50119808"/>
        <c:scaling>
          <c:orientation val="minMax"/>
          <c:max val="0.30000000000000016"/>
          <c:min val="0"/>
        </c:scaling>
        <c:delete val="0"/>
        <c:axPos val="b"/>
        <c:numFmt formatCode="0%" sourceLinked="1"/>
        <c:majorTickMark val="none"/>
        <c:minorTickMark val="none"/>
        <c:tickLblPos val="none"/>
        <c:crossAx val="225703936"/>
        <c:crosses val="autoZero"/>
        <c:crossBetween val="between"/>
        <c:majorUnit val="5.0000000000000024E-2"/>
        <c:minorUnit val="2.0000000000000011E-2"/>
      </c:valAx>
      <c:spPr>
        <a:ln w="12700">
          <a:solidFill>
            <a:schemeClr val="bg1">
              <a:lumMod val="65000"/>
            </a:schemeClr>
          </a:solidFill>
        </a:ln>
      </c:spPr>
    </c:plotArea>
    <c:legend>
      <c:legendPos val="r"/>
      <c:layout>
        <c:manualLayout>
          <c:xMode val="edge"/>
          <c:yMode val="edge"/>
          <c:x val="0.67445947712418364"/>
          <c:y val="0.20887896825396821"/>
          <c:w val="0.17629764476121723"/>
          <c:h val="0.14949166395038893"/>
        </c:manualLayout>
      </c:layout>
      <c:overlay val="0"/>
      <c:spPr>
        <a:solidFill>
          <a:schemeClr val="bg1"/>
        </a:solidFill>
        <a:ln>
          <a:solidFill>
            <a:schemeClr val="bg1">
              <a:lumMod val="50000"/>
            </a:schemeClr>
          </a:solidFill>
        </a:ln>
      </c:spPr>
    </c:legend>
    <c:plotVisOnly val="1"/>
    <c:dispBlanksAs val="gap"/>
    <c:showDLblsOverMax val="0"/>
  </c:chart>
  <c:spPr>
    <a:ln>
      <a:noFill/>
    </a:ln>
  </c:spPr>
  <c:txPr>
    <a:bodyPr/>
    <a:lstStyle/>
    <a:p>
      <a:pPr>
        <a:defRPr sz="800" b="0">
          <a:latin typeface="Arial" pitchFamily="34" charset="0"/>
          <a:cs typeface="Arial" pitchFamily="34" charset="0"/>
        </a:defRPr>
      </a:pPr>
      <a:endParaRPr lang="cs-CZ"/>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800" b="1" i="0" baseline="0">
                <a:effectLst/>
              </a:rPr>
              <a:t>Graf G4 Samostatné ordinace lékařů v Česku nabízející pacientům konzultace přes webové stránky (%)*</a:t>
            </a:r>
            <a:endParaRPr lang="cs-CZ" sz="800">
              <a:effectLst/>
            </a:endParaRPr>
          </a:p>
        </c:rich>
      </c:tx>
      <c:layout>
        <c:manualLayout>
          <c:xMode val="edge"/>
          <c:yMode val="edge"/>
          <c:x val="0.12178608515057113"/>
          <c:y val="3.8095238095238099E-2"/>
        </c:manualLayout>
      </c:layout>
      <c:overlay val="1"/>
    </c:title>
    <c:autoTitleDeleted val="0"/>
    <c:plotArea>
      <c:layout>
        <c:manualLayout>
          <c:layoutTarget val="inner"/>
          <c:xMode val="edge"/>
          <c:yMode val="edge"/>
          <c:x val="0.2517846405228758"/>
          <c:y val="0.18394200724909388"/>
          <c:w val="0.68131740541778085"/>
          <c:h val="0.64134849810440353"/>
        </c:manualLayout>
      </c:layout>
      <c:barChart>
        <c:barDir val="bar"/>
        <c:grouping val="clustered"/>
        <c:varyColors val="0"/>
        <c:ser>
          <c:idx val="0"/>
          <c:order val="0"/>
          <c:tx>
            <c:strRef>
              <c:f>G_CZ!$I$58</c:f>
              <c:strCache>
                <c:ptCount val="1"/>
                <c:pt idx="0">
                  <c:v> 2011</c:v>
                </c:pt>
              </c:strCache>
            </c:strRef>
          </c:tx>
          <c:spPr>
            <a:solidFill>
              <a:srgbClr val="47E5FF"/>
            </a:solidFill>
          </c:spPr>
          <c:invertIfNegative val="0"/>
          <c:dLbls>
            <c:spPr>
              <a:noFill/>
              <a:ln>
                <a:noFill/>
              </a:ln>
              <a:effectLst/>
            </c:spPr>
            <c:txPr>
              <a:bodyPr/>
              <a:lstStyle/>
              <a:p>
                <a:pPr>
                  <a:defRPr sz="800" b="1">
                    <a:solidFill>
                      <a:sysClr val="windowText" lastClr="000000"/>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G_CZ!$H$59:$H$65</c:f>
              <c:strCache>
                <c:ptCount val="7"/>
                <c:pt idx="0">
                  <c:v>lékař specialista</c:v>
                </c:pt>
                <c:pt idx="1">
                  <c:v>gynekolog</c:v>
                </c:pt>
                <c:pt idx="2">
                  <c:v>zubní lékař</c:v>
                </c:pt>
                <c:pt idx="3">
                  <c:v>dětský lékař</c:v>
                </c:pt>
                <c:pt idx="4">
                  <c:v>praktický lékař pro dospělé</c:v>
                </c:pt>
                <c:pt idx="6">
                  <c:v>Ordinace celkem</c:v>
                </c:pt>
              </c:strCache>
            </c:strRef>
          </c:cat>
          <c:val>
            <c:numRef>
              <c:f>G_CZ!$I$59:$I$65</c:f>
              <c:numCache>
                <c:formatCode>0%</c:formatCode>
                <c:ptCount val="7"/>
                <c:pt idx="0">
                  <c:v>0.10099999999999999</c:v>
                </c:pt>
                <c:pt idx="1">
                  <c:v>0.16800000000000001</c:v>
                </c:pt>
                <c:pt idx="2">
                  <c:v>3.3000000000000002E-2</c:v>
                </c:pt>
                <c:pt idx="3">
                  <c:v>0.13600000000000001</c:v>
                </c:pt>
                <c:pt idx="4">
                  <c:v>6.5000000000000002E-2</c:v>
                </c:pt>
                <c:pt idx="6">
                  <c:v>3.4629952504058197E-2</c:v>
                </c:pt>
              </c:numCache>
            </c:numRef>
          </c:val>
          <c:extLst xmlns:c16r2="http://schemas.microsoft.com/office/drawing/2015/06/chart">
            <c:ext xmlns:c16="http://schemas.microsoft.com/office/drawing/2014/chart" uri="{C3380CC4-5D6E-409C-BE32-E72D297353CC}">
              <c16:uniqueId val="{00000000-72EF-4B96-9ABF-471F937D8389}"/>
            </c:ext>
          </c:extLst>
        </c:ser>
        <c:ser>
          <c:idx val="1"/>
          <c:order val="1"/>
          <c:tx>
            <c:strRef>
              <c:f>G_CZ!$J$58</c:f>
              <c:strCache>
                <c:ptCount val="1"/>
                <c:pt idx="0">
                  <c:v> 2016</c:v>
                </c:pt>
              </c:strCache>
            </c:strRef>
          </c:tx>
          <c:spPr>
            <a:solidFill>
              <a:srgbClr val="009BB4"/>
            </a:solidFill>
          </c:spPr>
          <c:invertIfNegative val="0"/>
          <c:dLbls>
            <c:dLbl>
              <c:idx val="0"/>
              <c:spPr/>
              <c:txPr>
                <a:bodyPr/>
                <a:lstStyle/>
                <a:p>
                  <a:pPr>
                    <a:defRPr sz="800" b="1">
                      <a:solidFill>
                        <a:schemeClr val="bg1"/>
                      </a:solidFill>
                    </a:defRPr>
                  </a:pPr>
                  <a:endParaRPr lang="cs-CZ"/>
                </a:p>
              </c:txPr>
              <c:dLblPos val="inEnd"/>
              <c:showLegendKey val="0"/>
              <c:showVal val="1"/>
              <c:showCatName val="0"/>
              <c:showSerName val="0"/>
              <c:showPercent val="0"/>
              <c:showBubbleSize val="0"/>
            </c:dLbl>
            <c:dLbl>
              <c:idx val="1"/>
              <c:layout>
                <c:manualLayout>
                  <c:x val="-9.5025578099680139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72EF-4B96-9ABF-471F937D8389}"/>
                </c:ext>
              </c:extLst>
            </c:dLbl>
            <c:spPr>
              <a:noFill/>
              <a:ln>
                <a:noFill/>
              </a:ln>
              <a:effectLst/>
            </c:spPr>
            <c:txPr>
              <a:bodyPr/>
              <a:lstStyle/>
              <a:p>
                <a:pPr>
                  <a:defRPr sz="800" b="1">
                    <a:solidFill>
                      <a:schemeClr val="bg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G_CZ!$H$59:$H$65</c:f>
              <c:strCache>
                <c:ptCount val="7"/>
                <c:pt idx="0">
                  <c:v>lékař specialista</c:v>
                </c:pt>
                <c:pt idx="1">
                  <c:v>gynekolog</c:v>
                </c:pt>
                <c:pt idx="2">
                  <c:v>zubní lékař</c:v>
                </c:pt>
                <c:pt idx="3">
                  <c:v>dětský lékař</c:v>
                </c:pt>
                <c:pt idx="4">
                  <c:v>praktický lékař pro dospělé</c:v>
                </c:pt>
                <c:pt idx="6">
                  <c:v>Ordinace celkem</c:v>
                </c:pt>
              </c:strCache>
            </c:strRef>
          </c:cat>
          <c:val>
            <c:numRef>
              <c:f>G_CZ!$J$59:$J$65</c:f>
              <c:numCache>
                <c:formatCode>0%</c:formatCode>
                <c:ptCount val="7"/>
                <c:pt idx="0">
                  <c:v>0.12848716722461342</c:v>
                </c:pt>
                <c:pt idx="1">
                  <c:v>0.29189686924493552</c:v>
                </c:pt>
                <c:pt idx="2">
                  <c:v>4.9275945293644409E-2</c:v>
                </c:pt>
                <c:pt idx="3">
                  <c:v>0.21273031825795644</c:v>
                </c:pt>
                <c:pt idx="4">
                  <c:v>0.12189727205701645</c:v>
                </c:pt>
                <c:pt idx="6">
                  <c:v>0.12341267659831801</c:v>
                </c:pt>
              </c:numCache>
            </c:numRef>
          </c:val>
          <c:extLst xmlns:c16r2="http://schemas.microsoft.com/office/drawing/2015/06/chart">
            <c:ext xmlns:c16="http://schemas.microsoft.com/office/drawing/2014/chart" uri="{C3380CC4-5D6E-409C-BE32-E72D297353CC}">
              <c16:uniqueId val="{00000003-72EF-4B96-9ABF-471F937D8389}"/>
            </c:ext>
          </c:extLst>
        </c:ser>
        <c:dLbls>
          <c:showLegendKey val="0"/>
          <c:showVal val="0"/>
          <c:showCatName val="0"/>
          <c:showSerName val="0"/>
          <c:showPercent val="0"/>
          <c:showBubbleSize val="0"/>
        </c:dLbls>
        <c:gapWidth val="30"/>
        <c:axId val="49832960"/>
        <c:axId val="50121536"/>
      </c:barChart>
      <c:catAx>
        <c:axId val="49832960"/>
        <c:scaling>
          <c:orientation val="minMax"/>
        </c:scaling>
        <c:delete val="0"/>
        <c:axPos val="l"/>
        <c:numFmt formatCode="General" sourceLinked="1"/>
        <c:majorTickMark val="out"/>
        <c:minorTickMark val="none"/>
        <c:tickLblPos val="nextTo"/>
        <c:spPr>
          <a:ln>
            <a:solidFill>
              <a:schemeClr val="tx1"/>
            </a:solidFill>
          </a:ln>
        </c:spPr>
        <c:crossAx val="50121536"/>
        <c:crosses val="autoZero"/>
        <c:auto val="1"/>
        <c:lblAlgn val="ctr"/>
        <c:lblOffset val="100"/>
        <c:noMultiLvlLbl val="0"/>
      </c:catAx>
      <c:valAx>
        <c:axId val="50121536"/>
        <c:scaling>
          <c:orientation val="minMax"/>
          <c:max val="0.30000000000000016"/>
          <c:min val="0"/>
        </c:scaling>
        <c:delete val="0"/>
        <c:axPos val="b"/>
        <c:numFmt formatCode="0%" sourceLinked="1"/>
        <c:majorTickMark val="none"/>
        <c:minorTickMark val="none"/>
        <c:tickLblPos val="none"/>
        <c:crossAx val="49832960"/>
        <c:crosses val="autoZero"/>
        <c:crossBetween val="between"/>
        <c:majorUnit val="5.0000000000000024E-2"/>
        <c:minorUnit val="2.0000000000000011E-2"/>
      </c:valAx>
      <c:spPr>
        <a:ln w="12700">
          <a:solidFill>
            <a:schemeClr val="bg1">
              <a:lumMod val="65000"/>
            </a:schemeClr>
          </a:solidFill>
        </a:ln>
      </c:spPr>
    </c:plotArea>
    <c:legend>
      <c:legendPos val="r"/>
      <c:layout>
        <c:manualLayout>
          <c:xMode val="edge"/>
          <c:yMode val="edge"/>
          <c:x val="0.67030915032679772"/>
          <c:y val="0.23911706349206349"/>
          <c:w val="0.17629764476121723"/>
          <c:h val="0.14949166395038893"/>
        </c:manualLayout>
      </c:layout>
      <c:overlay val="0"/>
      <c:spPr>
        <a:solidFill>
          <a:schemeClr val="bg1"/>
        </a:solidFill>
        <a:ln>
          <a:solidFill>
            <a:schemeClr val="bg1">
              <a:lumMod val="50000"/>
            </a:schemeClr>
          </a:solidFill>
        </a:ln>
      </c:spPr>
    </c:legend>
    <c:plotVisOnly val="1"/>
    <c:dispBlanksAs val="gap"/>
    <c:showDLblsOverMax val="0"/>
  </c:chart>
  <c:spPr>
    <a:ln>
      <a:noFill/>
    </a:ln>
  </c:spPr>
  <c:txPr>
    <a:bodyPr/>
    <a:lstStyle/>
    <a:p>
      <a:pPr>
        <a:defRPr sz="800" b="0">
          <a:latin typeface="Arial" pitchFamily="34" charset="0"/>
          <a:cs typeface="Arial" pitchFamily="34" charset="0"/>
        </a:defRPr>
      </a:pPr>
      <a:endParaRPr lang="cs-CZ"/>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a:pPr>
            <a:r>
              <a:rPr lang="cs-CZ" sz="800" b="1"/>
              <a:t>Graf</a:t>
            </a:r>
            <a:r>
              <a:rPr lang="cs-CZ" sz="800" b="1" baseline="0"/>
              <a:t> G5 Samostatné o</a:t>
            </a:r>
            <a:r>
              <a:rPr lang="cs-CZ" sz="800" b="1"/>
              <a:t>rdinace lékařů v Česku, které vedou zdravotnickou dokumentaci </a:t>
            </a:r>
          </a:p>
          <a:p>
            <a:pPr>
              <a:defRPr sz="800" b="1"/>
            </a:pPr>
            <a:r>
              <a:rPr lang="cs-CZ" sz="800" b="1"/>
              <a:t>v elektronické formě</a:t>
            </a:r>
            <a:r>
              <a:rPr lang="cs-CZ" sz="800" b="1" baseline="0"/>
              <a:t> v roce </a:t>
            </a:r>
            <a:r>
              <a:rPr lang="cs-CZ" sz="800" b="1"/>
              <a:t>2016 (%)*</a:t>
            </a:r>
            <a:endParaRPr lang="en-US" sz="800" b="1"/>
          </a:p>
        </c:rich>
      </c:tx>
      <c:layout>
        <c:manualLayout>
          <c:xMode val="edge"/>
          <c:yMode val="edge"/>
          <c:x val="0.15162156862745094"/>
          <c:y val="1.5679012345679012E-2"/>
        </c:manualLayout>
      </c:layout>
      <c:overlay val="0"/>
    </c:title>
    <c:autoTitleDeleted val="0"/>
    <c:plotArea>
      <c:layout>
        <c:manualLayout>
          <c:layoutTarget val="inner"/>
          <c:xMode val="edge"/>
          <c:yMode val="edge"/>
          <c:x val="0.29597628470137477"/>
          <c:y val="0.14023888888888891"/>
          <c:w val="0.63973148216286047"/>
          <c:h val="0.56956291268796"/>
        </c:manualLayout>
      </c:layout>
      <c:barChart>
        <c:barDir val="bar"/>
        <c:grouping val="clustered"/>
        <c:varyColors val="0"/>
        <c:ser>
          <c:idx val="0"/>
          <c:order val="0"/>
          <c:tx>
            <c:strRef>
              <c:f>G_CZ!$I$72</c:f>
              <c:strCache>
                <c:ptCount val="1"/>
                <c:pt idx="0">
                  <c:v> pouze elektronicky</c:v>
                </c:pt>
              </c:strCache>
            </c:strRef>
          </c:tx>
          <c:spPr>
            <a:solidFill>
              <a:srgbClr val="47E5FF"/>
            </a:solidFill>
          </c:spPr>
          <c:invertIfNegative val="0"/>
          <c:dLbls>
            <c:spPr>
              <a:noFill/>
              <a:ln>
                <a:noFill/>
              </a:ln>
              <a:effectLst/>
            </c:spPr>
            <c:txPr>
              <a:bodyPr/>
              <a:lstStyle/>
              <a:p>
                <a:pPr>
                  <a:defRPr sz="800" b="1">
                    <a:solidFill>
                      <a:sysClr val="windowText" lastClr="000000"/>
                    </a:solidFill>
                  </a:defRPr>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G_CZ!$H$73:$H$79</c:f>
              <c:strCache>
                <c:ptCount val="7"/>
                <c:pt idx="0">
                  <c:v>lékař specialista</c:v>
                </c:pt>
                <c:pt idx="1">
                  <c:v>gynekolog</c:v>
                </c:pt>
                <c:pt idx="2">
                  <c:v>zubní lékař</c:v>
                </c:pt>
                <c:pt idx="3">
                  <c:v>dětský lékař</c:v>
                </c:pt>
                <c:pt idx="4">
                  <c:v>praktický lékař pro dospělé</c:v>
                </c:pt>
                <c:pt idx="6">
                  <c:v>Ordinace celkem</c:v>
                </c:pt>
              </c:strCache>
            </c:strRef>
          </c:cat>
          <c:val>
            <c:numRef>
              <c:f>G_CZ!$I$73:$I$79</c:f>
              <c:numCache>
                <c:formatCode>0%</c:formatCode>
                <c:ptCount val="7"/>
                <c:pt idx="0">
                  <c:v>8.799617407938784E-2</c:v>
                </c:pt>
                <c:pt idx="1">
                  <c:v>6.4456721915285453E-2</c:v>
                </c:pt>
                <c:pt idx="2">
                  <c:v>0.11564762670957361</c:v>
                </c:pt>
                <c:pt idx="3">
                  <c:v>2.0658849804578449E-2</c:v>
                </c:pt>
                <c:pt idx="4">
                  <c:v>4.7923322683706068E-2</c:v>
                </c:pt>
                <c:pt idx="6">
                  <c:v>7.8555329558572917E-2</c:v>
                </c:pt>
              </c:numCache>
            </c:numRef>
          </c:val>
          <c:extLst xmlns:c16r2="http://schemas.microsoft.com/office/drawing/2015/06/chart">
            <c:ext xmlns:c16="http://schemas.microsoft.com/office/drawing/2014/chart" uri="{C3380CC4-5D6E-409C-BE32-E72D297353CC}">
              <c16:uniqueId val="{00000000-D580-4BC7-BEE0-2459F40F8D6D}"/>
            </c:ext>
          </c:extLst>
        </c:ser>
        <c:ser>
          <c:idx val="1"/>
          <c:order val="1"/>
          <c:tx>
            <c:strRef>
              <c:f>G_CZ!$J$72</c:f>
              <c:strCache>
                <c:ptCount val="1"/>
                <c:pt idx="0">
                  <c:v> Celkem**</c:v>
                </c:pt>
              </c:strCache>
            </c:strRef>
          </c:tx>
          <c:spPr>
            <a:solidFill>
              <a:srgbClr val="009BB4"/>
            </a:solidFill>
          </c:spPr>
          <c:invertIfNegative val="0"/>
          <c:dLbls>
            <c:dLbl>
              <c:idx val="1"/>
              <c:layout>
                <c:manualLayout>
                  <c:x val="-9.5025578099680139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D580-4BC7-BEE0-2459F40F8D6D}"/>
                </c:ext>
              </c:extLst>
            </c:dLbl>
            <c:spPr>
              <a:noFill/>
              <a:ln>
                <a:noFill/>
              </a:ln>
              <a:effectLst/>
            </c:spPr>
            <c:txPr>
              <a:bodyPr/>
              <a:lstStyle/>
              <a:p>
                <a:pPr>
                  <a:defRPr sz="800" b="1">
                    <a:solidFill>
                      <a:schemeClr val="bg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G_CZ!$H$73:$H$79</c:f>
              <c:strCache>
                <c:ptCount val="7"/>
                <c:pt idx="0">
                  <c:v>lékař specialista</c:v>
                </c:pt>
                <c:pt idx="1">
                  <c:v>gynekolog</c:v>
                </c:pt>
                <c:pt idx="2">
                  <c:v>zubní lékař</c:v>
                </c:pt>
                <c:pt idx="3">
                  <c:v>dětský lékař</c:v>
                </c:pt>
                <c:pt idx="4">
                  <c:v>praktický lékař pro dospělé</c:v>
                </c:pt>
                <c:pt idx="6">
                  <c:v>Ordinace celkem</c:v>
                </c:pt>
              </c:strCache>
            </c:strRef>
          </c:cat>
          <c:val>
            <c:numRef>
              <c:f>G_CZ!$J$73:$J$79</c:f>
              <c:numCache>
                <c:formatCode>0%</c:formatCode>
                <c:ptCount val="7"/>
                <c:pt idx="0">
                  <c:v>0.7127371273712737</c:v>
                </c:pt>
                <c:pt idx="1">
                  <c:v>0.74309392265193364</c:v>
                </c:pt>
                <c:pt idx="2">
                  <c:v>0.58065164923571999</c:v>
                </c:pt>
                <c:pt idx="3">
                  <c:v>0.63874930206588498</c:v>
                </c:pt>
                <c:pt idx="4">
                  <c:v>0.73629884492504294</c:v>
                </c:pt>
                <c:pt idx="6">
                  <c:v>0.67643340113242811</c:v>
                </c:pt>
              </c:numCache>
            </c:numRef>
          </c:val>
          <c:extLst xmlns:c16r2="http://schemas.microsoft.com/office/drawing/2015/06/chart">
            <c:ext xmlns:c16="http://schemas.microsoft.com/office/drawing/2014/chart" uri="{C3380CC4-5D6E-409C-BE32-E72D297353CC}">
              <c16:uniqueId val="{00000002-D580-4BC7-BEE0-2459F40F8D6D}"/>
            </c:ext>
          </c:extLst>
        </c:ser>
        <c:dLbls>
          <c:showLegendKey val="0"/>
          <c:showVal val="0"/>
          <c:showCatName val="0"/>
          <c:showSerName val="0"/>
          <c:showPercent val="0"/>
          <c:showBubbleSize val="0"/>
        </c:dLbls>
        <c:gapWidth val="30"/>
        <c:axId val="49833984"/>
        <c:axId val="50123840"/>
      </c:barChart>
      <c:catAx>
        <c:axId val="49833984"/>
        <c:scaling>
          <c:orientation val="minMax"/>
        </c:scaling>
        <c:delete val="0"/>
        <c:axPos val="l"/>
        <c:numFmt formatCode="General" sourceLinked="1"/>
        <c:majorTickMark val="out"/>
        <c:minorTickMark val="none"/>
        <c:tickLblPos val="nextTo"/>
        <c:spPr>
          <a:ln>
            <a:solidFill>
              <a:schemeClr val="tx1"/>
            </a:solidFill>
          </a:ln>
        </c:spPr>
        <c:crossAx val="50123840"/>
        <c:crosses val="autoZero"/>
        <c:auto val="1"/>
        <c:lblAlgn val="ctr"/>
        <c:lblOffset val="100"/>
        <c:noMultiLvlLbl val="0"/>
      </c:catAx>
      <c:valAx>
        <c:axId val="50123840"/>
        <c:scaling>
          <c:orientation val="minMax"/>
          <c:max val="1"/>
        </c:scaling>
        <c:delete val="0"/>
        <c:axPos val="b"/>
        <c:numFmt formatCode="0%" sourceLinked="1"/>
        <c:majorTickMark val="none"/>
        <c:minorTickMark val="none"/>
        <c:tickLblPos val="none"/>
        <c:crossAx val="49833984"/>
        <c:crosses val="autoZero"/>
        <c:crossBetween val="between"/>
        <c:majorUnit val="0.1"/>
        <c:minorUnit val="5.0000000000000024E-2"/>
      </c:valAx>
      <c:spPr>
        <a:ln w="12700">
          <a:solidFill>
            <a:schemeClr val="bg1">
              <a:lumMod val="65000"/>
            </a:schemeClr>
          </a:solidFill>
        </a:ln>
      </c:spPr>
    </c:plotArea>
    <c:legend>
      <c:legendPos val="r"/>
      <c:layout>
        <c:manualLayout>
          <c:xMode val="edge"/>
          <c:yMode val="edge"/>
          <c:x val="0.49837352941176483"/>
          <c:y val="0.20328209876543221"/>
          <c:w val="0.41213333333333324"/>
          <c:h val="9.2585090443762827E-2"/>
        </c:manualLayout>
      </c:layout>
      <c:overlay val="0"/>
      <c:spPr>
        <a:solidFill>
          <a:schemeClr val="bg1"/>
        </a:solidFill>
        <a:ln>
          <a:solidFill>
            <a:schemeClr val="bg1">
              <a:lumMod val="50000"/>
            </a:schemeClr>
          </a:solidFill>
        </a:ln>
      </c:spPr>
    </c:legend>
    <c:plotVisOnly val="1"/>
    <c:dispBlanksAs val="gap"/>
    <c:showDLblsOverMax val="0"/>
  </c:chart>
  <c:spPr>
    <a:ln>
      <a:noFill/>
    </a:ln>
  </c:spPr>
  <c:txPr>
    <a:bodyPr/>
    <a:lstStyle/>
    <a:p>
      <a:pPr>
        <a:defRPr sz="800" b="0">
          <a:latin typeface="Arial" pitchFamily="34" charset="0"/>
          <a:cs typeface="Arial" pitchFamily="34" charset="0"/>
        </a:defRPr>
      </a:pPr>
      <a:endParaRPr lang="cs-CZ"/>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a:pPr>
            <a:r>
              <a:rPr lang="cs-CZ" sz="800" b="1"/>
              <a:t>Graf</a:t>
            </a:r>
            <a:r>
              <a:rPr lang="cs-CZ" sz="800" b="1" baseline="0"/>
              <a:t> G6 Samostatné ordinace lékařů v Česku, které vedou zdravotnickou dokumentaci v listinné formě v roce 2016 (%)*</a:t>
            </a:r>
            <a:endParaRPr lang="en-US" sz="800" b="1"/>
          </a:p>
        </c:rich>
      </c:tx>
      <c:layout/>
      <c:overlay val="0"/>
    </c:title>
    <c:autoTitleDeleted val="0"/>
    <c:plotArea>
      <c:layout>
        <c:manualLayout>
          <c:layoutTarget val="inner"/>
          <c:xMode val="edge"/>
          <c:yMode val="edge"/>
          <c:x val="0.28725641931109958"/>
          <c:y val="0.14023888888888891"/>
          <c:w val="0.66480751951318906"/>
          <c:h val="0.57553805774278211"/>
        </c:manualLayout>
      </c:layout>
      <c:barChart>
        <c:barDir val="bar"/>
        <c:grouping val="clustered"/>
        <c:varyColors val="0"/>
        <c:ser>
          <c:idx val="0"/>
          <c:order val="0"/>
          <c:tx>
            <c:strRef>
              <c:f>G_CZ!$I$91</c:f>
              <c:strCache>
                <c:ptCount val="1"/>
                <c:pt idx="0">
                  <c:v> pouze listinně</c:v>
                </c:pt>
              </c:strCache>
            </c:strRef>
          </c:tx>
          <c:spPr>
            <a:solidFill>
              <a:srgbClr val="47E5FF"/>
            </a:solidFill>
          </c:spPr>
          <c:invertIfNegative val="0"/>
          <c:dLbls>
            <c:spPr>
              <a:noFill/>
              <a:ln>
                <a:noFill/>
              </a:ln>
              <a:effectLst/>
            </c:spPr>
            <c:txPr>
              <a:bodyPr/>
              <a:lstStyle/>
              <a:p>
                <a:pPr>
                  <a:defRPr sz="800" b="1">
                    <a:solidFill>
                      <a:sysClr val="windowText" lastClr="000000"/>
                    </a:solidFill>
                  </a:defRPr>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G_CZ!$H$92:$H$98</c:f>
              <c:strCache>
                <c:ptCount val="7"/>
                <c:pt idx="0">
                  <c:v>lékař specialista</c:v>
                </c:pt>
                <c:pt idx="1">
                  <c:v>gynekolog</c:v>
                </c:pt>
                <c:pt idx="2">
                  <c:v>zubní lékař</c:v>
                </c:pt>
                <c:pt idx="3">
                  <c:v>dětský lékař</c:v>
                </c:pt>
                <c:pt idx="4">
                  <c:v>praktický lékař pro dospělé</c:v>
                </c:pt>
                <c:pt idx="6">
                  <c:v>Ordinace celkem</c:v>
                </c:pt>
              </c:strCache>
            </c:strRef>
          </c:cat>
          <c:val>
            <c:numRef>
              <c:f>G_CZ!$I$92:$I$98</c:f>
              <c:numCache>
                <c:formatCode>0%</c:formatCode>
                <c:ptCount val="7"/>
                <c:pt idx="0">
                  <c:v>0.27148095010361867</c:v>
                </c:pt>
                <c:pt idx="1">
                  <c:v>0.25138121546961328</c:v>
                </c:pt>
                <c:pt idx="2">
                  <c:v>0.41110217216411904</c:v>
                </c:pt>
                <c:pt idx="3">
                  <c:v>0.35231714126186486</c:v>
                </c:pt>
                <c:pt idx="4">
                  <c:v>0.25854018186286559</c:v>
                </c:pt>
                <c:pt idx="6">
                  <c:v>0.31350667912704083</c:v>
                </c:pt>
              </c:numCache>
            </c:numRef>
          </c:val>
          <c:extLst xmlns:c16r2="http://schemas.microsoft.com/office/drawing/2015/06/chart">
            <c:ext xmlns:c16="http://schemas.microsoft.com/office/drawing/2014/chart" uri="{C3380CC4-5D6E-409C-BE32-E72D297353CC}">
              <c16:uniqueId val="{00000000-0349-414C-978B-5A03A3A3332D}"/>
            </c:ext>
          </c:extLst>
        </c:ser>
        <c:ser>
          <c:idx val="1"/>
          <c:order val="1"/>
          <c:tx>
            <c:strRef>
              <c:f>G_CZ!$J$91</c:f>
              <c:strCache>
                <c:ptCount val="1"/>
                <c:pt idx="0">
                  <c:v> Celkem**</c:v>
                </c:pt>
              </c:strCache>
            </c:strRef>
          </c:tx>
          <c:spPr>
            <a:solidFill>
              <a:srgbClr val="009BB4"/>
            </a:solidFill>
          </c:spPr>
          <c:invertIfNegative val="0"/>
          <c:dLbls>
            <c:dLbl>
              <c:idx val="1"/>
              <c:layout>
                <c:manualLayout>
                  <c:x val="-9.5025578099680139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0349-414C-978B-5A03A3A3332D}"/>
                </c:ext>
              </c:extLst>
            </c:dLbl>
            <c:spPr>
              <a:noFill/>
              <a:ln>
                <a:noFill/>
              </a:ln>
              <a:effectLst/>
            </c:spPr>
            <c:txPr>
              <a:bodyPr/>
              <a:lstStyle/>
              <a:p>
                <a:pPr>
                  <a:defRPr sz="800" b="1">
                    <a:solidFill>
                      <a:schemeClr val="bg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G_CZ!$H$92:$H$98</c:f>
              <c:strCache>
                <c:ptCount val="7"/>
                <c:pt idx="0">
                  <c:v>lékař specialista</c:v>
                </c:pt>
                <c:pt idx="1">
                  <c:v>gynekolog</c:v>
                </c:pt>
                <c:pt idx="2">
                  <c:v>zubní lékař</c:v>
                </c:pt>
                <c:pt idx="3">
                  <c:v>dětský lékař</c:v>
                </c:pt>
                <c:pt idx="4">
                  <c:v>praktický lékař pro dospělé</c:v>
                </c:pt>
                <c:pt idx="6">
                  <c:v>Ordinace celkem</c:v>
                </c:pt>
              </c:strCache>
            </c:strRef>
          </c:cat>
          <c:val>
            <c:numRef>
              <c:f>G_CZ!$J$92:$J$98</c:f>
              <c:numCache>
                <c:formatCode>0%</c:formatCode>
                <c:ptCount val="7"/>
                <c:pt idx="0">
                  <c:v>0.89574095329188597</c:v>
                </c:pt>
                <c:pt idx="1">
                  <c:v>0.92963720073664835</c:v>
                </c:pt>
                <c:pt idx="2">
                  <c:v>0.8760040225261464</c:v>
                </c:pt>
                <c:pt idx="3">
                  <c:v>0.97009045226130663</c:v>
                </c:pt>
                <c:pt idx="4">
                  <c:v>0.94737552224133681</c:v>
                </c:pt>
                <c:pt idx="6">
                  <c:v>0.91187807157385525</c:v>
                </c:pt>
              </c:numCache>
            </c:numRef>
          </c:val>
          <c:extLst xmlns:c16r2="http://schemas.microsoft.com/office/drawing/2015/06/chart">
            <c:ext xmlns:c16="http://schemas.microsoft.com/office/drawing/2014/chart" uri="{C3380CC4-5D6E-409C-BE32-E72D297353CC}">
              <c16:uniqueId val="{00000002-0349-414C-978B-5A03A3A3332D}"/>
            </c:ext>
          </c:extLst>
        </c:ser>
        <c:dLbls>
          <c:showLegendKey val="0"/>
          <c:showVal val="0"/>
          <c:showCatName val="0"/>
          <c:showSerName val="0"/>
          <c:showPercent val="0"/>
          <c:showBubbleSize val="0"/>
        </c:dLbls>
        <c:gapWidth val="30"/>
        <c:axId val="49835520"/>
        <c:axId val="50124992"/>
      </c:barChart>
      <c:catAx>
        <c:axId val="49835520"/>
        <c:scaling>
          <c:orientation val="minMax"/>
        </c:scaling>
        <c:delete val="0"/>
        <c:axPos val="l"/>
        <c:numFmt formatCode="General" sourceLinked="1"/>
        <c:majorTickMark val="out"/>
        <c:minorTickMark val="none"/>
        <c:tickLblPos val="nextTo"/>
        <c:spPr>
          <a:ln>
            <a:solidFill>
              <a:schemeClr val="tx1"/>
            </a:solidFill>
          </a:ln>
        </c:spPr>
        <c:crossAx val="50124992"/>
        <c:crosses val="autoZero"/>
        <c:auto val="1"/>
        <c:lblAlgn val="ctr"/>
        <c:lblOffset val="100"/>
        <c:noMultiLvlLbl val="0"/>
      </c:catAx>
      <c:valAx>
        <c:axId val="50124992"/>
        <c:scaling>
          <c:orientation val="minMax"/>
          <c:max val="1"/>
        </c:scaling>
        <c:delete val="0"/>
        <c:axPos val="b"/>
        <c:numFmt formatCode="0%" sourceLinked="1"/>
        <c:majorTickMark val="none"/>
        <c:minorTickMark val="none"/>
        <c:tickLblPos val="none"/>
        <c:crossAx val="49835520"/>
        <c:crosses val="autoZero"/>
        <c:crossBetween val="between"/>
        <c:majorUnit val="0.1"/>
        <c:minorUnit val="5.0000000000000024E-2"/>
      </c:valAx>
      <c:spPr>
        <a:ln w="12700">
          <a:solidFill>
            <a:schemeClr val="bg1">
              <a:lumMod val="65000"/>
            </a:schemeClr>
          </a:solidFill>
        </a:ln>
      </c:spPr>
    </c:plotArea>
    <c:legend>
      <c:legendPos val="r"/>
      <c:layout>
        <c:manualLayout>
          <c:xMode val="edge"/>
          <c:yMode val="edge"/>
          <c:x val="0.59793448354070211"/>
          <c:y val="0.19483929002560024"/>
          <c:w val="0.32322786365732431"/>
          <c:h val="0.10019074074074079"/>
        </c:manualLayout>
      </c:layout>
      <c:overlay val="0"/>
      <c:spPr>
        <a:solidFill>
          <a:schemeClr val="bg1"/>
        </a:solidFill>
        <a:ln>
          <a:solidFill>
            <a:schemeClr val="bg1">
              <a:lumMod val="50000"/>
            </a:schemeClr>
          </a:solidFill>
        </a:ln>
      </c:spPr>
    </c:legend>
    <c:plotVisOnly val="1"/>
    <c:dispBlanksAs val="gap"/>
    <c:showDLblsOverMax val="0"/>
  </c:chart>
  <c:spPr>
    <a:ln>
      <a:noFill/>
    </a:ln>
  </c:spPr>
  <c:txPr>
    <a:bodyPr/>
    <a:lstStyle/>
    <a:p>
      <a:pPr>
        <a:defRPr sz="800" b="0">
          <a:latin typeface="Arial" pitchFamily="34" charset="0"/>
          <a:cs typeface="Arial" pitchFamily="34" charset="0"/>
        </a:defRPr>
      </a:pPr>
      <a:endParaRPr lang="cs-CZ"/>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a:pPr>
            <a:r>
              <a:rPr lang="cs-CZ" sz="800" b="1" i="0" baseline="0">
                <a:effectLst/>
                <a:latin typeface="Arial" panose="020B0604020202020204" pitchFamily="34" charset="0"/>
                <a:cs typeface="Arial" panose="020B0604020202020204" pitchFamily="34" charset="0"/>
              </a:rPr>
              <a:t>Graf G7 Samostatné ordinace lékařů v Česku využívající vybrané funkce svých zdravotnických e-systémů v roce 2016 (%)*</a:t>
            </a:r>
            <a:endParaRPr lang="cs-CZ" sz="800">
              <a:effectLst/>
              <a:latin typeface="Arial" panose="020B0604020202020204" pitchFamily="34" charset="0"/>
              <a:cs typeface="Arial" panose="020B0604020202020204" pitchFamily="34" charset="0"/>
            </a:endParaRPr>
          </a:p>
        </c:rich>
      </c:tx>
      <c:layout>
        <c:manualLayout>
          <c:xMode val="edge"/>
          <c:yMode val="edge"/>
          <c:x val="0.12026555504091399"/>
          <c:y val="2.0471225033567974E-2"/>
        </c:manualLayout>
      </c:layout>
      <c:overlay val="1"/>
    </c:title>
    <c:autoTitleDeleted val="0"/>
    <c:plotArea>
      <c:layout>
        <c:manualLayout>
          <c:layoutTarget val="inner"/>
          <c:xMode val="edge"/>
          <c:yMode val="edge"/>
          <c:x val="0.17364002054091066"/>
          <c:y val="0.14796016554503064"/>
          <c:w val="0.80462084902430675"/>
          <c:h val="0.67082625487121927"/>
        </c:manualLayout>
      </c:layout>
      <c:barChart>
        <c:barDir val="bar"/>
        <c:grouping val="clustered"/>
        <c:varyColors val="0"/>
        <c:ser>
          <c:idx val="0"/>
          <c:order val="0"/>
          <c:tx>
            <c:strRef>
              <c:f>G_CZ!$K$111</c:f>
              <c:strCache>
                <c:ptCount val="1"/>
                <c:pt idx="0">
                  <c:v> lékové interakce</c:v>
                </c:pt>
              </c:strCache>
            </c:strRef>
          </c:tx>
          <c:spPr>
            <a:solidFill>
              <a:srgbClr val="ABF3FF"/>
            </a:solidFill>
            <a:ln w="25400">
              <a:noFill/>
            </a:ln>
          </c:spPr>
          <c:invertIfNegative val="0"/>
          <c:dLbls>
            <c:numFmt formatCode="0%" sourceLinked="0"/>
            <c:spPr>
              <a:noFill/>
              <a:ln w="25400">
                <a:noFill/>
              </a:ln>
            </c:spPr>
            <c:txPr>
              <a:bodyPr/>
              <a:lstStyle/>
              <a:p>
                <a:pPr>
                  <a:defRPr b="1"/>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G_CZ!$J$112:$J$118</c:f>
              <c:strCache>
                <c:ptCount val="7"/>
                <c:pt idx="0">
                  <c:v>praktický lékař 
pro dospělé</c:v>
                </c:pt>
                <c:pt idx="1">
                  <c:v>gynekolog</c:v>
                </c:pt>
                <c:pt idx="2">
                  <c:v>dětský 
lékař</c:v>
                </c:pt>
                <c:pt idx="3">
                  <c:v>lékař
specialista</c:v>
                </c:pt>
                <c:pt idx="4">
                  <c:v>zubní 
lékař</c:v>
                </c:pt>
                <c:pt idx="6">
                  <c:v>Ordinace celkem</c:v>
                </c:pt>
              </c:strCache>
            </c:strRef>
          </c:cat>
          <c:val>
            <c:numRef>
              <c:f>G_CZ!$K$112:$K$118</c:f>
              <c:numCache>
                <c:formatCode>0%</c:formatCode>
                <c:ptCount val="7"/>
                <c:pt idx="0">
                  <c:v>0.46792823789628896</c:v>
                </c:pt>
                <c:pt idx="1">
                  <c:v>0.31860036832412525</c:v>
                </c:pt>
                <c:pt idx="2">
                  <c:v>0.31490787269681741</c:v>
                </c:pt>
                <c:pt idx="3">
                  <c:v>0.25187310696636378</c:v>
                </c:pt>
                <c:pt idx="4">
                  <c:v>9.5534995977473849E-2</c:v>
                </c:pt>
                <c:pt idx="6">
                  <c:v>0.26765983178494901</c:v>
                </c:pt>
              </c:numCache>
            </c:numRef>
          </c:val>
          <c:extLst xmlns:c16r2="http://schemas.microsoft.com/office/drawing/2015/06/chart">
            <c:ext xmlns:c16="http://schemas.microsoft.com/office/drawing/2014/chart" uri="{C3380CC4-5D6E-409C-BE32-E72D297353CC}">
              <c16:uniqueId val="{00000000-4917-41C7-BEF4-B949846B6866}"/>
            </c:ext>
          </c:extLst>
        </c:ser>
        <c:ser>
          <c:idx val="1"/>
          <c:order val="1"/>
          <c:tx>
            <c:strRef>
              <c:f>G_CZ!$L$111</c:f>
              <c:strCache>
                <c:ptCount val="1"/>
                <c:pt idx="0">
                  <c:v> laboratorní výsledky</c:v>
                </c:pt>
              </c:strCache>
            </c:strRef>
          </c:tx>
          <c:spPr>
            <a:solidFill>
              <a:srgbClr val="47E5FF"/>
            </a:solidFill>
            <a:ln w="25400">
              <a:noFill/>
            </a:ln>
          </c:spPr>
          <c:invertIfNegative val="0"/>
          <c:dLbls>
            <c:dLbl>
              <c:idx val="2"/>
              <c:layout>
                <c:manualLayout>
                  <c:x val="-4.4010086974422317E-2"/>
                  <c:y val="-7.5060291353525042E-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4917-41C7-BEF4-B949846B6866}"/>
                </c:ext>
              </c:extLst>
            </c:dLbl>
            <c:numFmt formatCode="0%" sourceLinked="0"/>
            <c:spPr>
              <a:noFill/>
              <a:ln w="25400">
                <a:noFill/>
              </a:ln>
            </c:spPr>
            <c:txPr>
              <a:bodyPr/>
              <a:lstStyle/>
              <a:p>
                <a:pPr>
                  <a:defRPr b="1"/>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G_CZ!$J$112:$J$118</c:f>
              <c:strCache>
                <c:ptCount val="7"/>
                <c:pt idx="0">
                  <c:v>praktický lékař 
pro dospělé</c:v>
                </c:pt>
                <c:pt idx="1">
                  <c:v>gynekolog</c:v>
                </c:pt>
                <c:pt idx="2">
                  <c:v>dětský 
lékař</c:v>
                </c:pt>
                <c:pt idx="3">
                  <c:v>lékař
specialista</c:v>
                </c:pt>
                <c:pt idx="4">
                  <c:v>zubní 
lékař</c:v>
                </c:pt>
                <c:pt idx="6">
                  <c:v>Ordinace celkem</c:v>
                </c:pt>
              </c:strCache>
            </c:strRef>
          </c:cat>
          <c:val>
            <c:numRef>
              <c:f>G_CZ!$L$112:$L$118</c:f>
              <c:numCache>
                <c:formatCode>0%</c:formatCode>
                <c:ptCount val="7"/>
                <c:pt idx="0">
                  <c:v>0.54214794789874665</c:v>
                </c:pt>
                <c:pt idx="1">
                  <c:v>0.5423572744014733</c:v>
                </c:pt>
                <c:pt idx="2">
                  <c:v>0.46566164154103851</c:v>
                </c:pt>
                <c:pt idx="3">
                  <c:v>0.26335086880280567</c:v>
                </c:pt>
                <c:pt idx="4">
                  <c:v>3.4191472244569587E-2</c:v>
                </c:pt>
                <c:pt idx="6">
                  <c:v>0.29965367489417799</c:v>
                </c:pt>
              </c:numCache>
            </c:numRef>
          </c:val>
          <c:extLst xmlns:c16r2="http://schemas.microsoft.com/office/drawing/2015/06/chart">
            <c:ext xmlns:c16="http://schemas.microsoft.com/office/drawing/2014/chart" uri="{C3380CC4-5D6E-409C-BE32-E72D297353CC}">
              <c16:uniqueId val="{00000002-4917-41C7-BEF4-B949846B6866}"/>
            </c:ext>
          </c:extLst>
        </c:ser>
        <c:ser>
          <c:idx val="2"/>
          <c:order val="2"/>
          <c:tx>
            <c:strRef>
              <c:f>G_CZ!$M$111</c:f>
              <c:strCache>
                <c:ptCount val="1"/>
                <c:pt idx="0">
                  <c:v> předpis léků</c:v>
                </c:pt>
              </c:strCache>
            </c:strRef>
          </c:tx>
          <c:spPr>
            <a:solidFill>
              <a:srgbClr val="009BB4"/>
            </a:solidFill>
            <a:ln w="25400">
              <a:noFill/>
            </a:ln>
          </c:spPr>
          <c:invertIfNegative val="0"/>
          <c:dLbls>
            <c:numFmt formatCode="0%" sourceLinked="0"/>
            <c:spPr>
              <a:noFill/>
              <a:ln w="25400">
                <a:noFill/>
              </a:ln>
            </c:spPr>
            <c:txPr>
              <a:bodyPr/>
              <a:lstStyle/>
              <a:p>
                <a:pPr>
                  <a:defRPr sz="800" b="1">
                    <a:solidFill>
                      <a:schemeClr val="bg1"/>
                    </a:solidFill>
                    <a:latin typeface="Arial CE" panose="020B0604020202020204" pitchFamily="34" charset="0"/>
                    <a:cs typeface="Arial CE" panose="020B0604020202020204" pitchFamily="34" charset="0"/>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G_CZ!$J$112:$J$118</c:f>
              <c:strCache>
                <c:ptCount val="7"/>
                <c:pt idx="0">
                  <c:v>praktický lékař 
pro dospělé</c:v>
                </c:pt>
                <c:pt idx="1">
                  <c:v>gynekolog</c:v>
                </c:pt>
                <c:pt idx="2">
                  <c:v>dětský 
lékař</c:v>
                </c:pt>
                <c:pt idx="3">
                  <c:v>lékař
specialista</c:v>
                </c:pt>
                <c:pt idx="4">
                  <c:v>zubní 
lékař</c:v>
                </c:pt>
                <c:pt idx="6">
                  <c:v>Ordinace celkem</c:v>
                </c:pt>
              </c:strCache>
            </c:strRef>
          </c:cat>
          <c:val>
            <c:numRef>
              <c:f>G_CZ!$M$112:$M$118</c:f>
              <c:numCache>
                <c:formatCode>0%</c:formatCode>
                <c:ptCount val="7"/>
                <c:pt idx="0">
                  <c:v>0.64659621528631117</c:v>
                </c:pt>
                <c:pt idx="1">
                  <c:v>0.60773480662983426</c:v>
                </c:pt>
                <c:pt idx="2">
                  <c:v>0.51088777219430481</c:v>
                </c:pt>
                <c:pt idx="3">
                  <c:v>0.49976087996174079</c:v>
                </c:pt>
                <c:pt idx="4">
                  <c:v>0.20917135961383748</c:v>
                </c:pt>
                <c:pt idx="6">
                  <c:v>0.46072233522071399</c:v>
                </c:pt>
              </c:numCache>
            </c:numRef>
          </c:val>
          <c:extLst xmlns:c16r2="http://schemas.microsoft.com/office/drawing/2015/06/chart">
            <c:ext xmlns:c16="http://schemas.microsoft.com/office/drawing/2014/chart" uri="{C3380CC4-5D6E-409C-BE32-E72D297353CC}">
              <c16:uniqueId val="{00000003-4917-41C7-BEF4-B949846B6866}"/>
            </c:ext>
          </c:extLst>
        </c:ser>
        <c:dLbls>
          <c:showLegendKey val="0"/>
          <c:showVal val="1"/>
          <c:showCatName val="0"/>
          <c:showSerName val="0"/>
          <c:showPercent val="0"/>
          <c:showBubbleSize val="0"/>
        </c:dLbls>
        <c:gapWidth val="57"/>
        <c:axId val="50479104"/>
        <c:axId val="49930240"/>
      </c:barChart>
      <c:catAx>
        <c:axId val="50479104"/>
        <c:scaling>
          <c:orientation val="minMax"/>
        </c:scaling>
        <c:delete val="0"/>
        <c:axPos val="l"/>
        <c:numFmt formatCode="General" sourceLinked="1"/>
        <c:majorTickMark val="out"/>
        <c:minorTickMark val="none"/>
        <c:tickLblPos val="nextTo"/>
        <c:spPr>
          <a:ln w="3175">
            <a:solidFill>
              <a:schemeClr val="tx1"/>
            </a:solidFill>
            <a:prstDash val="solid"/>
          </a:ln>
        </c:spPr>
        <c:txPr>
          <a:bodyPr rot="0" vert="horz"/>
          <a:lstStyle/>
          <a:p>
            <a:pPr>
              <a:defRPr/>
            </a:pPr>
            <a:endParaRPr lang="cs-CZ"/>
          </a:p>
        </c:txPr>
        <c:crossAx val="49930240"/>
        <c:crosses val="autoZero"/>
        <c:auto val="1"/>
        <c:lblAlgn val="ctr"/>
        <c:lblOffset val="40"/>
        <c:tickLblSkip val="1"/>
        <c:tickMarkSkip val="1"/>
        <c:noMultiLvlLbl val="0"/>
      </c:catAx>
      <c:valAx>
        <c:axId val="49930240"/>
        <c:scaling>
          <c:orientation val="minMax"/>
          <c:max val="0.70000000000000007"/>
        </c:scaling>
        <c:delete val="0"/>
        <c:axPos val="b"/>
        <c:numFmt formatCode="0%" sourceLinked="1"/>
        <c:majorTickMark val="out"/>
        <c:minorTickMark val="none"/>
        <c:tickLblPos val="nextTo"/>
        <c:spPr>
          <a:ln w="9525">
            <a:solidFill>
              <a:schemeClr val="bg1"/>
            </a:solidFill>
          </a:ln>
        </c:spPr>
        <c:txPr>
          <a:bodyPr/>
          <a:lstStyle/>
          <a:p>
            <a:pPr>
              <a:defRPr>
                <a:solidFill>
                  <a:schemeClr val="bg1"/>
                </a:solidFill>
              </a:defRPr>
            </a:pPr>
            <a:endParaRPr lang="cs-CZ"/>
          </a:p>
        </c:txPr>
        <c:crossAx val="50479104"/>
        <c:crosses val="autoZero"/>
        <c:crossBetween val="between"/>
      </c:valAx>
      <c:spPr>
        <a:noFill/>
        <a:ln w="12700">
          <a:solidFill>
            <a:schemeClr val="bg1">
              <a:lumMod val="65000"/>
            </a:schemeClr>
          </a:solidFill>
          <a:prstDash val="solid"/>
        </a:ln>
      </c:spPr>
    </c:plotArea>
    <c:legend>
      <c:legendPos val="t"/>
      <c:layout>
        <c:manualLayout>
          <c:xMode val="edge"/>
          <c:yMode val="edge"/>
          <c:x val="0.52766437741608174"/>
          <c:y val="0.24908209269182449"/>
          <c:w val="0.38469707261033265"/>
          <c:h val="0.14398370752740763"/>
        </c:manualLayout>
      </c:layout>
      <c:overlay val="0"/>
      <c:spPr>
        <a:noFill/>
        <a:ln w="9525">
          <a:solidFill>
            <a:schemeClr val="bg1">
              <a:lumMod val="50000"/>
            </a:schemeClr>
          </a:solidFill>
        </a:ln>
      </c:spPr>
      <c:txPr>
        <a:bodyPr/>
        <a:lstStyle/>
        <a:p>
          <a:pPr>
            <a:defRPr b="0"/>
          </a:pPr>
          <a:endParaRPr lang="cs-CZ"/>
        </a:p>
      </c:txPr>
    </c:legend>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1"/>
            </a:pPr>
            <a:r>
              <a:rPr lang="cs-CZ" sz="800" b="1" i="0" baseline="0">
                <a:effectLst/>
                <a:latin typeface="Arial" panose="020B0604020202020204" pitchFamily="34" charset="0"/>
                <a:cs typeface="Arial" panose="020B0604020202020204" pitchFamily="34" charset="0"/>
              </a:rPr>
              <a:t>Graf G8 Samostatné ordinace lékařů v Česku mající v e-systémech </a:t>
            </a:r>
            <a:r>
              <a:rPr lang="cs-CZ" sz="800" b="1" i="0" u="none" strike="noStrike" baseline="0">
                <a:effectLst/>
              </a:rPr>
              <a:t>k dispozici </a:t>
            </a:r>
            <a:r>
              <a:rPr lang="cs-CZ" sz="800" b="1" i="0" baseline="0">
                <a:effectLst/>
                <a:latin typeface="Arial" panose="020B0604020202020204" pitchFamily="34" charset="0"/>
                <a:cs typeface="Arial" panose="020B0604020202020204" pitchFamily="34" charset="0"/>
              </a:rPr>
              <a:t>vybrané výpisy o svých pacientech v roce 2016 (%)* </a:t>
            </a:r>
            <a:endParaRPr lang="cs-CZ" sz="800">
              <a:effectLst/>
              <a:latin typeface="Arial" panose="020B0604020202020204" pitchFamily="34" charset="0"/>
              <a:cs typeface="Arial" panose="020B0604020202020204" pitchFamily="34" charset="0"/>
            </a:endParaRPr>
          </a:p>
        </c:rich>
      </c:tx>
      <c:layout>
        <c:manualLayout>
          <c:xMode val="edge"/>
          <c:yMode val="edge"/>
          <c:x val="0.12026555504091399"/>
          <c:y val="2.0471225033567974E-2"/>
        </c:manualLayout>
      </c:layout>
      <c:overlay val="1"/>
    </c:title>
    <c:autoTitleDeleted val="0"/>
    <c:plotArea>
      <c:layout>
        <c:manualLayout>
          <c:layoutTarget val="inner"/>
          <c:xMode val="edge"/>
          <c:yMode val="edge"/>
          <c:x val="0.17364002054091066"/>
          <c:y val="0.27323431492860395"/>
          <c:w val="0.79737447221271252"/>
          <c:h val="0.53731823455512318"/>
        </c:manualLayout>
      </c:layout>
      <c:barChart>
        <c:barDir val="bar"/>
        <c:grouping val="clustered"/>
        <c:varyColors val="0"/>
        <c:ser>
          <c:idx val="0"/>
          <c:order val="0"/>
          <c:tx>
            <c:strRef>
              <c:f>G_CZ!$K$127</c:f>
              <c:strCache>
                <c:ptCount val="1"/>
                <c:pt idx="0">
                  <c:v> pacienti podle laboratorních výsledků</c:v>
                </c:pt>
              </c:strCache>
            </c:strRef>
          </c:tx>
          <c:spPr>
            <a:solidFill>
              <a:srgbClr val="ABF3FF"/>
            </a:solidFill>
            <a:ln w="25400">
              <a:noFill/>
            </a:ln>
          </c:spPr>
          <c:invertIfNegative val="0"/>
          <c:dLbls>
            <c:numFmt formatCode="0%" sourceLinked="0"/>
            <c:spPr>
              <a:noFill/>
              <a:ln w="25400">
                <a:noFill/>
              </a:ln>
            </c:spPr>
            <c:txPr>
              <a:bodyPr/>
              <a:lstStyle/>
              <a:p>
                <a:pPr>
                  <a:defRPr b="1"/>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G_CZ!$J$128:$J$134</c:f>
              <c:strCache>
                <c:ptCount val="7"/>
                <c:pt idx="0">
                  <c:v>zubní lékař</c:v>
                </c:pt>
                <c:pt idx="1">
                  <c:v>lékař specialista</c:v>
                </c:pt>
                <c:pt idx="2">
                  <c:v>dětský lékař</c:v>
                </c:pt>
                <c:pt idx="3">
                  <c:v>praktický lékař 
pro dospělé</c:v>
                </c:pt>
                <c:pt idx="4">
                  <c:v>gynekolog</c:v>
                </c:pt>
                <c:pt idx="6">
                  <c:v>Ordinace celkem</c:v>
                </c:pt>
              </c:strCache>
            </c:strRef>
          </c:cat>
          <c:val>
            <c:numRef>
              <c:f>G_CZ!$K$128:$K$134</c:f>
              <c:numCache>
                <c:formatCode>0%</c:formatCode>
                <c:ptCount val="7"/>
                <c:pt idx="0">
                  <c:v>7.3411102172164122E-2</c:v>
                </c:pt>
                <c:pt idx="1">
                  <c:v>0.19384664434879642</c:v>
                </c:pt>
                <c:pt idx="2">
                  <c:v>0.29704075935231716</c:v>
                </c:pt>
                <c:pt idx="3">
                  <c:v>0.34676824772671416</c:v>
                </c:pt>
                <c:pt idx="4">
                  <c:v>0.35635359116022092</c:v>
                </c:pt>
                <c:pt idx="6">
                  <c:v>0.21499642680446374</c:v>
                </c:pt>
              </c:numCache>
            </c:numRef>
          </c:val>
          <c:extLst xmlns:c16r2="http://schemas.microsoft.com/office/drawing/2015/06/chart">
            <c:ext xmlns:c16="http://schemas.microsoft.com/office/drawing/2014/chart" uri="{C3380CC4-5D6E-409C-BE32-E72D297353CC}">
              <c16:uniqueId val="{00000000-CA76-4AFD-9928-0B4858314DEF}"/>
            </c:ext>
          </c:extLst>
        </c:ser>
        <c:ser>
          <c:idx val="1"/>
          <c:order val="1"/>
          <c:tx>
            <c:strRef>
              <c:f>G_CZ!$L$127</c:f>
              <c:strCache>
                <c:ptCount val="1"/>
                <c:pt idx="0">
                  <c:v> pacienti na objednání**</c:v>
                </c:pt>
              </c:strCache>
            </c:strRef>
          </c:tx>
          <c:spPr>
            <a:solidFill>
              <a:srgbClr val="47E5FF"/>
            </a:solidFill>
            <a:ln w="25400">
              <a:noFill/>
            </a:ln>
          </c:spPr>
          <c:invertIfNegative val="0"/>
          <c:dLbls>
            <c:dLbl>
              <c:idx val="2"/>
              <c:layout>
                <c:manualLayout>
                  <c:x val="-4.4010086974422317E-2"/>
                  <c:y val="-7.5060291353525042E-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CA76-4AFD-9928-0B4858314DEF}"/>
                </c:ext>
              </c:extLst>
            </c:dLbl>
            <c:numFmt formatCode="0%" sourceLinked="0"/>
            <c:spPr>
              <a:noFill/>
              <a:ln w="25400">
                <a:noFill/>
              </a:ln>
            </c:spPr>
            <c:txPr>
              <a:bodyPr/>
              <a:lstStyle/>
              <a:p>
                <a:pPr>
                  <a:defRPr b="1"/>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G_CZ!$J$128:$J$134</c:f>
              <c:strCache>
                <c:ptCount val="7"/>
                <c:pt idx="0">
                  <c:v>zubní lékař</c:v>
                </c:pt>
                <c:pt idx="1">
                  <c:v>lékař specialista</c:v>
                </c:pt>
                <c:pt idx="2">
                  <c:v>dětský lékař</c:v>
                </c:pt>
                <c:pt idx="3">
                  <c:v>praktický lékař 
pro dospělé</c:v>
                </c:pt>
                <c:pt idx="4">
                  <c:v>gynekolog</c:v>
                </c:pt>
                <c:pt idx="6">
                  <c:v>Ordinace celkem</c:v>
                </c:pt>
              </c:strCache>
            </c:strRef>
          </c:cat>
          <c:val>
            <c:numRef>
              <c:f>G_CZ!$L$128:$L$134</c:f>
              <c:numCache>
                <c:formatCode>0%</c:formatCode>
                <c:ptCount val="7"/>
                <c:pt idx="0">
                  <c:v>0.28097345132743362</c:v>
                </c:pt>
                <c:pt idx="1">
                  <c:v>0.27721983102183961</c:v>
                </c:pt>
                <c:pt idx="2">
                  <c:v>0.47459519821328866</c:v>
                </c:pt>
                <c:pt idx="3">
                  <c:v>0.4996313590562792</c:v>
                </c:pt>
                <c:pt idx="4">
                  <c:v>0.51657458563535907</c:v>
                </c:pt>
                <c:pt idx="6">
                  <c:v>0.36171733274696277</c:v>
                </c:pt>
              </c:numCache>
            </c:numRef>
          </c:val>
          <c:extLst xmlns:c16r2="http://schemas.microsoft.com/office/drawing/2015/06/chart">
            <c:ext xmlns:c16="http://schemas.microsoft.com/office/drawing/2014/chart" uri="{C3380CC4-5D6E-409C-BE32-E72D297353CC}">
              <c16:uniqueId val="{00000002-CA76-4AFD-9928-0B4858314DEF}"/>
            </c:ext>
          </c:extLst>
        </c:ser>
        <c:ser>
          <c:idx val="2"/>
          <c:order val="2"/>
          <c:tx>
            <c:strRef>
              <c:f>G_CZ!$M$127</c:f>
              <c:strCache>
                <c:ptCount val="1"/>
                <c:pt idx="0">
                  <c:v> pacienti podle diagnóz</c:v>
                </c:pt>
              </c:strCache>
            </c:strRef>
          </c:tx>
          <c:spPr>
            <a:solidFill>
              <a:srgbClr val="009BB4"/>
            </a:solidFill>
            <a:ln w="25400">
              <a:noFill/>
            </a:ln>
          </c:spPr>
          <c:invertIfNegative val="0"/>
          <c:dLbls>
            <c:numFmt formatCode="0%" sourceLinked="0"/>
            <c:spPr>
              <a:noFill/>
              <a:ln w="25400">
                <a:noFill/>
              </a:ln>
            </c:spPr>
            <c:txPr>
              <a:bodyPr/>
              <a:lstStyle/>
              <a:p>
                <a:pPr>
                  <a:defRPr b="1">
                    <a:solidFill>
                      <a:schemeClr val="bg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G_CZ!$J$128:$J$134</c:f>
              <c:strCache>
                <c:ptCount val="7"/>
                <c:pt idx="0">
                  <c:v>zubní lékař</c:v>
                </c:pt>
                <c:pt idx="1">
                  <c:v>lékař specialista</c:v>
                </c:pt>
                <c:pt idx="2">
                  <c:v>dětský lékař</c:v>
                </c:pt>
                <c:pt idx="3">
                  <c:v>praktický lékař 
pro dospělé</c:v>
                </c:pt>
                <c:pt idx="4">
                  <c:v>gynekolog</c:v>
                </c:pt>
                <c:pt idx="6">
                  <c:v>Ordinace celkem</c:v>
                </c:pt>
              </c:strCache>
            </c:strRef>
          </c:cat>
          <c:val>
            <c:numRef>
              <c:f>G_CZ!$M$128:$M$134</c:f>
              <c:numCache>
                <c:formatCode>0%</c:formatCode>
                <c:ptCount val="7"/>
                <c:pt idx="0">
                  <c:v>0.24376508447304907</c:v>
                </c:pt>
                <c:pt idx="1">
                  <c:v>0.49210903873744621</c:v>
                </c:pt>
                <c:pt idx="2">
                  <c:v>0.45281965382467892</c:v>
                </c:pt>
                <c:pt idx="3">
                  <c:v>0.56696977144261484</c:v>
                </c:pt>
                <c:pt idx="4">
                  <c:v>0.60497237569060769</c:v>
                </c:pt>
                <c:pt idx="6">
                  <c:v>0.44384585784178987</c:v>
                </c:pt>
              </c:numCache>
            </c:numRef>
          </c:val>
          <c:extLst xmlns:c16r2="http://schemas.microsoft.com/office/drawing/2015/06/chart">
            <c:ext xmlns:c16="http://schemas.microsoft.com/office/drawing/2014/chart" uri="{C3380CC4-5D6E-409C-BE32-E72D297353CC}">
              <c16:uniqueId val="{00000003-CA76-4AFD-9928-0B4858314DEF}"/>
            </c:ext>
          </c:extLst>
        </c:ser>
        <c:dLbls>
          <c:showLegendKey val="0"/>
          <c:showVal val="1"/>
          <c:showCatName val="0"/>
          <c:showSerName val="0"/>
          <c:showPercent val="0"/>
          <c:showBubbleSize val="0"/>
        </c:dLbls>
        <c:gapWidth val="57"/>
        <c:axId val="49834496"/>
        <c:axId val="49931968"/>
      </c:barChart>
      <c:catAx>
        <c:axId val="49834496"/>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a:pPr>
            <a:endParaRPr lang="cs-CZ"/>
          </a:p>
        </c:txPr>
        <c:crossAx val="49931968"/>
        <c:crosses val="autoZero"/>
        <c:auto val="1"/>
        <c:lblAlgn val="ctr"/>
        <c:lblOffset val="40"/>
        <c:tickLblSkip val="1"/>
        <c:tickMarkSkip val="1"/>
        <c:noMultiLvlLbl val="0"/>
      </c:catAx>
      <c:valAx>
        <c:axId val="49931968"/>
        <c:scaling>
          <c:orientation val="minMax"/>
          <c:max val="0.70000000000000007"/>
        </c:scaling>
        <c:delete val="0"/>
        <c:axPos val="b"/>
        <c:numFmt formatCode="0%" sourceLinked="1"/>
        <c:majorTickMark val="out"/>
        <c:minorTickMark val="none"/>
        <c:tickLblPos val="nextTo"/>
        <c:spPr>
          <a:ln w="9525">
            <a:noFill/>
          </a:ln>
        </c:spPr>
        <c:txPr>
          <a:bodyPr/>
          <a:lstStyle/>
          <a:p>
            <a:pPr>
              <a:defRPr>
                <a:solidFill>
                  <a:schemeClr val="bg1"/>
                </a:solidFill>
              </a:defRPr>
            </a:pPr>
            <a:endParaRPr lang="cs-CZ"/>
          </a:p>
        </c:txPr>
        <c:crossAx val="49834496"/>
        <c:crosses val="autoZero"/>
        <c:crossBetween val="between"/>
      </c:valAx>
      <c:spPr>
        <a:noFill/>
        <a:ln w="12700">
          <a:solidFill>
            <a:schemeClr val="bg1">
              <a:lumMod val="65000"/>
            </a:schemeClr>
          </a:solidFill>
          <a:prstDash val="solid"/>
        </a:ln>
      </c:spPr>
    </c:plotArea>
    <c:legend>
      <c:legendPos val="t"/>
      <c:layout>
        <c:manualLayout>
          <c:xMode val="edge"/>
          <c:yMode val="edge"/>
          <c:x val="0.11398007955534183"/>
          <c:y val="0.13815585863747062"/>
          <c:w val="0.82288738310838128"/>
          <c:h val="0.10700829617595636"/>
        </c:manualLayout>
      </c:layout>
      <c:overlay val="0"/>
      <c:spPr>
        <a:noFill/>
        <a:ln w="9525">
          <a:solidFill>
            <a:schemeClr val="bg1">
              <a:lumMod val="50000"/>
            </a:schemeClr>
          </a:solidFill>
        </a:ln>
      </c:spPr>
      <c:txPr>
        <a:bodyPr/>
        <a:lstStyle/>
        <a:p>
          <a:pPr>
            <a:defRPr b="0"/>
          </a:pPr>
          <a:endParaRPr lang="cs-CZ"/>
        </a:p>
      </c:txPr>
    </c:legend>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CE"/>
          <a:ea typeface="Arial CE"/>
          <a:cs typeface="Arial CE"/>
        </a:defRPr>
      </a:pPr>
      <a:endParaRPr lang="cs-CZ"/>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273246915470549"/>
          <c:y val="0.10520675481602536"/>
          <c:w val="0.72637786598032972"/>
          <c:h val="0.7714180494636157"/>
        </c:manualLayout>
      </c:layout>
      <c:barChart>
        <c:barDir val="bar"/>
        <c:grouping val="clustered"/>
        <c:varyColors val="0"/>
        <c:ser>
          <c:idx val="0"/>
          <c:order val="0"/>
          <c:tx>
            <c:strRef>
              <c:f>G_CZ!$I$142</c:f>
              <c:strCache>
                <c:ptCount val="1"/>
                <c:pt idx="0">
                  <c:v> % uživatelů internetu</c:v>
                </c:pt>
              </c:strCache>
            </c:strRef>
          </c:tx>
          <c:spPr>
            <a:solidFill>
              <a:srgbClr val="47E5FF"/>
            </a:solidFill>
          </c:spPr>
          <c:invertIfNegative val="0"/>
          <c:dLbls>
            <c:spPr>
              <a:noFill/>
              <a:ln>
                <a:noFill/>
              </a:ln>
              <a:effectLst/>
            </c:spPr>
            <c:txPr>
              <a:bodyPr/>
              <a:lstStyle/>
              <a:p>
                <a:pPr>
                  <a:defRPr sz="800" b="1">
                    <a:solidFill>
                      <a:sysClr val="windowText" lastClr="000000"/>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G_CZ!$H$143:$H$153</c:f>
              <c:strCache>
                <c:ptCount val="11"/>
                <c:pt idx="0">
                  <c:v>ženy 55+</c:v>
                </c:pt>
                <c:pt idx="1">
                  <c:v>muži 55+</c:v>
                </c:pt>
                <c:pt idx="2">
                  <c:v>ženy 25–54</c:v>
                </c:pt>
                <c:pt idx="3">
                  <c:v>muži 25–54</c:v>
                </c:pt>
                <c:pt idx="4">
                  <c:v>ženy 16–24</c:v>
                </c:pt>
                <c:pt idx="5">
                  <c:v>muži 16–24</c:v>
                </c:pt>
                <c:pt idx="7">
                  <c:v>ženy 16+</c:v>
                </c:pt>
                <c:pt idx="8">
                  <c:v>muži 16+</c:v>
                </c:pt>
                <c:pt idx="10">
                  <c:v>Celkem</c:v>
                </c:pt>
              </c:strCache>
            </c:strRef>
          </c:cat>
          <c:val>
            <c:numRef>
              <c:f>G_CZ!$I$143:$I$153</c:f>
              <c:numCache>
                <c:formatCode>0%</c:formatCode>
                <c:ptCount val="11"/>
                <c:pt idx="0">
                  <c:v>0.78599999999999992</c:v>
                </c:pt>
                <c:pt idx="1">
                  <c:v>0.52800000000000002</c:v>
                </c:pt>
                <c:pt idx="2">
                  <c:v>0.81699999999999984</c:v>
                </c:pt>
                <c:pt idx="3">
                  <c:v>0.433</c:v>
                </c:pt>
                <c:pt idx="4">
                  <c:v>0.56799999999999995</c:v>
                </c:pt>
                <c:pt idx="5">
                  <c:v>0.311</c:v>
                </c:pt>
                <c:pt idx="7">
                  <c:v>0.78159389785073841</c:v>
                </c:pt>
                <c:pt idx="8">
                  <c:v>0.43855964155405397</c:v>
                </c:pt>
                <c:pt idx="10">
                  <c:v>0.60534500451106499</c:v>
                </c:pt>
              </c:numCache>
            </c:numRef>
          </c:val>
          <c:extLst xmlns:c16r2="http://schemas.microsoft.com/office/drawing/2015/06/chart">
            <c:ext xmlns:c16="http://schemas.microsoft.com/office/drawing/2014/chart" uri="{C3380CC4-5D6E-409C-BE32-E72D297353CC}">
              <c16:uniqueId val="{00000000-70B8-4806-99A1-EE918E08F065}"/>
            </c:ext>
          </c:extLst>
        </c:ser>
        <c:ser>
          <c:idx val="1"/>
          <c:order val="1"/>
          <c:tx>
            <c:strRef>
              <c:f>G_CZ!$J$142</c:f>
              <c:strCache>
                <c:ptCount val="1"/>
                <c:pt idx="0">
                  <c:v> % jednotlivců celkem</c:v>
                </c:pt>
              </c:strCache>
            </c:strRef>
          </c:tx>
          <c:spPr>
            <a:solidFill>
              <a:srgbClr val="009BB4"/>
            </a:solidFill>
          </c:spPr>
          <c:invertIfNegative val="0"/>
          <c:dLbls>
            <c:spPr>
              <a:noFill/>
              <a:ln>
                <a:noFill/>
              </a:ln>
              <a:effectLst/>
            </c:spPr>
            <c:txPr>
              <a:bodyPr/>
              <a:lstStyle/>
              <a:p>
                <a:pPr>
                  <a:defRPr sz="800" b="1">
                    <a:solidFill>
                      <a:schemeClr val="bg1"/>
                    </a:solidFill>
                  </a:defRPr>
                </a:pPr>
                <a:endParaRPr lang="cs-CZ"/>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G_CZ!$H$143:$H$153</c:f>
              <c:strCache>
                <c:ptCount val="11"/>
                <c:pt idx="0">
                  <c:v>ženy 55+</c:v>
                </c:pt>
                <c:pt idx="1">
                  <c:v>muži 55+</c:v>
                </c:pt>
                <c:pt idx="2">
                  <c:v>ženy 25–54</c:v>
                </c:pt>
                <c:pt idx="3">
                  <c:v>muži 25–54</c:v>
                </c:pt>
                <c:pt idx="4">
                  <c:v>ženy 16–24</c:v>
                </c:pt>
                <c:pt idx="5">
                  <c:v>muži 16–24</c:v>
                </c:pt>
                <c:pt idx="7">
                  <c:v>ženy 16+</c:v>
                </c:pt>
                <c:pt idx="8">
                  <c:v>muži 16+</c:v>
                </c:pt>
                <c:pt idx="10">
                  <c:v>Celkem</c:v>
                </c:pt>
              </c:strCache>
            </c:strRef>
          </c:cat>
          <c:val>
            <c:numRef>
              <c:f>G_CZ!$J$143:$J$153</c:f>
              <c:numCache>
                <c:formatCode>0%</c:formatCode>
                <c:ptCount val="11"/>
                <c:pt idx="0">
                  <c:v>0.379</c:v>
                </c:pt>
                <c:pt idx="1">
                  <c:v>0.30599999999999999</c:v>
                </c:pt>
                <c:pt idx="2">
                  <c:v>0.78100000000000014</c:v>
                </c:pt>
                <c:pt idx="3">
                  <c:v>0.41099999999999992</c:v>
                </c:pt>
                <c:pt idx="4">
                  <c:v>0.56200000000000006</c:v>
                </c:pt>
                <c:pt idx="5">
                  <c:v>0.30599999999999999</c:v>
                </c:pt>
                <c:pt idx="7">
                  <c:v>0.59350765160197472</c:v>
                </c:pt>
                <c:pt idx="8">
                  <c:v>0.35733941656089629</c:v>
                </c:pt>
                <c:pt idx="10">
                  <c:v>0.47652253587490034</c:v>
                </c:pt>
              </c:numCache>
            </c:numRef>
          </c:val>
          <c:extLst xmlns:c16r2="http://schemas.microsoft.com/office/drawing/2015/06/chart">
            <c:ext xmlns:c16="http://schemas.microsoft.com/office/drawing/2014/chart" uri="{C3380CC4-5D6E-409C-BE32-E72D297353CC}">
              <c16:uniqueId val="{00000001-70B8-4806-99A1-EE918E08F065}"/>
            </c:ext>
          </c:extLst>
        </c:ser>
        <c:dLbls>
          <c:showLegendKey val="0"/>
          <c:showVal val="0"/>
          <c:showCatName val="0"/>
          <c:showSerName val="0"/>
          <c:showPercent val="0"/>
          <c:showBubbleSize val="0"/>
        </c:dLbls>
        <c:gapWidth val="30"/>
        <c:axId val="50482176"/>
        <c:axId val="49933696"/>
      </c:barChart>
      <c:catAx>
        <c:axId val="50482176"/>
        <c:scaling>
          <c:orientation val="minMax"/>
        </c:scaling>
        <c:delete val="0"/>
        <c:axPos val="l"/>
        <c:numFmt formatCode="General" sourceLinked="1"/>
        <c:majorTickMark val="out"/>
        <c:minorTickMark val="none"/>
        <c:tickLblPos val="nextTo"/>
        <c:spPr>
          <a:ln>
            <a:solidFill>
              <a:schemeClr val="tx1"/>
            </a:solidFill>
          </a:ln>
        </c:spPr>
        <c:crossAx val="49933696"/>
        <c:crosses val="autoZero"/>
        <c:auto val="1"/>
        <c:lblAlgn val="ctr"/>
        <c:lblOffset val="100"/>
        <c:noMultiLvlLbl val="0"/>
      </c:catAx>
      <c:valAx>
        <c:axId val="49933696"/>
        <c:scaling>
          <c:orientation val="minMax"/>
          <c:max val="1"/>
          <c:min val="0"/>
        </c:scaling>
        <c:delete val="0"/>
        <c:axPos val="b"/>
        <c:numFmt formatCode="0%" sourceLinked="1"/>
        <c:majorTickMark val="none"/>
        <c:minorTickMark val="none"/>
        <c:tickLblPos val="none"/>
        <c:crossAx val="50482176"/>
        <c:crosses val="autoZero"/>
        <c:crossBetween val="between"/>
        <c:majorUnit val="0.1"/>
        <c:minorUnit val="4.0000000000000022E-2"/>
      </c:valAx>
      <c:spPr>
        <a:ln w="12700">
          <a:solidFill>
            <a:schemeClr val="bg1">
              <a:lumMod val="65000"/>
            </a:schemeClr>
          </a:solidFill>
        </a:ln>
      </c:spPr>
    </c:plotArea>
    <c:legend>
      <c:legendPos val="r"/>
      <c:layout>
        <c:manualLayout>
          <c:xMode val="edge"/>
          <c:yMode val="edge"/>
          <c:x val="0.64914864482583268"/>
          <c:y val="0.44670440733498923"/>
          <c:w val="0.27508482312534382"/>
          <c:h val="0.18722255984780423"/>
        </c:manualLayout>
      </c:layout>
      <c:overlay val="0"/>
      <c:spPr>
        <a:solidFill>
          <a:schemeClr val="bg1"/>
        </a:solidFill>
        <a:ln>
          <a:solidFill>
            <a:schemeClr val="bg1">
              <a:lumMod val="50000"/>
            </a:schemeClr>
          </a:solidFill>
        </a:ln>
      </c:spPr>
    </c:legend>
    <c:plotVisOnly val="1"/>
    <c:dispBlanksAs val="gap"/>
    <c:showDLblsOverMax val="0"/>
  </c:chart>
  <c:spPr>
    <a:ln>
      <a:noFill/>
    </a:ln>
  </c:spPr>
  <c:txPr>
    <a:bodyPr/>
    <a:lstStyle/>
    <a:p>
      <a:pPr>
        <a:defRPr sz="800" b="0">
          <a:latin typeface="Arial" pitchFamily="34" charset="0"/>
          <a:cs typeface="Arial" pitchFamily="34" charset="0"/>
        </a:defRPr>
      </a:pPr>
      <a:endParaRPr lang="cs-CZ"/>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0.87131</cdr:y>
    </cdr:from>
    <cdr:to>
      <cdr:x>0.98534</cdr:x>
      <cdr:y>0.92859</cdr:y>
    </cdr:to>
    <cdr:sp macro="" textlink="">
      <cdr:nvSpPr>
        <cdr:cNvPr id="2" name="TextovéPole 1"/>
        <cdr:cNvSpPr txBox="1"/>
      </cdr:nvSpPr>
      <cdr:spPr>
        <a:xfrm xmlns:a="http://schemas.openxmlformats.org/drawingml/2006/main">
          <a:off x="0" y="2823055"/>
          <a:ext cx="3015141" cy="1855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cs-CZ" sz="800">
              <a:latin typeface="Arial" panose="020B0604020202020204" pitchFamily="34" charset="0"/>
              <a:cs typeface="Arial" panose="020B0604020202020204" pitchFamily="34" charset="0"/>
            </a:rPr>
            <a:t>* podíl z celkového počtu samostatných ordinací lékaře</a:t>
          </a:r>
        </a:p>
      </cdr:txBody>
    </cdr:sp>
  </cdr:relSizeAnchor>
  <cdr:relSizeAnchor xmlns:cdr="http://schemas.openxmlformats.org/drawingml/2006/chartDrawing">
    <cdr:from>
      <cdr:x>0.05189</cdr:x>
      <cdr:y>0.94575</cdr:y>
    </cdr:from>
    <cdr:to>
      <cdr:x>1</cdr:x>
      <cdr:y>0.99375</cdr:y>
    </cdr:to>
    <cdr:sp macro="" textlink="">
      <cdr:nvSpPr>
        <cdr:cNvPr id="3" name="TextovéPole 1"/>
        <cdr:cNvSpPr txBox="1"/>
      </cdr:nvSpPr>
      <cdr:spPr>
        <a:xfrm xmlns:a="http://schemas.openxmlformats.org/drawingml/2006/main">
          <a:off x="213517" y="4152825"/>
          <a:ext cx="3901284" cy="2107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r" defTabSz="914400" eaLnBrk="1" fontAlgn="auto" latinLnBrk="0" hangingPunct="1">
            <a:lnSpc>
              <a:spcPct val="100000"/>
            </a:lnSpc>
            <a:spcBef>
              <a:spcPts val="0"/>
            </a:spcBef>
            <a:spcAft>
              <a:spcPts val="0"/>
            </a:spcAft>
            <a:buClrTx/>
            <a:buSzTx/>
            <a:buFontTx/>
            <a:buNone/>
            <a:tabLst/>
            <a:defRPr/>
          </a:pPr>
          <a:r>
            <a:rPr lang="cs-CZ" sz="800" i="1">
              <a:effectLst/>
              <a:latin typeface="Arial" panose="020B0604020202020204" pitchFamily="34" charset="0"/>
              <a:ea typeface="+mn-ea"/>
              <a:cs typeface="Arial" panose="020B0604020202020204" pitchFamily="34" charset="0"/>
            </a:rPr>
            <a:t>Zdroj: ÚZIS ČR a vlastní dopočty ČSÚ, 2018</a:t>
          </a:r>
          <a:endParaRPr lang="cs-CZ" sz="800">
            <a:latin typeface="Arial" panose="020B0604020202020204" pitchFamily="34" charset="0"/>
            <a:cs typeface="Arial" panose="020B0604020202020204" pitchFamily="34" charset="0"/>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cdr:x>
      <cdr:y>0.91487</cdr:y>
    </cdr:from>
    <cdr:to>
      <cdr:x>0.9917</cdr:x>
      <cdr:y>0.97677</cdr:y>
    </cdr:to>
    <cdr:sp macro="" textlink="">
      <cdr:nvSpPr>
        <cdr:cNvPr id="3" name="TextovéPole 1"/>
        <cdr:cNvSpPr txBox="1"/>
      </cdr:nvSpPr>
      <cdr:spPr>
        <a:xfrm xmlns:a="http://schemas.openxmlformats.org/drawingml/2006/main">
          <a:off x="0" y="2801305"/>
          <a:ext cx="2933911" cy="1895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r" defTabSz="914400" eaLnBrk="1" fontAlgn="auto" latinLnBrk="0" hangingPunct="1">
            <a:lnSpc>
              <a:spcPct val="100000"/>
            </a:lnSpc>
            <a:spcBef>
              <a:spcPts val="0"/>
            </a:spcBef>
            <a:spcAft>
              <a:spcPts val="0"/>
            </a:spcAft>
            <a:buClrTx/>
            <a:buSzTx/>
            <a:buFontTx/>
            <a:buNone/>
            <a:tabLst/>
            <a:defRPr/>
          </a:pPr>
          <a:r>
            <a:rPr lang="cs-CZ" sz="800" i="1">
              <a:effectLst/>
              <a:latin typeface="Arial" panose="020B0604020202020204" pitchFamily="34" charset="0"/>
              <a:ea typeface="+mn-ea"/>
              <a:cs typeface="Arial" panose="020B0604020202020204" pitchFamily="34" charset="0"/>
            </a:rPr>
            <a:t>Zdroj: ČSÚ, Šetření o využívání ICT v domácnostech, 2018</a:t>
          </a:r>
          <a:endParaRPr lang="cs-CZ" sz="8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0.02254</cdr:x>
      <cdr:y>3.26587E-7</cdr:y>
    </cdr:from>
    <cdr:to>
      <cdr:x>0.94012</cdr:x>
      <cdr:y>0.1151</cdr:y>
    </cdr:to>
    <cdr:sp macro="" textlink="">
      <cdr:nvSpPr>
        <cdr:cNvPr id="2" name="Textové pole 1"/>
        <cdr:cNvSpPr txBox="1"/>
      </cdr:nvSpPr>
      <cdr:spPr>
        <a:xfrm xmlns:a="http://schemas.openxmlformats.org/drawingml/2006/main">
          <a:off x="66675" y="1"/>
          <a:ext cx="2714625" cy="3524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cs-CZ" sz="800" b="1">
              <a:latin typeface="Arial" panose="020B0604020202020204" pitchFamily="34" charset="0"/>
              <a:cs typeface="Arial" panose="020B0604020202020204" pitchFamily="34" charset="0"/>
            </a:rPr>
            <a:t>Graf G10 Jednotlivci v Česku, kteří</a:t>
          </a:r>
          <a:r>
            <a:rPr lang="cs-CZ" sz="800" b="1" baseline="0">
              <a:latin typeface="Arial" panose="020B0604020202020204" pitchFamily="34" charset="0"/>
              <a:cs typeface="Arial" panose="020B0604020202020204" pitchFamily="34" charset="0"/>
            </a:rPr>
            <a:t> </a:t>
          </a:r>
          <a:r>
            <a:rPr lang="cs-CZ" sz="800" b="1">
              <a:latin typeface="Arial" panose="020B0604020202020204" pitchFamily="34" charset="0"/>
              <a:cs typeface="Arial" panose="020B0604020202020204" pitchFamily="34" charset="0"/>
            </a:rPr>
            <a:t>vyhledávali</a:t>
          </a:r>
          <a:r>
            <a:rPr lang="cs-CZ" sz="800" b="1" baseline="0">
              <a:latin typeface="Arial" panose="020B0604020202020204" pitchFamily="34" charset="0"/>
              <a:cs typeface="Arial" panose="020B0604020202020204" pitchFamily="34" charset="0"/>
            </a:rPr>
            <a:t> informace o zdraví na internetu  podle pohlaví (%)</a:t>
          </a:r>
          <a:endParaRPr lang="en-US" sz="800" b="1">
            <a:latin typeface="Arial" panose="020B0604020202020204" pitchFamily="34" charset="0"/>
            <a:cs typeface="Arial" panose="020B0604020202020204" pitchFamily="34" charset="0"/>
          </a:endParaRPr>
        </a:p>
        <a:p xmlns:a="http://schemas.openxmlformats.org/drawingml/2006/main">
          <a:endParaRPr lang="cs-CZ" sz="1100"/>
        </a:p>
      </cdr:txBody>
    </cdr:sp>
  </cdr:relSizeAnchor>
</c:userShapes>
</file>

<file path=word/drawings/drawing11.xml><?xml version="1.0" encoding="utf-8"?>
<c:userShapes xmlns:c="http://schemas.openxmlformats.org/drawingml/2006/chart">
  <cdr:relSizeAnchor xmlns:cdr="http://schemas.openxmlformats.org/drawingml/2006/chartDrawing">
    <cdr:from>
      <cdr:x>0.23732</cdr:x>
      <cdr:y>0.91509</cdr:y>
    </cdr:from>
    <cdr:to>
      <cdr:x>0.96898</cdr:x>
      <cdr:y>0.98227</cdr:y>
    </cdr:to>
    <cdr:sp macro="" textlink="">
      <cdr:nvSpPr>
        <cdr:cNvPr id="2" name="TextovéPole 1"/>
        <cdr:cNvSpPr txBox="1"/>
      </cdr:nvSpPr>
      <cdr:spPr>
        <a:xfrm xmlns:a="http://schemas.openxmlformats.org/drawingml/2006/main">
          <a:off x="1409700" y="2635461"/>
          <a:ext cx="4346025" cy="19346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cs-CZ" sz="800" i="1">
              <a:latin typeface="Arial" panose="020B0604020202020204" pitchFamily="34" charset="0"/>
              <a:cs typeface="Arial" panose="020B0604020202020204" pitchFamily="34" charset="0"/>
            </a:rPr>
            <a:t>Zdroj: Eurostat 2018</a:t>
          </a:r>
        </a:p>
      </cdr:txBody>
    </cdr:sp>
  </cdr:relSizeAnchor>
  <cdr:relSizeAnchor xmlns:cdr="http://schemas.openxmlformats.org/drawingml/2006/chartDrawing">
    <cdr:from>
      <cdr:x>0.02483</cdr:x>
      <cdr:y>0.84371</cdr:y>
    </cdr:from>
    <cdr:to>
      <cdr:x>0.94872</cdr:x>
      <cdr:y>0.91909</cdr:y>
    </cdr:to>
    <cdr:sp macro="" textlink="">
      <cdr:nvSpPr>
        <cdr:cNvPr id="4" name="TextovéPole 1"/>
        <cdr:cNvSpPr txBox="1"/>
      </cdr:nvSpPr>
      <cdr:spPr>
        <a:xfrm xmlns:a="http://schemas.openxmlformats.org/drawingml/2006/main">
          <a:off x="152155" y="2812724"/>
          <a:ext cx="5661690" cy="2512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cs-CZ" sz="800">
              <a:latin typeface="Arial" panose="020B0604020202020204" pitchFamily="34" charset="0"/>
              <a:cs typeface="Arial" panose="020B0604020202020204" pitchFamily="34" charset="0"/>
            </a:rPr>
            <a:t>* podíl na celkovém počtu jednotlivců ve věku 16 až 74 let v dané zemi</a:t>
          </a:r>
        </a:p>
      </cdr:txBody>
    </cdr:sp>
  </cdr:relSizeAnchor>
</c:userShapes>
</file>

<file path=word/drawings/drawing12.xml><?xml version="1.0" encoding="utf-8"?>
<c:userShapes xmlns:c="http://schemas.openxmlformats.org/drawingml/2006/chart">
  <cdr:relSizeAnchor xmlns:cdr="http://schemas.openxmlformats.org/drawingml/2006/chartDrawing">
    <cdr:from>
      <cdr:x>0.23732</cdr:x>
      <cdr:y>0.91509</cdr:y>
    </cdr:from>
    <cdr:to>
      <cdr:x>0.96898</cdr:x>
      <cdr:y>0.98227</cdr:y>
    </cdr:to>
    <cdr:sp macro="" textlink="">
      <cdr:nvSpPr>
        <cdr:cNvPr id="2" name="TextovéPole 1"/>
        <cdr:cNvSpPr txBox="1"/>
      </cdr:nvSpPr>
      <cdr:spPr>
        <a:xfrm xmlns:a="http://schemas.openxmlformats.org/drawingml/2006/main">
          <a:off x="1409700" y="2635461"/>
          <a:ext cx="4346025" cy="19346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cs-CZ" sz="800" i="1">
              <a:latin typeface="Arial" panose="020B0604020202020204" pitchFamily="34" charset="0"/>
              <a:cs typeface="Arial" panose="020B0604020202020204" pitchFamily="34" charset="0"/>
            </a:rPr>
            <a:t>Zdroj: Eurostat 2018</a:t>
          </a:r>
        </a:p>
      </cdr:txBody>
    </cdr:sp>
  </cdr:relSizeAnchor>
  <cdr:relSizeAnchor xmlns:cdr="http://schemas.openxmlformats.org/drawingml/2006/chartDrawing">
    <cdr:from>
      <cdr:x>0.02483</cdr:x>
      <cdr:y>0.84371</cdr:y>
    </cdr:from>
    <cdr:to>
      <cdr:x>0.94872</cdr:x>
      <cdr:y>0.91909</cdr:y>
    </cdr:to>
    <cdr:sp macro="" textlink="">
      <cdr:nvSpPr>
        <cdr:cNvPr id="4" name="TextovéPole 1"/>
        <cdr:cNvSpPr txBox="1"/>
      </cdr:nvSpPr>
      <cdr:spPr>
        <a:xfrm xmlns:a="http://schemas.openxmlformats.org/drawingml/2006/main">
          <a:off x="152155" y="2812724"/>
          <a:ext cx="5661690" cy="2512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cs-CZ" sz="800">
              <a:latin typeface="Arial" panose="020B0604020202020204" pitchFamily="34" charset="0"/>
              <a:cs typeface="Arial" panose="020B0604020202020204" pitchFamily="34" charset="0"/>
            </a:rPr>
            <a:t>* podíl z uživatelů internetu (jednotlivci, kteří použili internet v posledních 3 měsících) daného pohlaví ve věku </a:t>
          </a:r>
        </a:p>
        <a:p xmlns:a="http://schemas.openxmlformats.org/drawingml/2006/main">
          <a:pPr algn="l"/>
          <a:r>
            <a:rPr lang="cs-CZ" sz="800">
              <a:latin typeface="Arial" panose="020B0604020202020204" pitchFamily="34" charset="0"/>
              <a:cs typeface="Arial" panose="020B0604020202020204" pitchFamily="34" charset="0"/>
            </a:rPr>
            <a:t>16 až 74 let v dané zemi</a:t>
          </a:r>
        </a:p>
      </cdr:txBody>
    </cdr:sp>
  </cdr:relSizeAnchor>
</c:userShapes>
</file>

<file path=word/drawings/drawing13.xml><?xml version="1.0" encoding="utf-8"?>
<c:userShapes xmlns:c="http://schemas.openxmlformats.org/drawingml/2006/chart">
  <cdr:relSizeAnchor xmlns:cdr="http://schemas.openxmlformats.org/drawingml/2006/chartDrawing">
    <cdr:from>
      <cdr:x>0.04359</cdr:x>
      <cdr:y>0.91487</cdr:y>
    </cdr:from>
    <cdr:to>
      <cdr:x>0.9917</cdr:x>
      <cdr:y>0.9913</cdr:y>
    </cdr:to>
    <cdr:sp macro="" textlink="">
      <cdr:nvSpPr>
        <cdr:cNvPr id="3" name="TextovéPole 1"/>
        <cdr:cNvSpPr txBox="1"/>
      </cdr:nvSpPr>
      <cdr:spPr>
        <a:xfrm xmlns:a="http://schemas.openxmlformats.org/drawingml/2006/main">
          <a:off x="136525" y="2470150"/>
          <a:ext cx="2969467" cy="20637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r" defTabSz="914400" eaLnBrk="1" fontAlgn="auto" latinLnBrk="0" hangingPunct="1">
            <a:lnSpc>
              <a:spcPct val="100000"/>
            </a:lnSpc>
            <a:spcBef>
              <a:spcPts val="0"/>
            </a:spcBef>
            <a:spcAft>
              <a:spcPts val="0"/>
            </a:spcAft>
            <a:buClrTx/>
            <a:buSzTx/>
            <a:buFontTx/>
            <a:buNone/>
            <a:tabLst/>
            <a:defRPr/>
          </a:pPr>
          <a:r>
            <a:rPr lang="cs-CZ" sz="800" i="1">
              <a:effectLst/>
              <a:latin typeface="Arial" panose="020B0604020202020204" pitchFamily="34" charset="0"/>
              <a:ea typeface="+mn-ea"/>
              <a:cs typeface="Arial" panose="020B0604020202020204" pitchFamily="34" charset="0"/>
            </a:rPr>
            <a:t>Zdroj: ČSÚ, Šetření o využívání ICT v domácnostech, 2018</a:t>
          </a:r>
          <a:endParaRPr lang="cs-CZ" sz="8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0.00594</cdr:x>
      <cdr:y>0.00049</cdr:y>
    </cdr:from>
    <cdr:to>
      <cdr:x>0.99384</cdr:x>
      <cdr:y>0.11699</cdr:y>
    </cdr:to>
    <cdr:sp macro="" textlink="">
      <cdr:nvSpPr>
        <cdr:cNvPr id="2" name="TextovéPole 1"/>
        <cdr:cNvSpPr txBox="1"/>
      </cdr:nvSpPr>
      <cdr:spPr>
        <a:xfrm xmlns:a="http://schemas.openxmlformats.org/drawingml/2006/main">
          <a:off x="18152" y="1618"/>
          <a:ext cx="3019425" cy="381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rtl="0"/>
          <a:r>
            <a:rPr lang="cs-CZ" sz="800" b="1" i="0" baseline="0">
              <a:effectLst/>
              <a:latin typeface="Arial" panose="020B0604020202020204" pitchFamily="34" charset="0"/>
              <a:ea typeface="+mn-ea"/>
              <a:cs typeface="Arial" panose="020B0604020202020204" pitchFamily="34" charset="0"/>
            </a:rPr>
            <a:t>Graf G13 Jednotlivci v Česku, kteří v roce 2016 využili </a:t>
          </a:r>
          <a:endParaRPr lang="cs-CZ" sz="800">
            <a:effectLst/>
            <a:latin typeface="Arial" panose="020B0604020202020204" pitchFamily="34" charset="0"/>
            <a:cs typeface="Arial" panose="020B0604020202020204" pitchFamily="34" charset="0"/>
          </a:endParaRPr>
        </a:p>
        <a:p xmlns:a="http://schemas.openxmlformats.org/drawingml/2006/main">
          <a:pPr algn="ctr" rtl="0"/>
          <a:r>
            <a:rPr lang="cs-CZ" sz="800" b="1" i="0" baseline="0">
              <a:effectLst/>
              <a:latin typeface="Arial" panose="020B0604020202020204" pitchFamily="34" charset="0"/>
              <a:ea typeface="+mn-ea"/>
              <a:cs typeface="Arial" panose="020B0604020202020204" pitchFamily="34" charset="0"/>
            </a:rPr>
            <a:t>on-line konzultace přes webové stránky lékaře (%) </a:t>
          </a:r>
          <a:endParaRPr lang="cs-CZ" sz="800">
            <a:effectLst/>
            <a:latin typeface="Arial" panose="020B0604020202020204" pitchFamily="34" charset="0"/>
            <a:cs typeface="Arial" panose="020B0604020202020204" pitchFamily="34" charset="0"/>
          </a:endParaRPr>
        </a:p>
        <a:p xmlns:a="http://schemas.openxmlformats.org/drawingml/2006/main">
          <a:pPr algn="ctr"/>
          <a:endParaRPr lang="cs-CZ" sz="800">
            <a:latin typeface="Arial" panose="020B0604020202020204" pitchFamily="34" charset="0"/>
            <a:cs typeface="Arial" panose="020B0604020202020204" pitchFamily="34" charset="0"/>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0.04359</cdr:x>
      <cdr:y>0.91487</cdr:y>
    </cdr:from>
    <cdr:to>
      <cdr:x>0.9917</cdr:x>
      <cdr:y>0.9913</cdr:y>
    </cdr:to>
    <cdr:sp macro="" textlink="">
      <cdr:nvSpPr>
        <cdr:cNvPr id="3" name="TextovéPole 1"/>
        <cdr:cNvSpPr txBox="1"/>
      </cdr:nvSpPr>
      <cdr:spPr>
        <a:xfrm xmlns:a="http://schemas.openxmlformats.org/drawingml/2006/main">
          <a:off x="136525" y="2470150"/>
          <a:ext cx="2969467" cy="20637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r" defTabSz="914400" eaLnBrk="1" fontAlgn="auto" latinLnBrk="0" hangingPunct="1">
            <a:lnSpc>
              <a:spcPct val="100000"/>
            </a:lnSpc>
            <a:spcBef>
              <a:spcPts val="0"/>
            </a:spcBef>
            <a:spcAft>
              <a:spcPts val="0"/>
            </a:spcAft>
            <a:buClrTx/>
            <a:buSzTx/>
            <a:buFontTx/>
            <a:buNone/>
            <a:tabLst/>
            <a:defRPr/>
          </a:pPr>
          <a:r>
            <a:rPr lang="cs-CZ" sz="800" i="1">
              <a:effectLst/>
              <a:latin typeface="Arial" panose="020B0604020202020204" pitchFamily="34" charset="0"/>
              <a:ea typeface="+mn-ea"/>
              <a:cs typeface="Arial" panose="020B0604020202020204" pitchFamily="34" charset="0"/>
            </a:rPr>
            <a:t>Zdroj: ČSÚ, Šetření o využívání ICT v domácnostech, 2018</a:t>
          </a:r>
          <a:endParaRPr lang="cs-CZ" sz="8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0.01923</cdr:x>
      <cdr:y>0.00049</cdr:y>
    </cdr:from>
    <cdr:to>
      <cdr:x>0.96038</cdr:x>
      <cdr:y>0.11408</cdr:y>
    </cdr:to>
    <cdr:sp macro="" textlink="">
      <cdr:nvSpPr>
        <cdr:cNvPr id="2" name="TextovéPole 1"/>
        <cdr:cNvSpPr txBox="1"/>
      </cdr:nvSpPr>
      <cdr:spPr>
        <a:xfrm xmlns:a="http://schemas.openxmlformats.org/drawingml/2006/main">
          <a:off x="58768" y="1617"/>
          <a:ext cx="2876550" cy="3714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rtl="0"/>
          <a:r>
            <a:rPr lang="cs-CZ" sz="800" b="1" i="0" baseline="0">
              <a:effectLst/>
              <a:latin typeface="Arial" panose="020B0604020202020204" pitchFamily="34" charset="0"/>
              <a:ea typeface="+mn-ea"/>
              <a:cs typeface="Arial" panose="020B0604020202020204" pitchFamily="34" charset="0"/>
            </a:rPr>
            <a:t>Graf G14 Jednotlivci v Česku, kteří v roce 2016 využili </a:t>
          </a:r>
          <a:endParaRPr lang="cs-CZ" sz="800">
            <a:effectLst/>
            <a:latin typeface="Arial" panose="020B0604020202020204" pitchFamily="34" charset="0"/>
            <a:cs typeface="Arial" panose="020B0604020202020204" pitchFamily="34" charset="0"/>
          </a:endParaRPr>
        </a:p>
        <a:p xmlns:a="http://schemas.openxmlformats.org/drawingml/2006/main">
          <a:pPr algn="ctr" rtl="0"/>
          <a:r>
            <a:rPr lang="cs-CZ" sz="800" b="1" i="0" baseline="0">
              <a:effectLst/>
              <a:latin typeface="Arial" panose="020B0604020202020204" pitchFamily="34" charset="0"/>
              <a:ea typeface="+mn-ea"/>
              <a:cs typeface="Arial" panose="020B0604020202020204" pitchFamily="34" charset="0"/>
            </a:rPr>
            <a:t>on-line objednání k lékaři přes webové stránky (%)</a:t>
          </a:r>
          <a:endParaRPr lang="cs-CZ" sz="800">
            <a:effectLst/>
            <a:latin typeface="Arial" panose="020B0604020202020204" pitchFamily="34" charset="0"/>
            <a:cs typeface="Arial" panose="020B0604020202020204" pitchFamily="34" charset="0"/>
          </a:endParaRPr>
        </a:p>
        <a:p xmlns:a="http://schemas.openxmlformats.org/drawingml/2006/main">
          <a:endParaRPr lang="cs-CZ" sz="1100"/>
        </a:p>
      </cdr:txBody>
    </cdr:sp>
  </cdr:relSizeAnchor>
</c:userShapes>
</file>

<file path=word/drawings/drawing15.xml><?xml version="1.0" encoding="utf-8"?>
<c:userShapes xmlns:c="http://schemas.openxmlformats.org/drawingml/2006/chart">
  <cdr:relSizeAnchor xmlns:cdr="http://schemas.openxmlformats.org/drawingml/2006/chartDrawing">
    <cdr:from>
      <cdr:x>0.23732</cdr:x>
      <cdr:y>0.91509</cdr:y>
    </cdr:from>
    <cdr:to>
      <cdr:x>0.96898</cdr:x>
      <cdr:y>0.98227</cdr:y>
    </cdr:to>
    <cdr:sp macro="" textlink="">
      <cdr:nvSpPr>
        <cdr:cNvPr id="2" name="TextovéPole 1"/>
        <cdr:cNvSpPr txBox="1"/>
      </cdr:nvSpPr>
      <cdr:spPr>
        <a:xfrm xmlns:a="http://schemas.openxmlformats.org/drawingml/2006/main">
          <a:off x="1409700" y="2635461"/>
          <a:ext cx="4346025" cy="19346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cs-CZ" sz="800" i="1">
              <a:latin typeface="Arial" panose="020B0604020202020204" pitchFamily="34" charset="0"/>
              <a:cs typeface="Arial" panose="020B0604020202020204" pitchFamily="34" charset="0"/>
            </a:rPr>
            <a:t>Zdroj: Eurostat 2018</a:t>
          </a:r>
        </a:p>
      </cdr:txBody>
    </cdr:sp>
  </cdr:relSizeAnchor>
  <cdr:relSizeAnchor xmlns:cdr="http://schemas.openxmlformats.org/drawingml/2006/chartDrawing">
    <cdr:from>
      <cdr:x>0.02043</cdr:x>
      <cdr:y>0.89762</cdr:y>
    </cdr:from>
    <cdr:to>
      <cdr:x>0.51679</cdr:x>
      <cdr:y>0.973</cdr:y>
    </cdr:to>
    <cdr:sp macro="" textlink="">
      <cdr:nvSpPr>
        <cdr:cNvPr id="4" name="TextovéPole 1"/>
        <cdr:cNvSpPr txBox="1"/>
      </cdr:nvSpPr>
      <cdr:spPr>
        <a:xfrm xmlns:a="http://schemas.openxmlformats.org/drawingml/2006/main">
          <a:off x="127000" y="2908300"/>
          <a:ext cx="3086085" cy="24421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cs-CZ" sz="800">
              <a:latin typeface="Arial" panose="020B0604020202020204" pitchFamily="34" charset="0"/>
              <a:cs typeface="Arial" panose="020B0604020202020204" pitchFamily="34" charset="0"/>
            </a:rPr>
            <a:t>* podíl na celkovém počtu jednotlivců ve věku 16 až 74 let</a:t>
          </a:r>
        </a:p>
      </cdr:txBody>
    </cdr:sp>
  </cdr:relSizeAnchor>
  <cdr:relSizeAnchor xmlns:cdr="http://schemas.openxmlformats.org/drawingml/2006/chartDrawing">
    <cdr:from>
      <cdr:x>0.04944</cdr:x>
      <cdr:y>0.02755</cdr:y>
    </cdr:from>
    <cdr:to>
      <cdr:x>0.96959</cdr:x>
      <cdr:y>0.08264</cdr:y>
    </cdr:to>
    <cdr:sp macro="" textlink="">
      <cdr:nvSpPr>
        <cdr:cNvPr id="3" name="Textové pole 2"/>
        <cdr:cNvSpPr txBox="1"/>
      </cdr:nvSpPr>
      <cdr:spPr>
        <a:xfrm xmlns:a="http://schemas.openxmlformats.org/drawingml/2006/main">
          <a:off x="295275" y="85725"/>
          <a:ext cx="5495925" cy="1714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en-US" sz="800" b="1">
              <a:latin typeface="Arial" panose="020B0604020202020204" pitchFamily="34" charset="0"/>
              <a:cs typeface="Arial" panose="020B0604020202020204" pitchFamily="34" charset="0"/>
            </a:rPr>
            <a:t>Graf </a:t>
          </a:r>
          <a:r>
            <a:rPr lang="cs-CZ" sz="800" b="1">
              <a:latin typeface="Arial" panose="020B0604020202020204" pitchFamily="34" charset="0"/>
              <a:cs typeface="Arial" panose="020B0604020202020204" pitchFamily="34" charset="0"/>
            </a:rPr>
            <a:t>G15 </a:t>
          </a:r>
          <a:r>
            <a:rPr lang="en-US" sz="800" b="1">
              <a:latin typeface="Arial" panose="020B0604020202020204" pitchFamily="34" charset="0"/>
              <a:cs typeface="Arial" panose="020B0604020202020204" pitchFamily="34" charset="0"/>
            </a:rPr>
            <a:t>Jednotlivci v zemích EU, kteří využili on-line objednání k lékaři přes webové stránky</a:t>
          </a:r>
          <a:r>
            <a:rPr lang="cs-CZ" sz="800" b="1">
              <a:latin typeface="Arial" panose="020B0604020202020204" pitchFamily="34" charset="0"/>
              <a:cs typeface="Arial" panose="020B0604020202020204" pitchFamily="34" charset="0"/>
            </a:rPr>
            <a:t> (%)*</a:t>
          </a:r>
          <a:endParaRPr lang="en-US" sz="800" b="1">
            <a:latin typeface="Arial" panose="020B0604020202020204" pitchFamily="34" charset="0"/>
            <a:cs typeface="Arial" panose="020B0604020202020204" pitchFamily="34" charset="0"/>
          </a:endParaRPr>
        </a:p>
        <a:p xmlns:a="http://schemas.openxmlformats.org/drawingml/2006/main">
          <a:endParaRPr lang="cs-CZ" sz="1100"/>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0.87131</cdr:y>
    </cdr:from>
    <cdr:to>
      <cdr:x>0.98534</cdr:x>
      <cdr:y>0.92859</cdr:y>
    </cdr:to>
    <cdr:sp macro="" textlink="">
      <cdr:nvSpPr>
        <cdr:cNvPr id="2" name="TextovéPole 1"/>
        <cdr:cNvSpPr txBox="1"/>
      </cdr:nvSpPr>
      <cdr:spPr>
        <a:xfrm xmlns:a="http://schemas.openxmlformats.org/drawingml/2006/main">
          <a:off x="0" y="2823055"/>
          <a:ext cx="3015141" cy="18557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cs-CZ" sz="800">
              <a:latin typeface="Arial" panose="020B0604020202020204" pitchFamily="34" charset="0"/>
              <a:cs typeface="Arial" panose="020B0604020202020204" pitchFamily="34" charset="0"/>
            </a:rPr>
            <a:t>* podíl z celkového počtu samostatných ordinací lékaře daného typu</a:t>
          </a:r>
          <a:br>
            <a:rPr lang="cs-CZ" sz="800">
              <a:latin typeface="Arial" panose="020B0604020202020204" pitchFamily="34" charset="0"/>
              <a:cs typeface="Arial" panose="020B0604020202020204" pitchFamily="34" charset="0"/>
            </a:rPr>
          </a:br>
          <a:endParaRPr lang="cs-CZ" sz="8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0.05189</cdr:x>
      <cdr:y>0.94575</cdr:y>
    </cdr:from>
    <cdr:to>
      <cdr:x>1</cdr:x>
      <cdr:y>0.99375</cdr:y>
    </cdr:to>
    <cdr:sp macro="" textlink="">
      <cdr:nvSpPr>
        <cdr:cNvPr id="3" name="TextovéPole 1"/>
        <cdr:cNvSpPr txBox="1"/>
      </cdr:nvSpPr>
      <cdr:spPr>
        <a:xfrm xmlns:a="http://schemas.openxmlformats.org/drawingml/2006/main">
          <a:off x="213517" y="4152825"/>
          <a:ext cx="3901284" cy="2107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r" defTabSz="914400" eaLnBrk="1" fontAlgn="auto" latinLnBrk="0" hangingPunct="1">
            <a:lnSpc>
              <a:spcPct val="100000"/>
            </a:lnSpc>
            <a:spcBef>
              <a:spcPts val="0"/>
            </a:spcBef>
            <a:spcAft>
              <a:spcPts val="0"/>
            </a:spcAft>
            <a:buClrTx/>
            <a:buSzTx/>
            <a:buFontTx/>
            <a:buNone/>
            <a:tabLst/>
            <a:defRPr/>
          </a:pPr>
          <a:r>
            <a:rPr lang="cs-CZ" sz="800" i="1">
              <a:effectLst/>
              <a:latin typeface="Arial" panose="020B0604020202020204" pitchFamily="34" charset="0"/>
              <a:ea typeface="+mn-ea"/>
              <a:cs typeface="Arial" panose="020B0604020202020204" pitchFamily="34" charset="0"/>
            </a:rPr>
            <a:t>Zdroj: ÚZIS ČR a vlastní dopočty ČSÚ, 2018</a:t>
          </a:r>
          <a:endParaRPr lang="cs-CZ" sz="800">
            <a:latin typeface="Arial" panose="020B0604020202020204" pitchFamily="34" charset="0"/>
            <a:cs typeface="Arial" panose="020B0604020202020204"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0.00287</cdr:x>
      <cdr:y>0.92645</cdr:y>
    </cdr:from>
    <cdr:to>
      <cdr:x>0.9917</cdr:x>
      <cdr:y>0.9913</cdr:y>
    </cdr:to>
    <cdr:sp macro="" textlink="">
      <cdr:nvSpPr>
        <cdr:cNvPr id="3" name="TextovéPole 1"/>
        <cdr:cNvSpPr txBox="1"/>
      </cdr:nvSpPr>
      <cdr:spPr>
        <a:xfrm xmlns:a="http://schemas.openxmlformats.org/drawingml/2006/main">
          <a:off x="8627" y="2691442"/>
          <a:ext cx="2976291" cy="18840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r" defTabSz="914400" eaLnBrk="1" fontAlgn="auto" latinLnBrk="0" hangingPunct="1">
            <a:lnSpc>
              <a:spcPct val="100000"/>
            </a:lnSpc>
            <a:spcBef>
              <a:spcPts val="0"/>
            </a:spcBef>
            <a:spcAft>
              <a:spcPts val="0"/>
            </a:spcAft>
            <a:buClrTx/>
            <a:buSzTx/>
            <a:buFontTx/>
            <a:buNone/>
            <a:tabLst/>
            <a:defRPr/>
          </a:pPr>
          <a:r>
            <a:rPr lang="cs-CZ" sz="800" i="1">
              <a:effectLst/>
              <a:latin typeface="Arial" panose="020B0604020202020204" pitchFamily="34" charset="0"/>
              <a:ea typeface="+mn-ea"/>
              <a:cs typeface="Arial" panose="020B0604020202020204" pitchFamily="34" charset="0"/>
            </a:rPr>
            <a:t>Zdroj: ÚZIS ČR a vlastní dopočty ČSÚ, 2018</a:t>
          </a:r>
          <a:endParaRPr lang="cs-CZ" sz="800">
            <a:latin typeface="Arial" panose="020B0604020202020204" pitchFamily="34" charset="0"/>
            <a:cs typeface="Arial" panose="020B0604020202020204" pitchFamily="34" charset="0"/>
          </a:endParaRPr>
        </a:p>
        <a:p xmlns:a="http://schemas.openxmlformats.org/drawingml/2006/main">
          <a:pPr marL="0" marR="0" indent="0" algn="l" defTabSz="914400" eaLnBrk="1" fontAlgn="auto" latinLnBrk="0" hangingPunct="1">
            <a:lnSpc>
              <a:spcPct val="100000"/>
            </a:lnSpc>
            <a:spcBef>
              <a:spcPts val="0"/>
            </a:spcBef>
            <a:spcAft>
              <a:spcPts val="0"/>
            </a:spcAft>
            <a:buClrTx/>
            <a:buSzTx/>
            <a:buFontTx/>
            <a:buNone/>
            <a:tabLst/>
            <a:defRPr/>
          </a:pPr>
          <a:endParaRPr lang="cs-CZ" sz="800">
            <a:solidFill>
              <a:srgbClr val="FF0000"/>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cdr:x>
      <cdr:y>0.82937</cdr:y>
    </cdr:from>
    <cdr:to>
      <cdr:x>1</cdr:x>
      <cdr:y>0.90457</cdr:y>
    </cdr:to>
    <cdr:sp macro="" textlink="">
      <cdr:nvSpPr>
        <cdr:cNvPr id="4" name="TextovéPole 1"/>
        <cdr:cNvSpPr txBox="1"/>
      </cdr:nvSpPr>
      <cdr:spPr>
        <a:xfrm xmlns:a="http://schemas.openxmlformats.org/drawingml/2006/main">
          <a:off x="0" y="2201343"/>
          <a:ext cx="3071060" cy="19959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cs-CZ" sz="800">
              <a:latin typeface="Arial" panose="020B0604020202020204" pitchFamily="34" charset="0"/>
              <a:cs typeface="Arial" panose="020B0604020202020204" pitchFamily="34" charset="0"/>
            </a:rPr>
            <a:t>* podíl z celkového počtu samostatných ordinací lékaře daného typu</a:t>
          </a:r>
          <a:br>
            <a:rPr lang="cs-CZ" sz="800">
              <a:latin typeface="Arial" panose="020B0604020202020204" pitchFamily="34" charset="0"/>
              <a:cs typeface="Arial" panose="020B0604020202020204" pitchFamily="34" charset="0"/>
            </a:rPr>
          </a:br>
          <a:endParaRPr lang="cs-CZ" sz="800">
            <a:solidFill>
              <a:sysClr val="windowText" lastClr="000000"/>
            </a:solidFill>
            <a:latin typeface="Arial" panose="020B0604020202020204" pitchFamily="34" charset="0"/>
            <a:cs typeface="Arial" panose="020B0604020202020204" pitchFamily="34"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0.04359</cdr:x>
      <cdr:y>0.92291</cdr:y>
    </cdr:from>
    <cdr:to>
      <cdr:x>0.9917</cdr:x>
      <cdr:y>0.9913</cdr:y>
    </cdr:to>
    <cdr:sp macro="" textlink="">
      <cdr:nvSpPr>
        <cdr:cNvPr id="3" name="TextovéPole 1"/>
        <cdr:cNvSpPr txBox="1"/>
      </cdr:nvSpPr>
      <cdr:spPr>
        <a:xfrm xmlns:a="http://schemas.openxmlformats.org/drawingml/2006/main">
          <a:off x="133278" y="2769079"/>
          <a:ext cx="2898870" cy="20519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r" defTabSz="914400" eaLnBrk="1" fontAlgn="auto" latinLnBrk="0" hangingPunct="1">
            <a:lnSpc>
              <a:spcPct val="100000"/>
            </a:lnSpc>
            <a:spcBef>
              <a:spcPts val="0"/>
            </a:spcBef>
            <a:spcAft>
              <a:spcPts val="0"/>
            </a:spcAft>
            <a:buClrTx/>
            <a:buSzTx/>
            <a:buFontTx/>
            <a:buNone/>
            <a:tabLst/>
            <a:defRPr/>
          </a:pPr>
          <a:r>
            <a:rPr lang="cs-CZ" sz="800" i="1">
              <a:effectLst/>
              <a:latin typeface="Arial" panose="020B0604020202020204" pitchFamily="34" charset="0"/>
              <a:ea typeface="+mn-ea"/>
              <a:cs typeface="Arial" panose="020B0604020202020204" pitchFamily="34" charset="0"/>
            </a:rPr>
            <a:t>Zdroj: ÚZIS ČR a vlastní dopočty ČSÚ, 2018</a:t>
          </a:r>
          <a:endParaRPr lang="cs-CZ" sz="800">
            <a:latin typeface="Arial" panose="020B0604020202020204" pitchFamily="34" charset="0"/>
            <a:cs typeface="Arial" panose="020B0604020202020204" pitchFamily="34" charset="0"/>
          </a:endParaRPr>
        </a:p>
        <a:p xmlns:a="http://schemas.openxmlformats.org/drawingml/2006/main">
          <a:pPr marL="0" marR="0" indent="0" algn="r" defTabSz="914400" eaLnBrk="1" fontAlgn="auto" latinLnBrk="0" hangingPunct="1">
            <a:lnSpc>
              <a:spcPct val="100000"/>
            </a:lnSpc>
            <a:spcBef>
              <a:spcPts val="0"/>
            </a:spcBef>
            <a:spcAft>
              <a:spcPts val="0"/>
            </a:spcAft>
            <a:buClrTx/>
            <a:buSzTx/>
            <a:buFontTx/>
            <a:buNone/>
            <a:tabLst/>
            <a:defRPr/>
          </a:pPr>
          <a:endParaRPr lang="cs-CZ" sz="8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cdr:x>
      <cdr:y>0.82937</cdr:y>
    </cdr:from>
    <cdr:to>
      <cdr:x>1</cdr:x>
      <cdr:y>0.90457</cdr:y>
    </cdr:to>
    <cdr:sp macro="" textlink="">
      <cdr:nvSpPr>
        <cdr:cNvPr id="4" name="TextovéPole 1"/>
        <cdr:cNvSpPr txBox="1"/>
      </cdr:nvSpPr>
      <cdr:spPr>
        <a:xfrm xmlns:a="http://schemas.openxmlformats.org/drawingml/2006/main">
          <a:off x="0" y="2908299"/>
          <a:ext cx="3304718" cy="2636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cs-CZ" sz="800">
              <a:latin typeface="Arial" panose="020B0604020202020204" pitchFamily="34" charset="0"/>
              <a:cs typeface="Arial" panose="020B0604020202020204" pitchFamily="34" charset="0"/>
            </a:rPr>
            <a:t>* podíl z celkového počtu samostatných ordinací lékaře daného typu</a:t>
          </a:r>
          <a:br>
            <a:rPr lang="cs-CZ" sz="800">
              <a:latin typeface="Arial" panose="020B0604020202020204" pitchFamily="34" charset="0"/>
              <a:cs typeface="Arial" panose="020B0604020202020204" pitchFamily="34" charset="0"/>
            </a:rPr>
          </a:br>
          <a:endParaRPr lang="cs-CZ" sz="800">
            <a:latin typeface="Arial" panose="020B0604020202020204" pitchFamily="34" charset="0"/>
            <a:cs typeface="Arial" panose="020B0604020202020204" pitchFamily="34"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0.00881</cdr:x>
      <cdr:y>0.73683</cdr:y>
    </cdr:from>
    <cdr:to>
      <cdr:x>0.99415</cdr:x>
      <cdr:y>0.94668</cdr:y>
    </cdr:to>
    <cdr:sp macro="" textlink="">
      <cdr:nvSpPr>
        <cdr:cNvPr id="2" name="TextovéPole 1"/>
        <cdr:cNvSpPr txBox="1"/>
      </cdr:nvSpPr>
      <cdr:spPr>
        <a:xfrm xmlns:a="http://schemas.openxmlformats.org/drawingml/2006/main">
          <a:off x="26927" y="2481351"/>
          <a:ext cx="3011599" cy="7066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algn="l" defTabSz="914400" eaLnBrk="1" fontAlgn="auto" latinLnBrk="0" hangingPunct="1">
            <a:lnSpc>
              <a:spcPct val="100000"/>
            </a:lnSpc>
            <a:spcBef>
              <a:spcPts val="0"/>
            </a:spcBef>
            <a:spcAft>
              <a:spcPts val="0"/>
            </a:spcAft>
            <a:buClrTx/>
            <a:buSzTx/>
            <a:buFontTx/>
            <a:buNone/>
            <a:tabLst/>
            <a:defRPr/>
          </a:pPr>
          <a:r>
            <a:rPr lang="cs-CZ" sz="800">
              <a:effectLst/>
              <a:latin typeface="Arial" panose="020B0604020202020204" pitchFamily="34" charset="0"/>
              <a:ea typeface="+mn-ea"/>
              <a:cs typeface="Arial" panose="020B0604020202020204" pitchFamily="34" charset="0"/>
            </a:rPr>
            <a:t>* podíl z celkového počtu samostatných ordinací lékaře daného typu</a:t>
          </a:r>
        </a:p>
        <a:p xmlns:a="http://schemas.openxmlformats.org/drawingml/2006/main">
          <a:pPr marL="0" marR="0" lvl="0" indent="0" algn="l" defTabSz="914400" eaLnBrk="1" fontAlgn="auto" latinLnBrk="0" hangingPunct="1">
            <a:lnSpc>
              <a:spcPct val="100000"/>
            </a:lnSpc>
            <a:spcBef>
              <a:spcPts val="0"/>
            </a:spcBef>
            <a:spcAft>
              <a:spcPts val="0"/>
            </a:spcAft>
            <a:buClrTx/>
            <a:buSzTx/>
            <a:buFontTx/>
            <a:buNone/>
            <a:tabLst/>
            <a:defRPr/>
          </a:pPr>
          <a:r>
            <a:rPr kumimoji="0" lang="cs-CZ" sz="800" b="0" i="0" u="none" strike="noStrike" kern="0" cap="none" spc="0" normalizeH="0" baseline="0" noProof="0">
              <a:ln>
                <a:noFill/>
              </a:ln>
              <a:solidFill>
                <a:sysClr val="windowText" lastClr="000000"/>
              </a:solidFill>
              <a:effectLst/>
              <a:uLnTx/>
              <a:uFillTx/>
              <a:latin typeface="Arial" panose="020B0604020202020204" pitchFamily="34" charset="0"/>
              <a:ea typeface="+mn-ea"/>
              <a:cs typeface="Arial" panose="020B0604020202020204" pitchFamily="34" charset="0"/>
            </a:rPr>
            <a:t>** zahrnuje ordinace, které vedou alespoň část své zdravotnické dokumentace v elektronické podobě na počítači  </a:t>
          </a:r>
          <a:r>
            <a:rPr lang="cs-CZ" sz="800">
              <a:latin typeface="Arial" panose="020B0604020202020204" pitchFamily="34" charset="0"/>
              <a:cs typeface="Arial" panose="020B0604020202020204" pitchFamily="34" charset="0"/>
            </a:rPr>
            <a:t/>
          </a:r>
          <a:br>
            <a:rPr lang="cs-CZ" sz="800">
              <a:latin typeface="Arial" panose="020B0604020202020204" pitchFamily="34" charset="0"/>
              <a:cs typeface="Arial" panose="020B0604020202020204" pitchFamily="34" charset="0"/>
            </a:rPr>
          </a:br>
          <a:endParaRPr lang="cs-CZ" sz="8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0.05189</cdr:x>
      <cdr:y>0.94575</cdr:y>
    </cdr:from>
    <cdr:to>
      <cdr:x>1</cdr:x>
      <cdr:y>0.99375</cdr:y>
    </cdr:to>
    <cdr:sp macro="" textlink="">
      <cdr:nvSpPr>
        <cdr:cNvPr id="3" name="TextovéPole 1"/>
        <cdr:cNvSpPr txBox="1"/>
      </cdr:nvSpPr>
      <cdr:spPr>
        <a:xfrm xmlns:a="http://schemas.openxmlformats.org/drawingml/2006/main">
          <a:off x="213517" y="4152825"/>
          <a:ext cx="3901284" cy="2107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r" defTabSz="914400" eaLnBrk="1" fontAlgn="auto" latinLnBrk="0" hangingPunct="1">
            <a:lnSpc>
              <a:spcPct val="100000"/>
            </a:lnSpc>
            <a:spcBef>
              <a:spcPts val="0"/>
            </a:spcBef>
            <a:spcAft>
              <a:spcPts val="0"/>
            </a:spcAft>
            <a:buClrTx/>
            <a:buSzTx/>
            <a:buFontTx/>
            <a:buNone/>
            <a:tabLst/>
            <a:defRPr/>
          </a:pPr>
          <a:r>
            <a:rPr lang="cs-CZ" sz="800" i="1">
              <a:effectLst/>
              <a:latin typeface="Arial" panose="020B0604020202020204" pitchFamily="34" charset="0"/>
              <a:ea typeface="+mn-ea"/>
              <a:cs typeface="Arial" panose="020B0604020202020204" pitchFamily="34" charset="0"/>
            </a:rPr>
            <a:t>Zdroj: ÚZIS ČR a vlastní dopočty ČSÚ, 2018</a:t>
          </a:r>
          <a:endParaRPr lang="cs-CZ" sz="800">
            <a:latin typeface="Arial" panose="020B0604020202020204" pitchFamily="34" charset="0"/>
            <a:cs typeface="Arial" panose="020B0604020202020204" pitchFamily="34"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0.00312</cdr:x>
      <cdr:y>0.74172</cdr:y>
    </cdr:from>
    <cdr:to>
      <cdr:x>0.98846</cdr:x>
      <cdr:y>0.93594</cdr:y>
    </cdr:to>
    <cdr:sp macro="" textlink="">
      <cdr:nvSpPr>
        <cdr:cNvPr id="2" name="TextovéPole 1"/>
        <cdr:cNvSpPr txBox="1"/>
      </cdr:nvSpPr>
      <cdr:spPr>
        <a:xfrm xmlns:a="http://schemas.openxmlformats.org/drawingml/2006/main">
          <a:off x="9525" y="2509906"/>
          <a:ext cx="3010199" cy="6572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algn="l" defTabSz="914400" eaLnBrk="1" fontAlgn="auto" latinLnBrk="0" hangingPunct="1">
            <a:lnSpc>
              <a:spcPct val="100000"/>
            </a:lnSpc>
            <a:spcBef>
              <a:spcPts val="0"/>
            </a:spcBef>
            <a:spcAft>
              <a:spcPts val="0"/>
            </a:spcAft>
            <a:buClrTx/>
            <a:buSzTx/>
            <a:buFontTx/>
            <a:buNone/>
            <a:tabLst/>
            <a:defRPr/>
          </a:pPr>
          <a:r>
            <a:rPr lang="cs-CZ" sz="800">
              <a:effectLst/>
              <a:latin typeface="Arial" panose="020B0604020202020204" pitchFamily="34" charset="0"/>
              <a:ea typeface="+mn-ea"/>
              <a:cs typeface="Arial" panose="020B0604020202020204" pitchFamily="34" charset="0"/>
            </a:rPr>
            <a:t>* podíl z celkového počtu samostatných ordinací lékaře daného typu</a:t>
          </a:r>
        </a:p>
        <a:p xmlns:a="http://schemas.openxmlformats.org/drawingml/2006/main">
          <a:pPr marL="0" marR="0" lvl="0" indent="0" algn="l" defTabSz="914400" eaLnBrk="1" fontAlgn="auto" latinLnBrk="0" hangingPunct="1">
            <a:lnSpc>
              <a:spcPct val="100000"/>
            </a:lnSpc>
            <a:spcBef>
              <a:spcPts val="0"/>
            </a:spcBef>
            <a:spcAft>
              <a:spcPts val="0"/>
            </a:spcAft>
            <a:buClrTx/>
            <a:buSzTx/>
            <a:buFontTx/>
            <a:buNone/>
            <a:tabLst/>
            <a:defRPr/>
          </a:pPr>
          <a:r>
            <a:rPr kumimoji="0" lang="cs-CZ" sz="800" b="0" i="0" u="none" strike="noStrike" kern="0" cap="none" spc="0" normalizeH="0" baseline="0" noProof="0">
              <a:ln>
                <a:noFill/>
              </a:ln>
              <a:solidFill>
                <a:sysClr val="windowText" lastClr="000000"/>
              </a:solidFill>
              <a:effectLst/>
              <a:uLnTx/>
              <a:uFillTx/>
              <a:latin typeface="Arial" panose="020B0604020202020204" pitchFamily="34" charset="0"/>
              <a:ea typeface="+mn-ea"/>
              <a:cs typeface="Arial" panose="020B0604020202020204" pitchFamily="34" charset="0"/>
            </a:rPr>
            <a:t>** zahrnuje ordinace, které vedou alespoň část své zdravotnické dokumentace v listinné (papírové) podobě</a:t>
          </a:r>
        </a:p>
        <a:p xmlns:a="http://schemas.openxmlformats.org/drawingml/2006/main">
          <a:pPr marL="0" marR="0" lvl="0" indent="0" algn="l" defTabSz="914400" eaLnBrk="1" fontAlgn="auto" latinLnBrk="0" hangingPunct="1">
            <a:lnSpc>
              <a:spcPct val="100000"/>
            </a:lnSpc>
            <a:spcBef>
              <a:spcPts val="0"/>
            </a:spcBef>
            <a:spcAft>
              <a:spcPts val="0"/>
            </a:spcAft>
            <a:buClrTx/>
            <a:buSzTx/>
            <a:buFontTx/>
            <a:buNone/>
            <a:tabLst/>
            <a:defRPr/>
          </a:pPr>
          <a:endParaRPr lang="cs-CZ" sz="800">
            <a:latin typeface="Arial" panose="020B0604020202020204" pitchFamily="34" charset="0"/>
            <a:cs typeface="Arial" panose="020B0604020202020204" pitchFamily="34" charset="0"/>
          </a:endParaRPr>
        </a:p>
        <a:p xmlns:a="http://schemas.openxmlformats.org/drawingml/2006/main">
          <a:pPr algn="l"/>
          <a:r>
            <a:rPr lang="cs-CZ" sz="800">
              <a:latin typeface="Arial" panose="020B0604020202020204" pitchFamily="34" charset="0"/>
              <a:cs typeface="Arial" panose="020B0604020202020204" pitchFamily="34" charset="0"/>
            </a:rPr>
            <a:t/>
          </a:r>
          <a:br>
            <a:rPr lang="cs-CZ" sz="800">
              <a:latin typeface="Arial" panose="020B0604020202020204" pitchFamily="34" charset="0"/>
              <a:cs typeface="Arial" panose="020B0604020202020204" pitchFamily="34" charset="0"/>
            </a:rPr>
          </a:br>
          <a:endParaRPr lang="cs-CZ" sz="8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0.05189</cdr:x>
      <cdr:y>0.94575</cdr:y>
    </cdr:from>
    <cdr:to>
      <cdr:x>1</cdr:x>
      <cdr:y>0.99375</cdr:y>
    </cdr:to>
    <cdr:sp macro="" textlink="">
      <cdr:nvSpPr>
        <cdr:cNvPr id="3" name="TextovéPole 1"/>
        <cdr:cNvSpPr txBox="1"/>
      </cdr:nvSpPr>
      <cdr:spPr>
        <a:xfrm xmlns:a="http://schemas.openxmlformats.org/drawingml/2006/main">
          <a:off x="213517" y="4152825"/>
          <a:ext cx="3901284" cy="21076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r" defTabSz="914400" eaLnBrk="1" fontAlgn="auto" latinLnBrk="0" hangingPunct="1">
            <a:lnSpc>
              <a:spcPct val="100000"/>
            </a:lnSpc>
            <a:spcBef>
              <a:spcPts val="0"/>
            </a:spcBef>
            <a:spcAft>
              <a:spcPts val="0"/>
            </a:spcAft>
            <a:buClrTx/>
            <a:buSzTx/>
            <a:buFontTx/>
            <a:buNone/>
            <a:tabLst/>
            <a:defRPr/>
          </a:pPr>
          <a:r>
            <a:rPr lang="cs-CZ" sz="800" i="1">
              <a:effectLst/>
              <a:latin typeface="Arial" panose="020B0604020202020204" pitchFamily="34" charset="0"/>
              <a:ea typeface="+mn-ea"/>
              <a:cs typeface="Arial" panose="020B0604020202020204" pitchFamily="34" charset="0"/>
            </a:rPr>
            <a:t>Zdroj: ÚZIS ČR a vlastní dopočty ČSÚ, 2018</a:t>
          </a:r>
          <a:endParaRPr lang="cs-CZ" sz="800">
            <a:latin typeface="Arial" panose="020B0604020202020204" pitchFamily="34" charset="0"/>
            <a:cs typeface="Arial" panose="020B0604020202020204" pitchFamily="34" charset="0"/>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0.22748</cdr:x>
      <cdr:y>0.91199</cdr:y>
    </cdr:from>
    <cdr:to>
      <cdr:x>0.98647</cdr:x>
      <cdr:y>0.9903</cdr:y>
    </cdr:to>
    <cdr:sp macro="" textlink="">
      <cdr:nvSpPr>
        <cdr:cNvPr id="2" name="TextovéPole 1"/>
        <cdr:cNvSpPr txBox="1"/>
      </cdr:nvSpPr>
      <cdr:spPr>
        <a:xfrm xmlns:a="http://schemas.openxmlformats.org/drawingml/2006/main">
          <a:off x="678180" y="3132426"/>
          <a:ext cx="2262808" cy="26897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cs-CZ" sz="800" i="1">
              <a:latin typeface="Arial" panose="020B0604020202020204" pitchFamily="34" charset="0"/>
              <a:cs typeface="Arial" panose="020B0604020202020204" pitchFamily="34" charset="0"/>
            </a:rPr>
            <a:t>Zdroj: ÚZIS ČR a vlastní dopočty ČSÚ, 2018</a:t>
          </a:r>
        </a:p>
      </cdr:txBody>
    </cdr:sp>
  </cdr:relSizeAnchor>
  <cdr:relSizeAnchor xmlns:cdr="http://schemas.openxmlformats.org/drawingml/2006/chartDrawing">
    <cdr:from>
      <cdr:x>0.01466</cdr:x>
      <cdr:y>0.84304</cdr:y>
    </cdr:from>
    <cdr:to>
      <cdr:x>0.9764</cdr:x>
      <cdr:y>0.95945</cdr:y>
    </cdr:to>
    <cdr:sp macro="" textlink="">
      <cdr:nvSpPr>
        <cdr:cNvPr id="3" name="TextovéPole 1"/>
        <cdr:cNvSpPr txBox="1"/>
      </cdr:nvSpPr>
      <cdr:spPr>
        <a:xfrm xmlns:a="http://schemas.openxmlformats.org/drawingml/2006/main">
          <a:off x="43706" y="2895600"/>
          <a:ext cx="2867260" cy="39983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algn="l" defTabSz="914400" eaLnBrk="1" fontAlgn="auto" latinLnBrk="0" hangingPunct="1">
            <a:lnSpc>
              <a:spcPct val="100000"/>
            </a:lnSpc>
            <a:spcBef>
              <a:spcPts val="0"/>
            </a:spcBef>
            <a:spcAft>
              <a:spcPts val="0"/>
            </a:spcAft>
            <a:buClrTx/>
            <a:buSzTx/>
            <a:buFontTx/>
            <a:buNone/>
            <a:tabLst/>
            <a:defRPr/>
          </a:pPr>
          <a:r>
            <a:rPr lang="cs-CZ" sz="800">
              <a:effectLst/>
              <a:latin typeface="Arial" panose="020B0604020202020204" pitchFamily="34" charset="0"/>
              <a:ea typeface="+mn-ea"/>
              <a:cs typeface="Arial" panose="020B0604020202020204" pitchFamily="34" charset="0"/>
            </a:rPr>
            <a:t>* podíl z celkového počtu samostatných ordinací lékaře daného typu</a:t>
          </a:r>
          <a:endParaRPr lang="cs-CZ" sz="800">
            <a:effectLst/>
            <a:latin typeface="Arial" panose="020B0604020202020204" pitchFamily="34" charset="0"/>
            <a:cs typeface="Arial" panose="020B0604020202020204" pitchFamily="34" charset="0"/>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0.23326</cdr:x>
      <cdr:y>0.92956</cdr:y>
    </cdr:from>
    <cdr:to>
      <cdr:x>0.98647</cdr:x>
      <cdr:y>0.9903</cdr:y>
    </cdr:to>
    <cdr:sp macro="" textlink="">
      <cdr:nvSpPr>
        <cdr:cNvPr id="2" name="TextovéPole 1"/>
        <cdr:cNvSpPr txBox="1"/>
      </cdr:nvSpPr>
      <cdr:spPr>
        <a:xfrm xmlns:a="http://schemas.openxmlformats.org/drawingml/2006/main">
          <a:off x="701040" y="3192780"/>
          <a:ext cx="2263751" cy="20861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cs-CZ" sz="800" i="1">
              <a:latin typeface="Arial" panose="020B0604020202020204" pitchFamily="34" charset="0"/>
              <a:cs typeface="Arial" panose="020B0604020202020204" pitchFamily="34" charset="0"/>
            </a:rPr>
            <a:t>Zdroj: ÚZIS ČR a vlastní dopočty ČSÚ, 2018</a:t>
          </a:r>
        </a:p>
      </cdr:txBody>
    </cdr:sp>
  </cdr:relSizeAnchor>
  <cdr:relSizeAnchor xmlns:cdr="http://schemas.openxmlformats.org/drawingml/2006/chartDrawing">
    <cdr:from>
      <cdr:x>0.01212</cdr:x>
      <cdr:y>0.80711</cdr:y>
    </cdr:from>
    <cdr:to>
      <cdr:x>0.97386</cdr:x>
      <cdr:y>0.88741</cdr:y>
    </cdr:to>
    <cdr:sp macro="" textlink="">
      <cdr:nvSpPr>
        <cdr:cNvPr id="3" name="TextovéPole 1"/>
        <cdr:cNvSpPr txBox="1"/>
      </cdr:nvSpPr>
      <cdr:spPr>
        <a:xfrm xmlns:a="http://schemas.openxmlformats.org/drawingml/2006/main">
          <a:off x="36440" y="2772185"/>
          <a:ext cx="2890466" cy="27581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lvl="0" indent="0" algn="l" defTabSz="914400" eaLnBrk="1" fontAlgn="auto" latinLnBrk="0" hangingPunct="1">
            <a:lnSpc>
              <a:spcPct val="100000"/>
            </a:lnSpc>
            <a:spcBef>
              <a:spcPts val="0"/>
            </a:spcBef>
            <a:spcAft>
              <a:spcPts val="0"/>
            </a:spcAft>
            <a:buClrTx/>
            <a:buSzTx/>
            <a:buFontTx/>
            <a:buNone/>
            <a:tabLst/>
            <a:defRPr/>
          </a:pPr>
          <a:r>
            <a:rPr lang="cs-CZ" sz="800">
              <a:effectLst/>
              <a:latin typeface="Arial" panose="020B0604020202020204" pitchFamily="34" charset="0"/>
              <a:ea typeface="+mn-ea"/>
              <a:cs typeface="Arial" panose="020B0604020202020204" pitchFamily="34" charset="0"/>
            </a:rPr>
            <a:t>* podíl z celkového počtu samostatných ordinací lékaře daného typu</a:t>
          </a:r>
        </a:p>
        <a:p xmlns:a="http://schemas.openxmlformats.org/drawingml/2006/main">
          <a:pPr marL="0" marR="0" lvl="0" indent="0" algn="l" defTabSz="914400" eaLnBrk="1" fontAlgn="auto" latinLnBrk="0" hangingPunct="1">
            <a:lnSpc>
              <a:spcPct val="100000"/>
            </a:lnSpc>
            <a:spcBef>
              <a:spcPts val="0"/>
            </a:spcBef>
            <a:spcAft>
              <a:spcPts val="0"/>
            </a:spcAft>
            <a:buClrTx/>
            <a:buSzTx/>
            <a:buFontTx/>
            <a:buNone/>
            <a:tabLst/>
            <a:defRPr/>
          </a:pPr>
          <a:r>
            <a:rPr lang="cs-CZ" sz="800" b="0" i="0" baseline="0">
              <a:effectLst/>
              <a:latin typeface="Arial" panose="020B0604020202020204" pitchFamily="34" charset="0"/>
              <a:ea typeface="+mn-ea"/>
              <a:cs typeface="Arial" panose="020B0604020202020204" pitchFamily="34" charset="0"/>
            </a:rPr>
            <a:t>** výpis těch pacientů, kteří mají jít na preventivní prohlídku, testy atd.</a:t>
          </a:r>
          <a:endParaRPr lang="cs-CZ" sz="800">
            <a:effectLst/>
            <a:latin typeface="Arial" panose="020B0604020202020204" pitchFamily="34" charset="0"/>
            <a:cs typeface="Arial" panose="020B0604020202020204" pitchFamily="34" charset="0"/>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cdr:x>
      <cdr:y>0.91487</cdr:y>
    </cdr:from>
    <cdr:to>
      <cdr:x>0.9917</cdr:x>
      <cdr:y>0.99727</cdr:y>
    </cdr:to>
    <cdr:sp macro="" textlink="">
      <cdr:nvSpPr>
        <cdr:cNvPr id="3" name="TextovéPole 1"/>
        <cdr:cNvSpPr txBox="1"/>
      </cdr:nvSpPr>
      <cdr:spPr>
        <a:xfrm xmlns:a="http://schemas.openxmlformats.org/drawingml/2006/main">
          <a:off x="0" y="2769934"/>
          <a:ext cx="2857083" cy="24949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r" defTabSz="914400" eaLnBrk="1" fontAlgn="auto" latinLnBrk="0" hangingPunct="1">
            <a:lnSpc>
              <a:spcPct val="100000"/>
            </a:lnSpc>
            <a:spcBef>
              <a:spcPts val="0"/>
            </a:spcBef>
            <a:spcAft>
              <a:spcPts val="0"/>
            </a:spcAft>
            <a:buClrTx/>
            <a:buSzTx/>
            <a:buFontTx/>
            <a:buNone/>
            <a:tabLst/>
            <a:defRPr/>
          </a:pPr>
          <a:r>
            <a:rPr lang="cs-CZ" sz="800" i="1">
              <a:effectLst/>
              <a:latin typeface="Arial" panose="020B0604020202020204" pitchFamily="34" charset="0"/>
              <a:ea typeface="+mn-ea"/>
              <a:cs typeface="Arial" panose="020B0604020202020204" pitchFamily="34" charset="0"/>
            </a:rPr>
            <a:t>Zdroj: ČSÚ, Šetření o využívání ICT v domácnostech, 2018</a:t>
          </a:r>
          <a:endParaRPr lang="cs-CZ" sz="80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0.03306</cdr:x>
      <cdr:y>0</cdr:y>
    </cdr:from>
    <cdr:to>
      <cdr:x>0.94225</cdr:x>
      <cdr:y>0.14471</cdr:y>
    </cdr:to>
    <cdr:sp macro="" textlink="">
      <cdr:nvSpPr>
        <cdr:cNvPr id="2" name="Textové pole 1"/>
        <cdr:cNvSpPr txBox="1"/>
      </cdr:nvSpPr>
      <cdr:spPr>
        <a:xfrm xmlns:a="http://schemas.openxmlformats.org/drawingml/2006/main">
          <a:off x="95250" y="0"/>
          <a:ext cx="2619375" cy="4381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algn="ctr" defTabSz="914400" rtl="0" eaLnBrk="1" fontAlgn="auto" latinLnBrk="0" hangingPunct="1">
            <a:lnSpc>
              <a:spcPct val="100000"/>
            </a:lnSpc>
            <a:spcBef>
              <a:spcPts val="0"/>
            </a:spcBef>
            <a:spcAft>
              <a:spcPts val="0"/>
            </a:spcAft>
            <a:buClrTx/>
            <a:buSzTx/>
            <a:buFontTx/>
            <a:buNone/>
            <a:tabLst/>
            <a:defRPr/>
          </a:pPr>
          <a:r>
            <a:rPr lang="cs-CZ" sz="800" b="1">
              <a:latin typeface="Arial" panose="020B0604020202020204" pitchFamily="34" charset="0"/>
              <a:cs typeface="Arial" panose="020B0604020202020204" pitchFamily="34" charset="0"/>
            </a:rPr>
            <a:t>Graf G9 Jednotlivci v Česku, kteří v roce</a:t>
          </a:r>
          <a:r>
            <a:rPr lang="cs-CZ" sz="800" b="1" baseline="0">
              <a:latin typeface="Arial" panose="020B0604020202020204" pitchFamily="34" charset="0"/>
              <a:cs typeface="Arial" panose="020B0604020202020204" pitchFamily="34" charset="0"/>
            </a:rPr>
            <a:t> 2017 </a:t>
          </a:r>
          <a:r>
            <a:rPr lang="cs-CZ" sz="800" b="1">
              <a:latin typeface="Arial" panose="020B0604020202020204" pitchFamily="34" charset="0"/>
              <a:cs typeface="Arial" panose="020B0604020202020204" pitchFamily="34" charset="0"/>
            </a:rPr>
            <a:t>vyhledávali</a:t>
          </a:r>
          <a:r>
            <a:rPr lang="cs-CZ" sz="800" b="1" baseline="0">
              <a:latin typeface="Arial" panose="020B0604020202020204" pitchFamily="34" charset="0"/>
              <a:cs typeface="Arial" panose="020B0604020202020204" pitchFamily="34" charset="0"/>
            </a:rPr>
            <a:t> informace o zdraví na internetu (%)</a:t>
          </a:r>
          <a:endParaRPr lang="en-US" sz="800" b="1">
            <a:latin typeface="Arial" panose="020B0604020202020204" pitchFamily="34" charset="0"/>
            <a:cs typeface="Arial" panose="020B0604020202020204" pitchFamily="34" charset="0"/>
          </a:endParaRPr>
        </a:p>
        <a:p xmlns:a="http://schemas.openxmlformats.org/drawingml/2006/main">
          <a:endParaRPr lang="cs-CZ"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35E38-A686-4F63-9832-6434D4C88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 CZ_veda IT_2017-08-14.dotx</Template>
  <TotalTime>0</TotalTime>
  <Pages>8</Pages>
  <Words>2513</Words>
  <Characters>14830</Characters>
  <Application>Microsoft Office Word</Application>
  <DocSecurity>0</DocSecurity>
  <Lines>123</Lines>
  <Paragraphs>34</Paragraphs>
  <ScaleCrop>false</ScaleCrop>
  <HeadingPairs>
    <vt:vector size="6" baseType="variant">
      <vt:variant>
        <vt:lpstr>Název</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Styl: Nadpis 1</vt:lpstr>
      <vt:lpstr>    Styl: Nadpis 2</vt:lpstr>
      <vt:lpstr>        Styl: Nadpis 3</vt:lpstr>
      <vt:lpstr>        Styl: Nadpis 3</vt:lpstr>
      <vt:lpstr>    Styl: Nadpis 2</vt:lpstr>
      <vt:lpstr>        Styl: Nadpis 3</vt:lpstr>
      <vt:lpstr>    Styl: Nadpis 2</vt:lpstr>
      <vt:lpstr>        Styl: Nadpis 3</vt:lpstr>
    </vt:vector>
  </TitlesOfParts>
  <Company>CSU</Company>
  <LinksUpToDate>false</LinksUpToDate>
  <CharactersWithSpaces>17309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Kotrbatá</dc:creator>
  <cp:lastModifiedBy>Alena Kotrbatá</cp:lastModifiedBy>
  <cp:revision>2</cp:revision>
  <cp:lastPrinted>2018-08-29T08:06:00Z</cp:lastPrinted>
  <dcterms:created xsi:type="dcterms:W3CDTF">2018-09-21T14:00:00Z</dcterms:created>
  <dcterms:modified xsi:type="dcterms:W3CDTF">2018-09-21T14:00:00Z</dcterms:modified>
</cp:coreProperties>
</file>