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7976" w14:textId="77777777" w:rsidR="002A1407" w:rsidRPr="009110F7" w:rsidRDefault="002A1407" w:rsidP="002A1407">
      <w:pPr>
        <w:pStyle w:val="Nadpis1"/>
      </w:pPr>
      <w:bookmarkStart w:id="0" w:name="_Toc137233031"/>
      <w:bookmarkStart w:id="1" w:name="_Toc193366673"/>
      <w:bookmarkStart w:id="2" w:name="_Toc169258116"/>
      <w:bookmarkStart w:id="3" w:name="_Toc153531176"/>
      <w:bookmarkStart w:id="4" w:name="_Toc176767107"/>
      <w:bookmarkStart w:id="5" w:name="_Toc161914427"/>
      <w:r>
        <w:t>2. Souhrnná výkonnost</w:t>
      </w:r>
      <w:bookmarkEnd w:id="1"/>
    </w:p>
    <w:tbl>
      <w:tblPr>
        <w:tblW w:w="9639" w:type="dxa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6"/>
        <w:gridCol w:w="210"/>
        <w:gridCol w:w="7623"/>
      </w:tblGrid>
      <w:tr w:rsidR="002A1407" w:rsidRPr="009110F7" w14:paraId="48FE76E6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E8D7757" w14:textId="77777777" w:rsidR="002A1407" w:rsidRDefault="002A1407" w:rsidP="00D567C6">
            <w:pPr>
              <w:pStyle w:val="Marginlie"/>
            </w:pPr>
            <w:r>
              <w:t>Česka ekonomika loni vzrostla.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0428056C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0E64B849" w14:textId="77777777" w:rsidR="002A1407" w:rsidRPr="00014ED0" w:rsidRDefault="002A1407" w:rsidP="00D567C6">
            <w:pPr>
              <w:rPr>
                <w:spacing w:val="-2"/>
              </w:rPr>
            </w:pPr>
            <w:r>
              <w:rPr>
                <w:spacing w:val="-2"/>
              </w:rPr>
              <w:t>Hrubý domácí produkt (HDP) v roce 2024 vzrostl o 1,0 %</w:t>
            </w:r>
            <w:r w:rsidRPr="00014ED0">
              <w:rPr>
                <w:rStyle w:val="Znakapoznpodarou"/>
                <w:rFonts w:cs="Arial"/>
                <w:spacing w:val="-2"/>
              </w:rPr>
              <w:footnoteReference w:id="1"/>
            </w:r>
            <w:r>
              <w:rPr>
                <w:spacing w:val="-2"/>
              </w:rPr>
              <w:t xml:space="preserve">. Na stagnaci z roku 2023 tak ekonomika navázala mírným růstem. Na vyšším růstu se projevilo především posílení spotřeby domácností a vládních institucí. Naopak za úrovní roku 2023 zaostávala investiční aktivita a na růst HDP měla negativní vliv i změna zásob. Vliv zahraniční poptávky byl celkově mírně negativní. V průběhu roku meziroční růst HDP postupně sílil (0,3 %, 0,5 %, 1,4 % v 1. až 3. čtvrtletí) až na 1,8 % ve 4. kvartálu. V závěru roku posílil meziroční růst spotřeby domácností a pozitivně začala působit změna zásob. Nepříznivý vliv na meziroční růst HDP měla naopak investiční aktivita a zahraniční poptávka. Mezičtvrtletní dynamika HDP ve 4. kvartálu posílila na 0,7 %. Vyšší byla spotřeba domácností a změna zásob. Mírně protirůstově působily investice a zahraniční poptávka. </w:t>
            </w:r>
          </w:p>
        </w:tc>
      </w:tr>
      <w:tr w:rsidR="002A1407" w:rsidRPr="009110F7" w14:paraId="40A1EDCA" w14:textId="77777777" w:rsidTr="00D567C6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6524401A" w14:textId="77777777" w:rsidR="002A1407" w:rsidRDefault="002A1407" w:rsidP="00D567C6">
            <w:pPr>
              <w:pStyle w:val="Marginlie"/>
            </w:pPr>
          </w:p>
        </w:tc>
        <w:tc>
          <w:tcPr>
            <w:tcW w:w="210" w:type="dxa"/>
            <w:vMerge w:val="restart"/>
            <w:shd w:val="clear" w:color="auto" w:fill="auto"/>
            <w:tcMar>
              <w:left w:w="0" w:type="dxa"/>
            </w:tcMar>
          </w:tcPr>
          <w:p w14:paraId="3ABC0A86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5AEC91CB" w14:textId="77777777" w:rsidR="002A1407" w:rsidRPr="00D721B4" w:rsidRDefault="002A1407" w:rsidP="00D567C6">
            <w:pPr>
              <w:spacing w:after="0"/>
              <w:rPr>
                <w:b/>
                <w:szCs w:val="20"/>
              </w:rPr>
            </w:pPr>
            <w:r w:rsidRPr="00D721B4">
              <w:rPr>
                <w:rFonts w:cs="Arial"/>
                <w:b/>
                <w:bCs/>
                <w:color w:val="000000"/>
                <w:szCs w:val="20"/>
              </w:rPr>
              <w:t>Graf č. 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HDP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očištěno o sezónní a kalendářní vlivy, v</w:t>
            </w:r>
            <w:r>
              <w:rPr>
                <w:rFonts w:cs="Arial"/>
                <w:bCs/>
                <w:szCs w:val="20"/>
                <w:lang w:eastAsia="en-US"/>
              </w:rPr>
              <w:t> %</w:t>
            </w:r>
            <w:r w:rsidRPr="00D721B4">
              <w:rPr>
                <w:rFonts w:cs="Arial"/>
                <w:bCs/>
                <w:szCs w:val="20"/>
                <w:lang w:eastAsia="en-US"/>
              </w:rPr>
              <w:t>)</w:t>
            </w:r>
          </w:p>
        </w:tc>
      </w:tr>
      <w:tr w:rsidR="002A1407" w:rsidRPr="009110F7" w14:paraId="12AFDD8C" w14:textId="77777777" w:rsidTr="00DA48C1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</w:tcPr>
          <w:p w14:paraId="1F2C3E71" w14:textId="77777777" w:rsidR="002A1407" w:rsidRPr="009110F7" w:rsidRDefault="002A1407" w:rsidP="00D567C6">
            <w:pPr>
              <w:pStyle w:val="Marginlie"/>
            </w:pPr>
          </w:p>
        </w:tc>
        <w:tc>
          <w:tcPr>
            <w:tcW w:w="210" w:type="dxa"/>
            <w:vMerge/>
          </w:tcPr>
          <w:p w14:paraId="7F6449A4" w14:textId="77777777" w:rsidR="002A1407" w:rsidRPr="009110F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</w:tcPr>
          <w:p w14:paraId="456A1B8E" w14:textId="16742228" w:rsidR="002A1407" w:rsidRPr="009110F7" w:rsidRDefault="00DA48C1" w:rsidP="00D567C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04F0F9C" wp14:editId="0D0ECC69">
                  <wp:extent cx="4737600" cy="3553200"/>
                  <wp:effectExtent l="0" t="0" r="6350" b="0"/>
                  <wp:docPr id="15" name="Graf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2A1407" w:rsidRPr="009110F7" w14:paraId="21825192" w14:textId="77777777" w:rsidTr="00D567C6">
        <w:trPr>
          <w:trHeight w:val="170"/>
        </w:trPr>
        <w:tc>
          <w:tcPr>
            <w:tcW w:w="1806" w:type="dxa"/>
            <w:vMerge/>
            <w:tcMar>
              <w:left w:w="0" w:type="dxa"/>
            </w:tcMar>
          </w:tcPr>
          <w:p w14:paraId="7FD2F7DB" w14:textId="77777777" w:rsidR="002A1407" w:rsidRPr="009110F7" w:rsidRDefault="002A1407" w:rsidP="00D567C6">
            <w:pPr>
              <w:pStyle w:val="Marginlie"/>
            </w:pPr>
          </w:p>
        </w:tc>
        <w:tc>
          <w:tcPr>
            <w:tcW w:w="210" w:type="dxa"/>
            <w:vMerge/>
            <w:tcMar>
              <w:left w:w="0" w:type="dxa"/>
            </w:tcMar>
          </w:tcPr>
          <w:p w14:paraId="5B7B8F02" w14:textId="77777777" w:rsidR="002A1407" w:rsidRPr="009110F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2E2A22B5" w14:textId="77777777" w:rsidR="002A1407" w:rsidRPr="009110F7" w:rsidRDefault="002A1407" w:rsidP="00D567C6">
            <w:pPr>
              <w:spacing w:after="2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ČSÚ, Eurostat</w:t>
            </w:r>
          </w:p>
        </w:tc>
      </w:tr>
      <w:tr w:rsidR="002A1407" w:rsidRPr="009110F7" w14:paraId="3765FED4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1F802362" w14:textId="77777777" w:rsidR="002A1407" w:rsidRDefault="002A1407" w:rsidP="00D567C6">
            <w:pPr>
              <w:pStyle w:val="Marginlie"/>
            </w:pPr>
            <w:r>
              <w:t xml:space="preserve">Hrubý domácí produkt </w:t>
            </w:r>
            <w:r>
              <w:br/>
              <w:t>v EU pokračoval v mírném růstu.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11DA3C2C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7C432817" w14:textId="77777777" w:rsidR="002A1407" w:rsidRDefault="002A1407" w:rsidP="00D567C6">
            <w:r>
              <w:t>Také v Evropské unii bylo ve druhé polovině roku 2024 patrné posílení meziročního růstu HDP. Ve 4. čtvrtletí se HDP v EU meziročně zvýšil o 1,4 %</w:t>
            </w:r>
            <w:r>
              <w:rPr>
                <w:rStyle w:val="Znakapoznpodarou"/>
              </w:rPr>
              <w:footnoteReference w:id="2"/>
            </w:r>
            <w:r>
              <w:t>. V závěru roku ekonomický růst podpořila zejména spotřeba. V naprosté většině zemí meziročně rostl HDP ve 4. čtvrtletí, nejvíce v Irsku (9,2 %), Dánsku (4,1 %) a Polsku a Litvě (shodně o 3,7 %). Za úrovní stejného období roku 2023 zaostával HDP ve 4. čtvrtletí v Rakousku (−1,2 %), Lotyšsku (−0,4 %) a v Německu (−0,2 %). V Německu meziroční pokles trvá už od 3. čtvrtletí roku 2023, v Rakousku ještě o jeden kvartál déle. Mezičtvrtletně se HDP v EU zvýšil o 0,4 % a i zde tomu napomáhal především vývoj spotřeby. Většina zemí EU vykázala mezičtvrtletní oživení HDP, nejvíce Irsko (3,6 %), Dánsko (1,6 %) a Portugalsko (1,5 %). Pokles byl podle dostupných údajů zaznamenán na Maltě (−0,7 %), v Rakousku (−0,4 %), ve Finsku (−0,2 %), Německu (−0,2 %) a Francii (−0,1 %). Celkem se HDP v EU loni zvýšil o 1,0 % a přírůstek zrychlil oproti roku 2023. Podle dostupných údajů</w:t>
            </w:r>
            <w:r>
              <w:rPr>
                <w:rStyle w:val="Znakapoznpodarou"/>
              </w:rPr>
              <w:footnoteReference w:id="3"/>
            </w:r>
            <w:r>
              <w:t xml:space="preserve"> nejvíce rostl loni HDP Malty (6,0 %), Chorvatska (3,8 %) </w:t>
            </w:r>
            <w:r>
              <w:lastRenderedPageBreak/>
              <w:t xml:space="preserve">a Dánska (3,6 %). Naopak pět ekonomik kleslo, nejvíce Rakousko (−1,2 %), Lotyšsko (−0,4 %) a Estonsko (−0,3 %).  </w:t>
            </w:r>
          </w:p>
        </w:tc>
      </w:tr>
      <w:tr w:rsidR="002A1407" w:rsidRPr="009110F7" w14:paraId="5D955A7A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5EEDEA3F" w14:textId="77777777" w:rsidR="002A1407" w:rsidRDefault="002A1407" w:rsidP="00D567C6">
            <w:pPr>
              <w:pStyle w:val="Marginlie"/>
            </w:pPr>
            <w:r>
              <w:lastRenderedPageBreak/>
              <w:t>Mzdy a platy loni reálně rostly.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68406DEB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0AC5B3F4" w14:textId="77777777" w:rsidR="002A1407" w:rsidRPr="00014ED0" w:rsidRDefault="002A1407" w:rsidP="00D567C6">
            <w:r>
              <w:t>V roce 2024 se objem vyplacených mezd a platů zvýšil o 6,4 % při současném navýšení zaměstnanosti o 0,3 %</w:t>
            </w:r>
            <w:r w:rsidRPr="00014ED0">
              <w:rPr>
                <w:rStyle w:val="Znakapoznpodarou"/>
                <w:spacing w:val="-2"/>
              </w:rPr>
              <w:footnoteReference w:id="4"/>
            </w:r>
            <w:r>
              <w:t>. Nominální navýšení mezd a platů bylo nejmírnější od roku 2020 (pokud nepočítáme tento mimořádný covidový rok, tak od roku 2016), ale díky zpomalení cenového růstu dosáhl reálný přírůstek mezd a platů 3,3 %</w:t>
            </w:r>
            <w:r>
              <w:rPr>
                <w:rStyle w:val="Znakapoznpodarou"/>
                <w:spacing w:val="-2"/>
              </w:rPr>
              <w:footnoteReference w:id="5"/>
            </w:r>
            <w:r>
              <w:t>, nejvíce od roku 2019. Růst objemu mezd a platů táhla vpřed zejména odvětví služeb, která také přispěla k celkovému mírnému navýšení zaměstnanosti. Nejvíce se zvýšily mzdy a platy v činnostech v oblasti nemovitostí (23,5 % při navýšení zaměstnanosti o 1,6 %). Nadprůměrný přírůstek zaznamenaly profesní, vědecké, technické a administrativní činnosti (9,6 %, zaměstnanost vzrostla o 0,9 %), peněžnictví a pojišťovnictví (7,2 %, zaměstnanost +0,5 %), informační a komunikační činnosti (7,0 %, zaměstnanost klesla o 0,3 %). Výrazný byl nárůst mezd a platů ve váhově významném uskupení obchod, doprava, ubytování a pohostinství (6,8 %, zaměstnanost +1,0 %) a v ostatních činnostech</w:t>
            </w:r>
            <w:r>
              <w:rPr>
                <w:rStyle w:val="Znakapoznpodarou"/>
                <w:spacing w:val="-2"/>
              </w:rPr>
              <w:footnoteReference w:id="6"/>
            </w:r>
            <w:r>
              <w:t xml:space="preserve"> (6,8 %, zaměstnanost +2,0 %). V rámci služeb se podprůměrně zvyšoval jen objem mezd a platů ve veřejné správě a obraně, vzdělávání, zdravotní a sociální péči (5,8 % při nárůstu zaměstnanosti o 1,9 %). Ve stavebnictví mzdy a platy rostly o 5,9 % (zaměstnanost klesla o 0,2 %) a ve zpracovatelském průmyslu objem mezd a platů rostl jen o 4,9 %, k čemuž přispěla redukce zaměstnanosti o 2,0 %. </w:t>
            </w:r>
          </w:p>
        </w:tc>
      </w:tr>
      <w:tr w:rsidR="002A1407" w:rsidRPr="009110F7" w14:paraId="29FC2AE9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5BCD50F" w14:textId="77777777" w:rsidR="002A1407" w:rsidRDefault="002A1407" w:rsidP="00D567C6">
            <w:pPr>
              <w:pStyle w:val="Marginlie"/>
            </w:pPr>
            <w:r>
              <w:t>Růst celkového objemu vyplacených mezd a platů podporovala odvětví služeb.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78467903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429D5CC1" w14:textId="045D017D" w:rsidR="002A1407" w:rsidRDefault="002A1407" w:rsidP="003A2B5E">
            <w:r>
              <w:t>Ve 4. čtvrtletí meziroční růst objemu mezd a platů mírně zrychlil na 7,1 % při růstu zaměstnanosti o 0,2 %. Reálný přírůstek mezd a platů činil 4,3 %. Ve 4. kvartálu bylo patrné rozevírání nůžek mezi průmyslem a službami. U zpracovatelského průmyslu meziroční přírůstek objemu mezd a platů zpomalil na 4,4 % (zaměstnanost klesla o 1,6 %). Mírněji rostly také mzdy a platy ve stavebnictví (4,7 %, zaměstnanost vzrostla o 0,9 %). U služeb dynamika naopak zrychlovala. Nejvíce rostly mzdy a platy v činnostech v oblasti nemovitostí (37,4 %, zaměstnanost +3,0 %) a dále v profesních, vědeckých, technických a administrativních činností (11,6 %, zaměstnanost +0,3 %), peněžnictví a pojišťovnictví (8,1 %, zaměstnanost +0,5 %) a informačních a komunikačních činnostech (8,0 %, zaměstnanost klesla o 3,5 %). V uskupení obchod, doprava, ubytování a pohostinství objem mezd a platů meziročně vzrostl o 7,7 %, ale zaměstnanost klesla o 0,2 % a ve veřejné správě a obraně, vzdělávání, zdravotní a sociální péči byl zaznamenán nárůst o 7,2 % při nárůstu zaměstnanosti o 2,5 %. Také mezičtvrtletní nárůst mezd a platů ve 4. čtvrtletí zrychlil (2,4 %, zaměstnanost se snížila o 0,1 %). Reálný nárůst mezd a platů dosáhl 1,4 %. Opět výrazněji rostly mzdy a platy u služeb (činnosti v oblasti nemovitostí o 11,8 %, informační a komunikační činnosti o</w:t>
            </w:r>
            <w:r w:rsidR="003A2B5E">
              <w:t> </w:t>
            </w:r>
            <w:r>
              <w:t xml:space="preserve">3,3 %, obchod, doprava, ubytování a pohostinství o 3,1 %). Ve zpracovatelském průmyslu mzdy a platy mezičtvrtletně vzrostly o 1,0 %, ve stavebnictví o 0,9 %. </w:t>
            </w:r>
          </w:p>
        </w:tc>
      </w:tr>
      <w:tr w:rsidR="002A1407" w:rsidRPr="009110F7" w14:paraId="08C32E38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A06FB78" w14:textId="77777777" w:rsidR="002A1407" w:rsidRDefault="002A1407" w:rsidP="00D567C6">
            <w:pPr>
              <w:pStyle w:val="Marginlie"/>
            </w:pPr>
            <w:r>
              <w:t>Růst HDP loni výrazně podporovala spotřeba.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08EA07BC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1537624F" w14:textId="77777777" w:rsidR="002A1407" w:rsidRPr="004B6F8C" w:rsidRDefault="002A1407" w:rsidP="00D567C6">
            <w:pPr>
              <w:rPr>
                <w:spacing w:val="-2"/>
              </w:rPr>
            </w:pPr>
            <w:r>
              <w:rPr>
                <w:spacing w:val="-2"/>
              </w:rPr>
              <w:t>Spotřeba loni celkově vzrostla o 2,6 %. Obnovil se růst spotřeby domácností (2,0 %) a posílil přírůstek spotřeby vládních institucí (3,8 %). Celkově tak příspěvek spotřeby k růstu HDP loni činil 2,3 p. b.</w:t>
            </w:r>
            <w:r w:rsidRPr="00014ED0">
              <w:rPr>
                <w:rStyle w:val="Znakapoznpodarou"/>
                <w:spacing w:val="-2"/>
              </w:rPr>
              <w:footnoteReference w:id="7"/>
            </w:r>
            <w:r>
              <w:rPr>
                <w:spacing w:val="-2"/>
              </w:rPr>
              <w:t xml:space="preserve"> Z hlediska trvanlivosti</w:t>
            </w:r>
            <w:r>
              <w:rPr>
                <w:rStyle w:val="Znakapoznpodarou"/>
              </w:rPr>
              <w:footnoteReference w:id="8"/>
            </w:r>
            <w:r>
              <w:rPr>
                <w:spacing w:val="-2"/>
              </w:rPr>
              <w:t xml:space="preserve"> loni vzrostly výdaje na netrvanlivé statky (4,5 %) a čtvrtý rok v řadě rostla i spotřeba služeb (1,7 %). Stagnovaly výdaje na předměty střednědobé spotřeby a třetí rok v řadě klesla dlouhodobá spotřeba (−2,8 %).   Ve druhé polovině roku 2024 meziroční růst spotřeby posílil a ve 4. kvartálu dosáhl 3,2 %. Stejně se zvýšila spotřeba domácností i vládních institucí. K meziročnímu růstu HDP spotřeba přispěla 2,5 p. b. Meziročně vyšší byla ve 4. čtvrtletí spotřeba netrvanlivých statků (6,1 %), služeb i předmětů střednědobé spotřeby (0,2 %). Zmírnil se pokles </w:t>
            </w:r>
            <w:r>
              <w:rPr>
                <w:spacing w:val="-2"/>
              </w:rPr>
              <w:lastRenderedPageBreak/>
              <w:t>dlouhodobě spotřeby (−0,6 %). Mezičtvrtletně se spotřeba zvýšila o 1,0 %. Přispěly k tomu výhradně domácnosti, zatímco u vládních institucí došlo poprvé od 1. kvartálu 2022 k poklesu o 0,3 %. Ve 4. čtvrtletí došlo k mezičtvrtletnímu oživení u všech segmentů spotřeby – nejvíce u předmětů střednědobé spotřeby (8,0 %), dále u služeb (2,0 %), dlouhodobé spotřeby (1,1 %) a krátkodobé spotřeby (0,6 %).</w:t>
            </w:r>
          </w:p>
        </w:tc>
      </w:tr>
      <w:tr w:rsidR="002A1407" w:rsidRPr="009110F7" w14:paraId="1783ADE2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42D0D2B1" w14:textId="77777777" w:rsidR="002A1407" w:rsidRDefault="002A1407" w:rsidP="00D567C6">
            <w:pPr>
              <w:pStyle w:val="Marginlie"/>
            </w:pPr>
            <w:r>
              <w:lastRenderedPageBreak/>
              <w:t>Investiční aktivita loni klesala.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602F9A8E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1D4913A7" w14:textId="77777777" w:rsidR="002A1407" w:rsidRDefault="002A1407" w:rsidP="00D567C6">
            <w:pPr>
              <w:rPr>
                <w:spacing w:val="-2"/>
              </w:rPr>
            </w:pPr>
            <w:r>
              <w:t>Výdaje na tvorbu hrubého kapitálu se loni podruhé v řadě propadly, a to o 4,7 %. Celkem tak tato složka působila 1,1 p. b. ve směru poklesu HDP. Z toho výdaje na tvorbu hrubého fixního kapitálu (investice) klesly o 1,3 % a snižovala se také tvorba zásob</w:t>
            </w:r>
            <w:r>
              <w:rPr>
                <w:rStyle w:val="Znakapoznpodarou"/>
              </w:rPr>
              <w:footnoteReference w:id="9"/>
            </w:r>
            <w:r>
              <w:t>. Klesly výdaje na obydlí (−1,7 %) a ICT a ostatní stroje a zařízení (−9,7 %). Naopak vyšší byly investice do dopravních prostředků a zařízení (8,5 %), ostatních budov a staveb (1,5 %) a produktů duševního vlastnictví (1,1 %). Ve 4. čtvrtletí výdaje na tvorbu hrubého kapitálu poprvé od konce roku 2022 meziročně vzrostly (3,1 %). Šlo o výsledek vlivu změny zásob, samotné investice počtvrté v řadě klesly (−2,4 %). Propad investic se týkal ICT a ostatních strojů a zařízení (−10,5 %), obydlí (−2,0 %) a produktů duševního vlastnictví (−0,7 %). Naopak meziročně vyšší byly výdaje na dopravní prostředky a zařízení (7,3 %) a ostatní budovy a stavby (1,0 %). Mezičtvrtletně se výdaje na tvorbu hrubého kapitálu snížily o 0,4 %. O 1,5 % klesla investiční aktivita. Mezičtvrtletně vyšší byly jen výdaje na ICT a ostatní stroje a zařízení (1,7 %). Nejvíce klesly investice do dopravních prostředků a zařízení (−4,0 %), obydlí (−2,8 %), produktů duševního vlastnictví (−2,2 %) a ostatních budov a staveb (−1,8 %).</w:t>
            </w:r>
          </w:p>
        </w:tc>
      </w:tr>
      <w:tr w:rsidR="002A1407" w:rsidRPr="009110F7" w14:paraId="5E8FC5A2" w14:textId="77777777" w:rsidTr="00D567C6">
        <w:trPr>
          <w:trHeight w:val="154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31B28421" w14:textId="77777777" w:rsidR="002A1407" w:rsidRDefault="002A1407" w:rsidP="00D567C6">
            <w:pPr>
              <w:pStyle w:val="Marginlie"/>
            </w:pPr>
          </w:p>
        </w:tc>
        <w:tc>
          <w:tcPr>
            <w:tcW w:w="210" w:type="dxa"/>
            <w:vMerge w:val="restart"/>
            <w:shd w:val="clear" w:color="auto" w:fill="auto"/>
            <w:tcMar>
              <w:left w:w="0" w:type="dxa"/>
            </w:tcMar>
          </w:tcPr>
          <w:p w14:paraId="2883B557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5FD08BCB" w14:textId="77777777" w:rsidR="002A1407" w:rsidRDefault="002A1407" w:rsidP="00D567C6">
            <w:pPr>
              <w:spacing w:after="0"/>
            </w:pPr>
            <w:r w:rsidRPr="00D721B4">
              <w:rPr>
                <w:b/>
                <w:szCs w:val="20"/>
              </w:rPr>
              <w:t>Graf č. 2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výdajových složek k reálné změně HDP*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růst, příspěvky v p. b., HDP v</w:t>
            </w:r>
            <w:r>
              <w:rPr>
                <w:rFonts w:cs="Arial"/>
                <w:bCs/>
                <w:szCs w:val="20"/>
                <w:lang w:eastAsia="en-US"/>
              </w:rPr>
              <w:t> %</w:t>
            </w:r>
            <w:r w:rsidRPr="00D721B4">
              <w:rPr>
                <w:rFonts w:cs="Arial"/>
                <w:bCs/>
                <w:szCs w:val="20"/>
                <w:lang w:eastAsia="en-US"/>
              </w:rPr>
              <w:t>)</w:t>
            </w:r>
          </w:p>
        </w:tc>
      </w:tr>
      <w:tr w:rsidR="002A1407" w:rsidRPr="009110F7" w14:paraId="7657EE52" w14:textId="77777777" w:rsidTr="00D567C6">
        <w:tblPrEx>
          <w:tblCellMar>
            <w:left w:w="70" w:type="dxa"/>
            <w:right w:w="70" w:type="dxa"/>
          </w:tblCellMar>
        </w:tblPrEx>
        <w:trPr>
          <w:trHeight w:val="154"/>
        </w:trPr>
        <w:tc>
          <w:tcPr>
            <w:tcW w:w="1806" w:type="dxa"/>
            <w:vMerge/>
          </w:tcPr>
          <w:p w14:paraId="4C9DBE5A" w14:textId="77777777" w:rsidR="002A1407" w:rsidRDefault="002A1407" w:rsidP="00D567C6">
            <w:pPr>
              <w:pStyle w:val="Marginlie"/>
            </w:pPr>
          </w:p>
        </w:tc>
        <w:tc>
          <w:tcPr>
            <w:tcW w:w="210" w:type="dxa"/>
            <w:vMerge/>
          </w:tcPr>
          <w:p w14:paraId="5A9C6F1E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</w:tcPr>
          <w:p w14:paraId="3E5FA55E" w14:textId="77777777" w:rsidR="002A1407" w:rsidRDefault="002A1407" w:rsidP="00D567C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25260F7" wp14:editId="7D5EA7C3">
                  <wp:extent cx="4737600" cy="3553200"/>
                  <wp:effectExtent l="0" t="0" r="6350" b="0"/>
                  <wp:docPr id="35" name="Graf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2A1407" w:rsidRPr="009110F7" w14:paraId="76019092" w14:textId="77777777" w:rsidTr="00D567C6">
        <w:trPr>
          <w:trHeight w:val="154"/>
        </w:trPr>
        <w:tc>
          <w:tcPr>
            <w:tcW w:w="1806" w:type="dxa"/>
            <w:vMerge/>
            <w:tcMar>
              <w:left w:w="0" w:type="dxa"/>
            </w:tcMar>
          </w:tcPr>
          <w:p w14:paraId="265EC490" w14:textId="77777777" w:rsidR="002A1407" w:rsidRDefault="002A1407" w:rsidP="00D567C6">
            <w:pPr>
              <w:pStyle w:val="Marginlie"/>
            </w:pPr>
          </w:p>
        </w:tc>
        <w:tc>
          <w:tcPr>
            <w:tcW w:w="210" w:type="dxa"/>
            <w:vMerge/>
            <w:tcMar>
              <w:left w:w="0" w:type="dxa"/>
            </w:tcMar>
          </w:tcPr>
          <w:p w14:paraId="1CA79D0F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65410CA2" w14:textId="77777777" w:rsidR="002A1407" w:rsidRDefault="002A1407" w:rsidP="00D567C6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Zdroj: ČSÚ</w:t>
            </w:r>
          </w:p>
          <w:p w14:paraId="0B8E87EF" w14:textId="77777777" w:rsidR="002A1407" w:rsidRDefault="002A1407" w:rsidP="00D567C6">
            <w:r>
              <w:rPr>
                <w:sz w:val="14"/>
                <w:szCs w:val="14"/>
              </w:rPr>
              <w:t>* po vyloučení dovozu pro konečné užití</w:t>
            </w:r>
          </w:p>
        </w:tc>
      </w:tr>
      <w:tr w:rsidR="002A1407" w:rsidRPr="009110F7" w14:paraId="3F56FEBA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35142C72" w14:textId="77777777" w:rsidR="002A1407" w:rsidRDefault="002A1407" w:rsidP="00D567C6">
            <w:pPr>
              <w:pStyle w:val="Marginlie"/>
            </w:pPr>
            <w:r>
              <w:t>V závěru roku zahraniční poptávka brzdila růst HDP.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61F9F18C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4CB4636C" w14:textId="77777777" w:rsidR="002A1407" w:rsidRDefault="002A1407" w:rsidP="00D567C6">
            <w:r>
              <w:t xml:space="preserve">Vliv zahraniční poptávky na růst HDP byl za celý rok mírně nepříznivý (−0,1 p. b.). Zatímco v první polovině roku zahraniční poptávka podporovala meziroční růst HDP, ke konci roku se kombinace oživení domácí spotřeby a zhoršení situace v exportně orientovaných odvětvích průmyslu projevila negativním působením zahraniční </w:t>
            </w:r>
            <w:r>
              <w:lastRenderedPageBreak/>
              <w:t>poptávky na růst HDP (−1,7 p. b. ve 4. čtvrtletí). Za celý rok se export zboží a služeb</w:t>
            </w:r>
            <w:r w:rsidRPr="009110F7">
              <w:rPr>
                <w:rStyle w:val="Znakapoznpodarou"/>
              </w:rPr>
              <w:footnoteReference w:id="10"/>
            </w:r>
            <w:r>
              <w:t xml:space="preserve"> reálně zvýšil o 1,5 %. Růst vývozu zboží oslabil na 0,6 %, zatímco u služeb se udržovalo solidní tempo (6,1 %). Oproti tomu dovoz zboží a služeb se zvýšil o 0,7 %. Zatímco u zboží došlo k poklesu importu o 0,7 %, dovoz služeb byl vyšší o 7,8 %. Bilance zahraničního obchodu se zbožím a službami loni celkem dosáhla přebytku </w:t>
            </w:r>
            <w:r>
              <w:br/>
              <w:t>525,6 mld. korun. Přebytek se zvýšil o 141,2 mld. korun, z většiny vlivem obchodu se zbožím (zvýšení o 121,2 mld.), přispěly ale rovněž služby (+20,0 mld.).</w:t>
            </w:r>
          </w:p>
        </w:tc>
      </w:tr>
      <w:tr w:rsidR="002A1407" w:rsidRPr="009110F7" w14:paraId="33F3DEB8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0776ECE8" w14:textId="77777777" w:rsidR="002A1407" w:rsidRDefault="002A1407" w:rsidP="00D567C6">
            <w:pPr>
              <w:pStyle w:val="Marginlie"/>
            </w:pPr>
            <w:r>
              <w:lastRenderedPageBreak/>
              <w:t>Bilance zahraničního obchodu dosáhla výrazného přebytku.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786B30C2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433A7052" w14:textId="77777777" w:rsidR="002A1407" w:rsidRDefault="002A1407" w:rsidP="00D567C6">
            <w:r>
              <w:t>V samotném 4. čtvrtletí se vývoz zboží a služeb reálně meziročně zvýšil o 1,3 %. Přírůstek exportu zboží oslabil na 0,6 % a služeb na 4,4 %. Meziroční dynamika dovozu (3,1 %) ve 4. kvartálu značně překonala přírůstek vývozu, což byl také důvod výrazně negativního působení zahraniční poptávky na růst HDP. Dovoz zboží byl vyšší o 2,0 % a služeb o 8,5 %. Ačkoli se ve 4. čtvrtletí obě strany zahraničního obchodu meziročně zvyšovaly, v mezičtvrtletním pohledu přinesl závěr roku pokles vývozu (−1,5 %) i dovozu (−1,8 %). Bilance zahraničního obchodu se zbožím a službami ve 4. kvartálu dosáhla přebytku 129,2 mld. korun, což byl meziročně o 5,1 mld. lepší výsledek. Bilance obchodu se zbožím a službami k tomuto mírnému zlepšení přispěla podobným dílem.</w:t>
            </w:r>
          </w:p>
        </w:tc>
      </w:tr>
      <w:tr w:rsidR="002A1407" w:rsidRPr="009110F7" w14:paraId="56265EC0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DB40605" w14:textId="77777777" w:rsidR="002A1407" w:rsidRDefault="002A1407" w:rsidP="00D567C6">
            <w:pPr>
              <w:pStyle w:val="Marginlie"/>
            </w:pPr>
            <w:r>
              <w:t>Hrubá přidaná hodnota loni mírně vzrostla.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6E57CB1A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391783C1" w14:textId="77777777" w:rsidR="002A1407" w:rsidRDefault="002A1407" w:rsidP="00D567C6">
            <w:r>
              <w:t>Hrubá přidaná hodnota (HPH) v roce 2024 celkově vzrostla o 0,3 %</w:t>
            </w:r>
            <w:r>
              <w:rPr>
                <w:rStyle w:val="Znakapoznpodarou"/>
              </w:rPr>
              <w:footnoteReference w:id="11"/>
            </w:r>
            <w:r>
              <w:t xml:space="preserve">. Vývoj po celý rok byl charakteristický slabým výkonem ve zpracovatelském průmyslu (celkem pokles HPH o 1,6 %), který kompenzovala odvětví služeb povzbuzená oživenou spotřební poptávkou. Meziročně vyšší byla zejména HPH v peněžnictví a pojišťovnictví (4,7 %), informačních a komunikačních činnostech (2,1 %), ostatních činnostech (1,8 %) a v uskupení obchod, doprava, ubytování a pohostinství (1,4 %). </w:t>
            </w:r>
          </w:p>
        </w:tc>
      </w:tr>
      <w:tr w:rsidR="002A1407" w:rsidRPr="009110F7" w14:paraId="7CA08EC1" w14:textId="77777777" w:rsidTr="00D567C6">
        <w:trPr>
          <w:trHeight w:val="170"/>
        </w:trPr>
        <w:tc>
          <w:tcPr>
            <w:tcW w:w="1806" w:type="dxa"/>
            <w:vMerge w:val="restart"/>
            <w:shd w:val="clear" w:color="auto" w:fill="auto"/>
            <w:tcMar>
              <w:left w:w="0" w:type="dxa"/>
            </w:tcMar>
          </w:tcPr>
          <w:p w14:paraId="190DCB36" w14:textId="77777777" w:rsidR="002A1407" w:rsidRDefault="002A1407" w:rsidP="00D567C6">
            <w:pPr>
              <w:pStyle w:val="Marginlie"/>
            </w:pPr>
          </w:p>
        </w:tc>
        <w:tc>
          <w:tcPr>
            <w:tcW w:w="210" w:type="dxa"/>
            <w:vMerge w:val="restart"/>
            <w:shd w:val="clear" w:color="auto" w:fill="auto"/>
            <w:tcMar>
              <w:left w:w="0" w:type="dxa"/>
            </w:tcMar>
          </w:tcPr>
          <w:p w14:paraId="413999D4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59CF313B" w14:textId="77777777" w:rsidR="002A1407" w:rsidRDefault="002A1407" w:rsidP="00D567C6">
            <w:pPr>
              <w:spacing w:after="0"/>
            </w:pPr>
            <w:r w:rsidRPr="00D721B4">
              <w:rPr>
                <w:b/>
                <w:szCs w:val="20"/>
              </w:rPr>
              <w:t>Graf č. 3</w:t>
            </w:r>
            <w:r>
              <w:rPr>
                <w:b/>
                <w:szCs w:val="20"/>
              </w:rPr>
              <w:t xml:space="preserve"> </w:t>
            </w:r>
            <w:r w:rsidRPr="00D721B4">
              <w:rPr>
                <w:rFonts w:cs="Arial"/>
                <w:b/>
                <w:szCs w:val="20"/>
                <w:lang w:eastAsia="en-US"/>
              </w:rPr>
              <w:t xml:space="preserve">Příspěvky odvětví k reálné změně HPH </w:t>
            </w:r>
            <w:r w:rsidRPr="00D721B4">
              <w:rPr>
                <w:rFonts w:cs="Arial"/>
                <w:bCs/>
                <w:szCs w:val="20"/>
                <w:lang w:eastAsia="en-US"/>
              </w:rPr>
              <w:t>(objemové indexy, meziroční příspěvky v p. b., HPH v</w:t>
            </w:r>
            <w:r>
              <w:rPr>
                <w:rFonts w:cs="Arial"/>
                <w:bCs/>
                <w:szCs w:val="20"/>
                <w:lang w:eastAsia="en-US"/>
              </w:rPr>
              <w:t> %</w:t>
            </w:r>
            <w:r w:rsidRPr="00D721B4">
              <w:rPr>
                <w:rFonts w:cs="Arial"/>
                <w:bCs/>
                <w:szCs w:val="20"/>
                <w:lang w:eastAsia="en-US"/>
              </w:rPr>
              <w:t>)</w:t>
            </w:r>
          </w:p>
        </w:tc>
      </w:tr>
      <w:tr w:rsidR="002A1407" w:rsidRPr="009110F7" w14:paraId="7CAF78CE" w14:textId="77777777" w:rsidTr="00D567C6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6" w:type="dxa"/>
            <w:vMerge/>
          </w:tcPr>
          <w:p w14:paraId="369178A7" w14:textId="77777777" w:rsidR="002A1407" w:rsidRDefault="002A1407" w:rsidP="00D567C6">
            <w:pPr>
              <w:pStyle w:val="Marginlie"/>
            </w:pPr>
          </w:p>
        </w:tc>
        <w:tc>
          <w:tcPr>
            <w:tcW w:w="210" w:type="dxa"/>
            <w:vMerge/>
          </w:tcPr>
          <w:p w14:paraId="05CE5FEF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</w:tcPr>
          <w:p w14:paraId="59430F51" w14:textId="77777777" w:rsidR="002A1407" w:rsidRDefault="002A1407" w:rsidP="00D567C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356E159" wp14:editId="270FD067">
                  <wp:extent cx="4737600" cy="3486525"/>
                  <wp:effectExtent l="0" t="0" r="6350" b="0"/>
                  <wp:docPr id="36" name="Graf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2A1407" w:rsidRPr="009110F7" w14:paraId="7FDD1A39" w14:textId="77777777" w:rsidTr="00D567C6">
        <w:trPr>
          <w:trHeight w:val="170"/>
        </w:trPr>
        <w:tc>
          <w:tcPr>
            <w:tcW w:w="1806" w:type="dxa"/>
            <w:vMerge/>
            <w:tcMar>
              <w:left w:w="0" w:type="dxa"/>
            </w:tcMar>
          </w:tcPr>
          <w:p w14:paraId="72BA63A1" w14:textId="77777777" w:rsidR="002A1407" w:rsidRDefault="002A1407" w:rsidP="00D567C6">
            <w:pPr>
              <w:pStyle w:val="Marginlie"/>
            </w:pPr>
          </w:p>
        </w:tc>
        <w:tc>
          <w:tcPr>
            <w:tcW w:w="210" w:type="dxa"/>
            <w:vMerge/>
            <w:tcMar>
              <w:left w:w="0" w:type="dxa"/>
            </w:tcMar>
          </w:tcPr>
          <w:p w14:paraId="738D0DCC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0557441F" w14:textId="77777777" w:rsidR="002A1407" w:rsidRDefault="002A1407" w:rsidP="00D567C6">
            <w:r w:rsidRPr="00A85DE1">
              <w:rPr>
                <w:sz w:val="14"/>
                <w:szCs w:val="14"/>
              </w:rPr>
              <w:t>Zdroj: ČSÚ</w:t>
            </w:r>
          </w:p>
        </w:tc>
      </w:tr>
      <w:tr w:rsidR="002A1407" w:rsidRPr="009110F7" w14:paraId="27B00233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6043E90D" w14:textId="77777777" w:rsidR="002A1407" w:rsidRDefault="002A1407" w:rsidP="00D567C6">
            <w:pPr>
              <w:pStyle w:val="Marginlie"/>
            </w:pPr>
            <w:r>
              <w:lastRenderedPageBreak/>
              <w:t>Ve 4. čtvrtletí se více dařilo službám.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28508ABD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34E74788" w14:textId="77777777" w:rsidR="002A1407" w:rsidRDefault="002A1407" w:rsidP="00D567C6">
            <w:r>
              <w:t xml:space="preserve">V samotném 4. čtvrtletí se HPH meziročně zvýšila o 1,1 %. Růst HPH táhly vpřed služby, zatímco průmysl jako celek klesl o 2,2 % a samotný zpracovatelský průmysl </w:t>
            </w:r>
            <w:r>
              <w:br/>
              <w:t>o 1,5 %. Meziročně vyšší byla HPH v peněžnictví a pojišťovnictví (6,1 %), v ostatních činnostech (3,4 %), v uskupení obchod, doprava, ubytování a pohostinství (3,0 %), informačních a komunikačních činnostech (2,7 %) nebo v činnostech v oblasti nemovitostí (2,1 %). Hrubá přidaná hodnota se meziročně zvýšila také ve stavebnictví (2,4 %). Jen mírně se meziročně zvýšila HPH ve veřejné správě a obraně, vzdělávání, zdravotní a sociální péči (1,3 %) a profesních, vědeckých, technických a administrativních činnostech (1,2 %). HPH meziročně stagnovala v zemědělství, lesnictví a rybářství.</w:t>
            </w:r>
          </w:p>
        </w:tc>
      </w:tr>
      <w:tr w:rsidR="002A1407" w:rsidRPr="009110F7" w14:paraId="42FF5335" w14:textId="77777777" w:rsidTr="00D567C6">
        <w:trPr>
          <w:trHeight w:val="145"/>
        </w:trPr>
        <w:tc>
          <w:tcPr>
            <w:tcW w:w="1806" w:type="dxa"/>
            <w:shd w:val="clear" w:color="auto" w:fill="auto"/>
            <w:tcMar>
              <w:left w:w="0" w:type="dxa"/>
            </w:tcMar>
          </w:tcPr>
          <w:p w14:paraId="2651378B" w14:textId="77777777" w:rsidR="002A1407" w:rsidRDefault="002A1407" w:rsidP="00D567C6">
            <w:pPr>
              <w:pStyle w:val="Marginlie"/>
            </w:pPr>
            <w:r>
              <w:t>Mezičtvrtletně rostla HPH ve zpracovatelském průmyslu i řadě služeb.</w:t>
            </w:r>
          </w:p>
        </w:tc>
        <w:tc>
          <w:tcPr>
            <w:tcW w:w="210" w:type="dxa"/>
            <w:shd w:val="clear" w:color="auto" w:fill="auto"/>
            <w:tcMar>
              <w:left w:w="0" w:type="dxa"/>
            </w:tcMar>
          </w:tcPr>
          <w:p w14:paraId="14CCA13F" w14:textId="77777777" w:rsidR="002A1407" w:rsidRDefault="002A1407" w:rsidP="00D567C6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23" w:type="dxa"/>
            <w:shd w:val="clear" w:color="auto" w:fill="auto"/>
            <w:tcMar>
              <w:left w:w="0" w:type="dxa"/>
            </w:tcMar>
          </w:tcPr>
          <w:p w14:paraId="0952A7E3" w14:textId="77777777" w:rsidR="002A1407" w:rsidRDefault="002A1407" w:rsidP="00D567C6">
            <w:pPr>
              <w:spacing w:after="0"/>
            </w:pPr>
            <w:r>
              <w:t>Oproti předchozímu kvartálu se HPH ve 4. čtvrtletí reálně nezměnila. Ve směru poklesu působil především vývoj v průmyslu jako celku (HPH se zde snížila o −1,1 % – zpracovatelský průmysl přitom rostl o 1,0 %). Klesla také HPH v peněžnictví a pojišťovnictví (−1,8 %), profesních, vědeckých, technických a administrativních činnostech (−0,3 %) a informačních a komunikačních činnostech (−0,1 %). Naproti tomu na konci roku došlo k výraznému oživení v činnostech v oblasti nemovitostí (2,2 %), rostla HPH v ostatních činnostech (1,1 %), v zemědělství, lesnictví a rybářství (0,8 %), v uskupení obchod, doprava, ubytování a pohostinství (0,4 %) a ve stavebnictví (0,2 %). HPH mezičtvrtletně stagnovala ve veřejné správě a obraně, vzdělávání, zdravotní a sociální péči.</w:t>
            </w:r>
          </w:p>
        </w:tc>
      </w:tr>
    </w:tbl>
    <w:p w14:paraId="5827E461" w14:textId="77777777" w:rsidR="002A1407" w:rsidRDefault="002A1407" w:rsidP="002A1407"/>
    <w:p w14:paraId="7EBE0CB3" w14:textId="03F3905C" w:rsidR="002A1407" w:rsidRDefault="002A1407">
      <w:pPr>
        <w:spacing w:after="0" w:line="240" w:lineRule="auto"/>
        <w:jc w:val="left"/>
        <w:rPr>
          <w:rFonts w:eastAsia="MS Gothic"/>
          <w:b/>
          <w:bCs/>
          <w:color w:val="86BF5E"/>
          <w:sz w:val="32"/>
          <w:szCs w:val="32"/>
          <w:highlight w:val="yellow"/>
        </w:rPr>
      </w:pPr>
      <w:bookmarkStart w:id="6" w:name="_GoBack"/>
      <w:bookmarkEnd w:id="6"/>
    </w:p>
    <w:bookmarkEnd w:id="2"/>
    <w:bookmarkEnd w:id="3"/>
    <w:bookmarkEnd w:id="4"/>
    <w:bookmarkEnd w:id="0"/>
    <w:bookmarkEnd w:id="5"/>
    <w:sectPr w:rsidR="002A1407" w:rsidSect="007F1DC7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EF3C" w14:textId="77777777" w:rsidR="002B48B4" w:rsidRDefault="002B48B4" w:rsidP="00E71A58">
      <w:r>
        <w:separator/>
      </w:r>
    </w:p>
  </w:endnote>
  <w:endnote w:type="continuationSeparator" w:id="0">
    <w:p w14:paraId="70B7E2B6" w14:textId="77777777" w:rsidR="002B48B4" w:rsidRDefault="002B48B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39F879FA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F1DC7">
      <w:rPr>
        <w:szCs w:val="16"/>
      </w:rPr>
      <w:t>10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6E0E2359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rok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F1DC7">
      <w:rPr>
        <w:rStyle w:val="ZpatChar"/>
        <w:szCs w:val="16"/>
      </w:rPr>
      <w:t>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D8F6" w14:textId="77777777" w:rsidR="002B48B4" w:rsidRDefault="002B48B4" w:rsidP="00EA4302">
      <w:pPr>
        <w:spacing w:after="0"/>
      </w:pPr>
      <w:r>
        <w:separator/>
      </w:r>
    </w:p>
  </w:footnote>
  <w:footnote w:type="continuationSeparator" w:id="0">
    <w:p w14:paraId="70CDBF0C" w14:textId="77777777" w:rsidR="002B48B4" w:rsidRDefault="002B48B4" w:rsidP="00E71A58">
      <w:r>
        <w:continuationSeparator/>
      </w:r>
    </w:p>
  </w:footnote>
  <w:footnote w:id="1">
    <w:p w14:paraId="24BAB452" w14:textId="77777777" w:rsidR="002B48B4" w:rsidRPr="003879FE" w:rsidRDefault="002B48B4" w:rsidP="002A1407">
      <w:pPr>
        <w:pStyle w:val="Textpoznpodarou"/>
        <w:rPr>
          <w:sz w:val="16"/>
          <w:szCs w:val="16"/>
        </w:rPr>
      </w:pPr>
      <w:r w:rsidRPr="000348AF">
        <w:rPr>
          <w:rStyle w:val="Znakapoznpodarou"/>
          <w:sz w:val="16"/>
          <w:szCs w:val="16"/>
        </w:rPr>
        <w:footnoteRef/>
      </w:r>
      <w:r w:rsidRPr="000348AF">
        <w:rPr>
          <w:sz w:val="16"/>
          <w:szCs w:val="16"/>
        </w:rPr>
        <w:t xml:space="preserve"> Vývoj HDP, hrubé přidané hodnoty a jejich složek je vyjádřen prostřednictvím objemových indexů (tj. očištěn o vliv cen) a po očištění o sezónní a kalendářní vlivy. Údaje jsou platné k</w:t>
      </w:r>
      <w:r>
        <w:rPr>
          <w:sz w:val="16"/>
          <w:szCs w:val="16"/>
        </w:rPr>
        <w:t xml:space="preserve"> 28. 2. </w:t>
      </w:r>
      <w:r w:rsidRPr="000348AF">
        <w:rPr>
          <w:sz w:val="16"/>
          <w:szCs w:val="16"/>
        </w:rPr>
        <w:t>202</w:t>
      </w:r>
      <w:r>
        <w:rPr>
          <w:sz w:val="16"/>
          <w:szCs w:val="16"/>
        </w:rPr>
        <w:t>5</w:t>
      </w:r>
      <w:r w:rsidRPr="000348AF">
        <w:rPr>
          <w:sz w:val="16"/>
          <w:szCs w:val="16"/>
        </w:rPr>
        <w:t>.</w:t>
      </w:r>
    </w:p>
  </w:footnote>
  <w:footnote w:id="2">
    <w:p w14:paraId="29A46A68" w14:textId="77777777" w:rsidR="002B48B4" w:rsidRPr="007C02D3" w:rsidRDefault="002B48B4" w:rsidP="002A1407">
      <w:pPr>
        <w:pStyle w:val="Textpoznpodarou"/>
        <w:rPr>
          <w:sz w:val="16"/>
          <w:szCs w:val="16"/>
        </w:rPr>
      </w:pPr>
      <w:r w:rsidRPr="007C02D3">
        <w:rPr>
          <w:rStyle w:val="Znakapoznpodarou"/>
          <w:sz w:val="16"/>
          <w:szCs w:val="16"/>
        </w:rPr>
        <w:footnoteRef/>
      </w:r>
      <w:r w:rsidRPr="007C02D3">
        <w:rPr>
          <w:sz w:val="16"/>
          <w:szCs w:val="16"/>
        </w:rPr>
        <w:t xml:space="preserve"> Údaj nebyl dostupný za Řecko a Lucembursko.</w:t>
      </w:r>
    </w:p>
  </w:footnote>
  <w:footnote w:id="3">
    <w:p w14:paraId="2392EF99" w14:textId="77777777" w:rsidR="002B48B4" w:rsidRDefault="002B48B4" w:rsidP="002A1407">
      <w:pPr>
        <w:pStyle w:val="Textpoznpodarou"/>
      </w:pPr>
      <w:r w:rsidRPr="003879FE">
        <w:rPr>
          <w:rStyle w:val="Znakapoznpodarou"/>
          <w:sz w:val="16"/>
          <w:szCs w:val="16"/>
        </w:rPr>
        <w:footnoteRef/>
      </w:r>
      <w:r w:rsidRPr="003879FE">
        <w:rPr>
          <w:sz w:val="16"/>
          <w:szCs w:val="16"/>
        </w:rPr>
        <w:t xml:space="preserve"> Bez Bulharska, Řecka, Lucemburska, Rumunska a Slovenska.</w:t>
      </w:r>
    </w:p>
  </w:footnote>
  <w:footnote w:id="4">
    <w:p w14:paraId="56FE95ED" w14:textId="77777777" w:rsidR="002B48B4" w:rsidRDefault="002B48B4" w:rsidP="002A1407">
      <w:pPr>
        <w:pStyle w:val="Textpoznpodarou"/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</w:t>
      </w:r>
      <w:r>
        <w:rPr>
          <w:sz w:val="16"/>
          <w:szCs w:val="16"/>
        </w:rPr>
        <w:t>Zaměstnanost v</w:t>
      </w:r>
      <w:r w:rsidRPr="009C6EA8">
        <w:rPr>
          <w:sz w:val="16"/>
          <w:szCs w:val="16"/>
        </w:rPr>
        <w:t> pojetí národních účtů</w:t>
      </w:r>
      <w:r>
        <w:rPr>
          <w:sz w:val="16"/>
          <w:szCs w:val="16"/>
        </w:rPr>
        <w:t xml:space="preserve"> (osoby)</w:t>
      </w:r>
      <w:r w:rsidRPr="009C6EA8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údaj je </w:t>
      </w:r>
      <w:r w:rsidRPr="009C6EA8">
        <w:rPr>
          <w:sz w:val="16"/>
          <w:szCs w:val="16"/>
        </w:rPr>
        <w:t>sezónně očištěn</w:t>
      </w:r>
      <w:r w:rsidRPr="00004BA8">
        <w:rPr>
          <w:sz w:val="16"/>
        </w:rPr>
        <w:t>.</w:t>
      </w:r>
    </w:p>
  </w:footnote>
  <w:footnote w:id="5">
    <w:p w14:paraId="7FCA7AAA" w14:textId="77777777" w:rsidR="002B48B4" w:rsidRPr="005F75B1" w:rsidRDefault="002B48B4" w:rsidP="002A1407">
      <w:pPr>
        <w:pStyle w:val="Textpoznpodarou"/>
        <w:rPr>
          <w:sz w:val="16"/>
          <w:szCs w:val="16"/>
        </w:rPr>
      </w:pPr>
      <w:r w:rsidRPr="005F75B1">
        <w:rPr>
          <w:rStyle w:val="Znakapoznpodarou"/>
          <w:sz w:val="16"/>
          <w:szCs w:val="16"/>
        </w:rPr>
        <w:footnoteRef/>
      </w:r>
      <w:r w:rsidRPr="005F75B1">
        <w:rPr>
          <w:sz w:val="16"/>
          <w:szCs w:val="16"/>
        </w:rPr>
        <w:t xml:space="preserve"> Do reálného vyjádření převedeno s pomocí deflátoru spotřeby domácností.</w:t>
      </w:r>
    </w:p>
  </w:footnote>
  <w:footnote w:id="6">
    <w:p w14:paraId="15D0B63C" w14:textId="77777777" w:rsidR="002B48B4" w:rsidRPr="0053191D" w:rsidRDefault="002B48B4" w:rsidP="002A1407">
      <w:pPr>
        <w:pStyle w:val="Textpoznpodarou"/>
        <w:rPr>
          <w:sz w:val="16"/>
          <w:szCs w:val="16"/>
        </w:rPr>
      </w:pPr>
      <w:r w:rsidRPr="0053191D">
        <w:rPr>
          <w:rStyle w:val="Znakapoznpodarou"/>
          <w:sz w:val="16"/>
          <w:szCs w:val="16"/>
        </w:rPr>
        <w:footnoteRef/>
      </w:r>
      <w:r w:rsidRPr="0053191D">
        <w:rPr>
          <w:sz w:val="16"/>
          <w:szCs w:val="16"/>
        </w:rPr>
        <w:t xml:space="preserve"> Tato sekce zahrnuje činnosti organizací sdružujících osoby za účelem prosazování společných zájmů, opravy počítačů a výrobků pro osobní potřebu a převážně pro domácnost a řadu jiných osobních služeb</w:t>
      </w:r>
      <w:r>
        <w:rPr>
          <w:sz w:val="16"/>
          <w:szCs w:val="16"/>
        </w:rPr>
        <w:t xml:space="preserve"> (kosmetické, kadeřnické apod.).</w:t>
      </w:r>
    </w:p>
  </w:footnote>
  <w:footnote w:id="7">
    <w:p w14:paraId="02EBD39F" w14:textId="77777777" w:rsidR="002B48B4" w:rsidRPr="009C6EA8" w:rsidRDefault="002B48B4" w:rsidP="002A1407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Příspěvky ke změně HDP po vyloučení dovozu pro konečné užití.</w:t>
      </w:r>
    </w:p>
  </w:footnote>
  <w:footnote w:id="8">
    <w:p w14:paraId="2C223A9A" w14:textId="77777777" w:rsidR="002B48B4" w:rsidRPr="00954992" w:rsidRDefault="002B48B4" w:rsidP="002A1407">
      <w:pPr>
        <w:pStyle w:val="Textpoznpodarou"/>
        <w:rPr>
          <w:sz w:val="16"/>
          <w:szCs w:val="16"/>
        </w:rPr>
      </w:pPr>
      <w:r w:rsidRPr="00954992">
        <w:rPr>
          <w:rStyle w:val="Znakapoznpodarou"/>
          <w:sz w:val="16"/>
          <w:szCs w:val="16"/>
        </w:rPr>
        <w:footnoteRef/>
      </w:r>
      <w:r w:rsidRPr="00954992">
        <w:rPr>
          <w:sz w:val="16"/>
          <w:szCs w:val="16"/>
        </w:rPr>
        <w:t xml:space="preserve"> Údaje o</w:t>
      </w:r>
      <w:r>
        <w:rPr>
          <w:sz w:val="16"/>
          <w:szCs w:val="16"/>
        </w:rPr>
        <w:t> </w:t>
      </w:r>
      <w:r w:rsidRPr="00954992">
        <w:rPr>
          <w:sz w:val="16"/>
          <w:szCs w:val="16"/>
        </w:rPr>
        <w:t>spotřebě dle trvanlivosti jsou v domácím pojetí</w:t>
      </w:r>
      <w:r>
        <w:rPr>
          <w:sz w:val="16"/>
          <w:szCs w:val="16"/>
        </w:rPr>
        <w:t>.</w:t>
      </w:r>
    </w:p>
  </w:footnote>
  <w:footnote w:id="9">
    <w:p w14:paraId="382EF67F" w14:textId="77777777" w:rsidR="002B48B4" w:rsidRPr="004831F6" w:rsidRDefault="002B48B4" w:rsidP="002A1407">
      <w:pPr>
        <w:pStyle w:val="Textpoznpodarou"/>
        <w:rPr>
          <w:sz w:val="16"/>
          <w:szCs w:val="16"/>
        </w:rPr>
      </w:pPr>
      <w:r w:rsidRPr="004831F6">
        <w:rPr>
          <w:rStyle w:val="Znakapoznpodarou"/>
          <w:sz w:val="16"/>
          <w:szCs w:val="16"/>
        </w:rPr>
        <w:footnoteRef/>
      </w:r>
      <w:r w:rsidRPr="004831F6">
        <w:rPr>
          <w:sz w:val="16"/>
          <w:szCs w:val="16"/>
        </w:rPr>
        <w:t xml:space="preserve"> Změna zásob</w:t>
      </w:r>
      <w:r>
        <w:rPr>
          <w:sz w:val="16"/>
          <w:szCs w:val="16"/>
        </w:rPr>
        <w:t xml:space="preserve"> (v běžných cenách a sezónně neočištěná)</w:t>
      </w:r>
      <w:r w:rsidRPr="004831F6">
        <w:rPr>
          <w:sz w:val="16"/>
          <w:szCs w:val="16"/>
        </w:rPr>
        <w:t xml:space="preserve"> </w:t>
      </w:r>
      <w:r>
        <w:rPr>
          <w:sz w:val="16"/>
          <w:szCs w:val="16"/>
        </w:rPr>
        <w:t>loni celkem dosáhla −27,6 mld. korun a v roce 2023 to bylo +45,5 mld. Ve </w:t>
      </w:r>
      <w:r>
        <w:rPr>
          <w:sz w:val="16"/>
          <w:szCs w:val="16"/>
        </w:rPr>
        <w:br/>
        <w:t xml:space="preserve">4. čtvrtletí 2024 dosáhla −79,5 mld. korun a ve stejném období roku 2023 to bylo −89,9 mld. </w:t>
      </w:r>
    </w:p>
  </w:footnote>
  <w:footnote w:id="10">
    <w:p w14:paraId="7CB33ABA" w14:textId="77777777" w:rsidR="002B48B4" w:rsidRPr="00167B30" w:rsidRDefault="002B48B4" w:rsidP="002A1407">
      <w:pPr>
        <w:pStyle w:val="Textpoznpodarou"/>
        <w:rPr>
          <w:sz w:val="16"/>
          <w:szCs w:val="16"/>
        </w:rPr>
      </w:pPr>
      <w:r w:rsidRPr="00167B30">
        <w:rPr>
          <w:rStyle w:val="Znakapoznpodarou"/>
          <w:sz w:val="16"/>
          <w:szCs w:val="16"/>
        </w:rPr>
        <w:footnoteRef/>
      </w:r>
      <w:r w:rsidRPr="00167B30">
        <w:rPr>
          <w:sz w:val="16"/>
          <w:szCs w:val="16"/>
        </w:rPr>
        <w:t xml:space="preserve"> Podle metodiky čtvrtletních národních účtů (vývoz a</w:t>
      </w:r>
      <w:r>
        <w:rPr>
          <w:sz w:val="16"/>
          <w:szCs w:val="16"/>
        </w:rPr>
        <w:t> </w:t>
      </w:r>
      <w:r w:rsidRPr="00167B30">
        <w:rPr>
          <w:sz w:val="16"/>
          <w:szCs w:val="16"/>
        </w:rPr>
        <w:t>dovoz v ocenění FOB/FOB)</w:t>
      </w:r>
      <w:r>
        <w:rPr>
          <w:sz w:val="16"/>
          <w:szCs w:val="16"/>
        </w:rPr>
        <w:t xml:space="preserve">. Bilance zahraničního obchodu v běžných cenách </w:t>
      </w:r>
      <w:r>
        <w:rPr>
          <w:sz w:val="16"/>
          <w:szCs w:val="16"/>
        </w:rPr>
        <w:br/>
        <w:t>a po sezónním očištění.</w:t>
      </w:r>
    </w:p>
  </w:footnote>
  <w:footnote w:id="11">
    <w:p w14:paraId="02E0F48D" w14:textId="77777777" w:rsidR="002B48B4" w:rsidRPr="0083364A" w:rsidRDefault="002B48B4" w:rsidP="002A1407">
      <w:pPr>
        <w:pStyle w:val="Textpoznpodarou"/>
        <w:rPr>
          <w:sz w:val="16"/>
          <w:szCs w:val="16"/>
        </w:rPr>
      </w:pPr>
      <w:r w:rsidRPr="0083364A">
        <w:rPr>
          <w:rStyle w:val="Znakapoznpodarou"/>
          <w:sz w:val="16"/>
          <w:szCs w:val="16"/>
        </w:rPr>
        <w:footnoteRef/>
      </w:r>
      <w:r w:rsidRPr="0083364A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Pr="00AC5E0A">
        <w:rPr>
          <w:sz w:val="16"/>
          <w:szCs w:val="16"/>
        </w:rPr>
        <w:t xml:space="preserve">ozdíl mezi dynamikou HDP a HPH </w:t>
      </w:r>
      <w:r>
        <w:rPr>
          <w:sz w:val="16"/>
          <w:szCs w:val="16"/>
        </w:rPr>
        <w:t xml:space="preserve">prohlubovaly rostoucí daňové výnosy </w:t>
      </w:r>
      <w:r w:rsidRPr="00AC5E0A">
        <w:rPr>
          <w:sz w:val="16"/>
          <w:szCs w:val="16"/>
        </w:rPr>
        <w:t>souvis</w:t>
      </w:r>
      <w:r>
        <w:rPr>
          <w:sz w:val="16"/>
          <w:szCs w:val="16"/>
        </w:rPr>
        <w:t>ející</w:t>
      </w:r>
      <w:r w:rsidRPr="00AC5E0A">
        <w:rPr>
          <w:sz w:val="16"/>
          <w:szCs w:val="16"/>
        </w:rPr>
        <w:t xml:space="preserve"> s</w:t>
      </w:r>
      <w:r>
        <w:rPr>
          <w:sz w:val="16"/>
          <w:szCs w:val="16"/>
        </w:rPr>
        <w:t xml:space="preserve"> oživením </w:t>
      </w:r>
      <w:r w:rsidRPr="00AC5E0A">
        <w:rPr>
          <w:sz w:val="16"/>
          <w:szCs w:val="16"/>
        </w:rPr>
        <w:t>spotřeb</w:t>
      </w:r>
      <w:r>
        <w:rPr>
          <w:sz w:val="16"/>
          <w:szCs w:val="16"/>
        </w:rPr>
        <w:t xml:space="preserve">y a na druhé straně propad dotací, ve kterých byly v roce 2023 zachyceny </w:t>
      </w:r>
      <w:r w:rsidRPr="00AC5E0A">
        <w:rPr>
          <w:sz w:val="16"/>
          <w:szCs w:val="16"/>
        </w:rPr>
        <w:t>stropy cen elektřiny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6" w14:textId="3C11EE3B" w:rsidR="002B48B4" w:rsidRPr="00C27E4F" w:rsidRDefault="002B48B4" w:rsidP="00C27E4F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7" w14:textId="4F78F164" w:rsidR="002B48B4" w:rsidRPr="006F5416" w:rsidRDefault="002B48B4" w:rsidP="00937AE2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558D6"/>
    <w:multiLevelType w:val="hybridMultilevel"/>
    <w:tmpl w:val="1B90B8E0"/>
    <w:lvl w:ilvl="0" w:tplc="4B66ED1E">
      <w:start w:val="1"/>
      <w:numFmt w:val="decimal"/>
      <w:lvlText w:val="%1."/>
      <w:lvlJc w:val="left"/>
      <w:pPr>
        <w:ind w:left="4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5" w:hanging="360"/>
      </w:pPr>
    </w:lvl>
    <w:lvl w:ilvl="2" w:tplc="0405001B" w:tentative="1">
      <w:start w:val="1"/>
      <w:numFmt w:val="lowerRoman"/>
      <w:lvlText w:val="%3."/>
      <w:lvlJc w:val="right"/>
      <w:pPr>
        <w:ind w:left="6345" w:hanging="180"/>
      </w:pPr>
    </w:lvl>
    <w:lvl w:ilvl="3" w:tplc="0405000F" w:tentative="1">
      <w:start w:val="1"/>
      <w:numFmt w:val="decimal"/>
      <w:lvlText w:val="%4."/>
      <w:lvlJc w:val="left"/>
      <w:pPr>
        <w:ind w:left="7065" w:hanging="360"/>
      </w:pPr>
    </w:lvl>
    <w:lvl w:ilvl="4" w:tplc="04050019" w:tentative="1">
      <w:start w:val="1"/>
      <w:numFmt w:val="lowerLetter"/>
      <w:lvlText w:val="%5."/>
      <w:lvlJc w:val="left"/>
      <w:pPr>
        <w:ind w:left="7785" w:hanging="360"/>
      </w:pPr>
    </w:lvl>
    <w:lvl w:ilvl="5" w:tplc="0405001B" w:tentative="1">
      <w:start w:val="1"/>
      <w:numFmt w:val="lowerRoman"/>
      <w:lvlText w:val="%6."/>
      <w:lvlJc w:val="right"/>
      <w:pPr>
        <w:ind w:left="8505" w:hanging="180"/>
      </w:pPr>
    </w:lvl>
    <w:lvl w:ilvl="6" w:tplc="0405000F" w:tentative="1">
      <w:start w:val="1"/>
      <w:numFmt w:val="decimal"/>
      <w:lvlText w:val="%7."/>
      <w:lvlJc w:val="left"/>
      <w:pPr>
        <w:ind w:left="9225" w:hanging="360"/>
      </w:pPr>
    </w:lvl>
    <w:lvl w:ilvl="7" w:tplc="04050019" w:tentative="1">
      <w:start w:val="1"/>
      <w:numFmt w:val="lowerLetter"/>
      <w:lvlText w:val="%8."/>
      <w:lvlJc w:val="left"/>
      <w:pPr>
        <w:ind w:left="9945" w:hanging="360"/>
      </w:pPr>
    </w:lvl>
    <w:lvl w:ilvl="8" w:tplc="040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26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405E1"/>
    <w:multiLevelType w:val="multilevel"/>
    <w:tmpl w:val="5FC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F3AA7"/>
    <w:multiLevelType w:val="multilevel"/>
    <w:tmpl w:val="909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51B2D"/>
    <w:multiLevelType w:val="hybridMultilevel"/>
    <w:tmpl w:val="054EEC40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946"/>
    <w:multiLevelType w:val="multilevel"/>
    <w:tmpl w:val="6F3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9"/>
  </w:num>
  <w:num w:numId="14">
    <w:abstractNumId w:val="14"/>
  </w:num>
  <w:num w:numId="15">
    <w:abstractNumId w:val="20"/>
  </w:num>
  <w:num w:numId="16">
    <w:abstractNumId w:val="16"/>
  </w:num>
  <w:num w:numId="17">
    <w:abstractNumId w:val="30"/>
  </w:num>
  <w:num w:numId="18">
    <w:abstractNumId w:val="21"/>
  </w:num>
  <w:num w:numId="19">
    <w:abstractNumId w:val="32"/>
  </w:num>
  <w:num w:numId="20">
    <w:abstractNumId w:val="37"/>
  </w:num>
  <w:num w:numId="21">
    <w:abstractNumId w:val="28"/>
  </w:num>
  <w:num w:numId="22">
    <w:abstractNumId w:val="19"/>
  </w:num>
  <w:num w:numId="23">
    <w:abstractNumId w:val="17"/>
  </w:num>
  <w:num w:numId="24">
    <w:abstractNumId w:val="18"/>
  </w:num>
  <w:num w:numId="25">
    <w:abstractNumId w:val="35"/>
  </w:num>
  <w:num w:numId="26">
    <w:abstractNumId w:val="36"/>
  </w:num>
  <w:num w:numId="27">
    <w:abstractNumId w:val="37"/>
  </w:num>
  <w:num w:numId="28">
    <w:abstractNumId w:val="13"/>
  </w:num>
  <w:num w:numId="29">
    <w:abstractNumId w:val="23"/>
  </w:num>
  <w:num w:numId="30">
    <w:abstractNumId w:val="22"/>
  </w:num>
  <w:num w:numId="31">
    <w:abstractNumId w:val="10"/>
  </w:num>
  <w:num w:numId="32">
    <w:abstractNumId w:val="24"/>
  </w:num>
  <w:num w:numId="33">
    <w:abstractNumId w:val="12"/>
  </w:num>
  <w:num w:numId="34">
    <w:abstractNumId w:val="39"/>
  </w:num>
  <w:num w:numId="35">
    <w:abstractNumId w:val="11"/>
  </w:num>
  <w:num w:numId="36">
    <w:abstractNumId w:val="31"/>
  </w:num>
  <w:num w:numId="37">
    <w:abstractNumId w:val="26"/>
  </w:num>
  <w:num w:numId="38">
    <w:abstractNumId w:val="25"/>
  </w:num>
  <w:num w:numId="39">
    <w:abstractNumId w:val="33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265"/>
    <w:rsid w:val="000A57D4"/>
    <w:rsid w:val="000B7C8D"/>
    <w:rsid w:val="000C3408"/>
    <w:rsid w:val="000C6AFD"/>
    <w:rsid w:val="000D5637"/>
    <w:rsid w:val="000E6FBD"/>
    <w:rsid w:val="00100F5C"/>
    <w:rsid w:val="00101CDA"/>
    <w:rsid w:val="00102C41"/>
    <w:rsid w:val="00104C4C"/>
    <w:rsid w:val="00117623"/>
    <w:rsid w:val="0012192F"/>
    <w:rsid w:val="001224E5"/>
    <w:rsid w:val="00124940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C3924"/>
    <w:rsid w:val="001D40D7"/>
    <w:rsid w:val="001D48D4"/>
    <w:rsid w:val="001D68B2"/>
    <w:rsid w:val="001E1C2E"/>
    <w:rsid w:val="001E504C"/>
    <w:rsid w:val="001E6062"/>
    <w:rsid w:val="001F4597"/>
    <w:rsid w:val="00203DA4"/>
    <w:rsid w:val="002118B9"/>
    <w:rsid w:val="00213E46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3CD7"/>
    <w:rsid w:val="00236443"/>
    <w:rsid w:val="00241B06"/>
    <w:rsid w:val="00242C10"/>
    <w:rsid w:val="002436BA"/>
    <w:rsid w:val="00244A15"/>
    <w:rsid w:val="0024661A"/>
    <w:rsid w:val="00247319"/>
    <w:rsid w:val="0024799E"/>
    <w:rsid w:val="00247EE7"/>
    <w:rsid w:val="00253C0F"/>
    <w:rsid w:val="002558C1"/>
    <w:rsid w:val="00271465"/>
    <w:rsid w:val="0028207A"/>
    <w:rsid w:val="00285412"/>
    <w:rsid w:val="00291640"/>
    <w:rsid w:val="00295A5D"/>
    <w:rsid w:val="002A1407"/>
    <w:rsid w:val="002A16D4"/>
    <w:rsid w:val="002A230C"/>
    <w:rsid w:val="002A66B0"/>
    <w:rsid w:val="002B2299"/>
    <w:rsid w:val="002B4845"/>
    <w:rsid w:val="002B48B4"/>
    <w:rsid w:val="002C2FE9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66591"/>
    <w:rsid w:val="0038123E"/>
    <w:rsid w:val="003818DC"/>
    <w:rsid w:val="00384327"/>
    <w:rsid w:val="00385D98"/>
    <w:rsid w:val="003A2B4D"/>
    <w:rsid w:val="003A2B5E"/>
    <w:rsid w:val="003A2D12"/>
    <w:rsid w:val="003A478C"/>
    <w:rsid w:val="003A5525"/>
    <w:rsid w:val="003A6B38"/>
    <w:rsid w:val="003B461F"/>
    <w:rsid w:val="003B5A32"/>
    <w:rsid w:val="003C3490"/>
    <w:rsid w:val="003C6550"/>
    <w:rsid w:val="003C7E62"/>
    <w:rsid w:val="003D6920"/>
    <w:rsid w:val="003E48F2"/>
    <w:rsid w:val="003E4C91"/>
    <w:rsid w:val="003E62A5"/>
    <w:rsid w:val="003F313C"/>
    <w:rsid w:val="003F37FC"/>
    <w:rsid w:val="003F4B2C"/>
    <w:rsid w:val="003F551C"/>
    <w:rsid w:val="003F62B0"/>
    <w:rsid w:val="003F72ED"/>
    <w:rsid w:val="003F7D23"/>
    <w:rsid w:val="00400DF4"/>
    <w:rsid w:val="00407C13"/>
    <w:rsid w:val="0041041D"/>
    <w:rsid w:val="00410638"/>
    <w:rsid w:val="0041501E"/>
    <w:rsid w:val="004159C3"/>
    <w:rsid w:val="00416EB7"/>
    <w:rsid w:val="00432A58"/>
    <w:rsid w:val="00434617"/>
    <w:rsid w:val="00440900"/>
    <w:rsid w:val="00441BF6"/>
    <w:rsid w:val="00443556"/>
    <w:rsid w:val="004441A0"/>
    <w:rsid w:val="004455BA"/>
    <w:rsid w:val="0045078A"/>
    <w:rsid w:val="0045086D"/>
    <w:rsid w:val="00451504"/>
    <w:rsid w:val="004607BF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85567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5A60"/>
    <w:rsid w:val="004B6468"/>
    <w:rsid w:val="004B7125"/>
    <w:rsid w:val="004C384C"/>
    <w:rsid w:val="004C3867"/>
    <w:rsid w:val="004C4CD0"/>
    <w:rsid w:val="004C70DC"/>
    <w:rsid w:val="004D0211"/>
    <w:rsid w:val="004D0794"/>
    <w:rsid w:val="004D5C93"/>
    <w:rsid w:val="004E1288"/>
    <w:rsid w:val="004E7C6B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2E62"/>
    <w:rsid w:val="0053324C"/>
    <w:rsid w:val="00534A28"/>
    <w:rsid w:val="00541508"/>
    <w:rsid w:val="00543498"/>
    <w:rsid w:val="00545512"/>
    <w:rsid w:val="00553016"/>
    <w:rsid w:val="0055599F"/>
    <w:rsid w:val="00556995"/>
    <w:rsid w:val="00556D68"/>
    <w:rsid w:val="00563EB8"/>
    <w:rsid w:val="005647BF"/>
    <w:rsid w:val="00564AF1"/>
    <w:rsid w:val="0057364B"/>
    <w:rsid w:val="00574773"/>
    <w:rsid w:val="0058308D"/>
    <w:rsid w:val="00583FFD"/>
    <w:rsid w:val="005911BE"/>
    <w:rsid w:val="00593152"/>
    <w:rsid w:val="005A10F2"/>
    <w:rsid w:val="005A21E0"/>
    <w:rsid w:val="005A28FF"/>
    <w:rsid w:val="005A3DF8"/>
    <w:rsid w:val="005A5113"/>
    <w:rsid w:val="005A5549"/>
    <w:rsid w:val="005A7038"/>
    <w:rsid w:val="005B121D"/>
    <w:rsid w:val="005C06ED"/>
    <w:rsid w:val="005C2609"/>
    <w:rsid w:val="005C6CF0"/>
    <w:rsid w:val="005D5802"/>
    <w:rsid w:val="005D7119"/>
    <w:rsid w:val="005D7890"/>
    <w:rsid w:val="005E7C78"/>
    <w:rsid w:val="005F18C5"/>
    <w:rsid w:val="005F3EB1"/>
    <w:rsid w:val="005F46D8"/>
    <w:rsid w:val="005F5469"/>
    <w:rsid w:val="00603FF5"/>
    <w:rsid w:val="00604307"/>
    <w:rsid w:val="0060487F"/>
    <w:rsid w:val="00604EAD"/>
    <w:rsid w:val="006104FB"/>
    <w:rsid w:val="00612A2F"/>
    <w:rsid w:val="00616E05"/>
    <w:rsid w:val="0062227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04F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3FEC"/>
    <w:rsid w:val="00695BEF"/>
    <w:rsid w:val="006977F6"/>
    <w:rsid w:val="00697A13"/>
    <w:rsid w:val="006A109C"/>
    <w:rsid w:val="006B0F92"/>
    <w:rsid w:val="006B173A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4254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4744"/>
    <w:rsid w:val="0076521E"/>
    <w:rsid w:val="007661E9"/>
    <w:rsid w:val="00773220"/>
    <w:rsid w:val="00776169"/>
    <w:rsid w:val="00776527"/>
    <w:rsid w:val="00780EF1"/>
    <w:rsid w:val="00790711"/>
    <w:rsid w:val="00790764"/>
    <w:rsid w:val="0079124F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1DC7"/>
    <w:rsid w:val="007F708D"/>
    <w:rsid w:val="00800216"/>
    <w:rsid w:val="00801E13"/>
    <w:rsid w:val="00807C82"/>
    <w:rsid w:val="00810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516C"/>
    <w:rsid w:val="00836086"/>
    <w:rsid w:val="00846121"/>
    <w:rsid w:val="008462A8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25E75"/>
    <w:rsid w:val="00930FB1"/>
    <w:rsid w:val="0093139F"/>
    <w:rsid w:val="00932443"/>
    <w:rsid w:val="00937AE2"/>
    <w:rsid w:val="0094427A"/>
    <w:rsid w:val="00945245"/>
    <w:rsid w:val="0095759C"/>
    <w:rsid w:val="009721DB"/>
    <w:rsid w:val="0097239B"/>
    <w:rsid w:val="00974923"/>
    <w:rsid w:val="009808F7"/>
    <w:rsid w:val="00980D3D"/>
    <w:rsid w:val="009855E1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537C"/>
    <w:rsid w:val="00A16413"/>
    <w:rsid w:val="00A16E1D"/>
    <w:rsid w:val="00A17D5B"/>
    <w:rsid w:val="00A17EB2"/>
    <w:rsid w:val="00A23E43"/>
    <w:rsid w:val="00A25216"/>
    <w:rsid w:val="00A30F65"/>
    <w:rsid w:val="00A33A89"/>
    <w:rsid w:val="00A40EAC"/>
    <w:rsid w:val="00A40EDD"/>
    <w:rsid w:val="00A418BC"/>
    <w:rsid w:val="00A4206C"/>
    <w:rsid w:val="00A46DE0"/>
    <w:rsid w:val="00A47FCA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B535B"/>
    <w:rsid w:val="00AC45BD"/>
    <w:rsid w:val="00AD168E"/>
    <w:rsid w:val="00AD306C"/>
    <w:rsid w:val="00AD4F16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07BBB"/>
    <w:rsid w:val="00B10A4D"/>
    <w:rsid w:val="00B14BC1"/>
    <w:rsid w:val="00B17E71"/>
    <w:rsid w:val="00B17FDE"/>
    <w:rsid w:val="00B2379C"/>
    <w:rsid w:val="00B25189"/>
    <w:rsid w:val="00B2687D"/>
    <w:rsid w:val="00B26897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1EF7"/>
    <w:rsid w:val="00B76D1E"/>
    <w:rsid w:val="00B8028A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BF723F"/>
    <w:rsid w:val="00C21F94"/>
    <w:rsid w:val="00C27913"/>
    <w:rsid w:val="00C27E4F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67C6"/>
    <w:rsid w:val="00D57677"/>
    <w:rsid w:val="00D66223"/>
    <w:rsid w:val="00D71625"/>
    <w:rsid w:val="00D751DA"/>
    <w:rsid w:val="00D8084C"/>
    <w:rsid w:val="00D915EA"/>
    <w:rsid w:val="00D96855"/>
    <w:rsid w:val="00DA48C1"/>
    <w:rsid w:val="00DA7C0C"/>
    <w:rsid w:val="00DB08A9"/>
    <w:rsid w:val="00DB2EC8"/>
    <w:rsid w:val="00DB5FC0"/>
    <w:rsid w:val="00DB6566"/>
    <w:rsid w:val="00DC1E84"/>
    <w:rsid w:val="00DC48F1"/>
    <w:rsid w:val="00DC5B3B"/>
    <w:rsid w:val="00DD129F"/>
    <w:rsid w:val="00DD4EFE"/>
    <w:rsid w:val="00DE02BD"/>
    <w:rsid w:val="00DF42FF"/>
    <w:rsid w:val="00DF5908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874"/>
    <w:rsid w:val="00E539F6"/>
    <w:rsid w:val="00E6519D"/>
    <w:rsid w:val="00E67696"/>
    <w:rsid w:val="00E71A58"/>
    <w:rsid w:val="00E72A7A"/>
    <w:rsid w:val="00E75C94"/>
    <w:rsid w:val="00E920F4"/>
    <w:rsid w:val="00E93820"/>
    <w:rsid w:val="00E94A86"/>
    <w:rsid w:val="00E96143"/>
    <w:rsid w:val="00EA0987"/>
    <w:rsid w:val="00EA0C68"/>
    <w:rsid w:val="00EA32BC"/>
    <w:rsid w:val="00EA4302"/>
    <w:rsid w:val="00EB39C7"/>
    <w:rsid w:val="00EB3D8F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EF6DB3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106"/>
    <w:rsid w:val="00F525EB"/>
    <w:rsid w:val="00F63DDE"/>
    <w:rsid w:val="00F63FB7"/>
    <w:rsid w:val="00F6421B"/>
    <w:rsid w:val="00F649D2"/>
    <w:rsid w:val="00F6602B"/>
    <w:rsid w:val="00F66FD9"/>
    <w:rsid w:val="00F67C4E"/>
    <w:rsid w:val="00F73A0C"/>
    <w:rsid w:val="00F756DB"/>
    <w:rsid w:val="00F84E7D"/>
    <w:rsid w:val="00F85066"/>
    <w:rsid w:val="00F87A4D"/>
    <w:rsid w:val="00F9785E"/>
    <w:rsid w:val="00FA5D4D"/>
    <w:rsid w:val="00FA60AD"/>
    <w:rsid w:val="00FA7115"/>
    <w:rsid w:val="00FB0EE2"/>
    <w:rsid w:val="00FB4423"/>
    <w:rsid w:val="00FB542E"/>
    <w:rsid w:val="00FC0E5F"/>
    <w:rsid w:val="00FC1A95"/>
    <w:rsid w:val="00FC56DE"/>
    <w:rsid w:val="00FC684B"/>
    <w:rsid w:val="00FD3265"/>
    <w:rsid w:val="00FD5F92"/>
    <w:rsid w:val="00FD66F9"/>
    <w:rsid w:val="00FE2F78"/>
    <w:rsid w:val="00FF4082"/>
    <w:rsid w:val="00FF7090"/>
    <w:rsid w:val="00FF7B96"/>
    <w:rsid w:val="0274CEEB"/>
    <w:rsid w:val="11D0C0D9"/>
    <w:rsid w:val="1C7F89FF"/>
    <w:rsid w:val="304DB734"/>
    <w:rsid w:val="30D0B3BE"/>
    <w:rsid w:val="55C2456F"/>
    <w:rsid w:val="614CA75B"/>
    <w:rsid w:val="6B2670A5"/>
    <w:rsid w:val="6E1EAC99"/>
    <w:rsid w:val="7BDB84E4"/>
    <w:rsid w:val="7DB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ecf4dd,#eaecee,#fcec0a,#fcecdb,#f1daf5"/>
    </o:shapedefaults>
    <o:shapelayout v:ext="edit">
      <o:idmap v:ext="edit" data="2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7"/>
      </w:num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03FF5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455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51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512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512"/>
    <w:rPr>
      <w:rFonts w:ascii="Arial" w:eastAsia="Times New Roman" w:hAnsi="Arial"/>
      <w:b/>
      <w:bCs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4551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4551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54551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customStyle="1" w:styleId="spelle">
    <w:name w:val="spelle"/>
    <w:basedOn w:val="Standardnpsmoodstavce"/>
    <w:rsid w:val="00545512"/>
  </w:style>
  <w:style w:type="paragraph" w:styleId="Revize">
    <w:name w:val="Revision"/>
    <w:hidden/>
    <w:uiPriority w:val="99"/>
    <w:semiHidden/>
    <w:rsid w:val="00545512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45512"/>
  </w:style>
  <w:style w:type="character" w:customStyle="1" w:styleId="tabulka">
    <w:name w:val="tabulka"/>
    <w:basedOn w:val="Standardnpsmoodstavce"/>
    <w:rsid w:val="00545512"/>
  </w:style>
  <w:style w:type="paragraph" w:customStyle="1" w:styleId="Default">
    <w:name w:val="Default"/>
    <w:rsid w:val="005455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5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5512"/>
    <w:rPr>
      <w:rFonts w:ascii="Courier New" w:eastAsia="Times New Roman" w:hAnsi="Courier New" w:cs="Courier New"/>
      <w:lang w:eastAsia="cs-CZ"/>
    </w:rPr>
  </w:style>
  <w:style w:type="paragraph" w:customStyle="1" w:styleId="cay">
    <w:name w:val="c_ay"/>
    <w:basedOn w:val="Normln"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cew">
    <w:name w:val="c_ew"/>
    <w:basedOn w:val="Standardnpsmoodstavce"/>
    <w:rsid w:val="00545512"/>
  </w:style>
  <w:style w:type="character" w:styleId="Sledovanodkaz">
    <w:name w:val="FollowedHyperlink"/>
    <w:basedOn w:val="Standardnpsmoodstavce"/>
    <w:uiPriority w:val="99"/>
    <w:semiHidden/>
    <w:unhideWhenUsed/>
    <w:rsid w:val="00545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4Q4/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4Q4/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czsocz-my.sharepoint.com/personal/karolina_zabojnikova_czso_cz/Documents/Dokumenty/Anal&#253;za/Q/2024Q4/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324257007767645E-2"/>
          <c:y val="2.3046636085626952E-2"/>
          <c:w val="0.92008633063154344"/>
          <c:h val="0.741928402566716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'souhrnná výkonnost 1'!$C$4</c:f>
              <c:strCache>
                <c:ptCount val="1"/>
                <c:pt idx="0">
                  <c:v>ČR meziroční změna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</c:spPr>
          <c:invertIfNegative val="0"/>
          <c:cat>
            <c:multiLvlStrRef>
              <c:f>'souhrnná výkonnost 1'!$A$9:$B$32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1'!$C$9:$C$32</c:f>
              <c:numCache>
                <c:formatCode>0.0</c:formatCode>
                <c:ptCount val="24"/>
                <c:pt idx="0">
                  <c:v>3.4189856936099829</c:v>
                </c:pt>
                <c:pt idx="1">
                  <c:v>3.6131741333642537</c:v>
                </c:pt>
                <c:pt idx="2">
                  <c:v>3.6825803056472921</c:v>
                </c:pt>
                <c:pt idx="3">
                  <c:v>3.3199919158713271</c:v>
                </c:pt>
                <c:pt idx="4">
                  <c:v>-1.5501786832516729</c:v>
                </c:pt>
                <c:pt idx="5">
                  <c:v>-10.594932915034789</c:v>
                </c:pt>
                <c:pt idx="6">
                  <c:v>-4.7011751782364399</c:v>
                </c:pt>
                <c:pt idx="7">
                  <c:v>-4.4366398308301314</c:v>
                </c:pt>
                <c:pt idx="8">
                  <c:v>-1.2288638498452684</c:v>
                </c:pt>
                <c:pt idx="9">
                  <c:v>9.7404575003667162</c:v>
                </c:pt>
                <c:pt idx="10">
                  <c:v>3.9736849039729805</c:v>
                </c:pt>
                <c:pt idx="11">
                  <c:v>3.9029603596385698</c:v>
                </c:pt>
                <c:pt idx="12">
                  <c:v>4.8437098358771209</c:v>
                </c:pt>
                <c:pt idx="13">
                  <c:v>3.6483773841026448</c:v>
                </c:pt>
                <c:pt idx="14">
                  <c:v>2.0520198238941418</c:v>
                </c:pt>
                <c:pt idx="15">
                  <c:v>0.95157210327245423</c:v>
                </c:pt>
                <c:pt idx="16">
                  <c:v>0.30014334247493935</c:v>
                </c:pt>
                <c:pt idx="17">
                  <c:v>0.20720793280359828</c:v>
                </c:pt>
                <c:pt idx="18">
                  <c:v>-0.34013313783994192</c:v>
                </c:pt>
                <c:pt idx="19">
                  <c:v>9.2684914641580463E-2</c:v>
                </c:pt>
                <c:pt idx="20">
                  <c:v>0.34978279714887606</c:v>
                </c:pt>
                <c:pt idx="21">
                  <c:v>0.45659851919911887</c:v>
                </c:pt>
                <c:pt idx="22">
                  <c:v>1.4360510889264333</c:v>
                </c:pt>
                <c:pt idx="23" formatCode="General">
                  <c:v>1.8131087108279758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DA-4A22-9C5D-467C5923FABC}"/>
            </c:ext>
          </c:extLst>
        </c:ser>
        <c:ser>
          <c:idx val="1"/>
          <c:order val="1"/>
          <c:tx>
            <c:strRef>
              <c:f>'souhrnná výkonnost 1'!$D$4</c:f>
              <c:strCache>
                <c:ptCount val="1"/>
                <c:pt idx="0">
                  <c:v>EU27 meziroční změna</c:v>
                </c:pt>
              </c:strCache>
            </c:strRef>
          </c:tx>
          <c:spPr>
            <a:solidFill>
              <a:srgbClr val="808080"/>
            </a:solidFill>
            <a:ln>
              <a:noFill/>
            </a:ln>
          </c:spPr>
          <c:invertIfNegative val="0"/>
          <c:cat>
            <c:multiLvlStrRef>
              <c:f>'souhrnná výkonnost 1'!$A$9:$B$32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1'!$D$9:$D$32</c:f>
              <c:numCache>
                <c:formatCode>#\ ##0.0</c:formatCode>
                <c:ptCount val="24"/>
                <c:pt idx="0" formatCode="#\ ##0.##########">
                  <c:v>2.1</c:v>
                </c:pt>
                <c:pt idx="1">
                  <c:v>2</c:v>
                </c:pt>
                <c:pt idx="2">
                  <c:v>2</c:v>
                </c:pt>
                <c:pt idx="3" formatCode="#\ ##0.##########">
                  <c:v>1.5</c:v>
                </c:pt>
                <c:pt idx="4" formatCode="#\ ##0.##########">
                  <c:v>-2.2000000000000002</c:v>
                </c:pt>
                <c:pt idx="5" formatCode="#\ ##0.##########">
                  <c:v>-13.1</c:v>
                </c:pt>
                <c:pt idx="6" formatCode="#\ ##0.##########">
                  <c:v>-3.9</c:v>
                </c:pt>
                <c:pt idx="7" formatCode="#\ ##0.##########">
                  <c:v>-3.5</c:v>
                </c:pt>
                <c:pt idx="8" formatCode="#\ ##0.##########">
                  <c:v>0.2</c:v>
                </c:pt>
                <c:pt idx="9" formatCode="#\ ##0.##########">
                  <c:v>14.7</c:v>
                </c:pt>
                <c:pt idx="10" formatCode="#\ ##0.##########">
                  <c:v>5.3</c:v>
                </c:pt>
                <c:pt idx="11" formatCode="#\ ##0.##########">
                  <c:v>5.8</c:v>
                </c:pt>
                <c:pt idx="12" formatCode="#\ ##0.##########">
                  <c:v>5.6</c:v>
                </c:pt>
                <c:pt idx="13" formatCode="#\ ##0.##########">
                  <c:v>4.0999999999999996</c:v>
                </c:pt>
                <c:pt idx="14" formatCode="#\ ##0.##########">
                  <c:v>2.9</c:v>
                </c:pt>
                <c:pt idx="15" formatCode="#\ ##0.##########">
                  <c:v>1.7</c:v>
                </c:pt>
                <c:pt idx="16" formatCode="#\ ##0.##########">
                  <c:v>1.2</c:v>
                </c:pt>
                <c:pt idx="17" formatCode="#\ ##0.##########">
                  <c:v>0.5</c:v>
                </c:pt>
                <c:pt idx="18" formatCode="#\ ##0.##########">
                  <c:v>0.1</c:v>
                </c:pt>
                <c:pt idx="19" formatCode="#\ ##0.##########">
                  <c:v>0.4</c:v>
                </c:pt>
                <c:pt idx="20" formatCode="#\ ##0.##########">
                  <c:v>0.6</c:v>
                </c:pt>
                <c:pt idx="21" formatCode="#\ ##0.##########">
                  <c:v>0.8</c:v>
                </c:pt>
                <c:pt idx="22" formatCode="#\ ##0.##########">
                  <c:v>1.1000000000000001</c:v>
                </c:pt>
                <c:pt idx="23" formatCode="#\ ##0.##########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DA-4A22-9C5D-467C5923F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7753344"/>
        <c:axId val="267767808"/>
      </c:barChart>
      <c:lineChart>
        <c:grouping val="standard"/>
        <c:varyColors val="0"/>
        <c:ser>
          <c:idx val="2"/>
          <c:order val="2"/>
          <c:tx>
            <c:strRef>
              <c:f>'souhrnná výkonnost 1'!$E$4</c:f>
              <c:strCache>
                <c:ptCount val="1"/>
                <c:pt idx="0">
                  <c:v>ČR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0071BC"/>
              </a:solidFill>
              <a:ln>
                <a:noFill/>
              </a:ln>
            </c:spPr>
          </c:marker>
          <c:cat>
            <c:multiLvlStrRef>
              <c:f>'souhrnná výkonnost 1'!$A$9:$B$32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1'!$E$9:$E$32</c:f>
              <c:numCache>
                <c:formatCode>0.0</c:formatCode>
                <c:ptCount val="24"/>
                <c:pt idx="0">
                  <c:v>1.3072240756125382</c:v>
                </c:pt>
                <c:pt idx="1">
                  <c:v>0.49696583288741181</c:v>
                </c:pt>
                <c:pt idx="2">
                  <c:v>0.73496507853789694</c:v>
                </c:pt>
                <c:pt idx="3">
                  <c:v>0.74204395610576057</c:v>
                </c:pt>
                <c:pt idx="4">
                  <c:v>-3.4680711506351827</c:v>
                </c:pt>
                <c:pt idx="5">
                  <c:v>-8.7358630828085069</c:v>
                </c:pt>
                <c:pt idx="6">
                  <c:v>7.3756119585801656</c:v>
                </c:pt>
                <c:pt idx="7">
                  <c:v>1.0216888693163071</c:v>
                </c:pt>
                <c:pt idx="8">
                  <c:v>-0.22778321796964462</c:v>
                </c:pt>
                <c:pt idx="9">
                  <c:v>1.3997462117176838</c:v>
                </c:pt>
                <c:pt idx="10">
                  <c:v>1.7331100894615759</c:v>
                </c:pt>
                <c:pt idx="11">
                  <c:v>0.95297231935684579</c:v>
                </c:pt>
                <c:pt idx="12">
                  <c:v>0.67556602593998605</c:v>
                </c:pt>
                <c:pt idx="13">
                  <c:v>0.24367869523720742</c:v>
                </c:pt>
                <c:pt idx="14">
                  <c:v>0.16625083402912821</c:v>
                </c:pt>
                <c:pt idx="15">
                  <c:v>-0.13562414811659096</c:v>
                </c:pt>
                <c:pt idx="16">
                  <c:v>2.5918300278277684E-2</c:v>
                </c:pt>
                <c:pt idx="17">
                  <c:v>0.15079560418620019</c:v>
                </c:pt>
                <c:pt idx="18">
                  <c:v>-0.38086652513939612</c:v>
                </c:pt>
                <c:pt idx="19">
                  <c:v>0.29808207716142476</c:v>
                </c:pt>
                <c:pt idx="20">
                  <c:v>0.28284468618527114</c:v>
                </c:pt>
                <c:pt idx="21">
                  <c:v>0.25739951750003343</c:v>
                </c:pt>
                <c:pt idx="22">
                  <c:v>0.5904207542851907</c:v>
                </c:pt>
                <c:pt idx="23" formatCode="General">
                  <c:v>0.67090964589382907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DA-4A22-9C5D-467C5923FABC}"/>
            </c:ext>
          </c:extLst>
        </c:ser>
        <c:ser>
          <c:idx val="3"/>
          <c:order val="3"/>
          <c:tx>
            <c:strRef>
              <c:f>'souhrnná výkonnost 1'!$F$4</c:f>
              <c:strCache>
                <c:ptCount val="1"/>
                <c:pt idx="0">
                  <c:v>EU27 mezičtvrtletní změna</c:v>
                </c:pt>
              </c:strCache>
            </c:strRef>
          </c:tx>
          <c:spPr>
            <a:ln w="19050">
              <a:noFill/>
            </a:ln>
          </c:spPr>
          <c:marker>
            <c:symbol val="dash"/>
            <c:size val="8"/>
            <c:spPr>
              <a:solidFill>
                <a:srgbClr val="BD1B21"/>
              </a:solidFill>
              <a:ln>
                <a:noFill/>
              </a:ln>
            </c:spPr>
          </c:marker>
          <c:cat>
            <c:multiLvlStrRef>
              <c:f>'souhrnná výkonnost 1'!$A$9:$B$32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1'!$F$9:$F$32</c:f>
              <c:numCache>
                <c:formatCode>#\ ##0.##########</c:formatCode>
                <c:ptCount val="24"/>
                <c:pt idx="0">
                  <c:v>0.7</c:v>
                </c:pt>
                <c:pt idx="1">
                  <c:v>0.4</c:v>
                </c:pt>
                <c:pt idx="2">
                  <c:v>0.2</c:v>
                </c:pt>
                <c:pt idx="3">
                  <c:v>0.1</c:v>
                </c:pt>
                <c:pt idx="4" formatCode="#\ ##0.0">
                  <c:v>-3</c:v>
                </c:pt>
                <c:pt idx="5">
                  <c:v>-10.8</c:v>
                </c:pt>
                <c:pt idx="6">
                  <c:v>10.8</c:v>
                </c:pt>
                <c:pt idx="7">
                  <c:v>0.5</c:v>
                </c:pt>
                <c:pt idx="8">
                  <c:v>0.8</c:v>
                </c:pt>
                <c:pt idx="9">
                  <c:v>2.2000000000000002</c:v>
                </c:pt>
                <c:pt idx="10">
                  <c:v>1.7</c:v>
                </c:pt>
                <c:pt idx="11" formatCode="#\ ##0.0">
                  <c:v>1</c:v>
                </c:pt>
                <c:pt idx="12">
                  <c:v>0.6</c:v>
                </c:pt>
                <c:pt idx="13">
                  <c:v>0.8</c:v>
                </c:pt>
                <c:pt idx="14">
                  <c:v>0.5</c:v>
                </c:pt>
                <c:pt idx="15">
                  <c:v>-0.2</c:v>
                </c:pt>
                <c:pt idx="16">
                  <c:v>0.1</c:v>
                </c:pt>
                <c:pt idx="17">
                  <c:v>0.1</c:v>
                </c:pt>
                <c:pt idx="18">
                  <c:v>0.1</c:v>
                </c:pt>
                <c:pt idx="19">
                  <c:v>0.1</c:v>
                </c:pt>
                <c:pt idx="20">
                  <c:v>0.3</c:v>
                </c:pt>
                <c:pt idx="21">
                  <c:v>0.3</c:v>
                </c:pt>
                <c:pt idx="22">
                  <c:v>0.4</c:v>
                </c:pt>
                <c:pt idx="23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CDA-4A22-9C5D-467C5923F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753344"/>
        <c:axId val="267767808"/>
      </c:lineChart>
      <c:catAx>
        <c:axId val="267753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7767808"/>
        <c:crosses val="autoZero"/>
        <c:auto val="1"/>
        <c:lblAlgn val="ctr"/>
        <c:lblOffset val="100"/>
        <c:noMultiLvlLbl val="0"/>
      </c:catAx>
      <c:valAx>
        <c:axId val="267767808"/>
        <c:scaling>
          <c:orientation val="minMax"/>
          <c:max val="15"/>
          <c:min val="-1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7753344"/>
        <c:crosses val="autoZero"/>
        <c:crossBetween val="between"/>
        <c:majorUnit val="3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8431906450523471E-2"/>
          <c:y val="0.89437255125717996"/>
          <c:w val="0.91838441404930771"/>
          <c:h val="9.0301755758791014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629137115839245E-2"/>
          <c:y val="2.8458510079622041E-2"/>
          <c:w val="0.93688386524822698"/>
          <c:h val="0.67476668918158278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'souhrnná výkonnost 3'!$F$5</c:f>
              <c:strCache>
                <c:ptCount val="1"/>
                <c:pt idx="0">
                  <c:v>Bilance zahraničního obchodu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'souhrnná výkonnost 3'!$A$10:$B$33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3'!$F$10:$F$33</c:f>
              <c:numCache>
                <c:formatCode>#\ ##0.0</c:formatCode>
                <c:ptCount val="24"/>
                <c:pt idx="0">
                  <c:v>-6.5470917658757233E-2</c:v>
                </c:pt>
                <c:pt idx="1">
                  <c:v>1.4494397815262756</c:v>
                </c:pt>
                <c:pt idx="2">
                  <c:v>1.519520930710476</c:v>
                </c:pt>
                <c:pt idx="3">
                  <c:v>-1.1386552968129167</c:v>
                </c:pt>
                <c:pt idx="4">
                  <c:v>-1.5054961152095412</c:v>
                </c:pt>
                <c:pt idx="5">
                  <c:v>-8.5652935026312509</c:v>
                </c:pt>
                <c:pt idx="6">
                  <c:v>-0.91701615307186923</c:v>
                </c:pt>
                <c:pt idx="7">
                  <c:v>1.6441945082634004</c:v>
                </c:pt>
                <c:pt idx="8">
                  <c:v>0.90880127021110413</c:v>
                </c:pt>
                <c:pt idx="9">
                  <c:v>6.124141351147399</c:v>
                </c:pt>
                <c:pt idx="10">
                  <c:v>-3.6522086207896334</c:v>
                </c:pt>
                <c:pt idx="11">
                  <c:v>-3.5019135769376728</c:v>
                </c:pt>
                <c:pt idx="12">
                  <c:v>-1.6832006565895616</c:v>
                </c:pt>
                <c:pt idx="13">
                  <c:v>-0.3806378126415233</c:v>
                </c:pt>
                <c:pt idx="14">
                  <c:v>3.408239118939032</c:v>
                </c:pt>
                <c:pt idx="15">
                  <c:v>1.4700226511684527</c:v>
                </c:pt>
                <c:pt idx="16">
                  <c:v>1.022488471508463</c:v>
                </c:pt>
                <c:pt idx="17">
                  <c:v>1.5790857204776438</c:v>
                </c:pt>
                <c:pt idx="18">
                  <c:v>-0.52223441293462458</c:v>
                </c:pt>
                <c:pt idx="19">
                  <c:v>1.6834125414664634</c:v>
                </c:pt>
                <c:pt idx="20">
                  <c:v>0.81964841431664248</c:v>
                </c:pt>
                <c:pt idx="21">
                  <c:v>0.22729904905911644</c:v>
                </c:pt>
                <c:pt idx="22">
                  <c:v>3.4263688867205655E-2</c:v>
                </c:pt>
                <c:pt idx="23">
                  <c:v>-1.6513055568447292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8-4DBA-9C00-A55D48C8E49D}"/>
            </c:ext>
          </c:extLst>
        </c:ser>
        <c:ser>
          <c:idx val="2"/>
          <c:order val="2"/>
          <c:tx>
            <c:strRef>
              <c:f>'souhrnná výkonnost 3'!$H$5</c:f>
              <c:strCache>
                <c:ptCount val="1"/>
                <c:pt idx="0">
                  <c:v>Změna zásob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invertIfNegative val="0"/>
          <c:cat>
            <c:multiLvlStrRef>
              <c:f>'souhrnná výkonnost 3'!$A$10:$B$33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3'!$H$10:$H$33</c:f>
              <c:numCache>
                <c:formatCode>#\ ##0.0</c:formatCode>
                <c:ptCount val="24"/>
                <c:pt idx="0">
                  <c:v>-3.4866839032703018E-2</c:v>
                </c:pt>
                <c:pt idx="1">
                  <c:v>-1.2132673218827674</c:v>
                </c:pt>
                <c:pt idx="2">
                  <c:v>-0.61640554015347881</c:v>
                </c:pt>
                <c:pt idx="3">
                  <c:v>1.8990615757299067</c:v>
                </c:pt>
                <c:pt idx="4">
                  <c:v>-0.40340689033643318</c:v>
                </c:pt>
                <c:pt idx="5">
                  <c:v>0.49746610716149758</c:v>
                </c:pt>
                <c:pt idx="6">
                  <c:v>-1.209597715652736</c:v>
                </c:pt>
                <c:pt idx="7">
                  <c:v>-2.2124027001017974</c:v>
                </c:pt>
                <c:pt idx="8">
                  <c:v>0.41264966656715685</c:v>
                </c:pt>
                <c:pt idx="9">
                  <c:v>0.57206005966288753</c:v>
                </c:pt>
                <c:pt idx="10">
                  <c:v>2.5716584196045469</c:v>
                </c:pt>
                <c:pt idx="11">
                  <c:v>1.3737502139548177</c:v>
                </c:pt>
                <c:pt idx="12">
                  <c:v>0.60915917645428019</c:v>
                </c:pt>
                <c:pt idx="13">
                  <c:v>1.6317613698141717</c:v>
                </c:pt>
                <c:pt idx="14">
                  <c:v>-0.7854278742999391</c:v>
                </c:pt>
                <c:pt idx="15">
                  <c:v>1.1886488133455293</c:v>
                </c:pt>
                <c:pt idx="16">
                  <c:v>0.46116231627019716</c:v>
                </c:pt>
                <c:pt idx="17">
                  <c:v>-1.2917995308852055</c:v>
                </c:pt>
                <c:pt idx="18">
                  <c:v>-0.14316789428080012</c:v>
                </c:pt>
                <c:pt idx="19">
                  <c:v>-3.4609784581327441</c:v>
                </c:pt>
                <c:pt idx="20">
                  <c:v>-2.8146964056546739</c:v>
                </c:pt>
                <c:pt idx="21">
                  <c:v>-1.5683738605858291</c:v>
                </c:pt>
                <c:pt idx="22">
                  <c:v>-0.69706762454698346</c:v>
                </c:pt>
                <c:pt idx="23">
                  <c:v>1.5931257568572346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48-4DBA-9C00-A55D48C8E49D}"/>
            </c:ext>
          </c:extLst>
        </c:ser>
        <c:ser>
          <c:idx val="3"/>
          <c:order val="3"/>
          <c:tx>
            <c:strRef>
              <c:f>'souhrnná výkonnost 3'!$G$5</c:f>
              <c:strCache>
                <c:ptCount val="1"/>
                <c:pt idx="0">
                  <c:v>Tvorba hrubého fixního kapitálu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cat>
            <c:multiLvlStrRef>
              <c:f>'souhrnná výkonnost 3'!$A$10:$B$33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3'!$G$10:$G$33</c:f>
              <c:numCache>
                <c:formatCode>#\ ##0.0</c:formatCode>
                <c:ptCount val="24"/>
                <c:pt idx="0">
                  <c:v>1.8598270900589087</c:v>
                </c:pt>
                <c:pt idx="1">
                  <c:v>1.4526192483422518</c:v>
                </c:pt>
                <c:pt idx="2">
                  <c:v>1.0268088605058696</c:v>
                </c:pt>
                <c:pt idx="3">
                  <c:v>0.94075204306872073</c:v>
                </c:pt>
                <c:pt idx="4">
                  <c:v>-0.26111659305966983</c:v>
                </c:pt>
                <c:pt idx="5">
                  <c:v>0.14044234588323476</c:v>
                </c:pt>
                <c:pt idx="6">
                  <c:v>-1.1114194663634265</c:v>
                </c:pt>
                <c:pt idx="7">
                  <c:v>-1.2151629007980274</c:v>
                </c:pt>
                <c:pt idx="8">
                  <c:v>0.15781509790362797</c:v>
                </c:pt>
                <c:pt idx="9">
                  <c:v>7.3809702465127386E-2</c:v>
                </c:pt>
                <c:pt idx="10">
                  <c:v>1.9668146761327148</c:v>
                </c:pt>
                <c:pt idx="11">
                  <c:v>2.0385637566612256</c:v>
                </c:pt>
                <c:pt idx="12">
                  <c:v>2.1230773688868023</c:v>
                </c:pt>
                <c:pt idx="13">
                  <c:v>1.4912941413364145</c:v>
                </c:pt>
                <c:pt idx="14">
                  <c:v>0.94577481141240138</c:v>
                </c:pt>
                <c:pt idx="15">
                  <c:v>0.73322343987834782</c:v>
                </c:pt>
                <c:pt idx="16">
                  <c:v>0.4931548683888316</c:v>
                </c:pt>
                <c:pt idx="17">
                  <c:v>0.88885696316389462</c:v>
                </c:pt>
                <c:pt idx="18">
                  <c:v>0.75388563584657375</c:v>
                </c:pt>
                <c:pt idx="19">
                  <c:v>0.85504091001870042</c:v>
                </c:pt>
                <c:pt idx="20">
                  <c:v>0.13925912287715742</c:v>
                </c:pt>
                <c:pt idx="21">
                  <c:v>-0.21671405083065723</c:v>
                </c:pt>
                <c:pt idx="22">
                  <c:v>-0.27118972065021613</c:v>
                </c:pt>
                <c:pt idx="23">
                  <c:v>-0.6909087896485212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48-4DBA-9C00-A55D48C8E49D}"/>
            </c:ext>
          </c:extLst>
        </c:ser>
        <c:ser>
          <c:idx val="5"/>
          <c:order val="4"/>
          <c:tx>
            <c:strRef>
              <c:f>'souhrnná výkonnost 3'!$D$5</c:f>
              <c:strCache>
                <c:ptCount val="1"/>
                <c:pt idx="0">
                  <c:v>Výdaje na konečnou spotřebu domácností (vč. nezisk. inst.)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cat>
            <c:multiLvlStrRef>
              <c:f>'souhrnná výkonnost 3'!$A$10:$B$33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3'!$D$10:$D$33</c:f>
              <c:numCache>
                <c:formatCode>#\ ##0.0</c:formatCode>
                <c:ptCount val="24"/>
                <c:pt idx="0">
                  <c:v>1.0610692201073997</c:v>
                </c:pt>
                <c:pt idx="1">
                  <c:v>1.3164628896440984</c:v>
                </c:pt>
                <c:pt idx="2">
                  <c:v>1.1800657067488647</c:v>
                </c:pt>
                <c:pt idx="3">
                  <c:v>1.3325646204971671</c:v>
                </c:pt>
                <c:pt idx="4">
                  <c:v>-0.2398228716655057</c:v>
                </c:pt>
                <c:pt idx="5">
                  <c:v>-3.2567035122644707</c:v>
                </c:pt>
                <c:pt idx="6">
                  <c:v>-1.7740710022653545</c:v>
                </c:pt>
                <c:pt idx="7">
                  <c:v>-4.0888509658039061</c:v>
                </c:pt>
                <c:pt idx="8">
                  <c:v>-2.6303429796363251</c:v>
                </c:pt>
                <c:pt idx="9">
                  <c:v>3.0130078291252422</c:v>
                </c:pt>
                <c:pt idx="10">
                  <c:v>1.9847068901687124</c:v>
                </c:pt>
                <c:pt idx="11">
                  <c:v>3.7365176773416025</c:v>
                </c:pt>
                <c:pt idx="12">
                  <c:v>3.291044005952056</c:v>
                </c:pt>
                <c:pt idx="13">
                  <c:v>0.17808535886856286</c:v>
                </c:pt>
                <c:pt idx="14">
                  <c:v>-1.2688125161868613</c:v>
                </c:pt>
                <c:pt idx="15">
                  <c:v>-2.1014518367129478</c:v>
                </c:pt>
                <c:pt idx="16">
                  <c:v>-2.2945919860755861</c:v>
                </c:pt>
                <c:pt idx="17">
                  <c:v>-1.454021228197774</c:v>
                </c:pt>
                <c:pt idx="18">
                  <c:v>-1.0668314458195665</c:v>
                </c:pt>
                <c:pt idx="19">
                  <c:v>0.21502428719941008</c:v>
                </c:pt>
                <c:pt idx="20">
                  <c:v>1.6214919729740374</c:v>
                </c:pt>
                <c:pt idx="21">
                  <c:v>1.0517240722161492</c:v>
                </c:pt>
                <c:pt idx="22">
                  <c:v>1.4675584733586833</c:v>
                </c:pt>
                <c:pt idx="23">
                  <c:v>1.9101918742849764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48-4DBA-9C00-A55D48C8E49D}"/>
            </c:ext>
          </c:extLst>
        </c:ser>
        <c:ser>
          <c:idx val="4"/>
          <c:order val="5"/>
          <c:tx>
            <c:strRef>
              <c:f>'souhrnná výkonnost 3'!$E$5</c:f>
              <c:strCache>
                <c:ptCount val="1"/>
                <c:pt idx="0">
                  <c:v>Výdaje na konečnou spotřebu vládních institucí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'souhrnná výkonnost 3'!$A$10:$B$33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3'!$E$10:$E$33</c:f>
              <c:numCache>
                <c:formatCode>#\ ##0.0</c:formatCode>
                <c:ptCount val="24"/>
                <c:pt idx="0">
                  <c:v>0.52373870610125262</c:v>
                </c:pt>
                <c:pt idx="1">
                  <c:v>0.54525241929613355</c:v>
                </c:pt>
                <c:pt idx="2">
                  <c:v>0.53390853668406757</c:v>
                </c:pt>
                <c:pt idx="3">
                  <c:v>0.2780405319991846</c:v>
                </c:pt>
                <c:pt idx="4">
                  <c:v>0.85273575497086629</c:v>
                </c:pt>
                <c:pt idx="5">
                  <c:v>0.57219907272847048</c:v>
                </c:pt>
                <c:pt idx="6">
                  <c:v>0.31382004358461796</c:v>
                </c:pt>
                <c:pt idx="7">
                  <c:v>1.4192241054465731</c:v>
                </c:pt>
                <c:pt idx="8">
                  <c:v>-0.12340214907979793</c:v>
                </c:pt>
                <c:pt idx="9">
                  <c:v>-7.2907474861005656E-2</c:v>
                </c:pt>
                <c:pt idx="10">
                  <c:v>1.000714083725422</c:v>
                </c:pt>
                <c:pt idx="11">
                  <c:v>8.8247719969204746E-2</c:v>
                </c:pt>
                <c:pt idx="12">
                  <c:v>0.37181697618378928</c:v>
                </c:pt>
                <c:pt idx="13">
                  <c:v>0.57371034145730837</c:v>
                </c:pt>
                <c:pt idx="14">
                  <c:v>-0.32873762938072321</c:v>
                </c:pt>
                <c:pt idx="15">
                  <c:v>-0.30389432882498219</c:v>
                </c:pt>
                <c:pt idx="16">
                  <c:v>0.57576369173096276</c:v>
                </c:pt>
                <c:pt idx="17">
                  <c:v>0.516983415992749</c:v>
                </c:pt>
                <c:pt idx="18">
                  <c:v>0.66195062797324855</c:v>
                </c:pt>
                <c:pt idx="19">
                  <c:v>0.72202480637229571</c:v>
                </c:pt>
                <c:pt idx="20">
                  <c:v>0.59943825155824837</c:v>
                </c:pt>
                <c:pt idx="21">
                  <c:v>0.89866092551323884</c:v>
                </c:pt>
                <c:pt idx="22">
                  <c:v>0.82744579571222032</c:v>
                </c:pt>
                <c:pt idx="23">
                  <c:v>0.61527308879175691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48-4DBA-9C00-A55D48C8E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overlap val="100"/>
        <c:axId val="267591040"/>
        <c:axId val="267605120"/>
      </c:barChart>
      <c:lineChart>
        <c:grouping val="standard"/>
        <c:varyColors val="0"/>
        <c:ser>
          <c:idx val="0"/>
          <c:order val="0"/>
          <c:tx>
            <c:strRef>
              <c:f>'souhrnná výkonnost 3'!$C$5</c:f>
              <c:strCache>
                <c:ptCount val="1"/>
                <c:pt idx="0">
                  <c:v>HDP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3'!$A$10:$B$33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'souhrnná výkonnost 3'!$C$10:$C$33</c:f>
              <c:numCache>
                <c:formatCode>#\ ##0.0</c:formatCode>
                <c:ptCount val="24"/>
                <c:pt idx="0">
                  <c:v>3.4189743822717418</c:v>
                </c:pt>
                <c:pt idx="1">
                  <c:v>3.6132085037347395</c:v>
                </c:pt>
                <c:pt idx="2">
                  <c:v>3.68258658026825</c:v>
                </c:pt>
                <c:pt idx="3">
                  <c:v>3.3200025771466812</c:v>
                </c:pt>
                <c:pt idx="4">
                  <c:v>-1.5502005609675251</c:v>
                </c:pt>
                <c:pt idx="5">
                  <c:v>-10.594910497246218</c:v>
                </c:pt>
                <c:pt idx="6">
                  <c:v>-4.701156102682063</c:v>
                </c:pt>
                <c:pt idx="7">
                  <c:v>-4.4366371482296927</c:v>
                </c:pt>
                <c:pt idx="8">
                  <c:v>-1.2288405930294743</c:v>
                </c:pt>
                <c:pt idx="9">
                  <c:v>9.7404194240672268</c:v>
                </c:pt>
                <c:pt idx="10">
                  <c:v>3.9736917575390152</c:v>
                </c:pt>
                <c:pt idx="11">
                  <c:v>3.9029621018868283</c:v>
                </c:pt>
                <c:pt idx="12">
                  <c:v>4.8436882638427221</c:v>
                </c:pt>
                <c:pt idx="13">
                  <c:v>3.6483483455527903</c:v>
                </c:pt>
                <c:pt idx="14">
                  <c:v>2.0520278440471884</c:v>
                </c:pt>
                <c:pt idx="15">
                  <c:v>0.95155160469528255</c:v>
                </c:pt>
                <c:pt idx="16">
                  <c:v>0.30013556583948287</c:v>
                </c:pt>
                <c:pt idx="17">
                  <c:v>0.20721692275813552</c:v>
                </c:pt>
                <c:pt idx="18">
                  <c:v>-0.34015544290339506</c:v>
                </c:pt>
                <c:pt idx="19">
                  <c:v>9.2674126345954733E-2</c:v>
                </c:pt>
                <c:pt idx="20">
                  <c:v>0.34982633712718325</c:v>
                </c:pt>
                <c:pt idx="21">
                  <c:v>0.4565990795034196</c:v>
                </c:pt>
                <c:pt idx="22">
                  <c:v>1.4360868721377642</c:v>
                </c:pt>
                <c:pt idx="23">
                  <c:v>1.8131292161325518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A48-4DBA-9C00-A55D48C8E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591040"/>
        <c:axId val="267605120"/>
      </c:lineChart>
      <c:catAx>
        <c:axId val="2675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7605120"/>
        <c:crosses val="autoZero"/>
        <c:auto val="1"/>
        <c:lblAlgn val="ctr"/>
        <c:lblOffset val="100"/>
        <c:noMultiLvlLbl val="0"/>
      </c:catAx>
      <c:valAx>
        <c:axId val="267605120"/>
        <c:scaling>
          <c:orientation val="minMax"/>
          <c:max val="10"/>
          <c:min val="-12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7591040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71766295170556E-2"/>
          <c:y val="0.81445992344928519"/>
          <c:w val="0.94432624113475194"/>
          <c:h val="0.17481734774287963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126857480580882E-2"/>
          <c:y val="2.9499886988623526E-2"/>
          <c:w val="0.9260266801756164"/>
          <c:h val="0.63445260610154264"/>
        </c:manualLayout>
      </c:layout>
      <c:barChart>
        <c:barDir val="col"/>
        <c:grouping val="stacked"/>
        <c:varyColors val="0"/>
        <c:ser>
          <c:idx val="4"/>
          <c:order val="0"/>
          <c:tx>
            <c:strRef>
              <c:f>'[Makroanalýza grafy.xlsx]souhrnná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invertIfNegative val="0"/>
          <c:val>
            <c:numRef>
              <c:f>'[Makroanalýza grafy.xlsx]souhrnná výkonnost 4'!$C$10:$C$33</c:f>
              <c:numCache>
                <c:formatCode>#\ ##0.0</c:formatCode>
                <c:ptCount val="24"/>
                <c:pt idx="0">
                  <c:v>6.9952669722000996E-2</c:v>
                </c:pt>
                <c:pt idx="1">
                  <c:v>8.174334759303449E-2</c:v>
                </c:pt>
                <c:pt idx="2">
                  <c:v>0.11063000390967299</c:v>
                </c:pt>
                <c:pt idx="3">
                  <c:v>0.14033996982585203</c:v>
                </c:pt>
                <c:pt idx="4">
                  <c:v>0.15822035579434848</c:v>
                </c:pt>
                <c:pt idx="5">
                  <c:v>0.16572640891485885</c:v>
                </c:pt>
                <c:pt idx="6">
                  <c:v>0.14884192396827553</c:v>
                </c:pt>
                <c:pt idx="7">
                  <c:v>0.10349029376913045</c:v>
                </c:pt>
                <c:pt idx="8">
                  <c:v>-0.20943707470562339</c:v>
                </c:pt>
                <c:pt idx="9">
                  <c:v>-0.34449179443466599</c:v>
                </c:pt>
                <c:pt idx="10">
                  <c:v>-0.32209602561974893</c:v>
                </c:pt>
                <c:pt idx="11">
                  <c:v>-0.29333634112949242</c:v>
                </c:pt>
                <c:pt idx="12">
                  <c:v>1.4650416130809454E-3</c:v>
                </c:pt>
                <c:pt idx="13">
                  <c:v>7.8507188492409424E-2</c:v>
                </c:pt>
                <c:pt idx="14">
                  <c:v>3.9960777137645544E-2</c:v>
                </c:pt>
                <c:pt idx="15">
                  <c:v>-2.0459404335135881E-2</c:v>
                </c:pt>
                <c:pt idx="16">
                  <c:v>-5.0267327237084186E-3</c:v>
                </c:pt>
                <c:pt idx="17">
                  <c:v>-3.4632234183758916E-2</c:v>
                </c:pt>
                <c:pt idx="18">
                  <c:v>-3.175825508507444E-2</c:v>
                </c:pt>
                <c:pt idx="19">
                  <c:v>-2.2300326799825753E-2</c:v>
                </c:pt>
                <c:pt idx="20">
                  <c:v>3.4326892344857446E-2</c:v>
                </c:pt>
                <c:pt idx="21">
                  <c:v>-4.1710102869813512E-2</c:v>
                </c:pt>
                <c:pt idx="22">
                  <c:v>-2.2497245165383803E-2</c:v>
                </c:pt>
                <c:pt idx="23">
                  <c:v>-9.0077782427121911E-5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FC-417B-B4F7-D7EC87D619E5}"/>
            </c:ext>
          </c:extLst>
        </c:ser>
        <c:ser>
          <c:idx val="3"/>
          <c:order val="1"/>
          <c:tx>
            <c:strRef>
              <c:f>'[Makroanalýza grafy.xlsx]souhrnná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val>
            <c:numRef>
              <c:f>'[Makroanalýza grafy.xlsx]souhrnná výkonnost 4'!$D$10:$D$33</c:f>
              <c:numCache>
                <c:formatCode>#\ ##0.0</c:formatCode>
                <c:ptCount val="24"/>
                <c:pt idx="0">
                  <c:v>0.79286837781479091</c:v>
                </c:pt>
                <c:pt idx="1">
                  <c:v>1.3034853573072027</c:v>
                </c:pt>
                <c:pt idx="2">
                  <c:v>1.2859805485632667</c:v>
                </c:pt>
                <c:pt idx="3">
                  <c:v>0.76399660901596278</c:v>
                </c:pt>
                <c:pt idx="4">
                  <c:v>-1.006029365184558</c:v>
                </c:pt>
                <c:pt idx="5">
                  <c:v>-5.8707476654845019</c:v>
                </c:pt>
                <c:pt idx="6">
                  <c:v>-2.1566635032660484</c:v>
                </c:pt>
                <c:pt idx="7">
                  <c:v>-1.5364269842490534</c:v>
                </c:pt>
                <c:pt idx="8">
                  <c:v>-0.81082301657390887</c:v>
                </c:pt>
                <c:pt idx="9">
                  <c:v>3.9743747095561068</c:v>
                </c:pt>
                <c:pt idx="10">
                  <c:v>-0.74888372469617781</c:v>
                </c:pt>
                <c:pt idx="11">
                  <c:v>-0.87291327125667473</c:v>
                </c:pt>
                <c:pt idx="12">
                  <c:v>0.64528350075532714</c:v>
                </c:pt>
                <c:pt idx="13">
                  <c:v>1.5767749269534403</c:v>
                </c:pt>
                <c:pt idx="14">
                  <c:v>2.2578630988104651</c:v>
                </c:pt>
                <c:pt idx="15">
                  <c:v>2.6492927635274892</c:v>
                </c:pt>
                <c:pt idx="16">
                  <c:v>1.5213888679587808</c:v>
                </c:pt>
                <c:pt idx="17">
                  <c:v>0.73763485799498885</c:v>
                </c:pt>
                <c:pt idx="18">
                  <c:v>0.19292900801292828</c:v>
                </c:pt>
                <c:pt idx="19">
                  <c:v>0.32386657410623332</c:v>
                </c:pt>
                <c:pt idx="20">
                  <c:v>-0.35005254750626946</c:v>
                </c:pt>
                <c:pt idx="21">
                  <c:v>-0.51284029289067279</c:v>
                </c:pt>
                <c:pt idx="22">
                  <c:v>1.2686414372986381E-2</c:v>
                </c:pt>
                <c:pt idx="23">
                  <c:v>-0.32889710101390224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FC-417B-B4F7-D7EC87D619E5}"/>
            </c:ext>
          </c:extLst>
        </c:ser>
        <c:ser>
          <c:idx val="2"/>
          <c:order val="2"/>
          <c:tx>
            <c:strRef>
              <c:f>'[Makroanalýza grafy.xlsx]souhrnná výkonnost 4'!$E$5</c:f>
              <c:strCache>
                <c:ptCount val="1"/>
                <c:pt idx="0">
                  <c:v>Ostatní průmyslová odvětví (CZ-NACE B, D, E)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invertIfNegative val="0"/>
          <c:val>
            <c:numRef>
              <c:f>'[Makroanalýza grafy.xlsx]souhrnná výkonnost 4'!$E$10:$E$33</c:f>
              <c:numCache>
                <c:formatCode>General</c:formatCode>
                <c:ptCount val="24"/>
                <c:pt idx="0">
                  <c:v>4.5459612013585282E-3</c:v>
                </c:pt>
                <c:pt idx="1">
                  <c:v>-5.4299843239147494E-2</c:v>
                </c:pt>
                <c:pt idx="2">
                  <c:v>-0.26283098752928491</c:v>
                </c:pt>
                <c:pt idx="3">
                  <c:v>-9.8219621966424864E-2</c:v>
                </c:pt>
                <c:pt idx="4">
                  <c:v>-0.17620696396261137</c:v>
                </c:pt>
                <c:pt idx="5">
                  <c:v>-0.24771149792454139</c:v>
                </c:pt>
                <c:pt idx="6">
                  <c:v>-6.0935554321396967E-2</c:v>
                </c:pt>
                <c:pt idx="7">
                  <c:v>6.5525594099085982E-2</c:v>
                </c:pt>
                <c:pt idx="8">
                  <c:v>0.38896231887529847</c:v>
                </c:pt>
                <c:pt idx="9">
                  <c:v>0.46371609807310366</c:v>
                </c:pt>
                <c:pt idx="10">
                  <c:v>0.33807449475314627</c:v>
                </c:pt>
                <c:pt idx="11">
                  <c:v>-5.8765796805848813E-2</c:v>
                </c:pt>
                <c:pt idx="12">
                  <c:v>-0.43983407410669084</c:v>
                </c:pt>
                <c:pt idx="13">
                  <c:v>-0.35269776369716466</c:v>
                </c:pt>
                <c:pt idx="14">
                  <c:v>-0.58798697249592147</c:v>
                </c:pt>
                <c:pt idx="15">
                  <c:v>-0.91369938251265959</c:v>
                </c:pt>
                <c:pt idx="16">
                  <c:v>-1.0554415694973189</c:v>
                </c:pt>
                <c:pt idx="17">
                  <c:v>-1.1918568053814194</c:v>
                </c:pt>
                <c:pt idx="18">
                  <c:v>-1.1412411616241473</c:v>
                </c:pt>
                <c:pt idx="19">
                  <c:v>-0.88664143027340003</c:v>
                </c:pt>
                <c:pt idx="20">
                  <c:v>-0.33777819330462289</c:v>
                </c:pt>
                <c:pt idx="21">
                  <c:v>-1.6799845269202085E-2</c:v>
                </c:pt>
                <c:pt idx="22">
                  <c:v>9.3816644832477626E-3</c:v>
                </c:pt>
                <c:pt idx="23">
                  <c:v>-0.28576615972759012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FC-417B-B4F7-D7EC87D619E5}"/>
            </c:ext>
          </c:extLst>
        </c:ser>
        <c:ser>
          <c:idx val="1"/>
          <c:order val="3"/>
          <c:tx>
            <c:strRef>
              <c:f>'[Makroanalýza grafy.xlsx]souhrnná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invertIfNegative val="0"/>
          <c:val>
            <c:numRef>
              <c:f>'[Makroanalýza grafy.xlsx]souhrnná výkonnost 4'!$F$10:$F$33</c:f>
              <c:numCache>
                <c:formatCode>#\ ##0.0</c:formatCode>
                <c:ptCount val="24"/>
                <c:pt idx="0">
                  <c:v>-0.15836437304914164</c:v>
                </c:pt>
                <c:pt idx="1">
                  <c:v>-0.12253502255257109</c:v>
                </c:pt>
                <c:pt idx="2">
                  <c:v>-7.1242684146133939E-2</c:v>
                </c:pt>
                <c:pt idx="3">
                  <c:v>-0.10866493986218721</c:v>
                </c:pt>
                <c:pt idx="4">
                  <c:v>-0.30004627661730132</c:v>
                </c:pt>
                <c:pt idx="5">
                  <c:v>-0.48068129994946118</c:v>
                </c:pt>
                <c:pt idx="6">
                  <c:v>-0.45523791005942654</c:v>
                </c:pt>
                <c:pt idx="7">
                  <c:v>-0.43581518565318822</c:v>
                </c:pt>
                <c:pt idx="8">
                  <c:v>-0.33836863825135816</c:v>
                </c:pt>
                <c:pt idx="9">
                  <c:v>-6.7143304167931656E-2</c:v>
                </c:pt>
                <c:pt idx="10">
                  <c:v>-5.8092008458518342E-2</c:v>
                </c:pt>
                <c:pt idx="11">
                  <c:v>-0.10853391292600841</c:v>
                </c:pt>
                <c:pt idx="12">
                  <c:v>-9.0417570306820225E-2</c:v>
                </c:pt>
                <c:pt idx="13">
                  <c:v>-0.27691175914342508</c:v>
                </c:pt>
                <c:pt idx="14">
                  <c:v>-0.42875648302719638</c:v>
                </c:pt>
                <c:pt idx="15">
                  <c:v>-0.37973365169110213</c:v>
                </c:pt>
                <c:pt idx="16">
                  <c:v>-0.17716735825476659</c:v>
                </c:pt>
                <c:pt idx="17">
                  <c:v>-0.14950976455968754</c:v>
                </c:pt>
                <c:pt idx="18">
                  <c:v>-7.0749089694387812E-2</c:v>
                </c:pt>
                <c:pt idx="19">
                  <c:v>-0.13102758539124981</c:v>
                </c:pt>
                <c:pt idx="20">
                  <c:v>-0.10128882603407957</c:v>
                </c:pt>
                <c:pt idx="21">
                  <c:v>1.1892883380210753E-2</c:v>
                </c:pt>
                <c:pt idx="22">
                  <c:v>4.8201590863362911E-2</c:v>
                </c:pt>
                <c:pt idx="23">
                  <c:v>0.12700654696453351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FC-417B-B4F7-D7EC87D619E5}"/>
            </c:ext>
          </c:extLst>
        </c:ser>
        <c:ser>
          <c:idx val="0"/>
          <c:order val="4"/>
          <c:tx>
            <c:strRef>
              <c:f>'[Makroanalýza grafy.xlsx]souhrnná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val>
            <c:numRef>
              <c:f>'[Makroanalýza grafy.xlsx]souhrnná výkonnost 4'!$G$10:$G$33</c:f>
              <c:numCache>
                <c:formatCode>General</c:formatCode>
                <c:ptCount val="24"/>
                <c:pt idx="0">
                  <c:v>2.7152016193024755</c:v>
                </c:pt>
                <c:pt idx="1">
                  <c:v>2.5568894010177439</c:v>
                </c:pt>
                <c:pt idx="2">
                  <c:v>2.5806630267772652</c:v>
                </c:pt>
                <c:pt idx="3">
                  <c:v>2.6155761339131312</c:v>
                </c:pt>
                <c:pt idx="4">
                  <c:v>0.1069034272001633</c:v>
                </c:pt>
                <c:pt idx="5">
                  <c:v>-4.2921319772752993</c:v>
                </c:pt>
                <c:pt idx="6">
                  <c:v>-1.7505754010952781</c:v>
                </c:pt>
                <c:pt idx="7">
                  <c:v>-2.2464479137063273</c:v>
                </c:pt>
                <c:pt idx="8">
                  <c:v>-0.13953156252945553</c:v>
                </c:pt>
                <c:pt idx="9">
                  <c:v>5.9943506299525042</c:v>
                </c:pt>
                <c:pt idx="10">
                  <c:v>4.4243917423347074</c:v>
                </c:pt>
                <c:pt idx="11">
                  <c:v>4.7971483856259507</c:v>
                </c:pt>
                <c:pt idx="12">
                  <c:v>4.2170828841115204</c:v>
                </c:pt>
                <c:pt idx="13">
                  <c:v>2.6617211255203492</c:v>
                </c:pt>
                <c:pt idx="14">
                  <c:v>0.7676089117890853</c:v>
                </c:pt>
                <c:pt idx="15">
                  <c:v>0.29041678067472676</c:v>
                </c:pt>
                <c:pt idx="16">
                  <c:v>1.2630343657854546</c:v>
                </c:pt>
                <c:pt idx="17">
                  <c:v>1.3129514276285825</c:v>
                </c:pt>
                <c:pt idx="18">
                  <c:v>1.3404253283547289</c:v>
                </c:pt>
                <c:pt idx="19">
                  <c:v>0.61232648519811117</c:v>
                </c:pt>
                <c:pt idx="20">
                  <c:v>0.14657310260287729</c:v>
                </c:pt>
                <c:pt idx="21">
                  <c:v>0.47347140254566622</c:v>
                </c:pt>
                <c:pt idx="22">
                  <c:v>0.93660301309903404</c:v>
                </c:pt>
                <c:pt idx="23">
                  <c:v>1.5539126468429065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FC-417B-B4F7-D7EC87D61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69005952"/>
        <c:axId val="269007488"/>
      </c:barChart>
      <c:lineChart>
        <c:grouping val="standard"/>
        <c:varyColors val="0"/>
        <c:ser>
          <c:idx val="5"/>
          <c:order val="5"/>
          <c:tx>
            <c:strRef>
              <c:f>'[Makroanalýza grafy.xlsx]souhrnná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'[Makroanalýza grafy.xlsx]souhrnná výkonnost 4'!$A$10:$B$33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'[Makroanalýza grafy.xlsx]souhrnná výkonnost 4'!$H$10:$H$33</c:f>
              <c:numCache>
                <c:formatCode>#\ ##0.0</c:formatCode>
                <c:ptCount val="24"/>
                <c:pt idx="0">
                  <c:v>3.4241020823594539</c:v>
                </c:pt>
                <c:pt idx="1">
                  <c:v>3.7654261763610037</c:v>
                </c:pt>
                <c:pt idx="2">
                  <c:v>3.6432533192545407</c:v>
                </c:pt>
                <c:pt idx="3">
                  <c:v>3.3129891367830879</c:v>
                </c:pt>
                <c:pt idx="4">
                  <c:v>-1.2169604796506661</c:v>
                </c:pt>
                <c:pt idx="5">
                  <c:v>-10.72573587437293</c:v>
                </c:pt>
                <c:pt idx="6">
                  <c:v>-4.2745842128591107</c:v>
                </c:pt>
                <c:pt idx="7">
                  <c:v>-4.0497053295080292</c:v>
                </c:pt>
                <c:pt idx="8">
                  <c:v>-1.1092326662295733</c:v>
                </c:pt>
                <c:pt idx="9">
                  <c:v>10.020922752811231</c:v>
                </c:pt>
                <c:pt idx="10">
                  <c:v>3.6334340143173023</c:v>
                </c:pt>
                <c:pt idx="11">
                  <c:v>3.4636121873782457</c:v>
                </c:pt>
                <c:pt idx="12">
                  <c:v>4.3335548202223748</c:v>
                </c:pt>
                <c:pt idx="13">
                  <c:v>3.6873115442208899</c:v>
                </c:pt>
                <c:pt idx="14">
                  <c:v>2.0486348171819628</c:v>
                </c:pt>
                <c:pt idx="15">
                  <c:v>1.6260683441280008</c:v>
                </c:pt>
                <c:pt idx="16">
                  <c:v>1.5467455931493816</c:v>
                </c:pt>
                <c:pt idx="17">
                  <c:v>0.6746537525767593</c:v>
                </c:pt>
                <c:pt idx="18">
                  <c:v>0.28967826176176459</c:v>
                </c:pt>
                <c:pt idx="19">
                  <c:v>-0.10380295649311222</c:v>
                </c:pt>
                <c:pt idx="20">
                  <c:v>-0.60811626273246588</c:v>
                </c:pt>
                <c:pt idx="21">
                  <c:v>-8.5986145744413989E-2</c:v>
                </c:pt>
                <c:pt idx="22">
                  <c:v>0.98445777391596323</c:v>
                </c:pt>
                <c:pt idx="23">
                  <c:v>1.0660324507457943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AFC-417B-B4F7-D7EC87D619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9005952"/>
        <c:axId val="269007488"/>
      </c:lineChart>
      <c:catAx>
        <c:axId val="26900595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269007488"/>
        <c:crosses val="autoZero"/>
        <c:auto val="1"/>
        <c:lblAlgn val="ctr"/>
        <c:lblOffset val="100"/>
        <c:noMultiLvlLbl val="0"/>
      </c:catAx>
      <c:valAx>
        <c:axId val="26900748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69005952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4144292468760548E-2"/>
          <c:y val="0.79016604750647301"/>
          <c:w val="0.92386482607227283"/>
          <c:h val="0.19462484520994944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681AD-41B0-431A-9D34-CF6700A12FAC}">
  <ds:schemaRefs>
    <ds:schemaRef ds:uri="http://purl.org/dc/dcmitype/"/>
    <ds:schemaRef ds:uri="http://schemas.microsoft.com/office/2006/documentManagement/types"/>
    <ds:schemaRef ds:uri="b8c0c86d-151e-4fca-b0d5-747e6692fa1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187BB0-665D-4788-984B-3D69493B5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87609-6E9A-430F-82F6-942D22E4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1738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4</cp:revision>
  <cp:lastPrinted>2014-07-17T14:07:00Z</cp:lastPrinted>
  <dcterms:created xsi:type="dcterms:W3CDTF">2025-03-20T11:47:00Z</dcterms:created>
  <dcterms:modified xsi:type="dcterms:W3CDTF">2025-03-20T11:58:00Z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