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50" w:rsidRPr="006A4AB4" w:rsidRDefault="004F7735" w:rsidP="00B43764">
      <w:pPr>
        <w:spacing w:after="240"/>
        <w:rPr>
          <w:rFonts w:cs="Arial"/>
          <w:b/>
          <w:color w:val="009BB4"/>
          <w:sz w:val="32"/>
          <w:szCs w:val="32"/>
        </w:rPr>
      </w:pPr>
      <w:r w:rsidRPr="006A4AB4">
        <w:rPr>
          <w:rFonts w:cs="Arial"/>
          <w:b/>
          <w:color w:val="009BB4"/>
          <w:sz w:val="32"/>
          <w:szCs w:val="32"/>
        </w:rPr>
        <w:t>METODIKA</w:t>
      </w:r>
    </w:p>
    <w:p w:rsidR="007E1850" w:rsidRPr="006A4AB4" w:rsidRDefault="007E1850" w:rsidP="00B43764">
      <w:pPr>
        <w:spacing w:after="120"/>
        <w:rPr>
          <w:rFonts w:cs="Arial"/>
          <w:b/>
          <w:color w:val="009BB4"/>
          <w:sz w:val="28"/>
          <w:szCs w:val="28"/>
        </w:rPr>
      </w:pPr>
      <w:r w:rsidRPr="006A4AB4">
        <w:rPr>
          <w:rFonts w:cs="Arial"/>
          <w:b/>
          <w:color w:val="009BB4"/>
          <w:sz w:val="28"/>
          <w:szCs w:val="28"/>
        </w:rPr>
        <w:t xml:space="preserve">Legislativní vymezení </w:t>
      </w:r>
      <w:r w:rsidR="00D36F63">
        <w:rPr>
          <w:rFonts w:cs="Arial"/>
          <w:b/>
          <w:color w:val="009BB4"/>
          <w:sz w:val="28"/>
          <w:szCs w:val="28"/>
        </w:rPr>
        <w:t>státních rozpočtových výdajů</w:t>
      </w:r>
      <w:r w:rsidRPr="006A4AB4">
        <w:rPr>
          <w:rFonts w:cs="Arial"/>
          <w:b/>
          <w:color w:val="009BB4"/>
          <w:sz w:val="28"/>
          <w:szCs w:val="28"/>
        </w:rPr>
        <w:t xml:space="preserve"> na výzkum a vývoj v ČR</w:t>
      </w:r>
    </w:p>
    <w:p w:rsidR="00793EC8" w:rsidRDefault="00375566" w:rsidP="00793EC8">
      <w:pPr>
        <w:spacing w:after="24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Přímá veřejná podpora </w:t>
      </w:r>
      <w:r w:rsidR="000E63E0" w:rsidRPr="00815862">
        <w:rPr>
          <w:rFonts w:cs="Arial"/>
          <w:b/>
          <w:szCs w:val="20"/>
        </w:rPr>
        <w:t xml:space="preserve">výzkumu a vývoje </w:t>
      </w:r>
      <w:r w:rsidR="000E63E0">
        <w:rPr>
          <w:rFonts w:cs="Arial"/>
          <w:szCs w:val="20"/>
        </w:rPr>
        <w:t>(dále jen VaV)</w:t>
      </w:r>
      <w:r>
        <w:rPr>
          <w:rFonts w:cs="Arial"/>
          <w:szCs w:val="20"/>
        </w:rPr>
        <w:t xml:space="preserve"> je </w:t>
      </w:r>
      <w:r w:rsidR="000E63E0" w:rsidRPr="000E63E0">
        <w:rPr>
          <w:rFonts w:cs="Arial"/>
          <w:szCs w:val="20"/>
        </w:rPr>
        <w:t xml:space="preserve">v současnosti </w:t>
      </w:r>
      <w:r>
        <w:rPr>
          <w:rFonts w:cs="Arial"/>
          <w:szCs w:val="20"/>
        </w:rPr>
        <w:t xml:space="preserve">primárním nástrojem </w:t>
      </w:r>
      <w:r w:rsidR="0011527F">
        <w:rPr>
          <w:rFonts w:cs="Arial"/>
          <w:szCs w:val="20"/>
        </w:rPr>
        <w:t>politiky ČR na</w:t>
      </w:r>
      <w:r>
        <w:rPr>
          <w:rFonts w:cs="Arial"/>
          <w:szCs w:val="20"/>
        </w:rPr>
        <w:t xml:space="preserve"> podporu provádění VaV</w:t>
      </w:r>
      <w:r w:rsidR="001C7306">
        <w:rPr>
          <w:rFonts w:cs="Arial"/>
          <w:szCs w:val="20"/>
        </w:rPr>
        <w:t>. Výzkum</w:t>
      </w:r>
      <w:r w:rsidR="0011527F">
        <w:rPr>
          <w:rFonts w:cs="Arial"/>
          <w:szCs w:val="20"/>
        </w:rPr>
        <w:t xml:space="preserve"> a vývoj je podporován jak účelovou formou podpory (grantové projekty, operační programy)</w:t>
      </w:r>
      <w:r w:rsidR="00733FF8">
        <w:rPr>
          <w:rFonts w:cs="Arial"/>
          <w:szCs w:val="20"/>
        </w:rPr>
        <w:t>,</w:t>
      </w:r>
      <w:r w:rsidR="0011527F">
        <w:rPr>
          <w:rFonts w:cs="Arial"/>
          <w:szCs w:val="20"/>
        </w:rPr>
        <w:t xml:space="preserve"> tak i institucionální formou (prostředky na dlouhodobý koncepční rozvoj výzkumných institucí a specifický výzkum na vysokých školách).   </w:t>
      </w:r>
    </w:p>
    <w:p w:rsidR="00793EC8" w:rsidRDefault="0011527F" w:rsidP="0011527F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Sledováním přímé veřejné podpory VaV se zabývá mezinárodně srovnatelná statistika </w:t>
      </w:r>
      <w:r w:rsidRPr="0011527F">
        <w:rPr>
          <w:rFonts w:cs="Arial"/>
          <w:b/>
          <w:szCs w:val="20"/>
        </w:rPr>
        <w:t>GBARD (</w:t>
      </w:r>
      <w:proofErr w:type="spellStart"/>
      <w:r w:rsidRPr="0011527F">
        <w:rPr>
          <w:rFonts w:cs="Arial"/>
          <w:b/>
          <w:szCs w:val="20"/>
        </w:rPr>
        <w:t>Government</w:t>
      </w:r>
      <w:proofErr w:type="spellEnd"/>
      <w:r w:rsidRPr="0011527F">
        <w:rPr>
          <w:rFonts w:cs="Arial"/>
          <w:b/>
          <w:szCs w:val="20"/>
        </w:rPr>
        <w:t xml:space="preserve"> Budget </w:t>
      </w:r>
      <w:proofErr w:type="spellStart"/>
      <w:r w:rsidRPr="0011527F">
        <w:rPr>
          <w:rFonts w:cs="Arial"/>
          <w:b/>
          <w:szCs w:val="20"/>
        </w:rPr>
        <w:t>Appropriations</w:t>
      </w:r>
      <w:proofErr w:type="spellEnd"/>
      <w:r w:rsidRPr="0011527F">
        <w:rPr>
          <w:rFonts w:cs="Arial"/>
          <w:b/>
          <w:szCs w:val="20"/>
        </w:rPr>
        <w:t xml:space="preserve"> </w:t>
      </w:r>
      <w:proofErr w:type="spellStart"/>
      <w:r w:rsidRPr="0011527F">
        <w:rPr>
          <w:rFonts w:cs="Arial"/>
          <w:b/>
          <w:szCs w:val="20"/>
        </w:rPr>
        <w:t>for</w:t>
      </w:r>
      <w:proofErr w:type="spellEnd"/>
      <w:r w:rsidRPr="0011527F">
        <w:rPr>
          <w:rFonts w:cs="Arial"/>
          <w:b/>
          <w:szCs w:val="20"/>
        </w:rPr>
        <w:t xml:space="preserve"> R&amp;D by </w:t>
      </w:r>
      <w:proofErr w:type="spellStart"/>
      <w:r w:rsidRPr="0011527F">
        <w:rPr>
          <w:rFonts w:cs="Arial"/>
          <w:b/>
          <w:szCs w:val="20"/>
        </w:rPr>
        <w:t>Socio-economic</w:t>
      </w:r>
      <w:proofErr w:type="spellEnd"/>
      <w:r w:rsidRPr="0011527F">
        <w:rPr>
          <w:rFonts w:cs="Arial"/>
          <w:b/>
          <w:szCs w:val="20"/>
        </w:rPr>
        <w:t xml:space="preserve"> </w:t>
      </w:r>
      <w:proofErr w:type="spellStart"/>
      <w:r w:rsidRPr="0011527F">
        <w:rPr>
          <w:rFonts w:cs="Arial"/>
          <w:b/>
          <w:szCs w:val="20"/>
        </w:rPr>
        <w:t>Objectives</w:t>
      </w:r>
      <w:proofErr w:type="spellEnd"/>
      <w:r w:rsidRPr="0011527F">
        <w:rPr>
          <w:rFonts w:cs="Arial"/>
          <w:b/>
          <w:szCs w:val="20"/>
        </w:rPr>
        <w:t>)</w:t>
      </w:r>
      <w:r>
        <w:rPr>
          <w:rFonts w:cs="Arial"/>
          <w:szCs w:val="20"/>
        </w:rPr>
        <w:t xml:space="preserve">. Cílem této statistické úlohy GBARD </w:t>
      </w:r>
      <w:r w:rsidRPr="0011527F">
        <w:rPr>
          <w:rFonts w:cs="Arial"/>
          <w:szCs w:val="20"/>
        </w:rPr>
        <w:t>v českém ekvivalentu „</w:t>
      </w:r>
      <w:r w:rsidRPr="0011527F">
        <w:rPr>
          <w:rFonts w:cs="Arial"/>
          <w:b/>
          <w:szCs w:val="20"/>
        </w:rPr>
        <w:t>státní rozpočtové výdaje na výzkum a vývoj</w:t>
      </w:r>
      <w:r w:rsidR="001C7306">
        <w:rPr>
          <w:rFonts w:cs="Arial"/>
          <w:b/>
          <w:szCs w:val="20"/>
        </w:rPr>
        <w:t xml:space="preserve"> podle socioekonomických </w:t>
      </w:r>
      <w:r w:rsidRPr="0011527F">
        <w:rPr>
          <w:rFonts w:cs="Arial"/>
          <w:b/>
          <w:szCs w:val="20"/>
        </w:rPr>
        <w:t>cílů</w:t>
      </w:r>
      <w:r w:rsidRPr="0011527F">
        <w:rPr>
          <w:rFonts w:cs="Arial"/>
          <w:szCs w:val="20"/>
        </w:rPr>
        <w:t xml:space="preserve">“ je zabezpečení údajů o státní podpoře </w:t>
      </w:r>
      <w:r>
        <w:rPr>
          <w:rFonts w:cs="Arial"/>
          <w:szCs w:val="20"/>
        </w:rPr>
        <w:t>VaV</w:t>
      </w:r>
      <w:r w:rsidRPr="0011527F">
        <w:rPr>
          <w:rFonts w:cs="Arial"/>
          <w:szCs w:val="20"/>
        </w:rPr>
        <w:t xml:space="preserve"> plynoucí z veřejných rozpočtů v členění</w:t>
      </w:r>
      <w:r w:rsidR="002F211D">
        <w:rPr>
          <w:rFonts w:cs="Arial"/>
          <w:szCs w:val="20"/>
        </w:rPr>
        <w:t xml:space="preserve"> podle socioekonomických cílů (směrů)</w:t>
      </w:r>
      <w:r w:rsidRPr="0011527F">
        <w:rPr>
          <w:rFonts w:cs="Arial"/>
          <w:szCs w:val="20"/>
        </w:rPr>
        <w:t>. Údaje z této statistiky slouží v členských zemích EU jako podpora pro rozhodování, do jakých oblastí výzkumu a vývoje by mělo být v následujících letech investováno.</w:t>
      </w:r>
    </w:p>
    <w:p w:rsidR="00BF0EEC" w:rsidRDefault="000660A1" w:rsidP="0011527F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Statistická úloha GBA</w:t>
      </w:r>
      <w:r w:rsidR="00BF0EEC" w:rsidRPr="00BF0EEC">
        <w:rPr>
          <w:rFonts w:cs="Arial"/>
          <w:szCs w:val="20"/>
        </w:rPr>
        <w:t xml:space="preserve">RD je v rámci Evropské unie organizována jako povinné zjišťování na základě legislativního aktu </w:t>
      </w:r>
      <w:r w:rsidR="00BF0EEC" w:rsidRPr="00BF0EEC">
        <w:rPr>
          <w:rFonts w:cs="Arial"/>
          <w:b/>
          <w:szCs w:val="20"/>
        </w:rPr>
        <w:t>nařízení Komise EU č. 995/2012</w:t>
      </w:r>
      <w:r w:rsidR="00BF0EEC" w:rsidRPr="00BF0EEC">
        <w:rPr>
          <w:rFonts w:cs="Arial"/>
          <w:szCs w:val="20"/>
        </w:rPr>
        <w:t xml:space="preserve"> ze dne 26. října 2012, kterým se stanoví prováděcí pravidla k rozhodnutí EP a Rady č. 1608/2003/ES o tvorbě a rozvoji statistiky Společenství v oblasti vědy a techniky. Zabezpečení údajů </w:t>
      </w:r>
      <w:r w:rsidR="00A67730">
        <w:rPr>
          <w:rFonts w:cs="Arial"/>
          <w:szCs w:val="20"/>
        </w:rPr>
        <w:t>GBARD</w:t>
      </w:r>
      <w:r w:rsidR="00BF0EEC" w:rsidRPr="00BF0EEC">
        <w:rPr>
          <w:rFonts w:cs="Arial"/>
          <w:szCs w:val="20"/>
        </w:rPr>
        <w:t xml:space="preserve"> je pro Českou republiku závazné. Z národních právních norem je pro vlastní koncepci </w:t>
      </w:r>
      <w:r w:rsidR="005C73BD">
        <w:rPr>
          <w:rFonts w:cs="Arial"/>
          <w:szCs w:val="20"/>
        </w:rPr>
        <w:t xml:space="preserve">zajištění této statistiky </w:t>
      </w:r>
      <w:r w:rsidR="00BF0EEC" w:rsidRPr="00BF0EEC">
        <w:rPr>
          <w:rFonts w:cs="Arial"/>
          <w:szCs w:val="20"/>
        </w:rPr>
        <w:t>důležitý zákon č. 130/2002 Sb.</w:t>
      </w:r>
    </w:p>
    <w:p w:rsidR="0068335A" w:rsidRDefault="0068335A" w:rsidP="0011527F">
      <w:pPr>
        <w:spacing w:after="240"/>
        <w:jc w:val="both"/>
        <w:rPr>
          <w:rFonts w:cs="Arial"/>
          <w:szCs w:val="20"/>
        </w:rPr>
      </w:pPr>
      <w:r w:rsidRPr="0068335A">
        <w:rPr>
          <w:rFonts w:cs="Arial"/>
          <w:szCs w:val="20"/>
        </w:rPr>
        <w:t>Platná metodika vztažená k této úloze je rozvedena v mezinárodní příručce „</w:t>
      </w:r>
      <w:r w:rsidR="000F1241">
        <w:rPr>
          <w:rFonts w:cs="Arial"/>
          <w:szCs w:val="20"/>
        </w:rPr>
        <w:t>Doporučení pro sběr a vykazování údajů o</w:t>
      </w:r>
      <w:r w:rsidRPr="0068335A">
        <w:rPr>
          <w:rFonts w:cs="Arial"/>
          <w:szCs w:val="20"/>
        </w:rPr>
        <w:t xml:space="preserve"> výzkumu a </w:t>
      </w:r>
      <w:r w:rsidR="000F1241">
        <w:rPr>
          <w:rFonts w:cs="Arial"/>
          <w:szCs w:val="20"/>
        </w:rPr>
        <w:t>experimentálním vývoji</w:t>
      </w:r>
      <w:r w:rsidRPr="0068335A">
        <w:rPr>
          <w:rFonts w:cs="Arial"/>
          <w:szCs w:val="20"/>
        </w:rPr>
        <w:t xml:space="preserve">“ známé pod zkráceným názvem </w:t>
      </w:r>
      <w:proofErr w:type="spellStart"/>
      <w:r w:rsidRPr="0068335A">
        <w:rPr>
          <w:rFonts w:cs="Arial"/>
          <w:b/>
          <w:szCs w:val="20"/>
        </w:rPr>
        <w:t>Frascati</w:t>
      </w:r>
      <w:proofErr w:type="spellEnd"/>
      <w:r w:rsidRPr="0068335A">
        <w:rPr>
          <w:rFonts w:cs="Arial"/>
          <w:b/>
          <w:szCs w:val="20"/>
        </w:rPr>
        <w:t xml:space="preserve"> manuál</w:t>
      </w:r>
      <w:r>
        <w:rPr>
          <w:rFonts w:cs="Arial"/>
          <w:szCs w:val="20"/>
        </w:rPr>
        <w:t xml:space="preserve"> (revize 2015</w:t>
      </w:r>
      <w:r w:rsidRPr="0068335A">
        <w:rPr>
          <w:rFonts w:cs="Arial"/>
          <w:szCs w:val="20"/>
        </w:rPr>
        <w:t>)</w:t>
      </w:r>
      <w:r w:rsidR="00CB1FC0">
        <w:rPr>
          <w:rStyle w:val="Znakapoznpodarou"/>
          <w:rFonts w:cs="Arial"/>
          <w:szCs w:val="20"/>
        </w:rPr>
        <w:footnoteReference w:id="1"/>
      </w:r>
      <w:r w:rsidRPr="0068335A">
        <w:rPr>
          <w:rFonts w:cs="Arial"/>
          <w:szCs w:val="20"/>
        </w:rPr>
        <w:t>, který vznikl z podnětu OECD. Vlastní číselní</w:t>
      </w:r>
      <w:r w:rsidR="00CB1FC0">
        <w:rPr>
          <w:rFonts w:cs="Arial"/>
          <w:szCs w:val="20"/>
        </w:rPr>
        <w:t>k kódů socioekonomických cílů</w:t>
      </w:r>
      <w:r w:rsidRPr="0068335A">
        <w:rPr>
          <w:rFonts w:cs="Arial"/>
          <w:szCs w:val="20"/>
        </w:rPr>
        <w:t xml:space="preserve"> lze nalézt v klasifikaci NABS: </w:t>
      </w:r>
      <w:r w:rsidRPr="0068335A">
        <w:rPr>
          <w:rFonts w:cs="Arial"/>
          <w:b/>
          <w:szCs w:val="20"/>
        </w:rPr>
        <w:t>Nomenklatura pro analýzu a srovnání vědeckých programů a rozpočtů</w:t>
      </w:r>
      <w:r w:rsidRPr="0068335A">
        <w:rPr>
          <w:rFonts w:cs="Arial"/>
          <w:szCs w:val="20"/>
        </w:rPr>
        <w:t xml:space="preserve"> (</w:t>
      </w:r>
      <w:proofErr w:type="spellStart"/>
      <w:r w:rsidRPr="0068335A">
        <w:rPr>
          <w:rFonts w:cs="Arial"/>
          <w:szCs w:val="20"/>
        </w:rPr>
        <w:t>rev</w:t>
      </w:r>
      <w:proofErr w:type="spellEnd"/>
      <w:r w:rsidRPr="0068335A">
        <w:rPr>
          <w:rFonts w:cs="Arial"/>
          <w:szCs w:val="20"/>
        </w:rPr>
        <w:t xml:space="preserve">. 1992, </w:t>
      </w:r>
      <w:proofErr w:type="spellStart"/>
      <w:r w:rsidRPr="0068335A">
        <w:rPr>
          <w:rFonts w:cs="Arial"/>
          <w:szCs w:val="20"/>
        </w:rPr>
        <w:t>Eurostat</w:t>
      </w:r>
      <w:proofErr w:type="spellEnd"/>
      <w:r w:rsidRPr="0068335A">
        <w:rPr>
          <w:rFonts w:cs="Arial"/>
          <w:szCs w:val="20"/>
        </w:rPr>
        <w:t xml:space="preserve"> 1994 a </w:t>
      </w:r>
      <w:proofErr w:type="spellStart"/>
      <w:r w:rsidRPr="0068335A">
        <w:rPr>
          <w:rFonts w:cs="Arial"/>
          <w:szCs w:val="20"/>
        </w:rPr>
        <w:t>rev</w:t>
      </w:r>
      <w:proofErr w:type="spellEnd"/>
      <w:r w:rsidRPr="0068335A">
        <w:rPr>
          <w:rFonts w:cs="Arial"/>
          <w:szCs w:val="20"/>
        </w:rPr>
        <w:t xml:space="preserve">. 2007, </w:t>
      </w:r>
      <w:proofErr w:type="spellStart"/>
      <w:r w:rsidRPr="0068335A">
        <w:rPr>
          <w:rFonts w:cs="Arial"/>
          <w:szCs w:val="20"/>
        </w:rPr>
        <w:t>Eurostat</w:t>
      </w:r>
      <w:proofErr w:type="spellEnd"/>
      <w:r w:rsidRPr="0068335A">
        <w:rPr>
          <w:rFonts w:cs="Arial"/>
          <w:szCs w:val="20"/>
        </w:rPr>
        <w:t xml:space="preserve"> 2007).</w:t>
      </w:r>
    </w:p>
    <w:p w:rsidR="00EA2E9E" w:rsidRDefault="00EA2E9E" w:rsidP="00C463A9">
      <w:pPr>
        <w:spacing w:before="240" w:after="240"/>
        <w:jc w:val="both"/>
        <w:rPr>
          <w:rFonts w:cs="Arial"/>
          <w:b/>
          <w:color w:val="009BB4"/>
          <w:sz w:val="28"/>
          <w:szCs w:val="28"/>
        </w:rPr>
      </w:pPr>
      <w:r w:rsidRPr="00EA2E9E">
        <w:rPr>
          <w:rFonts w:cs="Arial"/>
          <w:b/>
          <w:color w:val="009BB4"/>
          <w:sz w:val="28"/>
          <w:szCs w:val="28"/>
        </w:rPr>
        <w:t>Koncepce statistické úlohy</w:t>
      </w:r>
      <w:r>
        <w:rPr>
          <w:rFonts w:cs="Arial"/>
          <w:b/>
          <w:color w:val="009BB4"/>
          <w:sz w:val="28"/>
          <w:szCs w:val="28"/>
        </w:rPr>
        <w:t xml:space="preserve"> GBARD</w:t>
      </w:r>
      <w:r w:rsidRPr="00EA2E9E">
        <w:rPr>
          <w:rFonts w:cs="Arial"/>
          <w:b/>
          <w:color w:val="009BB4"/>
          <w:sz w:val="28"/>
          <w:szCs w:val="28"/>
        </w:rPr>
        <w:t xml:space="preserve"> </w:t>
      </w:r>
    </w:p>
    <w:p w:rsidR="002F682C" w:rsidRDefault="002F682C" w:rsidP="00C463A9">
      <w:pPr>
        <w:spacing w:before="240" w:after="240"/>
        <w:jc w:val="both"/>
        <w:rPr>
          <w:rFonts w:cs="Arial"/>
          <w:szCs w:val="20"/>
        </w:rPr>
      </w:pPr>
      <w:r>
        <w:rPr>
          <w:rStyle w:val="st"/>
          <w:rFonts w:cs="Arial"/>
          <w:szCs w:val="20"/>
        </w:rPr>
        <w:t>D</w:t>
      </w:r>
      <w:r w:rsidRPr="00E11327">
        <w:rPr>
          <w:rStyle w:val="st"/>
          <w:rFonts w:cs="Arial"/>
          <w:szCs w:val="20"/>
        </w:rPr>
        <w:t xml:space="preserve">efinice </w:t>
      </w:r>
      <w:r>
        <w:rPr>
          <w:rStyle w:val="st"/>
          <w:rFonts w:cs="Arial"/>
          <w:szCs w:val="20"/>
        </w:rPr>
        <w:t>a vyme</w:t>
      </w:r>
      <w:r w:rsidR="0024531D">
        <w:rPr>
          <w:rStyle w:val="st"/>
          <w:rFonts w:cs="Arial"/>
          <w:szCs w:val="20"/>
        </w:rPr>
        <w:t>zení základních kategorií VaV jsou</w:t>
      </w:r>
      <w:r>
        <w:rPr>
          <w:rStyle w:val="st"/>
          <w:rFonts w:cs="Arial"/>
          <w:szCs w:val="20"/>
        </w:rPr>
        <w:t xml:space="preserve"> </w:t>
      </w:r>
      <w:r w:rsidRPr="00DF7E65">
        <w:rPr>
          <w:rStyle w:val="st"/>
          <w:rFonts w:cs="Arial"/>
          <w:b/>
          <w:szCs w:val="20"/>
        </w:rPr>
        <w:t>v souladu</w:t>
      </w:r>
      <w:r w:rsidRPr="00E11327">
        <w:rPr>
          <w:rStyle w:val="st"/>
          <w:rFonts w:cs="Arial"/>
          <w:szCs w:val="20"/>
        </w:rPr>
        <w:t xml:space="preserve"> s široce užívanými </w:t>
      </w:r>
      <w:r>
        <w:rPr>
          <w:rStyle w:val="st"/>
          <w:rFonts w:cs="Arial"/>
          <w:szCs w:val="20"/>
        </w:rPr>
        <w:t xml:space="preserve">mezinárodními </w:t>
      </w:r>
      <w:r w:rsidR="0024531D">
        <w:rPr>
          <w:rStyle w:val="st"/>
          <w:rFonts w:cs="Arial"/>
          <w:szCs w:val="20"/>
        </w:rPr>
        <w:t xml:space="preserve">definicemi odvozenými od </w:t>
      </w:r>
      <w:proofErr w:type="spellStart"/>
      <w:r w:rsidRPr="00E11327">
        <w:rPr>
          <w:rStyle w:val="st"/>
          <w:rFonts w:cs="Arial"/>
          <w:szCs w:val="20"/>
        </w:rPr>
        <w:t>Frascati</w:t>
      </w:r>
      <w:proofErr w:type="spellEnd"/>
      <w:r w:rsidRPr="00E11327">
        <w:rPr>
          <w:rStyle w:val="st"/>
          <w:rFonts w:cs="Arial"/>
          <w:szCs w:val="20"/>
        </w:rPr>
        <w:t xml:space="preserve"> manuálu</w:t>
      </w:r>
      <w:r>
        <w:rPr>
          <w:rStyle w:val="st"/>
          <w:rFonts w:cs="Arial"/>
          <w:szCs w:val="20"/>
        </w:rPr>
        <w:t>. Podrobné vymezení VaV, tak jak je používáno ČSÚ v Ročním šetření o výzkumu a vývoji je uvedeno v publikaci: „</w:t>
      </w:r>
      <w:r w:rsidRPr="00DF7E65">
        <w:rPr>
          <w:rStyle w:val="st"/>
          <w:rFonts w:cs="Arial"/>
          <w:b/>
          <w:szCs w:val="20"/>
        </w:rPr>
        <w:t>Ukazatele výzkumu a vývoje“</w:t>
      </w:r>
      <w:r w:rsidRPr="00DF7E65">
        <w:rPr>
          <w:rStyle w:val="Znakapoznpodarou"/>
          <w:rFonts w:cs="Arial"/>
          <w:b/>
          <w:szCs w:val="20"/>
        </w:rPr>
        <w:footnoteReference w:id="2"/>
      </w:r>
      <w:r w:rsidRPr="00ED26B4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nebo na stránkách ČSÚ</w:t>
      </w:r>
      <w:r>
        <w:rPr>
          <w:rStyle w:val="Znakapoznpodarou"/>
          <w:rFonts w:cs="Arial"/>
          <w:szCs w:val="20"/>
        </w:rPr>
        <w:footnoteReference w:id="3"/>
      </w:r>
      <w:r>
        <w:rPr>
          <w:rStyle w:val="st"/>
          <w:rFonts w:cs="Arial"/>
          <w:szCs w:val="20"/>
        </w:rPr>
        <w:t xml:space="preserve">. </w:t>
      </w:r>
      <w:r w:rsidRPr="00ED26B4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   </w:t>
      </w:r>
    </w:p>
    <w:p w:rsidR="00CC5D9D" w:rsidRDefault="00CC5D9D" w:rsidP="00C463A9">
      <w:pPr>
        <w:spacing w:before="240" w:after="24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b/>
          <w:color w:val="009BB4"/>
          <w:sz w:val="24"/>
        </w:rPr>
        <w:t>Vymezení výzkumu a vývoje</w:t>
      </w:r>
    </w:p>
    <w:p w:rsidR="00CC5D9D" w:rsidRPr="00CC5D9D" w:rsidRDefault="00CC5D9D" w:rsidP="008E6828">
      <w:pPr>
        <w:spacing w:after="120"/>
        <w:jc w:val="both"/>
        <w:rPr>
          <w:rStyle w:val="st"/>
          <w:rFonts w:cs="Arial"/>
          <w:szCs w:val="20"/>
        </w:rPr>
      </w:pPr>
      <w:r w:rsidRPr="00CC5D9D">
        <w:rPr>
          <w:rStyle w:val="st"/>
          <w:rFonts w:cs="Arial"/>
          <w:szCs w:val="20"/>
        </w:rPr>
        <w:t xml:space="preserve">Základní vymezení </w:t>
      </w:r>
      <w:r>
        <w:rPr>
          <w:rStyle w:val="st"/>
          <w:rFonts w:cs="Arial"/>
          <w:szCs w:val="20"/>
        </w:rPr>
        <w:t>VaV</w:t>
      </w:r>
      <w:r w:rsidRPr="00CC5D9D">
        <w:rPr>
          <w:rStyle w:val="st"/>
          <w:rFonts w:cs="Arial"/>
          <w:szCs w:val="20"/>
        </w:rPr>
        <w:t xml:space="preserve"> vychází z § 2 odst. 1 </w:t>
      </w:r>
      <w:r w:rsidR="008E6828" w:rsidRPr="00815862">
        <w:rPr>
          <w:rStyle w:val="st"/>
          <w:rFonts w:cs="Arial"/>
          <w:szCs w:val="20"/>
        </w:rPr>
        <w:t>zákona o podpoře výzkumu a vývoje (č. 130/2002 Sb.)</w:t>
      </w:r>
      <w:r w:rsidR="008E6828">
        <w:rPr>
          <w:rStyle w:val="st"/>
          <w:rFonts w:cs="Arial"/>
          <w:szCs w:val="20"/>
        </w:rPr>
        <w:t xml:space="preserve">, kde se VaV </w:t>
      </w:r>
      <w:r w:rsidRPr="00CC5D9D">
        <w:rPr>
          <w:rStyle w:val="st"/>
          <w:rFonts w:cs="Arial"/>
          <w:szCs w:val="20"/>
        </w:rPr>
        <w:t>obecně rozumí systematická tvůrčí práce konaná za účelem získání</w:t>
      </w:r>
      <w:r>
        <w:rPr>
          <w:rStyle w:val="st"/>
          <w:rFonts w:cs="Arial"/>
          <w:szCs w:val="20"/>
        </w:rPr>
        <w:t xml:space="preserve"> </w:t>
      </w:r>
      <w:r w:rsidRPr="00CC5D9D">
        <w:rPr>
          <w:rStyle w:val="st"/>
          <w:rFonts w:cs="Arial"/>
          <w:szCs w:val="20"/>
        </w:rPr>
        <w:t>nových znalostí nebo jejich využití</w:t>
      </w:r>
      <w:r w:rsidR="00470CEE">
        <w:rPr>
          <w:rStyle w:val="st"/>
          <w:rFonts w:cs="Arial"/>
          <w:szCs w:val="20"/>
        </w:rPr>
        <w:t>.</w:t>
      </w:r>
      <w:r w:rsidR="008E6828">
        <w:rPr>
          <w:rStyle w:val="st"/>
          <w:rFonts w:cs="Arial"/>
          <w:szCs w:val="20"/>
        </w:rPr>
        <w:t xml:space="preserve"> </w:t>
      </w:r>
      <w:r w:rsidR="008E6828" w:rsidRPr="008E6828">
        <w:rPr>
          <w:rStyle w:val="st"/>
          <w:rFonts w:cs="Arial"/>
          <w:b/>
          <w:szCs w:val="20"/>
        </w:rPr>
        <w:t>Základním kritériem</w:t>
      </w:r>
      <w:r w:rsidR="008E6828" w:rsidRPr="009D2799">
        <w:rPr>
          <w:rStyle w:val="st"/>
          <w:rFonts w:cs="Arial"/>
          <w:szCs w:val="20"/>
        </w:rPr>
        <w:t xml:space="preserve"> pro odlišení </w:t>
      </w:r>
      <w:r w:rsidR="008E6828">
        <w:rPr>
          <w:rStyle w:val="st"/>
          <w:rFonts w:cs="Arial"/>
          <w:szCs w:val="20"/>
        </w:rPr>
        <w:t>VaV</w:t>
      </w:r>
      <w:r w:rsidR="008E6828" w:rsidRPr="009D2799">
        <w:rPr>
          <w:rStyle w:val="st"/>
          <w:rFonts w:cs="Arial"/>
          <w:szCs w:val="20"/>
        </w:rPr>
        <w:t xml:space="preserve"> od ostatních (příbuzných) činností</w:t>
      </w:r>
      <w:r w:rsidR="008E6828">
        <w:rPr>
          <w:rStyle w:val="st"/>
          <w:rFonts w:cs="Arial"/>
          <w:szCs w:val="20"/>
        </w:rPr>
        <w:t xml:space="preserve"> </w:t>
      </w:r>
      <w:r w:rsidR="008E6828" w:rsidRPr="009D2799">
        <w:rPr>
          <w:rStyle w:val="st"/>
          <w:rFonts w:cs="Arial"/>
          <w:szCs w:val="20"/>
        </w:rPr>
        <w:t xml:space="preserve">je </w:t>
      </w:r>
      <w:r w:rsidR="008E6828" w:rsidRPr="008E6828">
        <w:rPr>
          <w:rStyle w:val="st"/>
          <w:rFonts w:cs="Arial"/>
          <w:b/>
          <w:szCs w:val="20"/>
        </w:rPr>
        <w:t xml:space="preserve">přítomnost ocenitelného prvku novosti </w:t>
      </w:r>
      <w:r w:rsidR="008E6828" w:rsidRPr="00815862">
        <w:rPr>
          <w:rStyle w:val="st"/>
          <w:rFonts w:cs="Arial"/>
          <w:szCs w:val="20"/>
        </w:rPr>
        <w:t>a vyjasnění výzkumné nebo technické nejistoty.</w:t>
      </w:r>
      <w:r w:rsidR="008E6828">
        <w:rPr>
          <w:rStyle w:val="st"/>
          <w:rFonts w:cs="Arial"/>
          <w:b/>
          <w:szCs w:val="20"/>
        </w:rPr>
        <w:t xml:space="preserve"> </w:t>
      </w:r>
      <w:r w:rsidR="00470CEE">
        <w:rPr>
          <w:rStyle w:val="st"/>
          <w:rFonts w:cs="Arial"/>
          <w:szCs w:val="20"/>
        </w:rPr>
        <w:t xml:space="preserve">VaV se </w:t>
      </w:r>
      <w:r w:rsidRPr="00CC5D9D">
        <w:rPr>
          <w:rStyle w:val="st"/>
          <w:rFonts w:cs="Arial"/>
          <w:szCs w:val="20"/>
        </w:rPr>
        <w:t>dále rozlišuje</w:t>
      </w:r>
      <w:r w:rsidR="00470CEE">
        <w:rPr>
          <w:rStyle w:val="st"/>
          <w:rFonts w:cs="Arial"/>
          <w:szCs w:val="20"/>
        </w:rPr>
        <w:t xml:space="preserve"> na následující kategorie</w:t>
      </w:r>
      <w:r w:rsidRPr="00CC5D9D">
        <w:rPr>
          <w:rStyle w:val="st"/>
          <w:rFonts w:cs="Arial"/>
          <w:szCs w:val="20"/>
        </w:rPr>
        <w:t>:</w:t>
      </w:r>
    </w:p>
    <w:p w:rsidR="00DF7E65" w:rsidRPr="00DF7E65" w:rsidRDefault="00CC5D9D" w:rsidP="00DF7E65">
      <w:pPr>
        <w:pStyle w:val="Odstavecseseznamem"/>
        <w:numPr>
          <w:ilvl w:val="0"/>
          <w:numId w:val="7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výzkum</w:t>
      </w:r>
      <w:r w:rsidR="003F05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systematická tvůrčí práce rozšiřující poznání, včetně poznání člověka,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kultury nebo společnosti, metodami umožňujícími potvrzení, doplnění či vyvrácení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získaných poznatků, prováděná jako</w:t>
      </w:r>
      <w:r w:rsidR="00C96820">
        <w:rPr>
          <w:rStyle w:val="st"/>
          <w:rFonts w:cs="Arial"/>
          <w:szCs w:val="20"/>
        </w:rPr>
        <w:t>:</w:t>
      </w:r>
    </w:p>
    <w:p w:rsidR="00CC5D9D" w:rsidRPr="00881296" w:rsidRDefault="00CC5D9D" w:rsidP="00DF7E65">
      <w:pPr>
        <w:pStyle w:val="Odstavecseseznamem"/>
        <w:numPr>
          <w:ilvl w:val="1"/>
          <w:numId w:val="9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lastRenderedPageBreak/>
        <w:t>základní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experimentální nebo teoretické práce prováděné s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cílem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získat znalosti o základech či podstatě pozorovaných jevů, vysvětlení jejich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příčin a možných dopadů při využití získaných poznatků;</w:t>
      </w:r>
    </w:p>
    <w:p w:rsidR="00CC5D9D" w:rsidRPr="00881296" w:rsidRDefault="00CC5D9D" w:rsidP="00DF7E65">
      <w:pPr>
        <w:pStyle w:val="Odstavecseseznamem"/>
        <w:numPr>
          <w:ilvl w:val="1"/>
          <w:numId w:val="9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aplikovaný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experimentální nebo teoretické práce prováděné s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cílem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získání nových poznatků zaměřených na budoucí využití v praxi;</w:t>
      </w:r>
    </w:p>
    <w:p w:rsidR="008E6828" w:rsidRPr="008E6828" w:rsidRDefault="00CC5D9D" w:rsidP="007F39BE">
      <w:pPr>
        <w:pStyle w:val="Odstavecseseznamem"/>
        <w:numPr>
          <w:ilvl w:val="2"/>
          <w:numId w:val="20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průmyslový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část aplikovaného výzkumu, jehož výsledky se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prostřednictvím vývoje využívají v nových výrobcích, technologiích a</w:t>
      </w:r>
      <w:r w:rsidR="00470CEE" w:rsidRPr="00881296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službách, které jsou určeny k podnikání podle zvláštního právního</w:t>
      </w:r>
      <w:r w:rsidR="00470CEE" w:rsidRPr="00ED26B4">
        <w:rPr>
          <w:rStyle w:val="st"/>
          <w:rFonts w:cs="Arial"/>
          <w:szCs w:val="20"/>
        </w:rPr>
        <w:t xml:space="preserve"> </w:t>
      </w:r>
      <w:r w:rsidRPr="00ED26B4">
        <w:rPr>
          <w:rStyle w:val="st"/>
          <w:rFonts w:cs="Arial"/>
          <w:szCs w:val="20"/>
        </w:rPr>
        <w:t>předpisu</w:t>
      </w:r>
      <w:r w:rsidR="00DF7E65">
        <w:rPr>
          <w:rStyle w:val="st"/>
          <w:rFonts w:cs="Arial"/>
          <w:szCs w:val="20"/>
        </w:rPr>
        <w:t>.</w:t>
      </w:r>
    </w:p>
    <w:p w:rsidR="00CC5D9D" w:rsidRPr="00ED26B4" w:rsidRDefault="00CC5D9D" w:rsidP="00E14754">
      <w:pPr>
        <w:pStyle w:val="Odstavecseseznamem"/>
        <w:numPr>
          <w:ilvl w:val="0"/>
          <w:numId w:val="7"/>
        </w:numPr>
        <w:spacing w:after="24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 xml:space="preserve">vývoj </w:t>
      </w:r>
      <w:r w:rsidR="007F39BE">
        <w:rPr>
          <w:rStyle w:val="st"/>
          <w:rFonts w:cs="Arial"/>
          <w:szCs w:val="20"/>
        </w:rPr>
        <w:t>–</w:t>
      </w:r>
      <w:r w:rsidRPr="00C96820">
        <w:rPr>
          <w:rStyle w:val="st"/>
          <w:rFonts w:cs="Arial"/>
          <w:szCs w:val="20"/>
        </w:rPr>
        <w:t xml:space="preserve"> systematické tvůrčí využití poznatků výzkumu nebo jiných námětů k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produkci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nových nebo zlepšených materiálů, výrobků nebo zařízení anebo k zavedení nových či</w:t>
      </w:r>
      <w:r w:rsidR="00470CEE" w:rsidRPr="00881296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zlepšených technologií, systémů a služeb, včetně pořízení a ověření prototypů,</w:t>
      </w:r>
      <w:r w:rsidR="00470CEE" w:rsidRPr="00ED26B4">
        <w:rPr>
          <w:rStyle w:val="st"/>
          <w:rFonts w:cs="Arial"/>
          <w:szCs w:val="20"/>
        </w:rPr>
        <w:t xml:space="preserve"> </w:t>
      </w:r>
      <w:r w:rsidRPr="00ED26B4">
        <w:rPr>
          <w:rStyle w:val="st"/>
          <w:rFonts w:cs="Arial"/>
          <w:szCs w:val="20"/>
        </w:rPr>
        <w:t>poloprovozních nebo předváděcích zařízení</w:t>
      </w:r>
      <w:r w:rsidR="00470CEE" w:rsidRPr="00ED26B4">
        <w:rPr>
          <w:rStyle w:val="st"/>
          <w:rFonts w:cs="Arial"/>
          <w:szCs w:val="20"/>
        </w:rPr>
        <w:t>.</w:t>
      </w:r>
    </w:p>
    <w:p w:rsidR="004C331C" w:rsidRPr="004C331C" w:rsidRDefault="004C331C" w:rsidP="004C331C">
      <w:pPr>
        <w:spacing w:before="120" w:after="120"/>
        <w:jc w:val="both"/>
        <w:rPr>
          <w:rFonts w:cs="Arial"/>
          <w:szCs w:val="20"/>
        </w:rPr>
      </w:pPr>
      <w:r w:rsidRPr="004C331C">
        <w:rPr>
          <w:rFonts w:cs="Arial"/>
          <w:szCs w:val="20"/>
        </w:rPr>
        <w:t xml:space="preserve">Na rozdíl od jiných statistických šetření prováděných v oblasti </w:t>
      </w:r>
      <w:r w:rsidR="000F3C36">
        <w:rPr>
          <w:rFonts w:cs="Arial"/>
          <w:szCs w:val="20"/>
        </w:rPr>
        <w:t>výzkumu a vývoje jsou údaje GBA</w:t>
      </w:r>
      <w:r w:rsidRPr="004C331C">
        <w:rPr>
          <w:rFonts w:cs="Arial"/>
          <w:szCs w:val="20"/>
        </w:rPr>
        <w:t xml:space="preserve">RD založeny na analýze a identifikaci všech částek plynoucích na výzkum a vývoj (dále jen "VaV") z veřejných rozpočtů a následném přiřazení kódů socioekonomických cílů. Jedná se tedy o </w:t>
      </w:r>
      <w:r w:rsidRPr="000F3C36">
        <w:rPr>
          <w:rFonts w:cs="Arial"/>
          <w:b/>
          <w:szCs w:val="20"/>
        </w:rPr>
        <w:t>přístup z hlediska poskytovatele finančních prostředků</w:t>
      </w:r>
      <w:r w:rsidRPr="004C331C">
        <w:rPr>
          <w:rFonts w:cs="Arial"/>
          <w:szCs w:val="20"/>
        </w:rPr>
        <w:t>, kterým je v tomto případě stát zastoupený administrativou, a ne o přístup z hlediska jednotky provádějící VaV, jak je tomu například v Ročním statistickém šetření o výzkumu a vývoji (VTR 5-01).</w:t>
      </w:r>
    </w:p>
    <w:p w:rsidR="004C331C" w:rsidRP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GBA</w:t>
      </w:r>
      <w:r w:rsidR="004C331C" w:rsidRPr="000F3C36">
        <w:rPr>
          <w:rFonts w:cs="Arial"/>
          <w:b/>
          <w:szCs w:val="20"/>
        </w:rPr>
        <w:t>RD zahrnují veškeré finanční prostředky poskytnuté z veřejných rozpočtů na podporu VaV, včetně prostředků plynoucích na VaV do zahraničí.</w:t>
      </w:r>
      <w:r w:rsidR="004C331C" w:rsidRPr="004C331C">
        <w:rPr>
          <w:rFonts w:cs="Arial"/>
          <w:szCs w:val="20"/>
        </w:rPr>
        <w:t xml:space="preserve"> Na základě metodiky statistické úlohy je z</w:t>
      </w:r>
      <w:r w:rsidR="009E3A8D">
        <w:rPr>
          <w:rFonts w:cs="Arial"/>
          <w:szCs w:val="20"/>
        </w:rPr>
        <w:t xml:space="preserve"> údajů </w:t>
      </w:r>
      <w:r w:rsidR="00A67730">
        <w:rPr>
          <w:rFonts w:cs="Arial"/>
          <w:szCs w:val="20"/>
        </w:rPr>
        <w:t>GBARD</w:t>
      </w:r>
      <w:r w:rsidR="004C331C" w:rsidRPr="004C331C">
        <w:rPr>
          <w:rFonts w:cs="Arial"/>
          <w:szCs w:val="20"/>
        </w:rPr>
        <w:t xml:space="preserve"> vyloučeno předfinancování projektů hrazených ze strukturálních fondů EU. </w:t>
      </w:r>
      <w:r w:rsidR="004C331C" w:rsidRPr="000F3C36">
        <w:rPr>
          <w:rFonts w:cs="Arial"/>
          <w:b/>
          <w:szCs w:val="20"/>
        </w:rPr>
        <w:t xml:space="preserve">Podpora inovací </w:t>
      </w:r>
      <w:r w:rsidR="002F408C">
        <w:rPr>
          <w:rFonts w:cs="Arial"/>
          <w:b/>
          <w:szCs w:val="20"/>
        </w:rPr>
        <w:t xml:space="preserve">také </w:t>
      </w:r>
      <w:r w:rsidR="004C331C" w:rsidRPr="000F3C36">
        <w:rPr>
          <w:rFonts w:cs="Arial"/>
          <w:b/>
          <w:szCs w:val="20"/>
        </w:rPr>
        <w:t>není zahrnuta</w:t>
      </w:r>
      <w:r>
        <w:rPr>
          <w:rFonts w:cs="Arial"/>
          <w:szCs w:val="20"/>
        </w:rPr>
        <w:t xml:space="preserve"> do </w:t>
      </w:r>
      <w:r w:rsidR="002F408C">
        <w:rPr>
          <w:rFonts w:cs="Arial"/>
          <w:szCs w:val="20"/>
        </w:rPr>
        <w:t xml:space="preserve">údajů </w:t>
      </w:r>
      <w:r>
        <w:rPr>
          <w:rFonts w:cs="Arial"/>
          <w:szCs w:val="20"/>
        </w:rPr>
        <w:t>GBA</w:t>
      </w:r>
      <w:r w:rsidR="004C331C" w:rsidRPr="004C331C">
        <w:rPr>
          <w:rFonts w:cs="Arial"/>
          <w:szCs w:val="20"/>
        </w:rPr>
        <w:t>RD. Vychází se přitom z výdajů schválených v zákoně o státním rozpočtu pro dané fiskální období (předběžné údaje) a výdajů závěrečného státního účtu pro oblast VaV (konečné údaje). Veřejnými rozpočty jsou v tomto případě míněny státní rozpočet a rozpočty krajů. Státní rozpočet je zahrnut vždy, krajské rozpočty pouze v případě, ž</w:t>
      </w:r>
      <w:r w:rsidR="009E3A8D">
        <w:rPr>
          <w:rFonts w:cs="Arial"/>
          <w:szCs w:val="20"/>
        </w:rPr>
        <w:t>e jejich příspěvek je významný</w:t>
      </w:r>
      <w:r w:rsidR="009E3A8D">
        <w:rPr>
          <w:rStyle w:val="Znakapoznpodarou"/>
          <w:rFonts w:cs="Arial"/>
          <w:szCs w:val="20"/>
        </w:rPr>
        <w:footnoteReference w:id="4"/>
      </w:r>
      <w:r w:rsidR="009E3A8D">
        <w:rPr>
          <w:rFonts w:cs="Arial"/>
          <w:szCs w:val="20"/>
        </w:rPr>
        <w:t>.</w:t>
      </w:r>
      <w:r w:rsidR="004C331C" w:rsidRPr="004C331C">
        <w:rPr>
          <w:rFonts w:cs="Arial"/>
          <w:szCs w:val="20"/>
        </w:rPr>
        <w:t xml:space="preserve"> Rozpočty na úrovni místní samosprávy, tj. města a obce jsou vyloučeny.</w:t>
      </w:r>
    </w:p>
    <w:p w:rsidR="004C331C" w:rsidRP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Údaje GBA</w:t>
      </w:r>
      <w:r w:rsidR="004C331C" w:rsidRPr="004C331C">
        <w:rPr>
          <w:rFonts w:cs="Arial"/>
          <w:szCs w:val="20"/>
        </w:rPr>
        <w:t xml:space="preserve">RD zahrnují běžné i kapitálové výdaje. Striktně je vyloučena veškerá podpora realizovaná prostřednictvím návratných půjček. </w:t>
      </w:r>
    </w:p>
    <w:p w:rsid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Do údajů GBA</w:t>
      </w:r>
      <w:r w:rsidR="004C331C" w:rsidRPr="004C331C">
        <w:rPr>
          <w:rFonts w:cs="Arial"/>
          <w:szCs w:val="20"/>
        </w:rPr>
        <w:t xml:space="preserve">RD spadají i všeobecné univerzitní fondy (SEO 10: Všeobecný výzkum na vysokých školách), které jsou pro potřeby této úlohy vymezeny v souladu s definicí </w:t>
      </w:r>
      <w:proofErr w:type="spellStart"/>
      <w:r w:rsidR="004C331C" w:rsidRPr="004C331C">
        <w:rPr>
          <w:rFonts w:cs="Arial"/>
          <w:szCs w:val="20"/>
        </w:rPr>
        <w:t>Frascati</w:t>
      </w:r>
      <w:proofErr w:type="spellEnd"/>
      <w:r w:rsidR="004C331C" w:rsidRPr="004C331C">
        <w:rPr>
          <w:rFonts w:cs="Arial"/>
          <w:szCs w:val="20"/>
        </w:rPr>
        <w:t xml:space="preserve"> manuálu jako veškeré institucionální prostředky poskytnuté vysokým školám na podporu VaV</w:t>
      </w:r>
      <w:r w:rsidR="004C331C" w:rsidRPr="003B4301">
        <w:rPr>
          <w:rStyle w:val="Znakapoznpodarou"/>
          <w:rFonts w:ascii="Calibri" w:hAnsi="Calibri"/>
          <w:szCs w:val="22"/>
        </w:rPr>
        <w:footnoteReference w:id="5"/>
      </w:r>
      <w:r>
        <w:rPr>
          <w:rFonts w:cs="Arial"/>
          <w:szCs w:val="20"/>
        </w:rPr>
        <w:t>.</w:t>
      </w:r>
      <w:r w:rsidR="004C331C" w:rsidRPr="004C331C">
        <w:rPr>
          <w:rFonts w:cs="Arial"/>
          <w:szCs w:val="20"/>
        </w:rPr>
        <w:t xml:space="preserve"> Takto jsou všeobecné univerzitní fondy nově definované dle metodické revize 2013. Před revizí zahrnovaly veškeré prostředky poskytnuté Ministerstvem školství, mládeže a tělovýchovy vysokým školám na výzkum a vývoj.</w:t>
      </w:r>
    </w:p>
    <w:p w:rsidR="00D06608" w:rsidRDefault="007F2DF7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Kódy socioekonomických cílů</w:t>
      </w:r>
      <w:r w:rsidR="00D06608" w:rsidRPr="00D06608">
        <w:rPr>
          <w:rFonts w:cs="Arial"/>
          <w:szCs w:val="20"/>
        </w:rPr>
        <w:t xml:space="preserve"> jsou </w:t>
      </w:r>
      <w:r>
        <w:rPr>
          <w:rFonts w:cs="Arial"/>
          <w:szCs w:val="20"/>
        </w:rPr>
        <w:t xml:space="preserve">u účelových finančních prostředků </w:t>
      </w:r>
      <w:r w:rsidR="00D06608" w:rsidRPr="00D06608">
        <w:rPr>
          <w:rFonts w:cs="Arial"/>
          <w:szCs w:val="20"/>
        </w:rPr>
        <w:t xml:space="preserve">přiřazeny na základě kritéria účelu a obsahu VaV </w:t>
      </w:r>
      <w:r>
        <w:rPr>
          <w:rFonts w:cs="Arial"/>
          <w:szCs w:val="20"/>
        </w:rPr>
        <w:t>programu (projektů)</w:t>
      </w:r>
      <w:r w:rsidR="00D06608" w:rsidRPr="00D06608">
        <w:rPr>
          <w:rFonts w:cs="Arial"/>
          <w:szCs w:val="20"/>
        </w:rPr>
        <w:t>.</w:t>
      </w:r>
      <w:r w:rsidR="00B72F57">
        <w:rPr>
          <w:rFonts w:cs="Arial"/>
          <w:szCs w:val="20"/>
        </w:rPr>
        <w:t xml:space="preserve"> U institucionálních prostředků pak podle výzkumného zaměření příjemce.</w:t>
      </w:r>
    </w:p>
    <w:p w:rsidR="00B66D0F" w:rsidRDefault="00B66D0F" w:rsidP="00B66D0F">
      <w:pPr>
        <w:spacing w:before="120" w:after="120"/>
        <w:jc w:val="both"/>
        <w:rPr>
          <w:rStyle w:val="st"/>
          <w:rFonts w:cs="Arial"/>
          <w:b/>
          <w:color w:val="009BB4"/>
          <w:sz w:val="24"/>
        </w:rPr>
      </w:pPr>
      <w:r>
        <w:rPr>
          <w:rStyle w:val="st"/>
          <w:rFonts w:cs="Arial"/>
          <w:b/>
          <w:color w:val="009BB4"/>
          <w:sz w:val="24"/>
        </w:rPr>
        <w:t>V</w:t>
      </w:r>
      <w:r w:rsidRPr="00B66D0F">
        <w:rPr>
          <w:rStyle w:val="st"/>
          <w:rFonts w:cs="Arial"/>
          <w:b/>
          <w:color w:val="009BB4"/>
          <w:sz w:val="24"/>
        </w:rPr>
        <w:t xml:space="preserve">ymezení pojmů </w:t>
      </w:r>
    </w:p>
    <w:p w:rsidR="00B66D0F" w:rsidRDefault="00B66D0F" w:rsidP="00B66D0F">
      <w:pPr>
        <w:spacing w:before="120" w:after="120"/>
        <w:jc w:val="both"/>
        <w:rPr>
          <w:rStyle w:val="st"/>
          <w:rFonts w:cs="Arial"/>
          <w:b/>
          <w:szCs w:val="20"/>
        </w:rPr>
      </w:pPr>
      <w:r>
        <w:rPr>
          <w:rStyle w:val="st"/>
          <w:rFonts w:cs="Arial"/>
          <w:b/>
          <w:szCs w:val="20"/>
        </w:rPr>
        <w:t>Forma podpory</w:t>
      </w:r>
      <w:r w:rsidR="00974A1B">
        <w:rPr>
          <w:rStyle w:val="st"/>
          <w:rFonts w:cs="Arial"/>
          <w:b/>
          <w:szCs w:val="20"/>
        </w:rPr>
        <w:t xml:space="preserve"> </w:t>
      </w:r>
      <w:r w:rsidR="00974A1B" w:rsidRPr="00974A1B">
        <w:rPr>
          <w:rStyle w:val="st"/>
          <w:rFonts w:cs="Arial"/>
          <w:szCs w:val="20"/>
        </w:rPr>
        <w:t xml:space="preserve">(dle metodiky OECD, která se </w:t>
      </w:r>
      <w:r w:rsidR="003E6983">
        <w:rPr>
          <w:rStyle w:val="st"/>
          <w:rFonts w:cs="Arial"/>
          <w:szCs w:val="20"/>
        </w:rPr>
        <w:t xml:space="preserve">odlišuje od členění dané </w:t>
      </w:r>
      <w:r w:rsidR="00D959F5">
        <w:rPr>
          <w:rFonts w:cs="Arial"/>
          <w:szCs w:val="20"/>
        </w:rPr>
        <w:t>novelizovaným zákonem č. </w:t>
      </w:r>
      <w:r w:rsidR="003E6983" w:rsidRPr="00725AF2">
        <w:rPr>
          <w:rFonts w:cs="Arial"/>
          <w:szCs w:val="20"/>
        </w:rPr>
        <w:t>130/2002 Sb. o podpoře výzkumu, vývoje a inovací</w:t>
      </w:r>
      <w:r w:rsidR="003E6983">
        <w:rPr>
          <w:rFonts w:cs="Arial"/>
          <w:szCs w:val="20"/>
        </w:rPr>
        <w:t>):</w:t>
      </w:r>
    </w:p>
    <w:p w:rsidR="00B66D0F" w:rsidRPr="00B66D0F" w:rsidRDefault="00331575" w:rsidP="00606393">
      <w:pPr>
        <w:pStyle w:val="Odstavecseseznamem"/>
        <w:numPr>
          <w:ilvl w:val="0"/>
          <w:numId w:val="2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ú</w:t>
      </w:r>
      <w:r w:rsidR="00B66D0F" w:rsidRPr="00B66D0F">
        <w:rPr>
          <w:rStyle w:val="st"/>
          <w:rFonts w:cs="Arial"/>
          <w:b/>
          <w:szCs w:val="20"/>
        </w:rPr>
        <w:t>čelová podpora</w:t>
      </w:r>
      <w:r w:rsidR="00CB5425">
        <w:rPr>
          <w:rStyle w:val="st"/>
          <w:rFonts w:cs="Arial"/>
          <w:szCs w:val="20"/>
        </w:rPr>
        <w:t xml:space="preserve"> – zahrnuje </w:t>
      </w:r>
      <w:r w:rsidR="00B66D0F" w:rsidRPr="00B66D0F">
        <w:rPr>
          <w:rStyle w:val="st"/>
          <w:rFonts w:cs="Arial"/>
          <w:szCs w:val="20"/>
        </w:rPr>
        <w:t>projekty</w:t>
      </w:r>
      <w:r w:rsidR="00CB5425">
        <w:rPr>
          <w:rStyle w:val="st"/>
          <w:rFonts w:cs="Arial"/>
          <w:szCs w:val="20"/>
        </w:rPr>
        <w:t xml:space="preserve"> v rámci programů vyhlašovaných ministerstvy a VaV agenturami</w:t>
      </w:r>
      <w:r w:rsidR="009E7F21">
        <w:rPr>
          <w:rStyle w:val="st"/>
          <w:rFonts w:cs="Arial"/>
          <w:szCs w:val="20"/>
        </w:rPr>
        <w:t xml:space="preserve"> (GA ČR a TA ČR)</w:t>
      </w:r>
      <w:r w:rsidR="00B66D0F" w:rsidRPr="00B66D0F">
        <w:rPr>
          <w:rStyle w:val="st"/>
          <w:rFonts w:cs="Arial"/>
          <w:szCs w:val="20"/>
        </w:rPr>
        <w:t xml:space="preserve">, </w:t>
      </w:r>
      <w:r w:rsidR="00CB5425">
        <w:rPr>
          <w:rStyle w:val="st"/>
          <w:rFonts w:cs="Arial"/>
          <w:szCs w:val="20"/>
        </w:rPr>
        <w:t xml:space="preserve">také </w:t>
      </w:r>
      <w:r w:rsidR="00B66D0F" w:rsidRPr="00B66D0F">
        <w:rPr>
          <w:rStyle w:val="st"/>
          <w:rFonts w:cs="Arial"/>
          <w:szCs w:val="20"/>
        </w:rPr>
        <w:t>projekty financované z operačních programů</w:t>
      </w:r>
      <w:r w:rsidR="00CB5425">
        <w:rPr>
          <w:rStyle w:val="st"/>
          <w:rFonts w:cs="Arial"/>
          <w:szCs w:val="20"/>
        </w:rPr>
        <w:t xml:space="preserve"> a projekty 7. Rámcového p</w:t>
      </w:r>
      <w:r w:rsidR="00F01960">
        <w:rPr>
          <w:rStyle w:val="st"/>
          <w:rFonts w:cs="Arial"/>
          <w:szCs w:val="20"/>
        </w:rPr>
        <w:t>rogramu pro výzkum a technologický rozvoj</w:t>
      </w:r>
      <w:r w:rsidR="00B66D0F" w:rsidRPr="00B66D0F">
        <w:rPr>
          <w:rStyle w:val="st"/>
          <w:rFonts w:cs="Arial"/>
          <w:szCs w:val="20"/>
        </w:rPr>
        <w:t>.</w:t>
      </w:r>
    </w:p>
    <w:p w:rsidR="00B66D0F" w:rsidRPr="00B66D0F" w:rsidRDefault="00331575" w:rsidP="00606393">
      <w:pPr>
        <w:pStyle w:val="Odstavecseseznamem"/>
        <w:numPr>
          <w:ilvl w:val="0"/>
          <w:numId w:val="2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i</w:t>
      </w:r>
      <w:r w:rsidR="00B66D0F" w:rsidRPr="00B66D0F">
        <w:rPr>
          <w:rStyle w:val="st"/>
          <w:rFonts w:cs="Arial"/>
          <w:b/>
          <w:szCs w:val="20"/>
        </w:rPr>
        <w:t>nstitucionální podpora</w:t>
      </w:r>
      <w:r w:rsidR="00B66D0F" w:rsidRPr="00B66D0F">
        <w:rPr>
          <w:rStyle w:val="st"/>
          <w:rFonts w:cs="Arial"/>
          <w:szCs w:val="20"/>
        </w:rPr>
        <w:t xml:space="preserve"> – zahrnuje rozvoj výzkumných organizací, specifický výzkum na vysokých školách</w:t>
      </w:r>
      <w:r w:rsidR="00FD4CE1">
        <w:rPr>
          <w:rStyle w:val="st"/>
          <w:rFonts w:cs="Arial"/>
          <w:szCs w:val="20"/>
        </w:rPr>
        <w:t>, podporu mezinárodního VaV</w:t>
      </w:r>
      <w:r w:rsidR="00B66D0F" w:rsidRPr="00B66D0F">
        <w:rPr>
          <w:rStyle w:val="st"/>
          <w:rFonts w:cs="Arial"/>
          <w:szCs w:val="20"/>
        </w:rPr>
        <w:t xml:space="preserve"> a dříve i výzkumné záměry. </w:t>
      </w:r>
    </w:p>
    <w:p w:rsidR="001048C1" w:rsidRPr="001048C1" w:rsidRDefault="001048C1" w:rsidP="00B66D0F">
      <w:pPr>
        <w:spacing w:before="120"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lastRenderedPageBreak/>
        <w:t>Dlouho</w:t>
      </w:r>
      <w:r w:rsidR="0011360E">
        <w:rPr>
          <w:rStyle w:val="st"/>
          <w:rFonts w:cs="Arial"/>
          <w:b/>
          <w:szCs w:val="20"/>
        </w:rPr>
        <w:t>dobý koncepční rozvoj výzkumné organizace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– </w:t>
      </w:r>
      <w:r w:rsidR="00FD4CE1">
        <w:rPr>
          <w:rStyle w:val="st"/>
          <w:rFonts w:cs="Arial"/>
          <w:szCs w:val="20"/>
        </w:rPr>
        <w:t>zahrnuje</w:t>
      </w:r>
      <w:r w:rsidR="0011360E">
        <w:rPr>
          <w:rStyle w:val="st"/>
          <w:rFonts w:cs="Arial"/>
          <w:szCs w:val="20"/>
        </w:rPr>
        <w:t xml:space="preserve"> institucionální podporu </w:t>
      </w:r>
      <w:r w:rsidR="0011360E" w:rsidRPr="0011360E">
        <w:rPr>
          <w:rStyle w:val="st"/>
          <w:rFonts w:cs="Arial"/>
          <w:szCs w:val="20"/>
        </w:rPr>
        <w:t>na dlouhodobý koncepční rozvoj výzkumné orga</w:t>
      </w:r>
      <w:r w:rsidR="0011360E">
        <w:rPr>
          <w:rStyle w:val="st"/>
          <w:rFonts w:cs="Arial"/>
          <w:szCs w:val="20"/>
        </w:rPr>
        <w:t xml:space="preserve">nizace na základě zhodnocení </w:t>
      </w:r>
      <w:r w:rsidR="0011360E" w:rsidRPr="0011360E">
        <w:rPr>
          <w:rStyle w:val="st"/>
          <w:rFonts w:cs="Arial"/>
          <w:szCs w:val="20"/>
        </w:rPr>
        <w:t>dosažených výsledků</w:t>
      </w:r>
      <w:r w:rsidR="0011360E">
        <w:rPr>
          <w:rStyle w:val="st"/>
          <w:rFonts w:cs="Arial"/>
          <w:szCs w:val="20"/>
        </w:rPr>
        <w:t>.</w:t>
      </w:r>
      <w:r w:rsidR="00D343DC">
        <w:rPr>
          <w:rStyle w:val="st"/>
          <w:rFonts w:cs="Arial"/>
          <w:szCs w:val="20"/>
        </w:rPr>
        <w:t xml:space="preserve"> Od roku 2010 postupně </w:t>
      </w:r>
      <w:r w:rsidR="00E90B9E">
        <w:rPr>
          <w:rStyle w:val="st"/>
          <w:rFonts w:cs="Arial"/>
          <w:szCs w:val="20"/>
        </w:rPr>
        <w:t xml:space="preserve">tento typ podpory </w:t>
      </w:r>
      <w:r w:rsidR="00D343DC">
        <w:rPr>
          <w:rStyle w:val="st"/>
          <w:rFonts w:cs="Arial"/>
          <w:szCs w:val="20"/>
        </w:rPr>
        <w:t xml:space="preserve">nahradil institucionální podporu poskytovanou ve formě výzkumných záměrů. </w:t>
      </w:r>
    </w:p>
    <w:p w:rsidR="00B66D0F" w:rsidRPr="00B66D0F" w:rsidRDefault="00B66D0F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B66D0F">
        <w:rPr>
          <w:rStyle w:val="st"/>
          <w:rFonts w:cs="Arial"/>
          <w:b/>
          <w:szCs w:val="20"/>
        </w:rPr>
        <w:t>Specifický výzkum na vysokých školách</w:t>
      </w:r>
      <w:r w:rsidRPr="00B66D0F">
        <w:rPr>
          <w:rStyle w:val="st"/>
          <w:rFonts w:cs="Arial"/>
          <w:szCs w:val="20"/>
        </w:rPr>
        <w:t xml:space="preserve"> – zahrnuje výzkum prováděný studenty při uskutečňování akreditovaných doktorských nebo magisterských studijních programů, který je bezprostředně spojen s jejich vzděláváním.</w:t>
      </w:r>
    </w:p>
    <w:p w:rsidR="00B66D0F" w:rsidRDefault="00B66D0F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B66D0F">
        <w:rPr>
          <w:rStyle w:val="st"/>
          <w:rFonts w:cs="Arial"/>
          <w:b/>
          <w:szCs w:val="20"/>
        </w:rPr>
        <w:t>Podpora mezinárodního výzkumu a vývoje</w:t>
      </w:r>
      <w:r w:rsidRPr="00B66D0F">
        <w:rPr>
          <w:rStyle w:val="st"/>
          <w:rFonts w:cs="Arial"/>
          <w:szCs w:val="20"/>
        </w:rPr>
        <w:t xml:space="preserve"> – zahrnuje poplatky za účast České republiky v mezinárodních programech výzkumu a vývoje, poplatky za členství v mezinárodních organizacích výzkumu a vývoje nebo finanční podíly z prostředků České republiky na podporu projektů mezinárodní spolupráce ve výzkumu a vývoji, pokud je tento finanční podíl možno hradit z veřejných prostředků a pokud jsou projekty podporovány z rozpočtu jiných států nebo z rozpočtu Evropské unie nebo z prostředků mezinárodních organizací.</w:t>
      </w:r>
    </w:p>
    <w:p w:rsidR="00BD3ECB" w:rsidRDefault="00D91648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D91648">
        <w:rPr>
          <w:rStyle w:val="st"/>
          <w:rFonts w:cs="Arial"/>
          <w:b/>
          <w:szCs w:val="20"/>
        </w:rPr>
        <w:t>Socioekonomický cíl</w:t>
      </w:r>
      <w:r>
        <w:rPr>
          <w:rStyle w:val="st"/>
          <w:rFonts w:cs="Arial"/>
          <w:szCs w:val="20"/>
        </w:rPr>
        <w:t xml:space="preserve"> – předem vymezené VaV oblasti, do kterých jsou alokovány státní rozpočtové výdaje dle priorit stanovaných VaV politikou. Seznam socioekonomických cílů je </w:t>
      </w:r>
      <w:r w:rsidR="0069312F">
        <w:rPr>
          <w:rStyle w:val="st"/>
          <w:rFonts w:cs="Arial"/>
          <w:szCs w:val="20"/>
        </w:rPr>
        <w:t>uveden v již zmíněné klasifikaci</w:t>
      </w:r>
      <w:r>
        <w:rPr>
          <w:rStyle w:val="st"/>
          <w:rFonts w:cs="Arial"/>
          <w:szCs w:val="20"/>
        </w:rPr>
        <w:t xml:space="preserve"> NABS (1992, 2007)</w:t>
      </w:r>
      <w:r w:rsidR="00303A70">
        <w:rPr>
          <w:rStyle w:val="st"/>
          <w:rFonts w:cs="Arial"/>
          <w:szCs w:val="20"/>
        </w:rPr>
        <w:t xml:space="preserve">, viz také příloha </w:t>
      </w:r>
      <w:r w:rsidR="00710CCB">
        <w:rPr>
          <w:rStyle w:val="st"/>
          <w:rFonts w:cs="Arial"/>
          <w:szCs w:val="20"/>
        </w:rPr>
        <w:t>1</w:t>
      </w:r>
      <w:r>
        <w:rPr>
          <w:rStyle w:val="st"/>
          <w:rFonts w:cs="Arial"/>
          <w:szCs w:val="20"/>
        </w:rPr>
        <w:t xml:space="preserve">. 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40"/>
        <w:gridCol w:w="960"/>
        <w:gridCol w:w="960"/>
      </w:tblGrid>
      <w:tr w:rsidR="003A165B" w:rsidRPr="003A165B" w:rsidTr="003A165B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Hlavní socioekonomické cíle (SEO1)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Počet podcílů cílů SEO2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Počet dílčích cílů SEO3</w:t>
            </w:r>
          </w:p>
        </w:tc>
      </w:tr>
      <w:tr w:rsidR="003A165B" w:rsidRPr="003A165B" w:rsidTr="003A165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165B" w:rsidRPr="003A165B" w:rsidTr="003A165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Průzkum a využití zdrojů Země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Infrastruktura a územní plánování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Ochrana životního prostředí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Ochrana a zlepšování lidského zdraví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SEO05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Výroba, distribuce a racionální využití energie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SEO06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Zemědělská výroba a technologie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SEO07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Průmyslová výroba a technologie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SEO08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Společenské struktury a vztahy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SEO09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Průzkum a využití vesmíru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Všeobecný výzkum na vysokých školách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Neorientovaný výzkum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Ostatní civilní výzkum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Obrana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D91648" w:rsidRDefault="00D91648" w:rsidP="00B66D0F">
      <w:pPr>
        <w:spacing w:before="120" w:after="120"/>
        <w:jc w:val="both"/>
        <w:rPr>
          <w:rStyle w:val="st"/>
          <w:rFonts w:cs="Arial"/>
          <w:szCs w:val="20"/>
        </w:rPr>
      </w:pPr>
    </w:p>
    <w:p w:rsidR="00E5337C" w:rsidRDefault="0057313E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57313E">
        <w:rPr>
          <w:rStyle w:val="st"/>
          <w:rFonts w:cs="Arial"/>
          <w:b/>
          <w:szCs w:val="20"/>
        </w:rPr>
        <w:t>Poskytovatelé státních veřejných výdajů na VaV (statistika jednotka)</w:t>
      </w:r>
      <w:r>
        <w:rPr>
          <w:rStyle w:val="st"/>
          <w:rFonts w:cs="Arial"/>
          <w:szCs w:val="20"/>
        </w:rPr>
        <w:t xml:space="preserve"> – jsou veškeré rozpočtové kapitoly, </w:t>
      </w:r>
      <w:r w:rsidR="000735D7">
        <w:rPr>
          <w:rStyle w:val="st"/>
          <w:rFonts w:cs="Arial"/>
          <w:szCs w:val="20"/>
        </w:rPr>
        <w:t xml:space="preserve">které </w:t>
      </w:r>
      <w:r>
        <w:rPr>
          <w:rStyle w:val="st"/>
          <w:rFonts w:cs="Arial"/>
          <w:szCs w:val="20"/>
        </w:rPr>
        <w:t>dle záko</w:t>
      </w:r>
      <w:r w:rsidR="000735D7">
        <w:rPr>
          <w:rStyle w:val="st"/>
          <w:rFonts w:cs="Arial"/>
          <w:szCs w:val="20"/>
        </w:rPr>
        <w:t xml:space="preserve">na o státním rozpočtu ČR </w:t>
      </w:r>
      <w:r>
        <w:rPr>
          <w:rStyle w:val="st"/>
          <w:rFonts w:cs="Arial"/>
          <w:szCs w:val="20"/>
        </w:rPr>
        <w:t xml:space="preserve">mohou přidělovat </w:t>
      </w:r>
      <w:r w:rsidR="000735D7">
        <w:rPr>
          <w:rStyle w:val="st"/>
          <w:rFonts w:cs="Arial"/>
          <w:szCs w:val="20"/>
        </w:rPr>
        <w:t xml:space="preserve">finanční </w:t>
      </w:r>
      <w:r>
        <w:rPr>
          <w:rStyle w:val="st"/>
          <w:rFonts w:cs="Arial"/>
          <w:szCs w:val="20"/>
        </w:rPr>
        <w:t>prostředky na podporu VaV formou přímé podpory.</w:t>
      </w:r>
      <w:r w:rsidR="00C716B1">
        <w:rPr>
          <w:rStyle w:val="st"/>
          <w:rFonts w:cs="Arial"/>
          <w:szCs w:val="20"/>
        </w:rPr>
        <w:t xml:space="preserve"> Jedná se vybraná ministerstva, z nichž nejdůležitější je Ministerstvo školství, mládeže a tělovýchovy (MŠMT), grantové agentury (Grantová agentura, Technologická agentura) a Akademie věd, která institucionálně financuje „své</w:t>
      </w:r>
      <w:r w:rsidR="00E90B9E">
        <w:rPr>
          <w:rStyle w:val="st"/>
          <w:rFonts w:cs="Arial"/>
          <w:szCs w:val="20"/>
        </w:rPr>
        <w:t xml:space="preserve"> ústavy</w:t>
      </w:r>
      <w:r w:rsidR="00C716B1">
        <w:rPr>
          <w:rStyle w:val="st"/>
          <w:rFonts w:cs="Arial"/>
          <w:szCs w:val="20"/>
        </w:rPr>
        <w:t xml:space="preserve">“ </w:t>
      </w:r>
      <w:r w:rsidR="00E90B9E">
        <w:rPr>
          <w:rStyle w:val="st"/>
          <w:rFonts w:cs="Arial"/>
          <w:szCs w:val="20"/>
        </w:rPr>
        <w:t>(</w:t>
      </w:r>
      <w:r w:rsidR="00C716B1">
        <w:rPr>
          <w:rStyle w:val="st"/>
          <w:rFonts w:cs="Arial"/>
          <w:szCs w:val="20"/>
        </w:rPr>
        <w:t>veřejné výzkumné instituce</w:t>
      </w:r>
      <w:r w:rsidR="00E90B9E">
        <w:rPr>
          <w:rStyle w:val="st"/>
          <w:rFonts w:cs="Arial"/>
          <w:szCs w:val="20"/>
        </w:rPr>
        <w:t>)</w:t>
      </w:r>
      <w:r w:rsidR="00C716B1">
        <w:rPr>
          <w:rStyle w:val="st"/>
          <w:rFonts w:cs="Arial"/>
          <w:szCs w:val="20"/>
        </w:rPr>
        <w:t xml:space="preserve">. </w:t>
      </w:r>
    </w:p>
    <w:p w:rsidR="00E5337C" w:rsidRDefault="00E5337C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3F28DA">
        <w:rPr>
          <w:rStyle w:val="st"/>
          <w:rFonts w:cs="Arial"/>
          <w:b/>
          <w:szCs w:val="20"/>
        </w:rPr>
        <w:t>Sektory</w:t>
      </w:r>
      <w:r w:rsidR="00AA53C1" w:rsidRPr="003F28DA">
        <w:rPr>
          <w:rStyle w:val="st"/>
          <w:rFonts w:cs="Arial"/>
          <w:b/>
          <w:szCs w:val="20"/>
        </w:rPr>
        <w:t xml:space="preserve"> provádění VaV</w:t>
      </w:r>
      <w:r w:rsidR="00AA53C1">
        <w:rPr>
          <w:rStyle w:val="st"/>
          <w:rFonts w:cs="Arial"/>
          <w:szCs w:val="20"/>
        </w:rPr>
        <w:t xml:space="preserve"> dle příjemců státních rozpočtových výdajů na VaV</w:t>
      </w:r>
      <w:r w:rsidR="00606D07">
        <w:rPr>
          <w:rStyle w:val="Znakapoznpodarou"/>
          <w:rFonts w:cs="Arial"/>
          <w:szCs w:val="20"/>
        </w:rPr>
        <w:footnoteReference w:id="6"/>
      </w:r>
      <w:r w:rsidR="00AA53C1">
        <w:rPr>
          <w:rStyle w:val="st"/>
          <w:rFonts w:cs="Arial"/>
          <w:szCs w:val="20"/>
        </w:rPr>
        <w:t xml:space="preserve">: 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Podnikatelský</w:t>
      </w:r>
      <w:r>
        <w:rPr>
          <w:rStyle w:val="st"/>
          <w:rFonts w:cs="Arial"/>
          <w:szCs w:val="20"/>
        </w:rPr>
        <w:t xml:space="preserve"> (veřejné a soukromé podniky</w:t>
      </w:r>
      <w:r w:rsidRPr="00AA53C1">
        <w:rPr>
          <w:rStyle w:val="st"/>
          <w:rFonts w:cs="Arial"/>
          <w:szCs w:val="20"/>
        </w:rPr>
        <w:t>,</w:t>
      </w:r>
      <w:r>
        <w:rPr>
          <w:rStyle w:val="st"/>
          <w:rFonts w:cs="Arial"/>
          <w:szCs w:val="20"/>
        </w:rPr>
        <w:t xml:space="preserve"> </w:t>
      </w:r>
      <w:r w:rsidR="003F28DA">
        <w:rPr>
          <w:rStyle w:val="st"/>
          <w:rFonts w:cs="Arial"/>
          <w:szCs w:val="20"/>
        </w:rPr>
        <w:t>podnikatelé a zaměstnavatelé)</w:t>
      </w:r>
    </w:p>
    <w:p w:rsidR="003F28DA" w:rsidRPr="003F28DA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 xml:space="preserve">Vládní </w:t>
      </w:r>
      <w:r w:rsidR="003F28DA">
        <w:rPr>
          <w:rStyle w:val="st"/>
          <w:rFonts w:cs="Arial"/>
          <w:szCs w:val="20"/>
        </w:rPr>
        <w:t>(veřejné výzkumné instituce, AV ČR, reso</w:t>
      </w:r>
      <w:r w:rsidR="001958D4">
        <w:rPr>
          <w:rStyle w:val="st"/>
          <w:rFonts w:cs="Arial"/>
          <w:szCs w:val="20"/>
        </w:rPr>
        <w:t>rtní výzkumná pracoviště</w:t>
      </w:r>
      <w:r w:rsidR="00D079AA">
        <w:rPr>
          <w:rStyle w:val="st"/>
          <w:rFonts w:cs="Arial"/>
          <w:szCs w:val="20"/>
        </w:rPr>
        <w:t>, knihov</w:t>
      </w:r>
      <w:r w:rsidR="007A6115">
        <w:rPr>
          <w:rStyle w:val="st"/>
          <w:rFonts w:cs="Arial"/>
          <w:szCs w:val="20"/>
        </w:rPr>
        <w:t>ny, archívy, muzea a ostatní pří</w:t>
      </w:r>
      <w:r w:rsidR="00D079AA">
        <w:rPr>
          <w:rStyle w:val="st"/>
          <w:rFonts w:cs="Arial"/>
          <w:szCs w:val="20"/>
        </w:rPr>
        <w:t>jemci</w:t>
      </w:r>
      <w:r w:rsidR="003F28DA">
        <w:rPr>
          <w:rStyle w:val="st"/>
          <w:rFonts w:cs="Arial"/>
          <w:szCs w:val="20"/>
        </w:rPr>
        <w:t>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Vysokoškolský</w:t>
      </w:r>
      <w:r w:rsidR="003F28DA">
        <w:rPr>
          <w:rStyle w:val="st"/>
          <w:rFonts w:cs="Arial"/>
          <w:szCs w:val="20"/>
        </w:rPr>
        <w:t xml:space="preserve"> (veřejné vysoké školy, soukromé vysoké školy, fakultní nemocnice)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Soukromý neziskový</w:t>
      </w:r>
      <w:r w:rsidR="003F28DA">
        <w:rPr>
          <w:rStyle w:val="st"/>
          <w:rFonts w:cs="Arial"/>
          <w:szCs w:val="20"/>
        </w:rPr>
        <w:t xml:space="preserve"> (</w:t>
      </w:r>
      <w:r w:rsidR="00D70D40">
        <w:rPr>
          <w:rStyle w:val="st"/>
          <w:rFonts w:cs="Arial"/>
          <w:szCs w:val="20"/>
        </w:rPr>
        <w:t>neziskové instituce</w:t>
      </w:r>
      <w:r w:rsidR="003F28DA">
        <w:rPr>
          <w:rStyle w:val="st"/>
          <w:rFonts w:cs="Arial"/>
          <w:szCs w:val="20"/>
        </w:rPr>
        <w:t>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Zahraničí</w:t>
      </w:r>
      <w:r w:rsidR="003F28DA">
        <w:rPr>
          <w:rStyle w:val="st"/>
          <w:rFonts w:cs="Arial"/>
          <w:szCs w:val="20"/>
        </w:rPr>
        <w:t xml:space="preserve"> (jednotky</w:t>
      </w:r>
      <w:r w:rsidR="00703586">
        <w:rPr>
          <w:rStyle w:val="st"/>
          <w:rFonts w:cs="Arial"/>
          <w:szCs w:val="20"/>
        </w:rPr>
        <w:t xml:space="preserve"> provádějící</w:t>
      </w:r>
      <w:r w:rsidR="002A152A">
        <w:rPr>
          <w:rStyle w:val="st"/>
          <w:rFonts w:cs="Arial"/>
          <w:szCs w:val="20"/>
        </w:rPr>
        <w:t>/ koordinující</w:t>
      </w:r>
      <w:r w:rsidR="00703586">
        <w:rPr>
          <w:rStyle w:val="st"/>
          <w:rFonts w:cs="Arial"/>
          <w:szCs w:val="20"/>
        </w:rPr>
        <w:t xml:space="preserve"> VaV mim</w:t>
      </w:r>
      <w:r w:rsidR="003F28DA">
        <w:rPr>
          <w:rStyle w:val="st"/>
          <w:rFonts w:cs="Arial"/>
          <w:szCs w:val="20"/>
        </w:rPr>
        <w:t>o území ČR)</w:t>
      </w:r>
    </w:p>
    <w:p w:rsidR="0057313E" w:rsidRDefault="00C716B1" w:rsidP="00B66D0F">
      <w:pPr>
        <w:spacing w:before="120"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 </w:t>
      </w:r>
    </w:p>
    <w:p w:rsidR="007E1850" w:rsidRPr="000B1CA7" w:rsidRDefault="007E1850" w:rsidP="0024246D">
      <w:pPr>
        <w:pageBreakBefore/>
        <w:spacing w:before="120" w:after="120"/>
        <w:jc w:val="both"/>
        <w:rPr>
          <w:rFonts w:cs="Arial"/>
          <w:b/>
          <w:color w:val="009BB4"/>
          <w:sz w:val="28"/>
          <w:szCs w:val="28"/>
        </w:rPr>
      </w:pPr>
      <w:r w:rsidRPr="000B1CA7">
        <w:rPr>
          <w:rFonts w:cs="Arial"/>
          <w:b/>
          <w:color w:val="009BB4"/>
          <w:sz w:val="28"/>
          <w:szCs w:val="28"/>
        </w:rPr>
        <w:lastRenderedPageBreak/>
        <w:t xml:space="preserve">Statistika </w:t>
      </w:r>
      <w:r w:rsidR="006F3F09">
        <w:rPr>
          <w:rFonts w:cs="Arial"/>
          <w:b/>
          <w:color w:val="009BB4"/>
          <w:sz w:val="28"/>
          <w:szCs w:val="28"/>
        </w:rPr>
        <w:t>státních rozpočtových výdajů na VaV</w:t>
      </w:r>
    </w:p>
    <w:p w:rsidR="000F20BC" w:rsidRDefault="000F20BC" w:rsidP="00725AF2">
      <w:pPr>
        <w:spacing w:before="120" w:after="120"/>
        <w:jc w:val="both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Koncepce </w:t>
      </w:r>
      <w:r w:rsidR="00EC69B5">
        <w:rPr>
          <w:rFonts w:cs="Arial"/>
          <w:szCs w:val="20"/>
        </w:rPr>
        <w:t xml:space="preserve">zajištění statistiky GBARD </w:t>
      </w:r>
      <w:r w:rsidRPr="00725AF2">
        <w:rPr>
          <w:rFonts w:cs="Arial"/>
          <w:szCs w:val="20"/>
        </w:rPr>
        <w:t xml:space="preserve">zohledňuje podmínky </w:t>
      </w:r>
      <w:r w:rsidR="00EC69B5">
        <w:rPr>
          <w:rFonts w:cs="Arial"/>
          <w:szCs w:val="20"/>
        </w:rPr>
        <w:t xml:space="preserve">poskytování veřejné podpory VaV </w:t>
      </w:r>
      <w:r w:rsidRPr="00725AF2">
        <w:rPr>
          <w:rFonts w:cs="Arial"/>
          <w:szCs w:val="20"/>
        </w:rPr>
        <w:t xml:space="preserve">dané novelizovaným zákonem č. 130/2002 Sb. o podpoře výzkumu, vývoje a inovací a platnými nařízeními vlády, zejména č. 397/2009 Sb. o IS </w:t>
      </w:r>
      <w:proofErr w:type="spellStart"/>
      <w:r w:rsidRPr="00725AF2">
        <w:rPr>
          <w:rFonts w:cs="Arial"/>
          <w:szCs w:val="20"/>
        </w:rPr>
        <w:t>VaVaI</w:t>
      </w:r>
      <w:proofErr w:type="spellEnd"/>
      <w:r>
        <w:rPr>
          <w:rFonts w:cs="Arial"/>
          <w:szCs w:val="20"/>
        </w:rPr>
        <w:t>.</w:t>
      </w:r>
    </w:p>
    <w:p w:rsidR="000F20BC" w:rsidRDefault="000F20BC" w:rsidP="00725AF2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Statistická úloha GBA</w:t>
      </w:r>
      <w:r w:rsidR="00725AF2" w:rsidRPr="00725AF2">
        <w:rPr>
          <w:rFonts w:cs="Arial"/>
          <w:szCs w:val="20"/>
        </w:rPr>
        <w:t xml:space="preserve">RD je v podmínkách ČR realizována ve spolupráci s Radou pro výzkum, vývoj a inovace a Ministerstvem školství, mládeže a tělovýchovy prostřednictvím </w:t>
      </w:r>
      <w:r w:rsidR="00725AF2" w:rsidRPr="00342B74">
        <w:rPr>
          <w:rFonts w:cs="Arial"/>
          <w:b/>
          <w:szCs w:val="20"/>
        </w:rPr>
        <w:t xml:space="preserve">Informačního systému výzkumu, experimentálního vývoje a inovací (IS </w:t>
      </w:r>
      <w:proofErr w:type="spellStart"/>
      <w:r w:rsidR="00725AF2" w:rsidRPr="00342B74">
        <w:rPr>
          <w:rFonts w:cs="Arial"/>
          <w:b/>
          <w:szCs w:val="20"/>
        </w:rPr>
        <w:t>VaVaI</w:t>
      </w:r>
      <w:proofErr w:type="spellEnd"/>
      <w:r w:rsidR="00725AF2" w:rsidRPr="00342B74">
        <w:rPr>
          <w:rFonts w:cs="Arial"/>
          <w:b/>
          <w:szCs w:val="20"/>
        </w:rPr>
        <w:t>)</w:t>
      </w:r>
      <w:r w:rsidR="00725AF2" w:rsidRPr="00725AF2">
        <w:rPr>
          <w:rFonts w:cs="Arial"/>
          <w:szCs w:val="20"/>
        </w:rPr>
        <w:t xml:space="preserve"> a jeho integrovaných databá</w:t>
      </w:r>
      <w:r w:rsidR="0045782F">
        <w:rPr>
          <w:rFonts w:cs="Arial"/>
          <w:szCs w:val="20"/>
        </w:rPr>
        <w:t>zí. Z integrovaných databází IS </w:t>
      </w:r>
      <w:proofErr w:type="spellStart"/>
      <w:r w:rsidR="00725AF2" w:rsidRPr="00725AF2">
        <w:rPr>
          <w:rFonts w:cs="Arial"/>
          <w:szCs w:val="20"/>
        </w:rPr>
        <w:t>VaVaI</w:t>
      </w:r>
      <w:proofErr w:type="spellEnd"/>
      <w:r w:rsidR="00725AF2" w:rsidRPr="00725AF2">
        <w:rPr>
          <w:rFonts w:cs="Arial"/>
          <w:szCs w:val="20"/>
        </w:rPr>
        <w:t xml:space="preserve"> js</w:t>
      </w:r>
      <w:r>
        <w:rPr>
          <w:rFonts w:cs="Arial"/>
          <w:szCs w:val="20"/>
        </w:rPr>
        <w:t>ou pro zabezpečení projektu GBA</w:t>
      </w:r>
      <w:r w:rsidR="00725AF2" w:rsidRPr="00725AF2">
        <w:rPr>
          <w:rFonts w:cs="Arial"/>
          <w:szCs w:val="20"/>
        </w:rPr>
        <w:t>RD využity databáze</w:t>
      </w:r>
      <w:r>
        <w:rPr>
          <w:rFonts w:cs="Arial"/>
          <w:szCs w:val="20"/>
        </w:rPr>
        <w:t>:</w:t>
      </w:r>
      <w:r w:rsidR="00725AF2" w:rsidRPr="00725AF2">
        <w:rPr>
          <w:rFonts w:cs="Arial"/>
          <w:szCs w:val="20"/>
        </w:rPr>
        <w:t xml:space="preserve">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 xml:space="preserve">CEP (Centrální evidence projektů VaV), 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>CEZ (Centrální evidence výzkumných zá</w:t>
      </w:r>
      <w:r w:rsidR="0045782F">
        <w:rPr>
          <w:rFonts w:cs="Arial"/>
          <w:szCs w:val="20"/>
        </w:rPr>
        <w:t>měrů) do roku 2013</w:t>
      </w:r>
      <w:r w:rsidR="000F20BC" w:rsidRPr="000F20BC">
        <w:rPr>
          <w:rFonts w:cs="Arial"/>
          <w:szCs w:val="20"/>
        </w:rPr>
        <w:t xml:space="preserve">,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 xml:space="preserve">CEA (Centrální evidence aktivit). </w:t>
      </w:r>
    </w:p>
    <w:p w:rsidR="00C67088" w:rsidRDefault="00725AF2" w:rsidP="00725AF2">
      <w:pPr>
        <w:spacing w:before="120" w:after="120"/>
        <w:jc w:val="both"/>
        <w:rPr>
          <w:rFonts w:cs="Arial"/>
          <w:szCs w:val="20"/>
        </w:rPr>
      </w:pPr>
      <w:r w:rsidRPr="00725AF2">
        <w:rPr>
          <w:rFonts w:cs="Arial"/>
          <w:szCs w:val="20"/>
        </w:rPr>
        <w:t>Doplňko</w:t>
      </w:r>
      <w:r w:rsidR="00EC69B5">
        <w:rPr>
          <w:rFonts w:cs="Arial"/>
          <w:szCs w:val="20"/>
        </w:rPr>
        <w:t>vě jsou použity údaje z odboru</w:t>
      </w:r>
      <w:r w:rsidRPr="00725AF2">
        <w:rPr>
          <w:rFonts w:cs="Arial"/>
          <w:szCs w:val="20"/>
        </w:rPr>
        <w:t xml:space="preserve"> přípravy rozpočtu úseku RVVI. Databáze CEP, CEZ a CEA neobsahují všechny finanční částky poskytnu</w:t>
      </w:r>
      <w:r w:rsidR="00EC69B5">
        <w:rPr>
          <w:rFonts w:cs="Arial"/>
          <w:szCs w:val="20"/>
        </w:rPr>
        <w:t xml:space="preserve">té na </w:t>
      </w:r>
      <w:r w:rsidRPr="00725AF2">
        <w:rPr>
          <w:rFonts w:cs="Arial"/>
          <w:szCs w:val="20"/>
        </w:rPr>
        <w:t xml:space="preserve">VaV ze státního rozpočtu v potřebném členění, a proto musí být </w:t>
      </w:r>
      <w:r w:rsidR="00C67088">
        <w:rPr>
          <w:rFonts w:cs="Arial"/>
          <w:szCs w:val="20"/>
        </w:rPr>
        <w:t xml:space="preserve">některé </w:t>
      </w:r>
      <w:r w:rsidRPr="00725AF2">
        <w:rPr>
          <w:rFonts w:cs="Arial"/>
          <w:szCs w:val="20"/>
        </w:rPr>
        <w:t xml:space="preserve">detailní údaje získány v součinnosti s Ministerstvem školství, </w:t>
      </w:r>
      <w:r w:rsidR="00C67088">
        <w:rPr>
          <w:rFonts w:cs="Arial"/>
          <w:szCs w:val="20"/>
        </w:rPr>
        <w:t>mládeže a tělovýchovy. Ú</w:t>
      </w:r>
      <w:r w:rsidRPr="00725AF2">
        <w:rPr>
          <w:rFonts w:cs="Arial"/>
          <w:szCs w:val="20"/>
        </w:rPr>
        <w:t xml:space="preserve">daje pro socioekonomický </w:t>
      </w:r>
      <w:r w:rsidR="00C67088">
        <w:rPr>
          <w:rFonts w:cs="Arial"/>
          <w:szCs w:val="20"/>
        </w:rPr>
        <w:t xml:space="preserve">cíl SEO 10, tj. </w:t>
      </w:r>
      <w:r w:rsidRPr="00725AF2">
        <w:rPr>
          <w:rFonts w:cs="Arial"/>
          <w:szCs w:val="20"/>
        </w:rPr>
        <w:t xml:space="preserve">specifický výzkum na vysokých školách </w:t>
      </w:r>
      <w:r w:rsidR="00C67088">
        <w:rPr>
          <w:rFonts w:cs="Arial"/>
          <w:szCs w:val="20"/>
        </w:rPr>
        <w:t xml:space="preserve">a podpora dlouhodobého rozvoje vysokých škol </w:t>
      </w:r>
      <w:r w:rsidRPr="00725AF2">
        <w:rPr>
          <w:rFonts w:cs="Arial"/>
          <w:szCs w:val="20"/>
        </w:rPr>
        <w:t xml:space="preserve">v členění podle vědních oblastí, jsou získávány přímo od jednotlivých vysokých škol, kterých se uvedená skutečnost týká. </w:t>
      </w:r>
    </w:p>
    <w:p w:rsidR="00725AF2" w:rsidRPr="00052DCB" w:rsidRDefault="00725AF2" w:rsidP="00725AF2">
      <w:pPr>
        <w:spacing w:before="120" w:after="120"/>
        <w:jc w:val="both"/>
        <w:rPr>
          <w:rFonts w:cs="Arial"/>
          <w:szCs w:val="20"/>
        </w:rPr>
      </w:pPr>
      <w:r w:rsidRPr="00052DCB">
        <w:rPr>
          <w:rFonts w:cs="Arial"/>
          <w:szCs w:val="20"/>
        </w:rPr>
        <w:t>Vlastní zpracování údajů a přiřaz</w:t>
      </w:r>
      <w:r w:rsidR="00EC69B5">
        <w:rPr>
          <w:rFonts w:cs="Arial"/>
          <w:szCs w:val="20"/>
        </w:rPr>
        <w:t>ení kódů socioekonomických cílů</w:t>
      </w:r>
      <w:r w:rsidRPr="00052DCB">
        <w:rPr>
          <w:rFonts w:cs="Arial"/>
          <w:szCs w:val="20"/>
        </w:rPr>
        <w:t xml:space="preserve"> (dále jen SEO) dle číselníku NABS provádí přímo ČSÚ. Z údajů získaných z databází CEP, CEZ, CEA a doplňkových údajů od Ministerstva školství, mládeže a tělovýchovy je nutno vyloučit podle metodiky </w:t>
      </w:r>
      <w:proofErr w:type="spellStart"/>
      <w:r w:rsidRPr="00052DCB">
        <w:rPr>
          <w:rFonts w:cs="Arial"/>
          <w:szCs w:val="20"/>
        </w:rPr>
        <w:t>Frascati</w:t>
      </w:r>
      <w:proofErr w:type="spellEnd"/>
      <w:r w:rsidRPr="00052DCB">
        <w:rPr>
          <w:rFonts w:cs="Arial"/>
          <w:szCs w:val="20"/>
        </w:rPr>
        <w:t xml:space="preserve"> manuálu částky, které n</w:t>
      </w:r>
      <w:r w:rsidR="00AA53C1" w:rsidRPr="00052DCB">
        <w:rPr>
          <w:rFonts w:cs="Arial"/>
          <w:szCs w:val="20"/>
        </w:rPr>
        <w:t>ejsou považovány za součást GBA</w:t>
      </w:r>
      <w:r w:rsidRPr="00052DCB">
        <w:rPr>
          <w:rFonts w:cs="Arial"/>
          <w:szCs w:val="20"/>
        </w:rPr>
        <w:t xml:space="preserve">RD. Jedná se o podporu VaV, která je financována formou návratné půjčky (pouze u projektů realizovaných před platností zákona č. 130/2002 Sb. a předfinancování </w:t>
      </w:r>
      <w:r w:rsidR="00AA53C1" w:rsidRPr="00052DCB">
        <w:rPr>
          <w:rFonts w:cs="Arial"/>
          <w:szCs w:val="20"/>
        </w:rPr>
        <w:t>programů ze s</w:t>
      </w:r>
      <w:r w:rsidRPr="00052DCB">
        <w:rPr>
          <w:rFonts w:cs="Arial"/>
          <w:szCs w:val="20"/>
        </w:rPr>
        <w:t>trukturálních fondů EU), některé administrativní náklady a podpora inovací. Očištěné údaje jsou klasifikovány podle číselníku NABS</w:t>
      </w:r>
      <w:r w:rsidR="00AA53C1" w:rsidRPr="00052DCB">
        <w:rPr>
          <w:rFonts w:cs="Arial"/>
          <w:szCs w:val="20"/>
        </w:rPr>
        <w:t xml:space="preserve"> 1992</w:t>
      </w:r>
      <w:r w:rsidRPr="00052DCB">
        <w:rPr>
          <w:rFonts w:cs="Arial"/>
          <w:szCs w:val="20"/>
        </w:rPr>
        <w:t xml:space="preserve"> na úrovni 3místného členění SEO</w:t>
      </w:r>
      <w:r w:rsidR="00AA53C1" w:rsidRPr="00052DCB">
        <w:rPr>
          <w:rFonts w:cs="Arial"/>
          <w:szCs w:val="20"/>
        </w:rPr>
        <w:t xml:space="preserve"> a také podle číselníku NABS 2007</w:t>
      </w:r>
      <w:r w:rsidRPr="00052DCB">
        <w:rPr>
          <w:rFonts w:cs="Arial"/>
          <w:szCs w:val="20"/>
        </w:rPr>
        <w:t xml:space="preserve">. </w:t>
      </w:r>
    </w:p>
    <w:p w:rsidR="00725AF2" w:rsidRPr="001F6620" w:rsidRDefault="00AA53C1" w:rsidP="00725AF2">
      <w:pPr>
        <w:spacing w:before="120" w:after="120"/>
        <w:jc w:val="both"/>
        <w:rPr>
          <w:rFonts w:cs="Arial"/>
          <w:szCs w:val="20"/>
        </w:rPr>
      </w:pPr>
      <w:r w:rsidRPr="00AA53C1">
        <w:rPr>
          <w:rFonts w:cs="Arial"/>
          <w:szCs w:val="20"/>
        </w:rPr>
        <w:t>Propojení dat GBA</w:t>
      </w:r>
      <w:r w:rsidR="00052DCB">
        <w:rPr>
          <w:rFonts w:cs="Arial"/>
          <w:szCs w:val="20"/>
        </w:rPr>
        <w:t>RD s Registrem ekonomických subjektů (RES)</w:t>
      </w:r>
      <w:r w:rsidRPr="00AA53C1">
        <w:rPr>
          <w:rFonts w:cs="Arial"/>
          <w:szCs w:val="20"/>
        </w:rPr>
        <w:t xml:space="preserve">, které bylo realizováno od </w:t>
      </w:r>
      <w:r w:rsidR="00052DCB">
        <w:rPr>
          <w:rFonts w:cs="Arial"/>
          <w:szCs w:val="20"/>
        </w:rPr>
        <w:t xml:space="preserve">referenčního </w:t>
      </w:r>
      <w:r w:rsidRPr="00AA53C1">
        <w:rPr>
          <w:rFonts w:cs="Arial"/>
          <w:szCs w:val="20"/>
        </w:rPr>
        <w:t>roku 2010</w:t>
      </w:r>
      <w:r w:rsidR="00EE5669">
        <w:rPr>
          <w:rFonts w:cs="Arial"/>
          <w:szCs w:val="20"/>
        </w:rPr>
        <w:t>,</w:t>
      </w:r>
      <w:r w:rsidRPr="00AA53C1">
        <w:rPr>
          <w:rFonts w:cs="Arial"/>
          <w:szCs w:val="20"/>
        </w:rPr>
        <w:t xml:space="preserve"> umožnuje kromě socioekonomických cílů získat další členění podle:</w:t>
      </w:r>
      <w:r w:rsidR="00725AF2" w:rsidRPr="001F6620">
        <w:rPr>
          <w:rFonts w:cs="Arial"/>
          <w:szCs w:val="20"/>
        </w:rPr>
        <w:t xml:space="preserve">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velikostních skupin příjemců (mikro [0-9 zaměstnanců], malé [10-49 zaměstnanců], střední [50-249 zaměstnanců], velké [250+ zaměstnanců]),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typu příjemců (veřejné výzkumné instituce, veřejné a státní vysoké školy, podniky, fakultní nemocnice aj.),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podle vlastnictví ekonomického subjektu (veřejné podniky, soukromé domácí podniky, zahraniční afilace),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sektorů provádění VaV (vysokoškolský, vládní, podnikatelský a soukromý neziskový),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regionálního členění (regiony /NUTS2/, kraje /NUTS3/, okresy /NUTS4/).</w:t>
      </w:r>
    </w:p>
    <w:p w:rsidR="00AA53C1" w:rsidRDefault="00AA53C1" w:rsidP="00F17A7D">
      <w:pPr>
        <w:pStyle w:val="Nadpis3"/>
      </w:pPr>
    </w:p>
    <w:p w:rsidR="009024C0" w:rsidRDefault="009024C0" w:rsidP="00F17A7D">
      <w:pPr>
        <w:pStyle w:val="Nadpis3"/>
      </w:pPr>
      <w:r>
        <w:t>R</w:t>
      </w:r>
      <w:r w:rsidR="005658F4">
        <w:t>evize dat GBARD provedená v roce 2013</w:t>
      </w:r>
    </w:p>
    <w:p w:rsidR="00C607C3" w:rsidRPr="00C607C3" w:rsidRDefault="00C607C3" w:rsidP="00F17A7D">
      <w:pPr>
        <w:spacing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V roce 2014 ČSÚ v rámci revize statis</w:t>
      </w:r>
      <w:r w:rsidR="00A67730">
        <w:rPr>
          <w:rFonts w:cs="Arial"/>
          <w:szCs w:val="20"/>
        </w:rPr>
        <w:t>tiky výzkumu a vývoje (VTR, GBA</w:t>
      </w:r>
      <w:r w:rsidRPr="00C607C3">
        <w:rPr>
          <w:rFonts w:cs="Arial"/>
          <w:szCs w:val="20"/>
        </w:rPr>
        <w:t xml:space="preserve">RD) dokončil také revizi dat </w:t>
      </w:r>
      <w:r w:rsidR="00A67730">
        <w:rPr>
          <w:rFonts w:cs="Arial"/>
          <w:szCs w:val="20"/>
        </w:rPr>
        <w:t>GBARD</w:t>
      </w:r>
      <w:r w:rsidR="00BD5EF5">
        <w:rPr>
          <w:rFonts w:cs="Arial"/>
          <w:szCs w:val="20"/>
        </w:rPr>
        <w:t xml:space="preserve"> (započala v roce 2013)</w:t>
      </w:r>
      <w:r w:rsidRPr="00C607C3">
        <w:rPr>
          <w:rFonts w:cs="Arial"/>
          <w:szCs w:val="20"/>
        </w:rPr>
        <w:t xml:space="preserve"> za celé období 2002–2011, kdy je statistika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sledována. Dopočteny byly zpětně i </w:t>
      </w:r>
      <w:r w:rsidR="00EC69B5">
        <w:rPr>
          <w:rFonts w:cs="Arial"/>
          <w:szCs w:val="20"/>
        </w:rPr>
        <w:t xml:space="preserve">údaje za </w:t>
      </w:r>
      <w:r w:rsidRPr="00C607C3">
        <w:rPr>
          <w:rFonts w:cs="Arial"/>
          <w:szCs w:val="20"/>
        </w:rPr>
        <w:t xml:space="preserve">roky 2000 a 2001. 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 xml:space="preserve">V souladu s reformou systému </w:t>
      </w:r>
      <w:proofErr w:type="spellStart"/>
      <w:r w:rsidRPr="00C607C3">
        <w:rPr>
          <w:rFonts w:cs="Arial"/>
          <w:szCs w:val="20"/>
        </w:rPr>
        <w:t>VaVaI</w:t>
      </w:r>
      <w:proofErr w:type="spellEnd"/>
      <w:r w:rsidRPr="00C607C3">
        <w:rPr>
          <w:rFonts w:cs="Arial"/>
          <w:szCs w:val="20"/>
        </w:rPr>
        <w:t xml:space="preserve"> v České republice a novými požadavky kladenými novelizovanou legisla</w:t>
      </w:r>
      <w:r w:rsidR="00EC69B5">
        <w:rPr>
          <w:rFonts w:cs="Arial"/>
          <w:szCs w:val="20"/>
        </w:rPr>
        <w:t>tivou Komise EU podstoupila statistika</w:t>
      </w:r>
      <w:r w:rsidRPr="00C607C3">
        <w:rPr>
          <w:rFonts w:cs="Arial"/>
          <w:szCs w:val="20"/>
        </w:rPr>
        <w:t xml:space="preserve">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metodickou revizi, která má zajistit přesnější vymezení položek dle definice </w:t>
      </w:r>
      <w:proofErr w:type="spellStart"/>
      <w:r w:rsidRPr="00C607C3">
        <w:rPr>
          <w:rFonts w:cs="Arial"/>
          <w:szCs w:val="20"/>
        </w:rPr>
        <w:t>Frascati</w:t>
      </w:r>
      <w:proofErr w:type="spellEnd"/>
      <w:r w:rsidRPr="00C607C3">
        <w:rPr>
          <w:rFonts w:cs="Arial"/>
          <w:szCs w:val="20"/>
        </w:rPr>
        <w:t xml:space="preserve"> manuálu. Revize se týká překvalifikování obsahu termínu „všeobecných univerzitních fondů“ (u nás pod názvem „všeobecný výzkum na VŠ“). Z důvodu nutnosti poskytnout </w:t>
      </w:r>
      <w:proofErr w:type="spellStart"/>
      <w:r w:rsidRPr="00C607C3">
        <w:rPr>
          <w:rFonts w:cs="Arial"/>
          <w:szCs w:val="20"/>
        </w:rPr>
        <w:t>Eurostatu</w:t>
      </w:r>
      <w:proofErr w:type="spellEnd"/>
      <w:r w:rsidRPr="00C607C3">
        <w:rPr>
          <w:rFonts w:cs="Arial"/>
          <w:szCs w:val="20"/>
        </w:rPr>
        <w:t xml:space="preserve"> nové členění dat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podle formy podpory muselo být revidováno zatřídění položek státního rozpočtu do tohoto socioekonomického cíle. Dle revize 2013 spadají pod „všeobecný výzkum a vývoj na VŠ“ pouze institucionální prostředky státního rozpočtu poskytnuté vysokým školám na provádění výzkumu a </w:t>
      </w:r>
      <w:r w:rsidRPr="00C607C3">
        <w:rPr>
          <w:rFonts w:cs="Arial"/>
          <w:szCs w:val="20"/>
        </w:rPr>
        <w:lastRenderedPageBreak/>
        <w:t xml:space="preserve">vývoje. Dříve to byly jak účelové, tak institucionální prostředky poskytnuté vysokým školám pouze prostřednictvím rozpočtové kapitoly MŠMT. 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Nyní se pod SEO 10 dle NABS1992 klasifikují následující rozpočtové položky:</w:t>
      </w:r>
    </w:p>
    <w:p w:rsidR="00C607C3" w:rsidRPr="00C607C3" w:rsidRDefault="00C607C3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C607C3">
        <w:rPr>
          <w:rFonts w:cs="Arial"/>
          <w:szCs w:val="20"/>
        </w:rPr>
        <w:t>výzkumné záměry</w:t>
      </w:r>
      <w:r w:rsidR="00EC69B5">
        <w:rPr>
          <w:rFonts w:cs="Arial"/>
          <w:szCs w:val="20"/>
        </w:rPr>
        <w:t xml:space="preserve"> (do roku 2013)</w:t>
      </w:r>
      <w:r w:rsidRPr="00C607C3">
        <w:rPr>
          <w:rFonts w:cs="Arial"/>
          <w:szCs w:val="20"/>
        </w:rPr>
        <w:t>,</w:t>
      </w:r>
    </w:p>
    <w:p w:rsidR="00C607C3" w:rsidRPr="00C607C3" w:rsidRDefault="00EC69B5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dlouhodobý koncepční </w:t>
      </w:r>
      <w:r w:rsidR="00C607C3" w:rsidRPr="00C607C3">
        <w:rPr>
          <w:rFonts w:cs="Arial"/>
          <w:szCs w:val="20"/>
        </w:rPr>
        <w:t>rozvoj výzkumných organizací</w:t>
      </w:r>
      <w:r w:rsidR="00BD5EF5">
        <w:rPr>
          <w:rFonts w:cs="Arial"/>
          <w:szCs w:val="20"/>
        </w:rPr>
        <w:t xml:space="preserve"> (od roku 2010)</w:t>
      </w:r>
      <w:r w:rsidR="00C607C3" w:rsidRPr="00C607C3">
        <w:rPr>
          <w:rFonts w:cs="Arial"/>
          <w:szCs w:val="20"/>
        </w:rPr>
        <w:t>,</w:t>
      </w:r>
    </w:p>
    <w:p w:rsidR="00C607C3" w:rsidRPr="00C607C3" w:rsidRDefault="00EC69B5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specifický výzkum na vysokých školách</w:t>
      </w:r>
      <w:r w:rsidR="00C607C3" w:rsidRPr="00C607C3">
        <w:rPr>
          <w:rFonts w:cs="Arial"/>
          <w:szCs w:val="20"/>
        </w:rPr>
        <w:t>.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 xml:space="preserve">V případě specifického výzkumu se zařazení dle metodiky </w:t>
      </w:r>
      <w:proofErr w:type="spellStart"/>
      <w:r w:rsidRPr="00C607C3">
        <w:rPr>
          <w:rFonts w:cs="Arial"/>
          <w:szCs w:val="20"/>
        </w:rPr>
        <w:t>Frascati</w:t>
      </w:r>
      <w:proofErr w:type="spellEnd"/>
      <w:r w:rsidRPr="00C607C3">
        <w:rPr>
          <w:rFonts w:cs="Arial"/>
          <w:szCs w:val="20"/>
        </w:rPr>
        <w:t xml:space="preserve"> manuálu rozchází s definicí dle novelizovaného zákona č. 130/2002 Sb., který považuje specifický výzkum na vysokých školách za účelovou formu podpory. </w:t>
      </w:r>
      <w:r w:rsidRPr="00621CED">
        <w:rPr>
          <w:rFonts w:cs="Arial"/>
          <w:b/>
          <w:szCs w:val="20"/>
        </w:rPr>
        <w:t xml:space="preserve">Po potřeby statistiky </w:t>
      </w:r>
      <w:r w:rsidR="00A67730" w:rsidRPr="00621CED">
        <w:rPr>
          <w:rFonts w:cs="Arial"/>
          <w:b/>
          <w:szCs w:val="20"/>
        </w:rPr>
        <w:t>GBARD</w:t>
      </w:r>
      <w:r w:rsidRPr="00621CED">
        <w:rPr>
          <w:rFonts w:cs="Arial"/>
          <w:b/>
          <w:szCs w:val="20"/>
        </w:rPr>
        <w:t xml:space="preserve"> je specifický výzkum na vysokých školách považován za institucionální formu podpory</w:t>
      </w:r>
      <w:r w:rsidRPr="00C607C3">
        <w:rPr>
          <w:rFonts w:cs="Arial"/>
          <w:szCs w:val="20"/>
        </w:rPr>
        <w:t xml:space="preserve">, která odpovídá lépe způsobu, jakým je tato forma podpory poskytována (výpočet výše podpory podle předem stanovených kritérií – výkonových proměnných). Chybí prvek „soutěže“, jako je tomu u projektů účelové podpory. </w:t>
      </w:r>
    </w:p>
    <w:p w:rsidR="008102B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Hlav</w:t>
      </w:r>
      <w:r w:rsidR="008759F2">
        <w:rPr>
          <w:rFonts w:cs="Arial"/>
          <w:szCs w:val="20"/>
        </w:rPr>
        <w:t>ním dopadem provedené revize bylo</w:t>
      </w:r>
      <w:r w:rsidRPr="00C607C3">
        <w:rPr>
          <w:rFonts w:cs="Arial"/>
          <w:szCs w:val="20"/>
        </w:rPr>
        <w:t xml:space="preserve"> snížení finančních prostředků klasifikovaných pod socioekonomickým cílem SEO 10. Některé položky účelové podpory, které byly dříve v SEO 10, se nově klasifikují do ostatních cílů. I když celková výše </w:t>
      </w:r>
      <w:r w:rsidR="00A67730">
        <w:rPr>
          <w:rFonts w:cs="Arial"/>
          <w:szCs w:val="20"/>
        </w:rPr>
        <w:t>GBARD</w:t>
      </w:r>
      <w:r w:rsidR="000C7B9D">
        <w:rPr>
          <w:rFonts w:cs="Arial"/>
          <w:szCs w:val="20"/>
        </w:rPr>
        <w:t xml:space="preserve"> v daném roce zůstala</w:t>
      </w:r>
      <w:r w:rsidRPr="00C607C3">
        <w:rPr>
          <w:rFonts w:cs="Arial"/>
          <w:szCs w:val="20"/>
        </w:rPr>
        <w:t xml:space="preserve"> stejná, částky i procentní podíly jednotliv</w:t>
      </w:r>
      <w:r w:rsidR="000C7B9D">
        <w:rPr>
          <w:rFonts w:cs="Arial"/>
          <w:szCs w:val="20"/>
        </w:rPr>
        <w:t>ých socioekonomických cílů jsou</w:t>
      </w:r>
      <w:r w:rsidRPr="00C607C3">
        <w:rPr>
          <w:rFonts w:cs="Arial"/>
          <w:szCs w:val="20"/>
        </w:rPr>
        <w:t xml:space="preserve"> odlišné od verze před revizí.</w:t>
      </w:r>
    </w:p>
    <w:p w:rsidR="00AA53C1" w:rsidRPr="00AA53C1" w:rsidRDefault="00AA53C1" w:rsidP="00AA53C1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Pr="00AA53C1">
        <w:rPr>
          <w:rFonts w:eastAsia="MS Gothic"/>
          <w:b/>
        </w:rPr>
        <w:t>: 2000–2014</w:t>
      </w:r>
      <w:r w:rsidR="000734E1">
        <w:rPr>
          <w:rFonts w:eastAsia="MS Gothic"/>
          <w:b/>
        </w:rPr>
        <w:t xml:space="preserve"> (s propojením s údaji RES</w:t>
      </w:r>
      <w:r w:rsidR="0088493C">
        <w:rPr>
          <w:rFonts w:eastAsia="MS Gothic"/>
          <w:b/>
        </w:rPr>
        <w:t>:</w:t>
      </w:r>
      <w:r w:rsidR="000734E1">
        <w:rPr>
          <w:rFonts w:eastAsia="MS Gothic"/>
          <w:b/>
        </w:rPr>
        <w:t xml:space="preserve"> 2010–2014)</w:t>
      </w:r>
    </w:p>
    <w:p w:rsidR="00F17A7D" w:rsidRPr="00FD293E" w:rsidRDefault="00F17A7D" w:rsidP="00C607C3">
      <w:pPr>
        <w:spacing w:before="120" w:after="120"/>
        <w:jc w:val="both"/>
        <w:rPr>
          <w:rFonts w:cs="Arial"/>
          <w:szCs w:val="20"/>
        </w:rPr>
      </w:pPr>
    </w:p>
    <w:p w:rsidR="00FD293E" w:rsidRDefault="0047354F" w:rsidP="00F17A7D">
      <w:pPr>
        <w:pStyle w:val="Nadpis3"/>
        <w:rPr>
          <w:szCs w:val="20"/>
        </w:rPr>
      </w:pPr>
      <w:r>
        <w:t>N</w:t>
      </w:r>
      <w:r w:rsidRPr="0047354F">
        <w:t>adnárodně koordinovaný výzkum a vývoj (mezinárodní spolupráce v rámci evropského výzkumného prostoru)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t xml:space="preserve">Nařízení Komise EU č. 995/2012 vymezilo novou oblast statistiky státních rozpočtových výdajů na </w:t>
      </w:r>
      <w:r w:rsidR="009B4490">
        <w:rPr>
          <w:rFonts w:eastAsia="MS Gothic"/>
        </w:rPr>
        <w:t>VaV</w:t>
      </w:r>
      <w:r w:rsidRPr="00562776">
        <w:rPr>
          <w:rFonts w:eastAsia="MS Gothic"/>
        </w:rPr>
        <w:t xml:space="preserve">, které má za úkol zachytit nadnárodně koordinovaný výzkum a vývoj v rámci evropského výzkumného prostoru. Statistika má akronym </w:t>
      </w:r>
      <w:r w:rsidR="00A67730">
        <w:rPr>
          <w:rFonts w:eastAsia="MS Gothic"/>
        </w:rPr>
        <w:t>GBARD</w:t>
      </w:r>
      <w:r w:rsidRPr="00562776">
        <w:rPr>
          <w:rFonts w:eastAsia="MS Gothic"/>
        </w:rPr>
        <w:t xml:space="preserve">-ERA1 a její zabezpečení je pro členské země povinné na základě uvedeného nařízení. Prvním referenčním rokem sběru dat dle nařízení byl stanoven rok 2012. Příprava této statistiky zabrala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 xml:space="preserve"> několik let. Pilotní data jsou dostupná již od roku 2007. Po několika úpravách metodiky se dospělo pod vedením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 xml:space="preserve"> </w:t>
      </w:r>
      <w:r w:rsidR="009B4490">
        <w:rPr>
          <w:rFonts w:eastAsia="MS Gothic"/>
        </w:rPr>
        <w:t xml:space="preserve">a </w:t>
      </w:r>
      <w:r w:rsidRPr="00562776">
        <w:rPr>
          <w:rFonts w:eastAsia="MS Gothic"/>
        </w:rPr>
        <w:t xml:space="preserve">za přispění OECD ke konsenzu, které specifické položky státní rozpočtové podpory </w:t>
      </w:r>
      <w:r w:rsidR="009B4490">
        <w:rPr>
          <w:rFonts w:eastAsia="MS Gothic"/>
        </w:rPr>
        <w:t xml:space="preserve">VaV </w:t>
      </w:r>
      <w:r w:rsidRPr="00562776">
        <w:rPr>
          <w:rFonts w:eastAsia="MS Gothic"/>
        </w:rPr>
        <w:t>(poplatky a příspěvky</w:t>
      </w:r>
      <w:r w:rsidR="009B4490">
        <w:rPr>
          <w:rFonts w:eastAsia="MS Gothic"/>
        </w:rPr>
        <w:t xml:space="preserve"> na mezinárodní spolupráci</w:t>
      </w:r>
      <w:r w:rsidRPr="00562776">
        <w:rPr>
          <w:rFonts w:eastAsia="MS Gothic"/>
        </w:rPr>
        <w:t xml:space="preserve">) budou do této statistiky zařazeny. 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t xml:space="preserve">Statistika zachycuje vybrané poplatky a příspěvky ze státního rozpočtu na nadnárodně koordinovaný výzkum a vývoj v rámci evropského výzkumného prostoru (ERA). Dle metodiky jsou údaje dále podrobněji členěny následovně:    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veřejným subjektům činným v nadnárodním VaV,</w:t>
      </w: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na evropské nadnárodní veřejné programy v oblasti VaV,</w:t>
      </w: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na dvoustranné či mnohostranné veřejné programy v oblasti VaV založené mezi vládami členských států (a ve spolupráci s kandidátskými zeměmi a zeměmi Evropského sdružení volného obchodu).</w:t>
      </w:r>
    </w:p>
    <w:p w:rsidR="00562776" w:rsidRPr="00562776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 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t>Pod položkou „vnitrostátní příspěvky veřejným subjektům činným v nadnárodním VaV“ je zjišťována finanční podpora šesti vybraným největším veřejným subjektům, které provádí výzkum na bázi širší mezinárodní spolupráce. Jedná se o následující subjekty</w:t>
      </w:r>
      <w:r w:rsidR="005455B4">
        <w:rPr>
          <w:rFonts w:eastAsia="MS Gothic"/>
        </w:rPr>
        <w:t xml:space="preserve"> (anglické názvy)</w:t>
      </w:r>
      <w:r w:rsidRPr="00562776">
        <w:rPr>
          <w:rFonts w:eastAsia="MS Gothic"/>
        </w:rPr>
        <w:t>:</w:t>
      </w:r>
    </w:p>
    <w:p w:rsidR="00562776" w:rsidRPr="002103ED" w:rsidRDefault="00562776" w:rsidP="00D079AA">
      <w:pPr>
        <w:spacing w:before="120" w:after="120"/>
        <w:jc w:val="both"/>
        <w:rPr>
          <w:rFonts w:eastAsia="MS Gothic"/>
          <w:i/>
        </w:rPr>
      </w:pP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Organization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for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Nuclear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Research</w:t>
      </w:r>
      <w:proofErr w:type="spellEnd"/>
      <w:r w:rsidRPr="002103ED">
        <w:rPr>
          <w:rFonts w:eastAsia="MS Gothic"/>
          <w:i/>
        </w:rPr>
        <w:t xml:space="preserve"> (CERN); Institute </w:t>
      </w:r>
      <w:proofErr w:type="spellStart"/>
      <w:r w:rsidRPr="002103ED">
        <w:rPr>
          <w:rFonts w:eastAsia="MS Gothic"/>
          <w:i/>
        </w:rPr>
        <w:t>Laue-Langevin</w:t>
      </w:r>
      <w:proofErr w:type="spellEnd"/>
      <w:r w:rsidRPr="002103ED">
        <w:rPr>
          <w:rFonts w:eastAsia="MS Gothic"/>
          <w:i/>
        </w:rPr>
        <w:t xml:space="preserve"> (ILL);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Synchrotron </w:t>
      </w:r>
      <w:proofErr w:type="spellStart"/>
      <w:r w:rsidRPr="002103ED">
        <w:rPr>
          <w:rFonts w:eastAsia="MS Gothic"/>
          <w:i/>
        </w:rPr>
        <w:t>Radiation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Facility</w:t>
      </w:r>
      <w:proofErr w:type="spellEnd"/>
      <w:r w:rsidRPr="002103ED">
        <w:rPr>
          <w:rFonts w:eastAsia="MS Gothic"/>
          <w:i/>
        </w:rPr>
        <w:t xml:space="preserve"> (ESRF);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Laboratory</w:t>
      </w:r>
      <w:proofErr w:type="spellEnd"/>
      <w:r w:rsidRPr="002103ED">
        <w:rPr>
          <w:rFonts w:eastAsia="MS Gothic"/>
          <w:i/>
        </w:rPr>
        <w:t xml:space="preserve"> (EMBL);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Southern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Observatory</w:t>
      </w:r>
      <w:proofErr w:type="spellEnd"/>
      <w:r w:rsidRPr="002103ED">
        <w:rPr>
          <w:rFonts w:eastAsia="MS Gothic"/>
          <w:i/>
        </w:rPr>
        <w:t xml:space="preserve"> (ESO) and Joint </w:t>
      </w:r>
      <w:proofErr w:type="spellStart"/>
      <w:r w:rsidRPr="002103ED">
        <w:rPr>
          <w:rFonts w:eastAsia="MS Gothic"/>
          <w:i/>
        </w:rPr>
        <w:t>Research</w:t>
      </w:r>
      <w:proofErr w:type="spellEnd"/>
      <w:r w:rsidRPr="002103ED">
        <w:rPr>
          <w:rFonts w:eastAsia="MS Gothic"/>
          <w:i/>
        </w:rPr>
        <w:t xml:space="preserve"> Centre </w:t>
      </w:r>
      <w:proofErr w:type="spellStart"/>
      <w:r w:rsidRPr="002103ED">
        <w:rPr>
          <w:rFonts w:eastAsia="MS Gothic"/>
          <w:i/>
        </w:rPr>
        <w:t>of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the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Commission</w:t>
      </w:r>
      <w:proofErr w:type="spellEnd"/>
      <w:r w:rsidRPr="002103ED">
        <w:rPr>
          <w:rFonts w:eastAsia="MS Gothic"/>
          <w:i/>
        </w:rPr>
        <w:t xml:space="preserve"> (JRC).</w:t>
      </w:r>
    </w:p>
    <w:p w:rsidR="00562776" w:rsidRPr="00562776" w:rsidRDefault="00562776" w:rsidP="00112C93">
      <w:pPr>
        <w:jc w:val="both"/>
        <w:rPr>
          <w:rFonts w:eastAsia="MS Gothic"/>
        </w:rPr>
      </w:pPr>
    </w:p>
    <w:p w:rsidR="00562776" w:rsidRPr="00562776" w:rsidRDefault="00562776" w:rsidP="00112C93">
      <w:pPr>
        <w:jc w:val="both"/>
        <w:rPr>
          <w:rFonts w:eastAsia="MS Gothic"/>
        </w:rPr>
      </w:pPr>
      <w:r w:rsidRPr="00562776">
        <w:rPr>
          <w:rFonts w:eastAsia="MS Gothic"/>
        </w:rPr>
        <w:lastRenderedPageBreak/>
        <w:t>Pod položkou „vnitrostátní příspěvky na evropské nadnárodní veřejné programy v oblasti VaV“ se zjišťuje finanční podpora evropských veřejných výzkumných programů</w:t>
      </w:r>
      <w:r w:rsidR="00733FF8">
        <w:rPr>
          <w:rFonts w:eastAsia="MS Gothic"/>
        </w:rPr>
        <w:t>,</w:t>
      </w:r>
      <w:r w:rsidRPr="00562776">
        <w:rPr>
          <w:rFonts w:eastAsia="MS Gothic"/>
        </w:rPr>
        <w:t xml:space="preserve"> mezi něž se řadí</w:t>
      </w:r>
      <w:r w:rsidR="005455B4">
        <w:rPr>
          <w:rFonts w:eastAsia="MS Gothic"/>
        </w:rPr>
        <w:t xml:space="preserve"> </w:t>
      </w:r>
      <w:r w:rsidR="005455B4">
        <w:rPr>
          <w:rFonts w:eastAsia="MS Gothic"/>
        </w:rPr>
        <w:t>(anglické názvy)</w:t>
      </w:r>
      <w:bookmarkStart w:id="0" w:name="_GoBack"/>
      <w:bookmarkEnd w:id="0"/>
      <w:r w:rsidRPr="00562776">
        <w:rPr>
          <w:rFonts w:eastAsia="MS Gothic"/>
        </w:rPr>
        <w:t xml:space="preserve">: </w:t>
      </w:r>
    </w:p>
    <w:p w:rsidR="00562776" w:rsidRPr="002103ED" w:rsidRDefault="00562776" w:rsidP="00112C93">
      <w:pPr>
        <w:jc w:val="both"/>
        <w:rPr>
          <w:rFonts w:eastAsia="MS Gothic"/>
          <w:i/>
        </w:rPr>
      </w:pPr>
      <w:r w:rsidRPr="002103ED">
        <w:rPr>
          <w:rFonts w:eastAsia="MS Gothic"/>
          <w:i/>
        </w:rPr>
        <w:t>ERA-</w:t>
      </w:r>
      <w:proofErr w:type="spellStart"/>
      <w:r w:rsidRPr="002103ED">
        <w:rPr>
          <w:rFonts w:eastAsia="MS Gothic"/>
          <w:i/>
        </w:rPr>
        <w:t>NETs</w:t>
      </w:r>
      <w:proofErr w:type="spellEnd"/>
      <w:r w:rsidRPr="002103ED">
        <w:rPr>
          <w:rFonts w:eastAsia="MS Gothic"/>
          <w:i/>
        </w:rPr>
        <w:t xml:space="preserve">; ERA-NET+;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Fusion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Development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Agreement</w:t>
      </w:r>
      <w:proofErr w:type="spellEnd"/>
      <w:r w:rsidRPr="002103ED">
        <w:rPr>
          <w:rFonts w:eastAsia="MS Gothic"/>
          <w:i/>
        </w:rPr>
        <w:t xml:space="preserve"> (EFDA); EUREKA; COST; EUROCORES; 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Space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Agency</w:t>
      </w:r>
      <w:proofErr w:type="spellEnd"/>
      <w:r w:rsidRPr="002103ED">
        <w:rPr>
          <w:rFonts w:eastAsia="MS Gothic"/>
          <w:i/>
        </w:rPr>
        <w:t xml:space="preserve"> (ESA);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Organisation</w:t>
      </w:r>
      <w:proofErr w:type="spellEnd"/>
      <w:r w:rsidRPr="002103ED">
        <w:rPr>
          <w:rFonts w:eastAsia="MS Gothic"/>
          <w:i/>
        </w:rPr>
        <w:t xml:space="preserve"> (EMBO);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Conference</w:t>
      </w:r>
      <w:proofErr w:type="spellEnd"/>
      <w:r w:rsidRPr="002103ED">
        <w:rPr>
          <w:rFonts w:eastAsia="MS Gothic"/>
          <w:i/>
        </w:rPr>
        <w:t xml:space="preserve"> (EMBC); </w:t>
      </w:r>
      <w:proofErr w:type="spellStart"/>
      <w:r w:rsidRPr="002103ED">
        <w:rPr>
          <w:rFonts w:eastAsia="MS Gothic"/>
          <w:i/>
        </w:rPr>
        <w:t>Article</w:t>
      </w:r>
      <w:proofErr w:type="spellEnd"/>
      <w:r w:rsidRPr="002103ED">
        <w:rPr>
          <w:rFonts w:eastAsia="MS Gothic"/>
          <w:i/>
        </w:rPr>
        <w:t xml:space="preserve"> 185 </w:t>
      </w:r>
      <w:proofErr w:type="spellStart"/>
      <w:r w:rsidRPr="002103ED">
        <w:rPr>
          <w:rFonts w:eastAsia="MS Gothic"/>
          <w:i/>
        </w:rPr>
        <w:t>initiatives</w:t>
      </w:r>
      <w:proofErr w:type="spellEnd"/>
      <w:r w:rsidRPr="002103ED">
        <w:rPr>
          <w:rFonts w:eastAsia="MS Gothic"/>
          <w:i/>
        </w:rPr>
        <w:t>: (</w:t>
      </w:r>
      <w:proofErr w:type="spellStart"/>
      <w:r w:rsidRPr="002103ED">
        <w:rPr>
          <w:rFonts w:eastAsia="MS Gothic"/>
          <w:i/>
        </w:rPr>
        <w:t>Europe-Developing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Countries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Clinical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Trials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Platform</w:t>
      </w:r>
      <w:proofErr w:type="spellEnd"/>
      <w:r w:rsidRPr="002103ED">
        <w:rPr>
          <w:rFonts w:eastAsia="MS Gothic"/>
          <w:i/>
        </w:rPr>
        <w:t xml:space="preserve">, </w:t>
      </w:r>
      <w:proofErr w:type="spellStart"/>
      <w:r w:rsidRPr="002103ED">
        <w:rPr>
          <w:rFonts w:eastAsia="MS Gothic"/>
          <w:i/>
        </w:rPr>
        <w:t>Eurostars</w:t>
      </w:r>
      <w:proofErr w:type="spellEnd"/>
      <w:r w:rsidRPr="002103ED">
        <w:rPr>
          <w:rFonts w:eastAsia="MS Gothic"/>
          <w:i/>
        </w:rPr>
        <w:t xml:space="preserve">  and Ambient </w:t>
      </w:r>
      <w:proofErr w:type="spellStart"/>
      <w:r w:rsidRPr="002103ED">
        <w:rPr>
          <w:rFonts w:eastAsia="MS Gothic"/>
          <w:i/>
        </w:rPr>
        <w:t>assisted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living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for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the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elderly</w:t>
      </w:r>
      <w:proofErr w:type="spellEnd"/>
      <w:r w:rsidRPr="002103ED">
        <w:rPr>
          <w:rFonts w:eastAsia="MS Gothic"/>
          <w:i/>
        </w:rPr>
        <w:t xml:space="preserve">); Joint Technology </w:t>
      </w:r>
      <w:proofErr w:type="spellStart"/>
      <w:r w:rsidRPr="002103ED">
        <w:rPr>
          <w:rFonts w:eastAsia="MS Gothic"/>
          <w:i/>
        </w:rPr>
        <w:t>Initiatives</w:t>
      </w:r>
      <w:proofErr w:type="spellEnd"/>
      <w:r w:rsidRPr="002103ED">
        <w:rPr>
          <w:rFonts w:eastAsia="MS Gothic"/>
          <w:i/>
        </w:rPr>
        <w:t xml:space="preserve"> (public </w:t>
      </w:r>
      <w:proofErr w:type="spellStart"/>
      <w:r w:rsidRPr="002103ED">
        <w:rPr>
          <w:rFonts w:eastAsia="MS Gothic"/>
          <w:i/>
        </w:rPr>
        <w:t>funding</w:t>
      </w:r>
      <w:proofErr w:type="spellEnd"/>
      <w:r w:rsidRPr="002103ED">
        <w:rPr>
          <w:rFonts w:eastAsia="MS Gothic"/>
          <w:i/>
        </w:rPr>
        <w:t xml:space="preserve"> part: ENIAC (</w:t>
      </w:r>
      <w:proofErr w:type="spellStart"/>
      <w:r w:rsidRPr="002103ED">
        <w:rPr>
          <w:rFonts w:eastAsia="MS Gothic"/>
          <w:i/>
        </w:rPr>
        <w:t>Embedded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Computing</w:t>
      </w:r>
      <w:proofErr w:type="spellEnd"/>
      <w:r w:rsidRPr="002103ED">
        <w:rPr>
          <w:rFonts w:eastAsia="MS Gothic"/>
          <w:i/>
        </w:rPr>
        <w:t xml:space="preserve"> Systems) and ARTEMIS (</w:t>
      </w:r>
      <w:proofErr w:type="spellStart"/>
      <w:r w:rsidRPr="002103ED">
        <w:rPr>
          <w:rFonts w:eastAsia="MS Gothic"/>
          <w:i/>
        </w:rPr>
        <w:t>Nanoelectronics</w:t>
      </w:r>
      <w:proofErr w:type="spellEnd"/>
      <w:r w:rsidRPr="002103ED">
        <w:rPr>
          <w:rFonts w:eastAsia="MS Gothic"/>
          <w:i/>
        </w:rPr>
        <w:t>)).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112C93">
      <w:pPr>
        <w:jc w:val="both"/>
        <w:rPr>
          <w:rFonts w:eastAsia="MS Gothic"/>
        </w:rPr>
      </w:pPr>
      <w:r w:rsidRPr="00562776">
        <w:rPr>
          <w:rFonts w:eastAsia="MS Gothic"/>
        </w:rPr>
        <w:t xml:space="preserve">Dále (c) se zjišťuje veřejná podpora v rámci dvoustranných či mnohostranných veřejných programů v oblasti VaV založených mezi vládami členských států (a ve spolupráci s kandidátskými zeměmi a zeměmi Evropského sdružení volného obchodu), kde je stanovena podmínka, že musí probíhat aspoň mezi dvěma členskými státy nebo mezi členským státem a kandidátským státem. </w:t>
      </w:r>
    </w:p>
    <w:p w:rsidR="00562776" w:rsidRDefault="00562776" w:rsidP="00562776">
      <w:pPr>
        <w:rPr>
          <w:rFonts w:eastAsia="MS Gothic"/>
        </w:rPr>
      </w:pPr>
    </w:p>
    <w:p w:rsidR="00AA53C1" w:rsidRPr="00AA53C1" w:rsidRDefault="00AA53C1" w:rsidP="00562776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Pr="00AA53C1">
        <w:rPr>
          <w:rFonts w:eastAsia="MS Gothic"/>
          <w:b/>
        </w:rPr>
        <w:t>: 2007–2014</w:t>
      </w:r>
    </w:p>
    <w:p w:rsidR="00AA53C1" w:rsidRPr="00562776" w:rsidRDefault="00AA53C1" w:rsidP="00562776">
      <w:pPr>
        <w:rPr>
          <w:rFonts w:eastAsia="MS Gothic"/>
        </w:rPr>
      </w:pPr>
    </w:p>
    <w:p w:rsidR="00562776" w:rsidRPr="00562776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Blíže viz: </w:t>
      </w:r>
      <w:hyperlink r:id="rId9" w:history="1">
        <w:r w:rsidR="002103ED" w:rsidRPr="00B671C4">
          <w:rPr>
            <w:rStyle w:val="Hypertextovodkaz"/>
            <w:rFonts w:eastAsia="MS Gothic"/>
          </w:rPr>
          <w:t>http://www.czso.cz/csu/redakce.nsf/i/statni_rozpoctove_vydaje_a_dotace_na_vyzkum_a_vyvoj_</w:t>
        </w:r>
        <w:r w:rsidR="00A67730">
          <w:rPr>
            <w:rStyle w:val="Hypertextovodkaz"/>
            <w:rFonts w:eastAsia="MS Gothic"/>
          </w:rPr>
          <w:t>GBARD</w:t>
        </w:r>
      </w:hyperlink>
      <w:r w:rsidR="002103ED">
        <w:rPr>
          <w:rFonts w:eastAsia="MS Gothic"/>
        </w:rPr>
        <w:t xml:space="preserve"> </w:t>
      </w:r>
      <w:r w:rsidRPr="00562776">
        <w:rPr>
          <w:rFonts w:eastAsia="MS Gothic"/>
        </w:rPr>
        <w:t xml:space="preserve"> 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Odkaz na stránky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>:</w:t>
      </w:r>
    </w:p>
    <w:p w:rsidR="006C3C9F" w:rsidRDefault="0030561F" w:rsidP="00562776">
      <w:pPr>
        <w:rPr>
          <w:rFonts w:eastAsia="MS Gothic"/>
        </w:rPr>
      </w:pPr>
      <w:hyperlink r:id="rId10" w:history="1">
        <w:r w:rsidR="002103ED" w:rsidRPr="00B671C4">
          <w:rPr>
            <w:rStyle w:val="Hypertextovodkaz"/>
            <w:rFonts w:eastAsia="MS Gothic"/>
          </w:rPr>
          <w:t>http://epp.eurostat.ec.europa.eu/statistics_explained/index.php/R_%26_D_budget_statistics_-_transnationally_coordinated_research</w:t>
        </w:r>
      </w:hyperlink>
      <w:r w:rsidR="002103ED">
        <w:rPr>
          <w:rFonts w:eastAsia="MS Gothic"/>
        </w:rPr>
        <w:t xml:space="preserve"> </w:t>
      </w:r>
    </w:p>
    <w:p w:rsidR="009F5488" w:rsidRDefault="009F5488" w:rsidP="007E1850">
      <w:pPr>
        <w:rPr>
          <w:rFonts w:eastAsia="MS Gothic"/>
        </w:rPr>
      </w:pPr>
    </w:p>
    <w:p w:rsidR="00F17A7D" w:rsidRDefault="00F17A7D" w:rsidP="007E1850">
      <w:pPr>
        <w:rPr>
          <w:rFonts w:eastAsia="MS Gothic"/>
        </w:rPr>
      </w:pPr>
    </w:p>
    <w:p w:rsidR="00112C93" w:rsidRDefault="00112C93" w:rsidP="00F17A7D">
      <w:pPr>
        <w:pStyle w:val="Nadpis3"/>
      </w:pPr>
      <w:r>
        <w:t>N</w:t>
      </w:r>
      <w:r w:rsidRPr="00112C93">
        <w:t>epřímá veřejná podpora výzkumu a vývoje</w:t>
      </w:r>
    </w:p>
    <w:p w:rsidR="00B435B0" w:rsidRDefault="00112C93" w:rsidP="00D079AA">
      <w:pPr>
        <w:spacing w:before="120" w:after="120"/>
        <w:jc w:val="both"/>
        <w:rPr>
          <w:rFonts w:eastAsia="MS Gothic"/>
        </w:rPr>
      </w:pPr>
      <w:r w:rsidRPr="00112C93">
        <w:rPr>
          <w:rFonts w:eastAsia="MS Gothic"/>
        </w:rPr>
        <w:t xml:space="preserve">Kromě přímé státní rozpočtové podpory výzkumu a vývoje, kterou reprezentuje statistika </w:t>
      </w:r>
      <w:r w:rsidR="00A67730">
        <w:rPr>
          <w:rFonts w:eastAsia="MS Gothic"/>
        </w:rPr>
        <w:t>GBARD</w:t>
      </w:r>
      <w:r w:rsidR="009B4490">
        <w:rPr>
          <w:rFonts w:eastAsia="MS Gothic"/>
        </w:rPr>
        <w:t xml:space="preserve">, </w:t>
      </w:r>
      <w:r w:rsidRPr="00112C93">
        <w:rPr>
          <w:rFonts w:eastAsia="MS Gothic"/>
        </w:rPr>
        <w:t>existuje od roku 2005 možnost daňového odpočtu uznatelných nákladů na výzkum a vývoj. Tento instrument se nazývá nepřímá veřejná podpora výzkumu a vývoje</w:t>
      </w:r>
      <w:r w:rsidR="004559E0">
        <w:rPr>
          <w:rFonts w:eastAsia="MS Gothic"/>
        </w:rPr>
        <w:t xml:space="preserve"> a sleduje se pomocí statistiky státní</w:t>
      </w:r>
      <w:r w:rsidR="009B4490">
        <w:rPr>
          <w:rFonts w:eastAsia="MS Gothic"/>
        </w:rPr>
        <w:t>ch daňových pobídek</w:t>
      </w:r>
      <w:r w:rsidR="004559E0">
        <w:rPr>
          <w:rFonts w:eastAsia="MS Gothic"/>
        </w:rPr>
        <w:t xml:space="preserve"> výdajů na VaV (</w:t>
      </w:r>
      <w:proofErr w:type="spellStart"/>
      <w:r w:rsidR="004559E0">
        <w:rPr>
          <w:rFonts w:eastAsia="MS Gothic"/>
        </w:rPr>
        <w:t>ang</w:t>
      </w:r>
      <w:proofErr w:type="spellEnd"/>
      <w:r w:rsidR="004559E0">
        <w:rPr>
          <w:rFonts w:eastAsia="MS Gothic"/>
        </w:rPr>
        <w:t xml:space="preserve">. zkrat. </w:t>
      </w:r>
      <w:r w:rsidR="00C60B2A">
        <w:rPr>
          <w:rFonts w:eastAsia="MS Gothic"/>
        </w:rPr>
        <w:t>GTA</w:t>
      </w:r>
      <w:r w:rsidR="00C60B2A" w:rsidRPr="00C60B2A">
        <w:rPr>
          <w:rFonts w:eastAsia="MS Gothic"/>
        </w:rPr>
        <w:t>RD</w:t>
      </w:r>
      <w:r w:rsidR="004559E0">
        <w:rPr>
          <w:rFonts w:eastAsia="MS Gothic"/>
        </w:rPr>
        <w:t>)</w:t>
      </w:r>
      <w:r w:rsidRPr="00112C93">
        <w:rPr>
          <w:rFonts w:eastAsia="MS Gothic"/>
        </w:rPr>
        <w:t xml:space="preserve">. </w:t>
      </w:r>
    </w:p>
    <w:p w:rsidR="00112C93" w:rsidRPr="00112C93" w:rsidRDefault="00112C93" w:rsidP="00D079AA">
      <w:pPr>
        <w:spacing w:before="120" w:after="120"/>
        <w:jc w:val="both"/>
        <w:rPr>
          <w:rFonts w:eastAsia="MS Gothic"/>
        </w:rPr>
      </w:pPr>
      <w:r w:rsidRPr="00112C93">
        <w:rPr>
          <w:rFonts w:eastAsia="MS Gothic"/>
        </w:rPr>
        <w:t>Údaj</w:t>
      </w:r>
      <w:r w:rsidR="006412C0">
        <w:rPr>
          <w:rFonts w:eastAsia="MS Gothic"/>
        </w:rPr>
        <w:t>e o této formě podpory ČSÚ shromažďuje z administrativních zdrojů (daňová přiznání právnických osob)</w:t>
      </w:r>
      <w:r w:rsidRPr="00112C93">
        <w:rPr>
          <w:rFonts w:eastAsia="MS Gothic"/>
        </w:rPr>
        <w:t xml:space="preserve"> a publikuje na svých stránkách. Údaje o subjektech (právnické osoby) podnikatelského sektoru, které uplatnily daňový odpočet uznatelných nákladů na VaV, jsou dostupné od roku 2007.</w:t>
      </w:r>
      <w:r w:rsidR="006412C0">
        <w:rPr>
          <w:rFonts w:eastAsia="MS Gothic"/>
        </w:rPr>
        <w:t xml:space="preserve"> Za roky 2005 a 2006 je dostupná pouze celková částka uznatelných nákladů na VaV bez dalšího členění</w:t>
      </w:r>
      <w:r w:rsidR="006631DE">
        <w:rPr>
          <w:rFonts w:eastAsia="MS Gothic"/>
        </w:rPr>
        <w:t xml:space="preserve"> v návaznosti na Registr ekonomických subjektů</w:t>
      </w:r>
      <w:r w:rsidR="006412C0">
        <w:rPr>
          <w:rFonts w:eastAsia="MS Gothic"/>
        </w:rPr>
        <w:t xml:space="preserve">. </w:t>
      </w:r>
    </w:p>
    <w:p w:rsidR="00112C93" w:rsidRPr="00112C93" w:rsidRDefault="00112C93" w:rsidP="00112C93">
      <w:pPr>
        <w:jc w:val="both"/>
        <w:rPr>
          <w:rFonts w:eastAsia="MS Gothic"/>
        </w:rPr>
      </w:pPr>
    </w:p>
    <w:p w:rsidR="00112C93" w:rsidRPr="00112C93" w:rsidRDefault="00112C93" w:rsidP="00112C93">
      <w:pPr>
        <w:rPr>
          <w:rFonts w:eastAsia="MS Gothic"/>
        </w:rPr>
      </w:pPr>
      <w:r w:rsidRPr="00112C93">
        <w:rPr>
          <w:rFonts w:eastAsia="MS Gothic"/>
        </w:rPr>
        <w:t xml:space="preserve">Blíže viz: </w:t>
      </w:r>
      <w:hyperlink r:id="rId11" w:history="1">
        <w:r w:rsidRPr="00B671C4">
          <w:rPr>
            <w:rStyle w:val="Hypertextovodkaz"/>
            <w:rFonts w:eastAsia="MS Gothic"/>
          </w:rPr>
          <w:t>http://www.czso.cz/csu/redakce.nsf/i/neprima_podpora_vyzkumu_a_vyvoje_v_podnikatelskem_sektoru</w:t>
        </w:r>
      </w:hyperlink>
      <w:r>
        <w:rPr>
          <w:rFonts w:eastAsia="MS Gothic"/>
        </w:rPr>
        <w:t xml:space="preserve"> </w:t>
      </w:r>
      <w:r w:rsidRPr="00112C93">
        <w:rPr>
          <w:rFonts w:eastAsia="MS Gothic"/>
        </w:rPr>
        <w:t xml:space="preserve"> </w:t>
      </w:r>
    </w:p>
    <w:p w:rsidR="00112C93" w:rsidRDefault="00112C93" w:rsidP="007E1850">
      <w:pPr>
        <w:rPr>
          <w:rFonts w:eastAsia="MS Gothic"/>
        </w:rPr>
      </w:pPr>
    </w:p>
    <w:p w:rsidR="00112C93" w:rsidRPr="00AA53C1" w:rsidRDefault="00AA53C1" w:rsidP="007E1850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="00657BED">
        <w:rPr>
          <w:rFonts w:eastAsia="MS Gothic"/>
          <w:b/>
        </w:rPr>
        <w:t>: 2007–2013</w:t>
      </w:r>
    </w:p>
    <w:p w:rsidR="00112C93" w:rsidRDefault="00112C93" w:rsidP="007E1850">
      <w:pPr>
        <w:rPr>
          <w:rFonts w:eastAsia="MS Gothic"/>
        </w:rPr>
      </w:pPr>
    </w:p>
    <w:p w:rsidR="00112C93" w:rsidRDefault="00112C93" w:rsidP="007E1850">
      <w:pPr>
        <w:rPr>
          <w:rFonts w:eastAsia="MS Gothic"/>
        </w:rPr>
      </w:pPr>
    </w:p>
    <w:p w:rsidR="00A67730" w:rsidRDefault="00A67730" w:rsidP="007E1850">
      <w:pPr>
        <w:rPr>
          <w:rFonts w:eastAsia="MS Gothic"/>
        </w:rPr>
      </w:pPr>
    </w:p>
    <w:p w:rsidR="00A67730" w:rsidRDefault="00A67730" w:rsidP="007E1850">
      <w:pPr>
        <w:rPr>
          <w:rFonts w:eastAsia="MS Gothic"/>
        </w:rPr>
      </w:pPr>
    </w:p>
    <w:p w:rsidR="000A03DC" w:rsidRPr="005652E9" w:rsidRDefault="000A03DC" w:rsidP="000A03DC">
      <w:pPr>
        <w:spacing w:after="120"/>
        <w:rPr>
          <w:rFonts w:cs="Arial"/>
          <w:b/>
        </w:rPr>
      </w:pPr>
      <w:r>
        <w:rPr>
          <w:rFonts w:cs="Arial"/>
          <w:b/>
        </w:rPr>
        <w:t>Poznámky k údajů</w:t>
      </w:r>
      <w:r w:rsidRPr="005652E9">
        <w:rPr>
          <w:rFonts w:cs="Arial"/>
          <w:b/>
        </w:rPr>
        <w:t>m v tabulkách a grafech</w:t>
      </w:r>
    </w:p>
    <w:p w:rsidR="000A03DC" w:rsidRPr="00036D3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0</w:t>
      </w:r>
      <w:r w:rsidRPr="00503ACA">
        <w:rPr>
          <w:rFonts w:cs="Arial"/>
          <w:sz w:val="18"/>
        </w:rPr>
        <w:t xml:space="preserve"> </w:t>
      </w:r>
      <w:r w:rsidRPr="00036D30">
        <w:rPr>
          <w:rFonts w:cs="Arial"/>
          <w:sz w:val="18"/>
        </w:rPr>
        <w:t>= nula se používá pro označení číselných údajů menších než polovina zvolené měřící jednotky</w:t>
      </w:r>
    </w:p>
    <w:p w:rsidR="000A03DC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b/>
          <w:bCs/>
          <w:sz w:val="18"/>
        </w:rPr>
        <w:t>-</w:t>
      </w:r>
      <w:r w:rsidRPr="00036D30">
        <w:rPr>
          <w:rFonts w:cs="Arial"/>
          <w:sz w:val="18"/>
        </w:rPr>
        <w:t xml:space="preserve"> = údaj není k dispozici (nespolehlivý, jev se nevyskytoval, ukazatel se nezjišťoval, individuální údaj)</w:t>
      </w:r>
    </w:p>
    <w:p w:rsidR="00B3793E" w:rsidRDefault="00B3793E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B3793E">
        <w:rPr>
          <w:rFonts w:cs="Arial"/>
          <w:bCs/>
          <w:sz w:val="18"/>
        </w:rPr>
        <w:t>:</w:t>
      </w:r>
      <w:r w:rsidRPr="00036D30">
        <w:rPr>
          <w:rFonts w:cs="Arial"/>
          <w:sz w:val="18"/>
        </w:rPr>
        <w:t xml:space="preserve"> = údaj není k</w:t>
      </w:r>
      <w:r>
        <w:rPr>
          <w:rFonts w:cs="Arial"/>
          <w:sz w:val="18"/>
        </w:rPr>
        <w:t> </w:t>
      </w:r>
      <w:r w:rsidRPr="00036D30">
        <w:rPr>
          <w:rFonts w:cs="Arial"/>
          <w:sz w:val="18"/>
        </w:rPr>
        <w:t>dispozici</w:t>
      </w:r>
      <w:r>
        <w:rPr>
          <w:rFonts w:cs="Arial"/>
          <w:sz w:val="18"/>
        </w:rPr>
        <w:t xml:space="preserve"> (mezinárodní srovnání)</w:t>
      </w:r>
    </w:p>
    <w:p w:rsidR="000A03DC" w:rsidRPr="000A03DC" w:rsidRDefault="000A03DC" w:rsidP="00503ACA">
      <w:pPr>
        <w:numPr>
          <w:ilvl w:val="0"/>
          <w:numId w:val="6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x</w:t>
      </w:r>
      <w:r>
        <w:rPr>
          <w:rFonts w:cs="Arial"/>
          <w:b/>
          <w:bCs/>
          <w:sz w:val="18"/>
        </w:rPr>
        <w:t xml:space="preserve"> </w:t>
      </w:r>
      <w:r w:rsidRPr="000A03DC">
        <w:rPr>
          <w:rFonts w:cs="Arial"/>
          <w:bCs/>
          <w:sz w:val="18"/>
        </w:rPr>
        <w:t>=</w:t>
      </w:r>
      <w:r w:rsidR="00503ACA">
        <w:rPr>
          <w:rFonts w:cs="Arial"/>
          <w:bCs/>
          <w:sz w:val="18"/>
        </w:rPr>
        <w:t xml:space="preserve"> </w:t>
      </w:r>
      <w:r w:rsidR="00503ACA" w:rsidRPr="00503ACA">
        <w:rPr>
          <w:rFonts w:cs="Arial"/>
          <w:bCs/>
          <w:sz w:val="18"/>
        </w:rPr>
        <w:t>ležatý křížek na místě čísla značí, že zápis není možný z logických důvodů</w:t>
      </w:r>
    </w:p>
    <w:p w:rsidR="000A03DC" w:rsidRPr="00036D3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Výpočty v tabulkách jsou prováděny </w:t>
      </w:r>
      <w:r w:rsidRPr="00036D30">
        <w:rPr>
          <w:rFonts w:cs="Arial"/>
          <w:b/>
          <w:bCs/>
          <w:sz w:val="18"/>
        </w:rPr>
        <w:t>z nezaokrouhlených údajů</w:t>
      </w:r>
      <w:r w:rsidRPr="00036D30">
        <w:rPr>
          <w:rFonts w:cs="Arial"/>
          <w:sz w:val="18"/>
        </w:rPr>
        <w:t xml:space="preserve">. </w:t>
      </w:r>
    </w:p>
    <w:p w:rsidR="000A03DC" w:rsidRPr="00B435B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Uvedené úhrny (součty a mezisoučty) nemusí odpovídat součtu dílčích hodnot z důvodu </w:t>
      </w:r>
      <w:r w:rsidRPr="00036D30">
        <w:rPr>
          <w:rFonts w:cs="Arial"/>
          <w:b/>
          <w:bCs/>
          <w:sz w:val="18"/>
        </w:rPr>
        <w:t>zaokrouhlování.</w:t>
      </w:r>
    </w:p>
    <w:sectPr w:rsidR="000A03DC" w:rsidRPr="00B435B0" w:rsidSect="00F9678A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1F" w:rsidRDefault="0030561F" w:rsidP="00E71A58">
      <w:r>
        <w:separator/>
      </w:r>
    </w:p>
  </w:endnote>
  <w:endnote w:type="continuationSeparator" w:id="0">
    <w:p w:rsidR="0030561F" w:rsidRDefault="0030561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E15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A3E15" w:rsidRPr="005A21E0">
      <w:rPr>
        <w:rFonts w:ascii="Arial" w:hAnsi="Arial" w:cs="Arial"/>
        <w:sz w:val="16"/>
        <w:szCs w:val="16"/>
      </w:rPr>
      <w:fldChar w:fldCharType="separate"/>
    </w:r>
    <w:r w:rsidR="005455B4">
      <w:rPr>
        <w:rFonts w:ascii="Arial" w:hAnsi="Arial" w:cs="Arial"/>
        <w:noProof/>
        <w:sz w:val="16"/>
        <w:szCs w:val="16"/>
      </w:rPr>
      <w:t>14</w:t>
    </w:r>
    <w:r w:rsidR="004A3E15" w:rsidRPr="005A21E0">
      <w:rPr>
        <w:rFonts w:ascii="Arial" w:hAnsi="Arial" w:cs="Arial"/>
        <w:sz w:val="16"/>
        <w:szCs w:val="16"/>
      </w:rPr>
      <w:fldChar w:fldCharType="end"/>
    </w:r>
    <w:r w:rsidR="00112C93"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8616C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433F0">
      <w:rPr>
        <w:rFonts w:ascii="Arial" w:hAnsi="Arial" w:cs="Arial"/>
        <w:sz w:val="16"/>
        <w:szCs w:val="16"/>
      </w:rPr>
      <w:t>2014</w:t>
    </w:r>
    <w:r>
      <w:tab/>
    </w:r>
    <w:r>
      <w:tab/>
    </w:r>
    <w:r w:rsidR="004A3E15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A3E15" w:rsidRPr="00B6608F">
      <w:rPr>
        <w:rFonts w:ascii="Arial" w:hAnsi="Arial" w:cs="Arial"/>
        <w:sz w:val="16"/>
        <w:szCs w:val="16"/>
      </w:rPr>
      <w:fldChar w:fldCharType="separate"/>
    </w:r>
    <w:r w:rsidR="005455B4">
      <w:rPr>
        <w:rFonts w:ascii="Arial" w:hAnsi="Arial" w:cs="Arial"/>
        <w:noProof/>
        <w:sz w:val="16"/>
        <w:szCs w:val="16"/>
      </w:rPr>
      <w:t>13</w:t>
    </w:r>
    <w:r w:rsidR="004A3E15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1F" w:rsidRDefault="0030561F" w:rsidP="00E71A58">
      <w:r>
        <w:separator/>
      </w:r>
    </w:p>
  </w:footnote>
  <w:footnote w:type="continuationSeparator" w:id="0">
    <w:p w:rsidR="0030561F" w:rsidRDefault="0030561F" w:rsidP="00E71A58">
      <w:r>
        <w:continuationSeparator/>
      </w:r>
    </w:p>
  </w:footnote>
  <w:footnote w:id="1">
    <w:p w:rsidR="00CB1FC0" w:rsidRPr="009F2B78" w:rsidRDefault="00CB1FC0" w:rsidP="00CB1FC0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</w:t>
      </w:r>
      <w:proofErr w:type="spellStart"/>
      <w:r w:rsidRPr="009F2B78">
        <w:rPr>
          <w:sz w:val="18"/>
          <w:szCs w:val="18"/>
        </w:rPr>
        <w:t>Frascati</w:t>
      </w:r>
      <w:proofErr w:type="spellEnd"/>
      <w:r w:rsidRPr="009F2B78">
        <w:rPr>
          <w:sz w:val="18"/>
          <w:szCs w:val="18"/>
        </w:rPr>
        <w:t xml:space="preserve"> manuál je základní mezinárodní dokument používaný ve statistikách VaV. Více viz:</w:t>
      </w:r>
    </w:p>
    <w:p w:rsidR="00CB1FC0" w:rsidRPr="009F2B78" w:rsidRDefault="00CB1FC0" w:rsidP="00CB1FC0">
      <w:pPr>
        <w:pStyle w:val="Textpoznpodarou"/>
        <w:rPr>
          <w:sz w:val="18"/>
          <w:szCs w:val="18"/>
        </w:rPr>
      </w:pPr>
      <w:r w:rsidRPr="009F2B78">
        <w:rPr>
          <w:sz w:val="18"/>
          <w:szCs w:val="18"/>
        </w:rPr>
        <w:t xml:space="preserve">   </w:t>
      </w:r>
      <w:hyperlink r:id="rId1" w:history="1">
        <w:r w:rsidRPr="009F2B78">
          <w:rPr>
            <w:rStyle w:val="Hypertextovodkaz"/>
            <w:rFonts w:cs="Arial"/>
            <w:sz w:val="18"/>
            <w:szCs w:val="18"/>
          </w:rPr>
          <w:t>www.oecd.org/sti/frascatimanual</w:t>
        </w:r>
      </w:hyperlink>
    </w:p>
  </w:footnote>
  <w:footnote w:id="2">
    <w:p w:rsidR="002F682C" w:rsidRPr="009F2B78" w:rsidRDefault="002F682C" w:rsidP="002F682C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</w:t>
      </w:r>
      <w:hyperlink r:id="rId2" w:history="1">
        <w:r w:rsidRPr="009F2B78">
          <w:rPr>
            <w:rStyle w:val="Hypertextovodkaz"/>
            <w:sz w:val="18"/>
            <w:szCs w:val="18"/>
          </w:rPr>
          <w:t>https://www.czso.cz/csu/czso/ukazatele-vyzkumu-a-vyvoje-2013-w6rsbm7x7x</w:t>
        </w:r>
      </w:hyperlink>
      <w:r w:rsidRPr="009F2B78">
        <w:rPr>
          <w:sz w:val="18"/>
          <w:szCs w:val="18"/>
        </w:rPr>
        <w:t xml:space="preserve"> </w:t>
      </w:r>
    </w:p>
  </w:footnote>
  <w:footnote w:id="3">
    <w:p w:rsidR="002F682C" w:rsidRDefault="002F682C" w:rsidP="002F682C">
      <w:pPr>
        <w:pStyle w:val="Textpoznpodarou"/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</w:t>
      </w:r>
      <w:hyperlink r:id="rId3" w:history="1">
        <w:r w:rsidRPr="009F2B78">
          <w:rPr>
            <w:rStyle w:val="Hypertextovodkaz"/>
            <w:sz w:val="18"/>
            <w:szCs w:val="18"/>
          </w:rPr>
          <w:t>https://www.czso.cz/csu/czso/statistika_vyzkumu_a_vyvoje</w:t>
        </w:r>
      </w:hyperlink>
    </w:p>
  </w:footnote>
  <w:footnote w:id="4">
    <w:p w:rsidR="009E3A8D" w:rsidRPr="009F2B78" w:rsidRDefault="009E3A8D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V případě ČR je zahrnut pouze státní rozpočet, nikoliv krajské rozpočty.</w:t>
      </w:r>
    </w:p>
  </w:footnote>
  <w:footnote w:id="5">
    <w:p w:rsidR="004C331C" w:rsidRPr="004C331C" w:rsidRDefault="004C331C" w:rsidP="004C331C">
      <w:pPr>
        <w:pStyle w:val="Textpoznpodarou"/>
        <w:rPr>
          <w:rFonts w:cs="Arial"/>
          <w:sz w:val="18"/>
          <w:szCs w:val="18"/>
        </w:rPr>
      </w:pPr>
      <w:r w:rsidRPr="009F2B78">
        <w:rPr>
          <w:rStyle w:val="Znakapoznpodarou"/>
          <w:rFonts w:cs="Arial"/>
          <w:sz w:val="18"/>
          <w:szCs w:val="18"/>
        </w:rPr>
        <w:footnoteRef/>
      </w:r>
      <w:r w:rsidRPr="009F2B78">
        <w:rPr>
          <w:rFonts w:cs="Arial"/>
          <w:sz w:val="18"/>
          <w:szCs w:val="18"/>
        </w:rPr>
        <w:t xml:space="preserve"> V České republice nejsou všeobecné univerzitní fondy definovány</w:t>
      </w:r>
      <w:r w:rsidR="00D959F5">
        <w:rPr>
          <w:rFonts w:cs="Arial"/>
          <w:sz w:val="18"/>
          <w:szCs w:val="18"/>
        </w:rPr>
        <w:t xml:space="preserve"> zákonem</w:t>
      </w:r>
      <w:r w:rsidRPr="009F2B78">
        <w:rPr>
          <w:rFonts w:cs="Arial"/>
          <w:sz w:val="18"/>
          <w:szCs w:val="18"/>
        </w:rPr>
        <w:t xml:space="preserve">. Socioekonomický cíl SEO 10 proto zahrnuje dle definice </w:t>
      </w:r>
      <w:proofErr w:type="spellStart"/>
      <w:r w:rsidRPr="009F2B78">
        <w:rPr>
          <w:rFonts w:cs="Arial"/>
          <w:sz w:val="18"/>
          <w:szCs w:val="18"/>
        </w:rPr>
        <w:t>Frascati</w:t>
      </w:r>
      <w:proofErr w:type="spellEnd"/>
      <w:r w:rsidRPr="009F2B78">
        <w:rPr>
          <w:rFonts w:cs="Arial"/>
          <w:sz w:val="18"/>
          <w:szCs w:val="18"/>
        </w:rPr>
        <w:t xml:space="preserve"> manuálu pouze institucionální prostředky poskytnuté vysokým školám. Pro SEO 10 byl přijat název „Všeobecný výzkum na vysokých školách“, který se shodně používal ve statistickém šetření VTR5-01, než byl příslušný oddíl 290 zrušen.</w:t>
      </w:r>
      <w:r w:rsidRPr="004C331C">
        <w:rPr>
          <w:rFonts w:cs="Arial"/>
          <w:sz w:val="18"/>
          <w:szCs w:val="18"/>
        </w:rPr>
        <w:t xml:space="preserve">    </w:t>
      </w:r>
    </w:p>
  </w:footnote>
  <w:footnote w:id="6">
    <w:p w:rsidR="00FD6E95" w:rsidRDefault="00606D07">
      <w:pPr>
        <w:pStyle w:val="Textpoznpodarou"/>
        <w:rPr>
          <w:sz w:val="18"/>
        </w:rPr>
      </w:pPr>
      <w:r w:rsidRPr="00606D07">
        <w:rPr>
          <w:rStyle w:val="Znakapoznpodarou"/>
          <w:sz w:val="18"/>
        </w:rPr>
        <w:footnoteRef/>
      </w:r>
      <w:r w:rsidRPr="00606D07">
        <w:rPr>
          <w:sz w:val="18"/>
        </w:rPr>
        <w:t xml:space="preserve"> </w:t>
      </w:r>
      <w:r>
        <w:rPr>
          <w:sz w:val="18"/>
        </w:rPr>
        <w:t>Bližší specifikace sektorů provádění viz metodika ke statist</w:t>
      </w:r>
      <w:r w:rsidR="005068ED">
        <w:rPr>
          <w:sz w:val="18"/>
        </w:rPr>
        <w:t xml:space="preserve">ickému šetření o VaV (VTR 5-01): </w:t>
      </w:r>
      <w:hyperlink r:id="rId4" w:history="1">
        <w:r w:rsidR="005068ED" w:rsidRPr="003C58F0">
          <w:rPr>
            <w:rStyle w:val="Hypertextovodkaz"/>
            <w:sz w:val="18"/>
          </w:rPr>
          <w:t>https://www.czso.cz/csu/czso/statistika_vyzkumu_a_vyvoje</w:t>
        </w:r>
      </w:hyperlink>
      <w:r>
        <w:rPr>
          <w:sz w:val="18"/>
        </w:rPr>
        <w:t xml:space="preserve"> </w:t>
      </w:r>
    </w:p>
    <w:p w:rsidR="00606D07" w:rsidRPr="00606D07" w:rsidRDefault="00FD6E95">
      <w:pPr>
        <w:pStyle w:val="Textpoznpodarou"/>
        <w:rPr>
          <w:sz w:val="18"/>
        </w:rPr>
      </w:pPr>
      <w:r>
        <w:rPr>
          <w:sz w:val="18"/>
        </w:rPr>
        <w:t xml:space="preserve">Zahraniční sektor není v případě statistického šetření VTR 5-01 definován. Sledují se pouze jednotky provádějící VaV na území České republiky.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Pr="00AD306C" w:rsidRDefault="008616C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METODIKA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>/ METODIKA</w:t>
    </w:r>
  </w:p>
  <w:p w:rsidR="008616C8" w:rsidRPr="00DC5B3B" w:rsidRDefault="008616C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C83"/>
    <w:multiLevelType w:val="hybridMultilevel"/>
    <w:tmpl w:val="BD6A2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4DB9"/>
    <w:multiLevelType w:val="hybridMultilevel"/>
    <w:tmpl w:val="3994402C"/>
    <w:lvl w:ilvl="0" w:tplc="D46847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5"/>
  </w:num>
  <w:num w:numId="5">
    <w:abstractNumId w:val="17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3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6"/>
  </w:num>
  <w:num w:numId="21">
    <w:abstractNumId w:val="8"/>
  </w:num>
  <w:num w:numId="22">
    <w:abstractNumId w:val="16"/>
  </w:num>
  <w:num w:numId="23">
    <w:abstractNumId w:val="0"/>
  </w:num>
  <w:num w:numId="24">
    <w:abstractNumId w:val="1"/>
  </w:num>
  <w:num w:numId="25">
    <w:abstractNumId w:val="24"/>
  </w:num>
  <w:num w:numId="26">
    <w:abstractNumId w:val="4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767A"/>
    <w:rsid w:val="00010702"/>
    <w:rsid w:val="000158B9"/>
    <w:rsid w:val="00016CCE"/>
    <w:rsid w:val="00023DB5"/>
    <w:rsid w:val="000350E5"/>
    <w:rsid w:val="000368A7"/>
    <w:rsid w:val="0003760D"/>
    <w:rsid w:val="000415AA"/>
    <w:rsid w:val="0004694F"/>
    <w:rsid w:val="00046976"/>
    <w:rsid w:val="00046DAC"/>
    <w:rsid w:val="00051C4D"/>
    <w:rsid w:val="00052DCB"/>
    <w:rsid w:val="0005739C"/>
    <w:rsid w:val="00057709"/>
    <w:rsid w:val="00062A19"/>
    <w:rsid w:val="00062EC5"/>
    <w:rsid w:val="00064171"/>
    <w:rsid w:val="000660A1"/>
    <w:rsid w:val="000734E1"/>
    <w:rsid w:val="000735D7"/>
    <w:rsid w:val="00080B27"/>
    <w:rsid w:val="00080E37"/>
    <w:rsid w:val="00081AAC"/>
    <w:rsid w:val="00082307"/>
    <w:rsid w:val="00085870"/>
    <w:rsid w:val="00087634"/>
    <w:rsid w:val="00087A0A"/>
    <w:rsid w:val="000932E5"/>
    <w:rsid w:val="00093B40"/>
    <w:rsid w:val="000946D6"/>
    <w:rsid w:val="000A03DC"/>
    <w:rsid w:val="000A1183"/>
    <w:rsid w:val="000B0777"/>
    <w:rsid w:val="000B1F4E"/>
    <w:rsid w:val="000B64CF"/>
    <w:rsid w:val="000C1883"/>
    <w:rsid w:val="000C3408"/>
    <w:rsid w:val="000C4ABE"/>
    <w:rsid w:val="000C5FBB"/>
    <w:rsid w:val="000C7B9D"/>
    <w:rsid w:val="000D0EBF"/>
    <w:rsid w:val="000D1504"/>
    <w:rsid w:val="000D1A55"/>
    <w:rsid w:val="000D441E"/>
    <w:rsid w:val="000D4ED6"/>
    <w:rsid w:val="000E276F"/>
    <w:rsid w:val="000E63E0"/>
    <w:rsid w:val="000F0B7C"/>
    <w:rsid w:val="000F0F6F"/>
    <w:rsid w:val="000F1241"/>
    <w:rsid w:val="000F13FC"/>
    <w:rsid w:val="000F20BC"/>
    <w:rsid w:val="000F3C36"/>
    <w:rsid w:val="000F41F1"/>
    <w:rsid w:val="000F6A39"/>
    <w:rsid w:val="000F6F58"/>
    <w:rsid w:val="001048C1"/>
    <w:rsid w:val="001103C6"/>
    <w:rsid w:val="001111B2"/>
    <w:rsid w:val="00112C93"/>
    <w:rsid w:val="0011360E"/>
    <w:rsid w:val="0011527F"/>
    <w:rsid w:val="0011629F"/>
    <w:rsid w:val="001405FA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793"/>
    <w:rsid w:val="00171425"/>
    <w:rsid w:val="001714F2"/>
    <w:rsid w:val="0017466E"/>
    <w:rsid w:val="00174C78"/>
    <w:rsid w:val="0017551C"/>
    <w:rsid w:val="001758CB"/>
    <w:rsid w:val="00184A37"/>
    <w:rsid w:val="00185010"/>
    <w:rsid w:val="00193143"/>
    <w:rsid w:val="00193481"/>
    <w:rsid w:val="001938F0"/>
    <w:rsid w:val="001958D4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C7306"/>
    <w:rsid w:val="001D1415"/>
    <w:rsid w:val="001D18FA"/>
    <w:rsid w:val="001D23C7"/>
    <w:rsid w:val="001D353E"/>
    <w:rsid w:val="001D6CB9"/>
    <w:rsid w:val="001E2E1C"/>
    <w:rsid w:val="001E5CBD"/>
    <w:rsid w:val="001F199C"/>
    <w:rsid w:val="001F4597"/>
    <w:rsid w:val="001F6620"/>
    <w:rsid w:val="00201371"/>
    <w:rsid w:val="0020344B"/>
    <w:rsid w:val="00204888"/>
    <w:rsid w:val="0020532C"/>
    <w:rsid w:val="00205612"/>
    <w:rsid w:val="0020650B"/>
    <w:rsid w:val="00207A19"/>
    <w:rsid w:val="00207E4B"/>
    <w:rsid w:val="002103ED"/>
    <w:rsid w:val="00211943"/>
    <w:rsid w:val="00216EB6"/>
    <w:rsid w:val="00217927"/>
    <w:rsid w:val="00220219"/>
    <w:rsid w:val="00220971"/>
    <w:rsid w:val="0022139E"/>
    <w:rsid w:val="002216F1"/>
    <w:rsid w:val="002252E0"/>
    <w:rsid w:val="002255F6"/>
    <w:rsid w:val="002320A5"/>
    <w:rsid w:val="00236443"/>
    <w:rsid w:val="0024246D"/>
    <w:rsid w:val="00242B9B"/>
    <w:rsid w:val="002436BA"/>
    <w:rsid w:val="00244A15"/>
    <w:rsid w:val="0024531D"/>
    <w:rsid w:val="0024799E"/>
    <w:rsid w:val="0025064A"/>
    <w:rsid w:val="002561A8"/>
    <w:rsid w:val="0025762A"/>
    <w:rsid w:val="002620B2"/>
    <w:rsid w:val="00262DE2"/>
    <w:rsid w:val="00264EFE"/>
    <w:rsid w:val="002704E6"/>
    <w:rsid w:val="00272CB1"/>
    <w:rsid w:val="00276B63"/>
    <w:rsid w:val="00277B21"/>
    <w:rsid w:val="002817BF"/>
    <w:rsid w:val="002829BA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52A"/>
    <w:rsid w:val="002A1858"/>
    <w:rsid w:val="002A30A5"/>
    <w:rsid w:val="002A4F13"/>
    <w:rsid w:val="002B0B7D"/>
    <w:rsid w:val="002C31D3"/>
    <w:rsid w:val="002C3789"/>
    <w:rsid w:val="002C43BD"/>
    <w:rsid w:val="002D3DF2"/>
    <w:rsid w:val="002D4653"/>
    <w:rsid w:val="002D47D8"/>
    <w:rsid w:val="002D526C"/>
    <w:rsid w:val="002E0064"/>
    <w:rsid w:val="002E02A1"/>
    <w:rsid w:val="002E1344"/>
    <w:rsid w:val="002E1696"/>
    <w:rsid w:val="002E60FD"/>
    <w:rsid w:val="002F211D"/>
    <w:rsid w:val="002F408C"/>
    <w:rsid w:val="002F473A"/>
    <w:rsid w:val="002F4840"/>
    <w:rsid w:val="002F682C"/>
    <w:rsid w:val="002F77B1"/>
    <w:rsid w:val="0030115C"/>
    <w:rsid w:val="00301C0F"/>
    <w:rsid w:val="00303A70"/>
    <w:rsid w:val="00304771"/>
    <w:rsid w:val="0030561F"/>
    <w:rsid w:val="0030627B"/>
    <w:rsid w:val="00306C5B"/>
    <w:rsid w:val="003103E0"/>
    <w:rsid w:val="003119AC"/>
    <w:rsid w:val="003136F4"/>
    <w:rsid w:val="003156E7"/>
    <w:rsid w:val="003209D6"/>
    <w:rsid w:val="003257F5"/>
    <w:rsid w:val="00325DD0"/>
    <w:rsid w:val="00331575"/>
    <w:rsid w:val="00332CDF"/>
    <w:rsid w:val="00334173"/>
    <w:rsid w:val="00342B74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506F"/>
    <w:rsid w:val="00375566"/>
    <w:rsid w:val="00385D98"/>
    <w:rsid w:val="00386F3B"/>
    <w:rsid w:val="0039379F"/>
    <w:rsid w:val="00395150"/>
    <w:rsid w:val="003A063A"/>
    <w:rsid w:val="003A0D1B"/>
    <w:rsid w:val="003A165B"/>
    <w:rsid w:val="003A2B4D"/>
    <w:rsid w:val="003A478C"/>
    <w:rsid w:val="003A5525"/>
    <w:rsid w:val="003A6B38"/>
    <w:rsid w:val="003B07C1"/>
    <w:rsid w:val="003B2BAD"/>
    <w:rsid w:val="003B2C71"/>
    <w:rsid w:val="003B5A32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E126A"/>
    <w:rsid w:val="003E2BEE"/>
    <w:rsid w:val="003E3423"/>
    <w:rsid w:val="003E6983"/>
    <w:rsid w:val="003F05BE"/>
    <w:rsid w:val="003F0699"/>
    <w:rsid w:val="003F28DA"/>
    <w:rsid w:val="003F313C"/>
    <w:rsid w:val="003F62AA"/>
    <w:rsid w:val="004064C8"/>
    <w:rsid w:val="004070A8"/>
    <w:rsid w:val="00407952"/>
    <w:rsid w:val="00410D5F"/>
    <w:rsid w:val="004116C5"/>
    <w:rsid w:val="00414240"/>
    <w:rsid w:val="00422315"/>
    <w:rsid w:val="004236B3"/>
    <w:rsid w:val="004251DA"/>
    <w:rsid w:val="00427185"/>
    <w:rsid w:val="00427765"/>
    <w:rsid w:val="0043194A"/>
    <w:rsid w:val="00431B48"/>
    <w:rsid w:val="00431B5D"/>
    <w:rsid w:val="0043246C"/>
    <w:rsid w:val="00435439"/>
    <w:rsid w:val="00436048"/>
    <w:rsid w:val="004423DA"/>
    <w:rsid w:val="004433F0"/>
    <w:rsid w:val="004479AD"/>
    <w:rsid w:val="00453D53"/>
    <w:rsid w:val="00455781"/>
    <w:rsid w:val="004559E0"/>
    <w:rsid w:val="00456EBB"/>
    <w:rsid w:val="0045782F"/>
    <w:rsid w:val="00464380"/>
    <w:rsid w:val="00465311"/>
    <w:rsid w:val="00466D51"/>
    <w:rsid w:val="00470CEE"/>
    <w:rsid w:val="00472688"/>
    <w:rsid w:val="0047354F"/>
    <w:rsid w:val="004741CD"/>
    <w:rsid w:val="0048139F"/>
    <w:rsid w:val="00481B3C"/>
    <w:rsid w:val="00483CCC"/>
    <w:rsid w:val="00483F26"/>
    <w:rsid w:val="00493A9C"/>
    <w:rsid w:val="00495130"/>
    <w:rsid w:val="00497328"/>
    <w:rsid w:val="004A3E15"/>
    <w:rsid w:val="004A5F72"/>
    <w:rsid w:val="004A77A8"/>
    <w:rsid w:val="004A77DF"/>
    <w:rsid w:val="004B2E8D"/>
    <w:rsid w:val="004B55B7"/>
    <w:rsid w:val="004C1966"/>
    <w:rsid w:val="004C2E6C"/>
    <w:rsid w:val="004C331C"/>
    <w:rsid w:val="004C3867"/>
    <w:rsid w:val="004C4CD0"/>
    <w:rsid w:val="004C70DC"/>
    <w:rsid w:val="004D0211"/>
    <w:rsid w:val="004D2C8B"/>
    <w:rsid w:val="004D3CD1"/>
    <w:rsid w:val="004E3005"/>
    <w:rsid w:val="004E3936"/>
    <w:rsid w:val="004E46DF"/>
    <w:rsid w:val="004E5C31"/>
    <w:rsid w:val="004E7AE1"/>
    <w:rsid w:val="004F06F5"/>
    <w:rsid w:val="004F3087"/>
    <w:rsid w:val="004F33A0"/>
    <w:rsid w:val="004F3C0D"/>
    <w:rsid w:val="004F7735"/>
    <w:rsid w:val="00502D0B"/>
    <w:rsid w:val="00503A24"/>
    <w:rsid w:val="00503ACA"/>
    <w:rsid w:val="00506563"/>
    <w:rsid w:val="005068ED"/>
    <w:rsid w:val="0050798D"/>
    <w:rsid w:val="005108C0"/>
    <w:rsid w:val="0051105A"/>
    <w:rsid w:val="005116AE"/>
    <w:rsid w:val="00511873"/>
    <w:rsid w:val="00512DE2"/>
    <w:rsid w:val="00513B7E"/>
    <w:rsid w:val="005161B9"/>
    <w:rsid w:val="00516C32"/>
    <w:rsid w:val="00517B67"/>
    <w:rsid w:val="00520DE9"/>
    <w:rsid w:val="005227FD"/>
    <w:rsid w:val="00525137"/>
    <w:rsid w:val="005251DD"/>
    <w:rsid w:val="00527020"/>
    <w:rsid w:val="005325E6"/>
    <w:rsid w:val="00533F4C"/>
    <w:rsid w:val="00543AB1"/>
    <w:rsid w:val="005455B4"/>
    <w:rsid w:val="00545AFD"/>
    <w:rsid w:val="00547A35"/>
    <w:rsid w:val="0056078B"/>
    <w:rsid w:val="0056103D"/>
    <w:rsid w:val="00562776"/>
    <w:rsid w:val="005658F4"/>
    <w:rsid w:val="00571D93"/>
    <w:rsid w:val="0057313E"/>
    <w:rsid w:val="00576FE4"/>
    <w:rsid w:val="00582D33"/>
    <w:rsid w:val="00583F8C"/>
    <w:rsid w:val="00583FFD"/>
    <w:rsid w:val="0058692C"/>
    <w:rsid w:val="005872D8"/>
    <w:rsid w:val="00591242"/>
    <w:rsid w:val="00593152"/>
    <w:rsid w:val="005931E9"/>
    <w:rsid w:val="00593616"/>
    <w:rsid w:val="00594FB0"/>
    <w:rsid w:val="00595DC7"/>
    <w:rsid w:val="0059708A"/>
    <w:rsid w:val="005977E9"/>
    <w:rsid w:val="005A21E0"/>
    <w:rsid w:val="005A5899"/>
    <w:rsid w:val="005B1853"/>
    <w:rsid w:val="005B3B88"/>
    <w:rsid w:val="005B4204"/>
    <w:rsid w:val="005B7A7A"/>
    <w:rsid w:val="005C42D5"/>
    <w:rsid w:val="005C528C"/>
    <w:rsid w:val="005C665F"/>
    <w:rsid w:val="005C73BD"/>
    <w:rsid w:val="005D44A6"/>
    <w:rsid w:val="005D53FA"/>
    <w:rsid w:val="005D5802"/>
    <w:rsid w:val="005D5E5F"/>
    <w:rsid w:val="005E2A43"/>
    <w:rsid w:val="005E2F1E"/>
    <w:rsid w:val="005E5841"/>
    <w:rsid w:val="005E763D"/>
    <w:rsid w:val="005F0A23"/>
    <w:rsid w:val="005F3B4D"/>
    <w:rsid w:val="005F5310"/>
    <w:rsid w:val="005F7E12"/>
    <w:rsid w:val="00601818"/>
    <w:rsid w:val="00602F57"/>
    <w:rsid w:val="0060342E"/>
    <w:rsid w:val="006038EA"/>
    <w:rsid w:val="00604307"/>
    <w:rsid w:val="0060487F"/>
    <w:rsid w:val="00606393"/>
    <w:rsid w:val="00606D07"/>
    <w:rsid w:val="00607283"/>
    <w:rsid w:val="00610EDF"/>
    <w:rsid w:val="00615C91"/>
    <w:rsid w:val="006179E9"/>
    <w:rsid w:val="0062121E"/>
    <w:rsid w:val="00621CED"/>
    <w:rsid w:val="00624093"/>
    <w:rsid w:val="006257D8"/>
    <w:rsid w:val="00633681"/>
    <w:rsid w:val="006343AA"/>
    <w:rsid w:val="00635B9F"/>
    <w:rsid w:val="006404A7"/>
    <w:rsid w:val="00640655"/>
    <w:rsid w:val="006412C0"/>
    <w:rsid w:val="00641532"/>
    <w:rsid w:val="00643EF0"/>
    <w:rsid w:val="006451E4"/>
    <w:rsid w:val="006451F0"/>
    <w:rsid w:val="0064634C"/>
    <w:rsid w:val="006571A0"/>
    <w:rsid w:val="00657BED"/>
    <w:rsid w:val="00657E87"/>
    <w:rsid w:val="0066042C"/>
    <w:rsid w:val="00662212"/>
    <w:rsid w:val="00662635"/>
    <w:rsid w:val="00662983"/>
    <w:rsid w:val="00662987"/>
    <w:rsid w:val="006631DE"/>
    <w:rsid w:val="00670DB2"/>
    <w:rsid w:val="006710C9"/>
    <w:rsid w:val="00673310"/>
    <w:rsid w:val="00673CD6"/>
    <w:rsid w:val="00675E37"/>
    <w:rsid w:val="00681C45"/>
    <w:rsid w:val="00681E2C"/>
    <w:rsid w:val="00681EC9"/>
    <w:rsid w:val="0068260E"/>
    <w:rsid w:val="0068335A"/>
    <w:rsid w:val="00687495"/>
    <w:rsid w:val="0069312F"/>
    <w:rsid w:val="00693C50"/>
    <w:rsid w:val="006945E6"/>
    <w:rsid w:val="00695AEB"/>
    <w:rsid w:val="00695BEF"/>
    <w:rsid w:val="0069634D"/>
    <w:rsid w:val="006977F6"/>
    <w:rsid w:val="00697A13"/>
    <w:rsid w:val="006A109C"/>
    <w:rsid w:val="006A4411"/>
    <w:rsid w:val="006A4AB4"/>
    <w:rsid w:val="006A65A1"/>
    <w:rsid w:val="006B526B"/>
    <w:rsid w:val="006B78D8"/>
    <w:rsid w:val="006B79DE"/>
    <w:rsid w:val="006C113F"/>
    <w:rsid w:val="006C3C9F"/>
    <w:rsid w:val="006C738C"/>
    <w:rsid w:val="006D0D80"/>
    <w:rsid w:val="006D1CB5"/>
    <w:rsid w:val="006D566D"/>
    <w:rsid w:val="006D57D2"/>
    <w:rsid w:val="006D61F6"/>
    <w:rsid w:val="006D67F8"/>
    <w:rsid w:val="006D7F8A"/>
    <w:rsid w:val="006E279A"/>
    <w:rsid w:val="006E313B"/>
    <w:rsid w:val="006E6595"/>
    <w:rsid w:val="006F1D47"/>
    <w:rsid w:val="006F1D69"/>
    <w:rsid w:val="006F3F09"/>
    <w:rsid w:val="006F4C74"/>
    <w:rsid w:val="006F7318"/>
    <w:rsid w:val="006F799D"/>
    <w:rsid w:val="00703586"/>
    <w:rsid w:val="00704AFC"/>
    <w:rsid w:val="00704F00"/>
    <w:rsid w:val="00707ACC"/>
    <w:rsid w:val="00710016"/>
    <w:rsid w:val="00710A84"/>
    <w:rsid w:val="00710CCB"/>
    <w:rsid w:val="007151FF"/>
    <w:rsid w:val="007211F5"/>
    <w:rsid w:val="00721A73"/>
    <w:rsid w:val="00725AF2"/>
    <w:rsid w:val="007303E6"/>
    <w:rsid w:val="00730645"/>
    <w:rsid w:val="00730AE8"/>
    <w:rsid w:val="007325E4"/>
    <w:rsid w:val="00733287"/>
    <w:rsid w:val="00733953"/>
    <w:rsid w:val="00733FF8"/>
    <w:rsid w:val="00737392"/>
    <w:rsid w:val="00741493"/>
    <w:rsid w:val="00741869"/>
    <w:rsid w:val="0075203E"/>
    <w:rsid w:val="00752180"/>
    <w:rsid w:val="00755AFC"/>
    <w:rsid w:val="00755D3A"/>
    <w:rsid w:val="007609C6"/>
    <w:rsid w:val="00761B3D"/>
    <w:rsid w:val="00765317"/>
    <w:rsid w:val="00774DEB"/>
    <w:rsid w:val="00776527"/>
    <w:rsid w:val="00776FE1"/>
    <w:rsid w:val="00777D0D"/>
    <w:rsid w:val="007870B4"/>
    <w:rsid w:val="0079384B"/>
    <w:rsid w:val="00793EC8"/>
    <w:rsid w:val="00797F5F"/>
    <w:rsid w:val="007A1D16"/>
    <w:rsid w:val="007A6115"/>
    <w:rsid w:val="007B06EC"/>
    <w:rsid w:val="007B185F"/>
    <w:rsid w:val="007C330F"/>
    <w:rsid w:val="007C358A"/>
    <w:rsid w:val="007C3C87"/>
    <w:rsid w:val="007C3F6A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2DF7"/>
    <w:rsid w:val="007F39BE"/>
    <w:rsid w:val="007F5A1B"/>
    <w:rsid w:val="007F7CD2"/>
    <w:rsid w:val="0080002C"/>
    <w:rsid w:val="0080185D"/>
    <w:rsid w:val="008035E4"/>
    <w:rsid w:val="0080521C"/>
    <w:rsid w:val="008058BF"/>
    <w:rsid w:val="0080593D"/>
    <w:rsid w:val="00805CA0"/>
    <w:rsid w:val="00805E10"/>
    <w:rsid w:val="0080605A"/>
    <w:rsid w:val="008102B3"/>
    <w:rsid w:val="008118E4"/>
    <w:rsid w:val="00815862"/>
    <w:rsid w:val="00821FF6"/>
    <w:rsid w:val="00824458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74492"/>
    <w:rsid w:val="008759F2"/>
    <w:rsid w:val="00876086"/>
    <w:rsid w:val="00881296"/>
    <w:rsid w:val="0088493C"/>
    <w:rsid w:val="00886218"/>
    <w:rsid w:val="008877F9"/>
    <w:rsid w:val="008937CB"/>
    <w:rsid w:val="0089503D"/>
    <w:rsid w:val="008A25BC"/>
    <w:rsid w:val="008A31DC"/>
    <w:rsid w:val="008A3556"/>
    <w:rsid w:val="008A4657"/>
    <w:rsid w:val="008A5856"/>
    <w:rsid w:val="008B2742"/>
    <w:rsid w:val="008B3316"/>
    <w:rsid w:val="008B7C02"/>
    <w:rsid w:val="008C0003"/>
    <w:rsid w:val="008C0BAC"/>
    <w:rsid w:val="008C0E88"/>
    <w:rsid w:val="008C1A57"/>
    <w:rsid w:val="008C295A"/>
    <w:rsid w:val="008D1AF4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5169"/>
    <w:rsid w:val="008F6FCE"/>
    <w:rsid w:val="009003A8"/>
    <w:rsid w:val="009024C0"/>
    <w:rsid w:val="00902EFF"/>
    <w:rsid w:val="00906960"/>
    <w:rsid w:val="009076A9"/>
    <w:rsid w:val="00910BD4"/>
    <w:rsid w:val="00921F14"/>
    <w:rsid w:val="00930123"/>
    <w:rsid w:val="00930A66"/>
    <w:rsid w:val="009338E5"/>
    <w:rsid w:val="00936618"/>
    <w:rsid w:val="0093753B"/>
    <w:rsid w:val="00942F08"/>
    <w:rsid w:val="0094427A"/>
    <w:rsid w:val="0095130F"/>
    <w:rsid w:val="00951539"/>
    <w:rsid w:val="00952983"/>
    <w:rsid w:val="00955555"/>
    <w:rsid w:val="00955B8B"/>
    <w:rsid w:val="00960870"/>
    <w:rsid w:val="00961B2B"/>
    <w:rsid w:val="00962503"/>
    <w:rsid w:val="00963F00"/>
    <w:rsid w:val="009665BE"/>
    <w:rsid w:val="0096694B"/>
    <w:rsid w:val="00972F89"/>
    <w:rsid w:val="00974923"/>
    <w:rsid w:val="00974A1B"/>
    <w:rsid w:val="00980277"/>
    <w:rsid w:val="009869A7"/>
    <w:rsid w:val="00987E97"/>
    <w:rsid w:val="009942B9"/>
    <w:rsid w:val="009A5806"/>
    <w:rsid w:val="009A7070"/>
    <w:rsid w:val="009A76E0"/>
    <w:rsid w:val="009B13A7"/>
    <w:rsid w:val="009B4490"/>
    <w:rsid w:val="009B6FD3"/>
    <w:rsid w:val="009C3165"/>
    <w:rsid w:val="009C3A34"/>
    <w:rsid w:val="009C3B7E"/>
    <w:rsid w:val="009C6195"/>
    <w:rsid w:val="009D2799"/>
    <w:rsid w:val="009D2BBA"/>
    <w:rsid w:val="009E0B3D"/>
    <w:rsid w:val="009E1F24"/>
    <w:rsid w:val="009E285D"/>
    <w:rsid w:val="009E37BB"/>
    <w:rsid w:val="009E3A8D"/>
    <w:rsid w:val="009E4EA8"/>
    <w:rsid w:val="009E57A8"/>
    <w:rsid w:val="009E65B8"/>
    <w:rsid w:val="009E7F21"/>
    <w:rsid w:val="009F2B78"/>
    <w:rsid w:val="009F5488"/>
    <w:rsid w:val="00A10D66"/>
    <w:rsid w:val="00A1290F"/>
    <w:rsid w:val="00A12C92"/>
    <w:rsid w:val="00A16C4D"/>
    <w:rsid w:val="00A21A2E"/>
    <w:rsid w:val="00A221CE"/>
    <w:rsid w:val="00A23E43"/>
    <w:rsid w:val="00A265D4"/>
    <w:rsid w:val="00A33820"/>
    <w:rsid w:val="00A33BB6"/>
    <w:rsid w:val="00A4170C"/>
    <w:rsid w:val="00A459EC"/>
    <w:rsid w:val="00A46DE0"/>
    <w:rsid w:val="00A5027A"/>
    <w:rsid w:val="00A51F2E"/>
    <w:rsid w:val="00A53A7B"/>
    <w:rsid w:val="00A54A61"/>
    <w:rsid w:val="00A55FAB"/>
    <w:rsid w:val="00A56914"/>
    <w:rsid w:val="00A62CE1"/>
    <w:rsid w:val="00A63804"/>
    <w:rsid w:val="00A67730"/>
    <w:rsid w:val="00A67964"/>
    <w:rsid w:val="00A730CA"/>
    <w:rsid w:val="00A75964"/>
    <w:rsid w:val="00A75E40"/>
    <w:rsid w:val="00A77CC5"/>
    <w:rsid w:val="00A81BA5"/>
    <w:rsid w:val="00A8313F"/>
    <w:rsid w:val="00A857C0"/>
    <w:rsid w:val="00A8625E"/>
    <w:rsid w:val="00A87C69"/>
    <w:rsid w:val="00A9460A"/>
    <w:rsid w:val="00A94E20"/>
    <w:rsid w:val="00A97C04"/>
    <w:rsid w:val="00AA2060"/>
    <w:rsid w:val="00AA217B"/>
    <w:rsid w:val="00AA53C1"/>
    <w:rsid w:val="00AA559A"/>
    <w:rsid w:val="00AB2AF1"/>
    <w:rsid w:val="00AB389B"/>
    <w:rsid w:val="00AB41DE"/>
    <w:rsid w:val="00AB6A1C"/>
    <w:rsid w:val="00AB7318"/>
    <w:rsid w:val="00AC3FD1"/>
    <w:rsid w:val="00AC62CF"/>
    <w:rsid w:val="00AC7F36"/>
    <w:rsid w:val="00AD306C"/>
    <w:rsid w:val="00AD3CE8"/>
    <w:rsid w:val="00AD52A8"/>
    <w:rsid w:val="00AE0F4A"/>
    <w:rsid w:val="00AE3A2E"/>
    <w:rsid w:val="00AF4542"/>
    <w:rsid w:val="00B00E2A"/>
    <w:rsid w:val="00B021DC"/>
    <w:rsid w:val="00B0293A"/>
    <w:rsid w:val="00B031D4"/>
    <w:rsid w:val="00B04C40"/>
    <w:rsid w:val="00B17E71"/>
    <w:rsid w:val="00B17FDE"/>
    <w:rsid w:val="00B25F29"/>
    <w:rsid w:val="00B32DDB"/>
    <w:rsid w:val="00B33853"/>
    <w:rsid w:val="00B33C76"/>
    <w:rsid w:val="00B34DAB"/>
    <w:rsid w:val="00B360DE"/>
    <w:rsid w:val="00B3793E"/>
    <w:rsid w:val="00B4079B"/>
    <w:rsid w:val="00B41A0A"/>
    <w:rsid w:val="00B435B0"/>
    <w:rsid w:val="00B43764"/>
    <w:rsid w:val="00B45197"/>
    <w:rsid w:val="00B50C8B"/>
    <w:rsid w:val="00B52135"/>
    <w:rsid w:val="00B55082"/>
    <w:rsid w:val="00B561B9"/>
    <w:rsid w:val="00B6608F"/>
    <w:rsid w:val="00B66D0F"/>
    <w:rsid w:val="00B67D22"/>
    <w:rsid w:val="00B72F57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262"/>
    <w:rsid w:val="00BA3657"/>
    <w:rsid w:val="00BA43A1"/>
    <w:rsid w:val="00BA44C3"/>
    <w:rsid w:val="00BA5329"/>
    <w:rsid w:val="00BB3AC8"/>
    <w:rsid w:val="00BB52C7"/>
    <w:rsid w:val="00BB6799"/>
    <w:rsid w:val="00BC6AC1"/>
    <w:rsid w:val="00BD366B"/>
    <w:rsid w:val="00BD3ECB"/>
    <w:rsid w:val="00BD47C9"/>
    <w:rsid w:val="00BD5EF5"/>
    <w:rsid w:val="00BD6D50"/>
    <w:rsid w:val="00BD713B"/>
    <w:rsid w:val="00BE0470"/>
    <w:rsid w:val="00BE117B"/>
    <w:rsid w:val="00BE2E1E"/>
    <w:rsid w:val="00BF09A3"/>
    <w:rsid w:val="00BF0EEC"/>
    <w:rsid w:val="00BF5985"/>
    <w:rsid w:val="00C01BB8"/>
    <w:rsid w:val="00C058F6"/>
    <w:rsid w:val="00C21F94"/>
    <w:rsid w:val="00C364B9"/>
    <w:rsid w:val="00C36C5C"/>
    <w:rsid w:val="00C45446"/>
    <w:rsid w:val="00C463A9"/>
    <w:rsid w:val="00C53308"/>
    <w:rsid w:val="00C53991"/>
    <w:rsid w:val="00C607C3"/>
    <w:rsid w:val="00C60B2A"/>
    <w:rsid w:val="00C67030"/>
    <w:rsid w:val="00C67088"/>
    <w:rsid w:val="00C716B1"/>
    <w:rsid w:val="00C71A7D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A6BE3"/>
    <w:rsid w:val="00CA6F48"/>
    <w:rsid w:val="00CB1FC0"/>
    <w:rsid w:val="00CB29D1"/>
    <w:rsid w:val="00CB5425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06608"/>
    <w:rsid w:val="00D079AA"/>
    <w:rsid w:val="00D13328"/>
    <w:rsid w:val="00D13906"/>
    <w:rsid w:val="00D15A54"/>
    <w:rsid w:val="00D16834"/>
    <w:rsid w:val="00D23446"/>
    <w:rsid w:val="00D267E2"/>
    <w:rsid w:val="00D27BAA"/>
    <w:rsid w:val="00D31B66"/>
    <w:rsid w:val="00D343DC"/>
    <w:rsid w:val="00D36F63"/>
    <w:rsid w:val="00D4082D"/>
    <w:rsid w:val="00D40EB6"/>
    <w:rsid w:val="00D41AF1"/>
    <w:rsid w:val="00D46277"/>
    <w:rsid w:val="00D50475"/>
    <w:rsid w:val="00D519AC"/>
    <w:rsid w:val="00D52F5C"/>
    <w:rsid w:val="00D57D9C"/>
    <w:rsid w:val="00D62884"/>
    <w:rsid w:val="00D62D84"/>
    <w:rsid w:val="00D655A0"/>
    <w:rsid w:val="00D70113"/>
    <w:rsid w:val="00D70D40"/>
    <w:rsid w:val="00D72C5F"/>
    <w:rsid w:val="00D81FA6"/>
    <w:rsid w:val="00D837D1"/>
    <w:rsid w:val="00D87A8C"/>
    <w:rsid w:val="00D87F49"/>
    <w:rsid w:val="00D90839"/>
    <w:rsid w:val="00D91648"/>
    <w:rsid w:val="00D9320F"/>
    <w:rsid w:val="00D94B8F"/>
    <w:rsid w:val="00D9565D"/>
    <w:rsid w:val="00D959F5"/>
    <w:rsid w:val="00DA4844"/>
    <w:rsid w:val="00DB2397"/>
    <w:rsid w:val="00DC1B7E"/>
    <w:rsid w:val="00DC5B3B"/>
    <w:rsid w:val="00DC7F5F"/>
    <w:rsid w:val="00DD1BD7"/>
    <w:rsid w:val="00DD3BD4"/>
    <w:rsid w:val="00DD7047"/>
    <w:rsid w:val="00DD741F"/>
    <w:rsid w:val="00DD7498"/>
    <w:rsid w:val="00DD787B"/>
    <w:rsid w:val="00DE4A51"/>
    <w:rsid w:val="00DE539E"/>
    <w:rsid w:val="00DE66BB"/>
    <w:rsid w:val="00DF1398"/>
    <w:rsid w:val="00DF3F1A"/>
    <w:rsid w:val="00DF5D00"/>
    <w:rsid w:val="00DF7E65"/>
    <w:rsid w:val="00E01C0E"/>
    <w:rsid w:val="00E04694"/>
    <w:rsid w:val="00E05426"/>
    <w:rsid w:val="00E05C11"/>
    <w:rsid w:val="00E106F6"/>
    <w:rsid w:val="00E11327"/>
    <w:rsid w:val="00E12D30"/>
    <w:rsid w:val="00E14754"/>
    <w:rsid w:val="00E158E3"/>
    <w:rsid w:val="00E30C67"/>
    <w:rsid w:val="00E30F7E"/>
    <w:rsid w:val="00E33D7D"/>
    <w:rsid w:val="00E33EAE"/>
    <w:rsid w:val="00E340F9"/>
    <w:rsid w:val="00E3735A"/>
    <w:rsid w:val="00E45F0C"/>
    <w:rsid w:val="00E504C3"/>
    <w:rsid w:val="00E5337C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90B9E"/>
    <w:rsid w:val="00EA0C68"/>
    <w:rsid w:val="00EA2E9E"/>
    <w:rsid w:val="00EB0F76"/>
    <w:rsid w:val="00EB2376"/>
    <w:rsid w:val="00EB7F5D"/>
    <w:rsid w:val="00EC69B5"/>
    <w:rsid w:val="00ED26B4"/>
    <w:rsid w:val="00ED422B"/>
    <w:rsid w:val="00ED48F5"/>
    <w:rsid w:val="00EE01F9"/>
    <w:rsid w:val="00EE3E78"/>
    <w:rsid w:val="00EE52FC"/>
    <w:rsid w:val="00EE5669"/>
    <w:rsid w:val="00EE5A03"/>
    <w:rsid w:val="00EF1F5A"/>
    <w:rsid w:val="00EF267A"/>
    <w:rsid w:val="00EF3C6B"/>
    <w:rsid w:val="00EF472B"/>
    <w:rsid w:val="00F01960"/>
    <w:rsid w:val="00F04811"/>
    <w:rsid w:val="00F0488C"/>
    <w:rsid w:val="00F1001C"/>
    <w:rsid w:val="00F12D74"/>
    <w:rsid w:val="00F15BEF"/>
    <w:rsid w:val="00F17A7D"/>
    <w:rsid w:val="00F22E88"/>
    <w:rsid w:val="00F22E95"/>
    <w:rsid w:val="00F24FAA"/>
    <w:rsid w:val="00F25828"/>
    <w:rsid w:val="00F26446"/>
    <w:rsid w:val="00F30D8A"/>
    <w:rsid w:val="00F3364D"/>
    <w:rsid w:val="00F35998"/>
    <w:rsid w:val="00F42DEA"/>
    <w:rsid w:val="00F47D51"/>
    <w:rsid w:val="00F54C1F"/>
    <w:rsid w:val="00F5744D"/>
    <w:rsid w:val="00F63DDE"/>
    <w:rsid w:val="00F63FB7"/>
    <w:rsid w:val="00F72A84"/>
    <w:rsid w:val="00F73A0C"/>
    <w:rsid w:val="00F8413A"/>
    <w:rsid w:val="00F92CD2"/>
    <w:rsid w:val="00F9678A"/>
    <w:rsid w:val="00FA62C4"/>
    <w:rsid w:val="00FB0DB3"/>
    <w:rsid w:val="00FB1007"/>
    <w:rsid w:val="00FB259D"/>
    <w:rsid w:val="00FB57C8"/>
    <w:rsid w:val="00FC075C"/>
    <w:rsid w:val="00FC0E5F"/>
    <w:rsid w:val="00FC56DE"/>
    <w:rsid w:val="00FC58DB"/>
    <w:rsid w:val="00FD293E"/>
    <w:rsid w:val="00FD32DD"/>
    <w:rsid w:val="00FD4CE1"/>
    <w:rsid w:val="00FD63DE"/>
    <w:rsid w:val="00FD6E95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redakce.nsf/i/neprima_podpora_vyzkumu_a_vyvoje_v_podnikatelskem_sekto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pp.eurostat.ec.europa.eu/statistics_explained/index.php/R_%26_D_budget_statistics_-_transnationally_coordinated_re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zso.cz/csu/redakce.nsf/i/statni_rozpoctove_vydaje_a_dotace_na_vyzkum_a_vyvoj_gbaor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zso.cz/csu/czso/statistika_vyzkumu_a_vyvoje" TargetMode="External"/><Relationship Id="rId2" Type="http://schemas.openxmlformats.org/officeDocument/2006/relationships/hyperlink" Target="https://www.czso.cz/csu/czso/ukazatele-vyzkumu-a-vyvoje-2013-w6rsbm7x7x" TargetMode="External"/><Relationship Id="rId1" Type="http://schemas.openxmlformats.org/officeDocument/2006/relationships/hyperlink" Target="http://www.oecd.org/sti/frascatimanual" TargetMode="External"/><Relationship Id="rId4" Type="http://schemas.openxmlformats.org/officeDocument/2006/relationships/hyperlink" Target="https://www.czso.cz/csu/czso/statistika_vyzkumu_a_vyvo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0F4A-8115-45F0-AD3A-82886BA4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43</TotalTime>
  <Pages>6</Pages>
  <Words>2840</Words>
  <Characters>16762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15</cp:revision>
  <cp:lastPrinted>2015-11-03T08:12:00Z</cp:lastPrinted>
  <dcterms:created xsi:type="dcterms:W3CDTF">2015-11-18T09:28:00Z</dcterms:created>
  <dcterms:modified xsi:type="dcterms:W3CDTF">2015-11-19T12:49:00Z</dcterms:modified>
</cp:coreProperties>
</file>