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 </w:t>
      </w:r>
      <w:r w:rsidR="00A238DA">
        <w:rPr>
          <w:rFonts w:ascii="Arial" w:hAnsi="Arial" w:cs="Arial"/>
          <w:sz w:val="32"/>
        </w:rPr>
        <w:t>lednu</w:t>
      </w:r>
      <w:r w:rsidRPr="00AD565B">
        <w:rPr>
          <w:rFonts w:ascii="Arial" w:hAnsi="Arial" w:cs="Arial"/>
          <w:sz w:val="32"/>
        </w:rPr>
        <w:t xml:space="preserve"> 202</w:t>
      </w:r>
      <w:r w:rsidR="00A238DA">
        <w:rPr>
          <w:rFonts w:ascii="Arial" w:hAnsi="Arial" w:cs="Arial"/>
          <w:sz w:val="32"/>
        </w:rPr>
        <w:t>4</w:t>
      </w:r>
    </w:p>
    <w:p w:rsidR="006E7983" w:rsidRPr="00A238DA" w:rsidRDefault="006E7983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D4791F" w:rsidRDefault="00D4791F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D4791F" w:rsidRDefault="00D4791F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D4791F" w:rsidRDefault="00A238DA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A238DA">
        <w:rPr>
          <w:rFonts w:ascii="Arial" w:hAnsi="Arial" w:cs="Arial"/>
          <w:b/>
          <w:sz w:val="20"/>
          <w:szCs w:val="20"/>
        </w:rPr>
        <w:t xml:space="preserve">Meziměsíčně </w:t>
      </w:r>
      <w:r w:rsidRPr="00A238DA">
        <w:rPr>
          <w:rFonts w:ascii="Arial" w:hAnsi="Arial" w:cs="Arial"/>
          <w:sz w:val="20"/>
          <w:szCs w:val="20"/>
        </w:rPr>
        <w:t xml:space="preserve">ceny </w:t>
      </w:r>
      <w:r w:rsidRPr="00A238DA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A238DA">
        <w:rPr>
          <w:rFonts w:ascii="Arial" w:hAnsi="Arial" w:cs="Arial"/>
          <w:sz w:val="20"/>
          <w:szCs w:val="20"/>
        </w:rPr>
        <w:t>po třech měsících poklesů</w:t>
      </w:r>
      <w:r w:rsidRPr="00A238DA">
        <w:rPr>
          <w:rFonts w:ascii="Arial" w:hAnsi="Arial" w:cs="Arial"/>
          <w:b/>
          <w:sz w:val="20"/>
          <w:szCs w:val="20"/>
        </w:rPr>
        <w:t xml:space="preserve"> </w:t>
      </w:r>
      <w:r w:rsidRPr="00A238DA">
        <w:rPr>
          <w:rFonts w:ascii="Arial" w:hAnsi="Arial" w:cs="Arial"/>
          <w:sz w:val="20"/>
          <w:szCs w:val="20"/>
        </w:rPr>
        <w:t>vzrostly o 2,5 %.</w:t>
      </w:r>
    </w:p>
    <w:p w:rsidR="00D4791F" w:rsidRDefault="00D4791F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4791F" w:rsidRDefault="00D4791F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F938E5C" wp14:editId="62F8F122">
            <wp:extent cx="5760720" cy="3926205"/>
            <wp:effectExtent l="0" t="0" r="11430" b="1714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791F" w:rsidRDefault="00D4791F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4791F" w:rsidRDefault="00A238DA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A238DA">
        <w:rPr>
          <w:rFonts w:ascii="Arial" w:hAnsi="Arial" w:cs="Arial"/>
          <w:sz w:val="20"/>
          <w:szCs w:val="20"/>
        </w:rPr>
        <w:t>Zvýšily se především ceny v oddíle elektřiny, plynu, páry a klimatizovaného vzduchu o 9,6 %, z toho vyrobeného plynu, rozvodu plynných paliv a obchodu s plynem o 38,0 % (zejména z důvodu  vyšší ceny rozvodu plynu), ceny elektřiny, přenosu, rozvodu a obchodu s elektřinou byly vyšší o 7,5 % a ceny páry a horké vody, dodávání páry a klimatizovaného vzduchu o 9,6 %. Ceny přírodní vody, úpravy a rozvodu vody a obchodu s vodou vzrostly o 9,2 %.</w:t>
      </w:r>
    </w:p>
    <w:p w:rsidR="00D4791F" w:rsidRDefault="00D4791F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E7033" w:rsidRPr="00A238DA" w:rsidRDefault="00A238DA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A238DA">
        <w:rPr>
          <w:rFonts w:ascii="Arial" w:hAnsi="Arial" w:cs="Arial"/>
          <w:sz w:val="20"/>
          <w:szCs w:val="20"/>
        </w:rPr>
        <w:t>Snížily se ceny černého a hnědého uhlí a lignitu o 6,3 %, tiskařských a nahrávacích služeb o 2,2 %, chemických látek a přípravků o 0,5 % a ropy a zemního plynu o 9,9 %.</w:t>
      </w:r>
    </w:p>
    <w:p w:rsidR="00A238DA" w:rsidRPr="00E86A23" w:rsidRDefault="00A238DA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D4791F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E0052" w:rsidRDefault="00CF1A97" w:rsidP="00D4791F">
      <w:pPr>
        <w:tabs>
          <w:tab w:val="left" w:pos="1134"/>
        </w:tabs>
        <w:rPr>
          <w:rFonts w:ascii="Arial" w:hAnsi="Arial" w:cs="Arial"/>
          <w:sz w:val="20"/>
        </w:rPr>
      </w:pPr>
      <w:r w:rsidRPr="00CF1A97">
        <w:rPr>
          <w:noProof/>
        </w:rPr>
        <w:drawing>
          <wp:inline distT="0" distB="0" distL="0" distR="0">
            <wp:extent cx="51339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E5B" w:rsidRPr="00F90E5B">
        <w:t xml:space="preserve"> </w:t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6B2ED7" w:rsidRPr="00A238DA" w:rsidRDefault="006B2ED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D4791F" w:rsidRDefault="00D4791F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791F" w:rsidRDefault="00D4791F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791F" w:rsidRDefault="00D4791F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791F" w:rsidRDefault="00D4791F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791F" w:rsidRDefault="00D4791F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791F">
        <w:rPr>
          <w:rFonts w:ascii="Arial" w:hAnsi="Arial" w:cs="Arial"/>
          <w:b/>
          <w:sz w:val="20"/>
          <w:szCs w:val="20"/>
        </w:rPr>
        <w:lastRenderedPageBreak/>
        <w:t>Me</w:t>
      </w:r>
      <w:bookmarkStart w:id="0" w:name="_GoBack"/>
      <w:bookmarkEnd w:id="0"/>
      <w:r w:rsidRPr="00D4791F">
        <w:rPr>
          <w:rFonts w:ascii="Arial" w:hAnsi="Arial" w:cs="Arial"/>
          <w:b/>
          <w:sz w:val="20"/>
          <w:szCs w:val="20"/>
        </w:rPr>
        <w:t>ziroční srovnání:</w:t>
      </w:r>
    </w:p>
    <w:p w:rsidR="00D4791F" w:rsidRPr="00D4791F" w:rsidRDefault="00D4791F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791F" w:rsidRDefault="00A238DA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238DA">
        <w:rPr>
          <w:rFonts w:ascii="Arial" w:hAnsi="Arial" w:cs="Arial"/>
          <w:sz w:val="20"/>
          <w:szCs w:val="20"/>
        </w:rPr>
        <w:t xml:space="preserve">Ceny </w:t>
      </w:r>
      <w:r w:rsidRPr="00A238DA">
        <w:rPr>
          <w:rFonts w:ascii="Arial" w:hAnsi="Arial" w:cs="Arial"/>
          <w:b/>
          <w:bCs/>
          <w:sz w:val="20"/>
          <w:szCs w:val="20"/>
        </w:rPr>
        <w:t>průmyslových výrobců meziročně</w:t>
      </w:r>
      <w:r w:rsidRPr="00A238DA">
        <w:rPr>
          <w:rFonts w:ascii="Arial" w:hAnsi="Arial" w:cs="Arial"/>
          <w:bCs/>
          <w:sz w:val="20"/>
          <w:szCs w:val="20"/>
        </w:rPr>
        <w:t xml:space="preserve"> klesly o 1,8 % (v prosinci vzrostly o 1,4 %)</w:t>
      </w:r>
      <w:r>
        <w:rPr>
          <w:rFonts w:ascii="Arial" w:hAnsi="Arial" w:cs="Arial"/>
          <w:bCs/>
          <w:sz w:val="20"/>
          <w:szCs w:val="20"/>
        </w:rPr>
        <w:t>. N</w:t>
      </w:r>
      <w:r w:rsidRPr="00A238DA">
        <w:rPr>
          <w:rFonts w:ascii="Arial" w:hAnsi="Arial" w:cs="Arial"/>
          <w:bCs/>
          <w:sz w:val="20"/>
          <w:szCs w:val="20"/>
        </w:rPr>
        <w:t>aposledy se ceny meziročně snížily v listopadu roku 2020.</w:t>
      </w:r>
    </w:p>
    <w:p w:rsidR="00D4791F" w:rsidRDefault="00D4791F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4791F" w:rsidRDefault="00D4791F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7C417692" wp14:editId="35C7572B">
            <wp:extent cx="5760720" cy="3279140"/>
            <wp:effectExtent l="0" t="0" r="11430" b="1651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791F" w:rsidRDefault="00D4791F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4791F" w:rsidRDefault="00D4791F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3F03665D" wp14:editId="6E70C472">
            <wp:extent cx="5760720" cy="4377055"/>
            <wp:effectExtent l="0" t="0" r="11430" b="4445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791F" w:rsidRDefault="00A238DA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A238DA">
        <w:rPr>
          <w:rFonts w:ascii="Arial" w:hAnsi="Arial" w:cs="Arial"/>
          <w:bCs/>
          <w:sz w:val="20"/>
          <w:szCs w:val="20"/>
        </w:rPr>
        <w:lastRenderedPageBreak/>
        <w:t>Nižší byly</w:t>
      </w:r>
      <w:r w:rsidRPr="00A238DA">
        <w:rPr>
          <w:rFonts w:ascii="Arial" w:hAnsi="Arial" w:cs="Arial"/>
          <w:sz w:val="20"/>
          <w:szCs w:val="20"/>
        </w:rPr>
        <w:t xml:space="preserve"> ceny základních kovů o 12,3 %, potravinářských výrobků o 5,3 %, chemických látek a přípravků o 12,4 %, dřeva a dřevěných a korkových výrobků o 20,1 % a papíru a výrobků z papíru o 13,9 %.</w:t>
      </w:r>
    </w:p>
    <w:p w:rsidR="00D4791F" w:rsidRDefault="00D4791F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D4791F" w:rsidRDefault="00A238DA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A238DA">
        <w:rPr>
          <w:rFonts w:ascii="Arial" w:hAnsi="Arial" w:cs="Arial"/>
          <w:sz w:val="20"/>
          <w:szCs w:val="20"/>
        </w:rPr>
        <w:t>Ceny elektřiny, plynu, páry a klimatizovaného vzduchu se snížily o 0,7 % a ropy a zemního plynu o 19,5 %. Klesly také ceny v oddíle koksu a rafinovaných ropných produktů.</w:t>
      </w:r>
    </w:p>
    <w:p w:rsidR="00D4791F" w:rsidRDefault="00D4791F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AE7033" w:rsidRDefault="00A238DA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A238DA">
        <w:rPr>
          <w:rFonts w:ascii="Arial" w:hAnsi="Arial" w:cs="Arial"/>
          <w:sz w:val="20"/>
          <w:szCs w:val="20"/>
        </w:rPr>
        <w:t>Vzrostly cen motorových vozidel o 2,6 %, oprav, údržby a instalace strojů a zařízení o 6,0 %, nápojů o 9,0 % a přírodní vody, úpravy a rozvodu vody a obchodu s vodou o 9,2 %.</w:t>
      </w:r>
    </w:p>
    <w:p w:rsidR="00A238DA" w:rsidRPr="00A238DA" w:rsidRDefault="00A238DA" w:rsidP="006E79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D4791F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D4791F" w:rsidRDefault="00D4791F" w:rsidP="00D4791F">
      <w:pPr>
        <w:rPr>
          <w:rFonts w:ascii="Arial" w:hAnsi="Arial" w:cs="Arial"/>
          <w:sz w:val="20"/>
        </w:rPr>
      </w:pPr>
    </w:p>
    <w:p w:rsidR="004D7DFF" w:rsidRDefault="007D093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E8027F" w:rsidP="00D4791F">
      <w:r w:rsidRPr="00E8027F">
        <w:rPr>
          <w:noProof/>
        </w:rPr>
        <w:drawing>
          <wp:inline distT="0" distB="0" distL="0" distR="0">
            <wp:extent cx="5133975" cy="1990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E7983" w:rsidRDefault="00A238DA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A238DA">
        <w:rPr>
          <w:rFonts w:ascii="Arial" w:hAnsi="Arial" w:cs="Arial"/>
          <w:sz w:val="20"/>
          <w:szCs w:val="20"/>
        </w:rPr>
        <w:t xml:space="preserve">Při hodnocení podle </w:t>
      </w:r>
      <w:r w:rsidRPr="00A238DA">
        <w:rPr>
          <w:rFonts w:ascii="Arial" w:hAnsi="Arial" w:cs="Arial"/>
          <w:b/>
          <w:sz w:val="20"/>
          <w:szCs w:val="20"/>
        </w:rPr>
        <w:t>hlavních průmyslových skupin</w:t>
      </w:r>
      <w:r w:rsidRPr="00A238DA">
        <w:rPr>
          <w:rFonts w:ascii="Arial" w:hAnsi="Arial" w:cs="Arial"/>
          <w:sz w:val="20"/>
          <w:szCs w:val="20"/>
        </w:rPr>
        <w:t xml:space="preserve"> klesly především ceny meziproduktů o 5,7 % a energií o 2,1 %. Ceny </w:t>
      </w:r>
      <w:r w:rsidRPr="00A238DA">
        <w:rPr>
          <w:rFonts w:ascii="Arial" w:hAnsi="Arial" w:cs="Arial"/>
          <w:b/>
          <w:sz w:val="20"/>
          <w:szCs w:val="20"/>
        </w:rPr>
        <w:t>průmyslových výrobců</w:t>
      </w:r>
      <w:r w:rsidRPr="00A238DA">
        <w:rPr>
          <w:rFonts w:ascii="Arial" w:hAnsi="Arial" w:cs="Arial"/>
          <w:sz w:val="20"/>
          <w:szCs w:val="20"/>
        </w:rPr>
        <w:t xml:space="preserve"> </w:t>
      </w:r>
      <w:r w:rsidRPr="00A238DA">
        <w:rPr>
          <w:rFonts w:ascii="Arial" w:hAnsi="Arial" w:cs="Arial"/>
          <w:b/>
          <w:sz w:val="20"/>
          <w:szCs w:val="20"/>
        </w:rPr>
        <w:t>bez energií</w:t>
      </w:r>
      <w:r w:rsidRPr="00A238DA">
        <w:rPr>
          <w:rFonts w:ascii="Arial" w:hAnsi="Arial" w:cs="Arial"/>
          <w:sz w:val="20"/>
          <w:szCs w:val="20"/>
        </w:rPr>
        <w:t xml:space="preserve"> se </w:t>
      </w:r>
      <w:r w:rsidRPr="00A238DA">
        <w:rPr>
          <w:rFonts w:ascii="Arial" w:hAnsi="Arial" w:cs="Arial"/>
          <w:b/>
          <w:sz w:val="20"/>
          <w:szCs w:val="20"/>
        </w:rPr>
        <w:t>meziročně</w:t>
      </w:r>
      <w:r w:rsidRPr="00A238DA">
        <w:rPr>
          <w:rFonts w:ascii="Arial" w:hAnsi="Arial" w:cs="Arial"/>
          <w:sz w:val="20"/>
          <w:szCs w:val="20"/>
        </w:rPr>
        <w:t xml:space="preserve"> snížily o 1,7 % (v prosinci o 0,6 %).</w:t>
      </w:r>
    </w:p>
    <w:p w:rsidR="00A238DA" w:rsidRPr="00A238DA" w:rsidRDefault="00A238DA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6526A1">
        <w:rPr>
          <w:rFonts w:ascii="Arial" w:hAnsi="Arial" w:cs="Arial"/>
          <w:sz w:val="20"/>
          <w:szCs w:val="20"/>
        </w:rPr>
        <w:t>0</w:t>
      </w:r>
      <w:r w:rsidR="00A238DA">
        <w:rPr>
          <w:rFonts w:ascii="Arial" w:hAnsi="Arial" w:cs="Arial"/>
          <w:sz w:val="20"/>
          <w:szCs w:val="20"/>
        </w:rPr>
        <w:t>3</w:t>
      </w:r>
      <w:r w:rsidR="00573148">
        <w:rPr>
          <w:rFonts w:ascii="Arial" w:hAnsi="Arial" w:cs="Arial"/>
          <w:sz w:val="20"/>
          <w:szCs w:val="20"/>
        </w:rPr>
        <w:t>,</w:t>
      </w:r>
      <w:r w:rsidR="00A238DA">
        <w:rPr>
          <w:rFonts w:ascii="Arial" w:hAnsi="Arial" w:cs="Arial"/>
          <w:sz w:val="20"/>
          <w:szCs w:val="20"/>
        </w:rPr>
        <w:t>4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D4791F" w:rsidRDefault="00D4791F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D4791F" w:rsidRDefault="00D4791F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D4791F" w:rsidRDefault="00D4791F" w:rsidP="00D4791F">
      <w:pPr>
        <w:pStyle w:val="Nadpis8"/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leden 2024</w:t>
      </w:r>
    </w:p>
    <w:p w:rsidR="00D4791F" w:rsidRDefault="00D4791F" w:rsidP="00D4791F"/>
    <w:p w:rsidR="00D4791F" w:rsidRDefault="00D4791F" w:rsidP="00D4791F">
      <w:pPr>
        <w:rPr>
          <w:rFonts w:ascii="Arial" w:hAnsi="Arial" w:cs="Arial"/>
          <w:sz w:val="20"/>
          <w:szCs w:val="20"/>
        </w:rPr>
      </w:pPr>
      <w:r w:rsidRPr="00775061">
        <w:rPr>
          <w:rFonts w:ascii="Arial" w:hAnsi="Arial" w:cs="Arial"/>
          <w:b/>
          <w:sz w:val="20"/>
          <w:szCs w:val="20"/>
        </w:rPr>
        <w:t>109110 Krmná směs pro výkrm brojlerů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75061">
        <w:rPr>
          <w:rFonts w:ascii="Arial" w:hAnsi="Arial" w:cs="Arial"/>
          <w:sz w:val="20"/>
          <w:szCs w:val="20"/>
        </w:rPr>
        <w:t>vliv trhu</w:t>
      </w:r>
    </w:p>
    <w:p w:rsidR="00D4791F" w:rsidRDefault="00D4791F" w:rsidP="00D4791F">
      <w:pPr>
        <w:rPr>
          <w:rFonts w:ascii="Arial" w:hAnsi="Arial" w:cs="Arial"/>
          <w:sz w:val="20"/>
          <w:szCs w:val="20"/>
        </w:rPr>
      </w:pPr>
    </w:p>
    <w:p w:rsidR="00D4791F" w:rsidRDefault="00D4791F" w:rsidP="00D4791F">
      <w:pPr>
        <w:rPr>
          <w:rFonts w:ascii="Arial" w:hAnsi="Arial" w:cs="Arial"/>
          <w:sz w:val="20"/>
          <w:szCs w:val="20"/>
        </w:rPr>
      </w:pPr>
      <w:r w:rsidRPr="00775061">
        <w:rPr>
          <w:rFonts w:ascii="Arial" w:hAnsi="Arial" w:cs="Arial"/>
          <w:b/>
          <w:sz w:val="20"/>
          <w:szCs w:val="20"/>
        </w:rPr>
        <w:t>105111 Trvanlivé mléko polotučné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75061">
        <w:rPr>
          <w:rFonts w:ascii="Arial" w:hAnsi="Arial" w:cs="Arial"/>
          <w:sz w:val="20"/>
          <w:szCs w:val="20"/>
        </w:rPr>
        <w:t>vliv trhu</w:t>
      </w:r>
    </w:p>
    <w:p w:rsidR="00D4791F" w:rsidRDefault="00D4791F" w:rsidP="00D4791F">
      <w:pPr>
        <w:rPr>
          <w:rFonts w:ascii="Arial" w:hAnsi="Arial" w:cs="Arial"/>
          <w:sz w:val="20"/>
          <w:szCs w:val="20"/>
        </w:rPr>
      </w:pPr>
    </w:p>
    <w:p w:rsidR="00D4791F" w:rsidRDefault="00D4791F" w:rsidP="00D4791F">
      <w:pPr>
        <w:rPr>
          <w:rFonts w:ascii="Arial" w:hAnsi="Arial" w:cs="Arial"/>
          <w:b/>
          <w:sz w:val="20"/>
          <w:szCs w:val="20"/>
        </w:rPr>
      </w:pPr>
      <w:r w:rsidRPr="00001F33">
        <w:rPr>
          <w:rFonts w:ascii="Arial" w:hAnsi="Arial" w:cs="Arial"/>
          <w:b/>
          <w:sz w:val="20"/>
          <w:szCs w:val="20"/>
        </w:rPr>
        <w:t>V cenových změnách za leden 202</w:t>
      </w:r>
      <w:r>
        <w:rPr>
          <w:rFonts w:ascii="Arial" w:hAnsi="Arial" w:cs="Arial"/>
          <w:b/>
          <w:sz w:val="20"/>
          <w:szCs w:val="20"/>
        </w:rPr>
        <w:t>4</w:t>
      </w:r>
      <w:r w:rsidRPr="00001F33">
        <w:rPr>
          <w:rFonts w:ascii="Arial" w:hAnsi="Arial" w:cs="Arial"/>
          <w:b/>
          <w:sz w:val="20"/>
          <w:szCs w:val="20"/>
        </w:rPr>
        <w:t xml:space="preserve"> se projevil tak</w:t>
      </w:r>
      <w:r>
        <w:rPr>
          <w:rFonts w:ascii="Arial" w:hAnsi="Arial" w:cs="Arial"/>
          <w:b/>
          <w:sz w:val="20"/>
          <w:szCs w:val="20"/>
        </w:rPr>
        <w:t>é přechod na nové váhové schéma (tržby tuzemsko za rok 2022).</w:t>
      </w:r>
    </w:p>
    <w:p w:rsidR="00D4791F" w:rsidRPr="00001F33" w:rsidRDefault="00D4791F" w:rsidP="00D4791F">
      <w:pPr>
        <w:rPr>
          <w:rFonts w:ascii="Arial" w:hAnsi="Arial" w:cs="Arial"/>
          <w:b/>
          <w:sz w:val="20"/>
          <w:szCs w:val="20"/>
        </w:rPr>
      </w:pPr>
    </w:p>
    <w:p w:rsidR="00D4791F" w:rsidRPr="00D4791F" w:rsidRDefault="00D4791F" w:rsidP="00D4791F"/>
    <w:p w:rsidR="00D4791F" w:rsidRDefault="00D4791F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4791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41FE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1D25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90F5B"/>
    <w:rsid w:val="0019496E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D4A20"/>
    <w:rsid w:val="002E00B1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4B06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E7983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238DA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65"/>
    <w:rsid w:val="00A76FFE"/>
    <w:rsid w:val="00A80423"/>
    <w:rsid w:val="00A91A05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E7033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1A97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91F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027F"/>
    <w:rsid w:val="00E8237E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0E5B"/>
    <w:rsid w:val="00F92903"/>
    <w:rsid w:val="00F93A0C"/>
    <w:rsid w:val="00F952CF"/>
    <w:rsid w:val="00F963D0"/>
    <w:rsid w:val="00FA1424"/>
    <w:rsid w:val="00FA6AA2"/>
    <w:rsid w:val="00FC1F43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53B5B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9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9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4\0110442401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110442401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110442401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87719298245454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B4-44A6-8206-3CB5A5DC057B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B4-44A6-8206-3CB5A5DC057B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4B4-44A6-8206-3CB5A5DC057B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B4-44A6-8206-3CB5A5DC057B}"/>
                </c:ext>
              </c:extLst>
            </c:dLbl>
            <c:dLbl>
              <c:idx val="4"/>
              <c:layout>
                <c:manualLayout>
                  <c:x val="-3.2163371136050507E-17"/>
                  <c:y val="-2.5442084852484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B4-44A6-8206-3CB5A5DC057B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B4-44A6-8206-3CB5A5DC057B}"/>
                </c:ext>
              </c:extLst>
            </c:dLbl>
            <c:dLbl>
              <c:idx val="7"/>
              <c:layout>
                <c:manualLayout>
                  <c:x val="1.7543859649122163E-3"/>
                  <c:y val="-5.0888223251507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B4-44A6-8206-3CB5A5DC057B}"/>
                </c:ext>
              </c:extLst>
            </c:dLbl>
            <c:dLbl>
              <c:idx val="8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B4-44A6-8206-3CB5A5DC057B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B4-44A6-8206-3CB5A5DC057B}"/>
                </c:ext>
              </c:extLst>
            </c:dLbl>
            <c:dLbl>
              <c:idx val="10"/>
              <c:layout>
                <c:manualLayout>
                  <c:x val="-1.7543859649122807E-3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B4-44A6-8206-3CB5A5DC057B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4B4-44A6-8206-3CB5A5DC057B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4B4-44A6-8206-3CB5A5DC057B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4B4-44A6-8206-3CB5A5DC057B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4B4-44A6-8206-3CB5A5DC057B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4B4-44A6-8206-3CB5A5DC057B}"/>
                </c:ext>
              </c:extLst>
            </c:dLbl>
            <c:dLbl>
              <c:idx val="17"/>
              <c:layout>
                <c:manualLayout>
                  <c:x val="0"/>
                  <c:y val="3.3462026680038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4B4-44A6-8206-3CB5A5DC057B}"/>
                </c:ext>
              </c:extLst>
            </c:dLbl>
            <c:dLbl>
              <c:idx val="18"/>
              <c:layout>
                <c:manualLayout>
                  <c:x val="-1.7590136759222173E-3"/>
                  <c:y val="5.0597381287328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4.37532720736366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94B4-44A6-8206-3CB5A5DC057B}"/>
                </c:ext>
              </c:extLst>
            </c:dLbl>
            <c:dLbl>
              <c:idx val="19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4B4-44A6-8206-3CB5A5DC057B}"/>
                </c:ext>
              </c:extLst>
            </c:dLbl>
            <c:dLbl>
              <c:idx val="20"/>
              <c:layout>
                <c:manualLayout>
                  <c:x val="-3.5087719298245615E-3"/>
                  <c:y val="3.6007045874594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4B4-44A6-8206-3CB5A5DC057B}"/>
                </c:ext>
              </c:extLst>
            </c:dLbl>
            <c:dLbl>
              <c:idx val="21"/>
              <c:layout>
                <c:manualLayout>
                  <c:x val="-7.0175438596491229E-3"/>
                  <c:y val="1.5415232133436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4B4-44A6-8206-3CB5A5DC057B}"/>
                </c:ext>
              </c:extLst>
            </c:dLbl>
            <c:dLbl>
              <c:idx val="22"/>
              <c:layout>
                <c:manualLayout>
                  <c:x val="-5.247133581986467E-3"/>
                  <c:y val="2.8307942255608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94B4-44A6-8206-3CB5A5DC057B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4B4-44A6-8206-3CB5A5DC057B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II.22</c:v>
                </c:pt>
                <c:pt idx="1">
                  <c:v>III.22</c:v>
                </c:pt>
                <c:pt idx="2">
                  <c:v>IV.22</c:v>
                </c:pt>
                <c:pt idx="3">
                  <c:v>V.22</c:v>
                </c:pt>
                <c:pt idx="4">
                  <c:v>VI.22</c:v>
                </c:pt>
                <c:pt idx="5">
                  <c:v>VII.22</c:v>
                </c:pt>
                <c:pt idx="6">
                  <c:v>VIII.22</c:v>
                </c:pt>
                <c:pt idx="7">
                  <c:v>IX.22</c:v>
                </c:pt>
                <c:pt idx="8">
                  <c:v>X.22</c:v>
                </c:pt>
                <c:pt idx="9">
                  <c:v>XI.22</c:v>
                </c:pt>
                <c:pt idx="10">
                  <c:v>XII.22</c:v>
                </c:pt>
                <c:pt idx="11">
                  <c:v>I.23</c:v>
                </c:pt>
                <c:pt idx="12">
                  <c:v>II.23</c:v>
                </c:pt>
                <c:pt idx="13">
                  <c:v>III.23</c:v>
                </c:pt>
                <c:pt idx="14">
                  <c:v>IV.23</c:v>
                </c:pt>
                <c:pt idx="15">
                  <c:v>V.23</c:v>
                </c:pt>
                <c:pt idx="16">
                  <c:v>VI.23</c:v>
                </c:pt>
                <c:pt idx="17">
                  <c:v>VII.23</c:v>
                </c:pt>
                <c:pt idx="18">
                  <c:v>VIII.23</c:v>
                </c:pt>
                <c:pt idx="19">
                  <c:v>IX.23</c:v>
                </c:pt>
                <c:pt idx="20">
                  <c:v>X.23</c:v>
                </c:pt>
                <c:pt idx="21">
                  <c:v>XI.23</c:v>
                </c:pt>
                <c:pt idx="22">
                  <c:v>XII.23</c:v>
                </c:pt>
                <c:pt idx="23">
                  <c:v>I.24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2.2000000000000002</c:v>
                </c:pt>
                <c:pt idx="1">
                  <c:v>4.2</c:v>
                </c:pt>
                <c:pt idx="2">
                  <c:v>2.2999999999999998</c:v>
                </c:pt>
                <c:pt idx="3">
                  <c:v>1.9</c:v>
                </c:pt>
                <c:pt idx="4">
                  <c:v>1.4</c:v>
                </c:pt>
                <c:pt idx="5">
                  <c:v>0.3</c:v>
                </c:pt>
                <c:pt idx="6">
                  <c:v>-0.1</c:v>
                </c:pt>
                <c:pt idx="7">
                  <c:v>1.2000000000000028</c:v>
                </c:pt>
                <c:pt idx="8">
                  <c:v>0.59999999999999432</c:v>
                </c:pt>
                <c:pt idx="9">
                  <c:v>-1</c:v>
                </c:pt>
                <c:pt idx="10">
                  <c:v>-1.1000000000000001</c:v>
                </c:pt>
                <c:pt idx="11" formatCode="General">
                  <c:v>5.8</c:v>
                </c:pt>
                <c:pt idx="12">
                  <c:v>-0.3</c:v>
                </c:pt>
                <c:pt idx="13">
                  <c:v>-1</c:v>
                </c:pt>
                <c:pt idx="14">
                  <c:v>-1.2</c:v>
                </c:pt>
                <c:pt idx="15">
                  <c:v>-0.8</c:v>
                </c:pt>
                <c:pt idx="16">
                  <c:v>-0.3</c:v>
                </c:pt>
                <c:pt idx="17">
                  <c:v>-0.1</c:v>
                </c:pt>
                <c:pt idx="18">
                  <c:v>0.2</c:v>
                </c:pt>
                <c:pt idx="19">
                  <c:v>0.3</c:v>
                </c:pt>
                <c:pt idx="20">
                  <c:v>-0.1</c:v>
                </c:pt>
                <c:pt idx="21">
                  <c:v>-0.4</c:v>
                </c:pt>
                <c:pt idx="22">
                  <c:v>-0.5</c:v>
                </c:pt>
                <c:pt idx="23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4B4-44A6-8206-3CB5A5DC05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8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II.22</c:v>
                </c:pt>
                <c:pt idx="1">
                  <c:v>III.22</c:v>
                </c:pt>
                <c:pt idx="2">
                  <c:v>IV.22</c:v>
                </c:pt>
                <c:pt idx="3">
                  <c:v>V.22</c:v>
                </c:pt>
                <c:pt idx="4">
                  <c:v>VI.22</c:v>
                </c:pt>
                <c:pt idx="5">
                  <c:v>VII.22</c:v>
                </c:pt>
                <c:pt idx="6">
                  <c:v>VIII.22</c:v>
                </c:pt>
                <c:pt idx="7">
                  <c:v>IX.22</c:v>
                </c:pt>
                <c:pt idx="8">
                  <c:v>X.22</c:v>
                </c:pt>
                <c:pt idx="9">
                  <c:v>XI.22</c:v>
                </c:pt>
                <c:pt idx="10">
                  <c:v>XII.22</c:v>
                </c:pt>
                <c:pt idx="11">
                  <c:v>I.23</c:v>
                </c:pt>
                <c:pt idx="12">
                  <c:v>II.23</c:v>
                </c:pt>
                <c:pt idx="13">
                  <c:v>III.23</c:v>
                </c:pt>
                <c:pt idx="14">
                  <c:v>IV.23</c:v>
                </c:pt>
                <c:pt idx="15">
                  <c:v>V.23</c:v>
                </c:pt>
                <c:pt idx="16">
                  <c:v>VI.23</c:v>
                </c:pt>
                <c:pt idx="17">
                  <c:v>VII.23</c:v>
                </c:pt>
                <c:pt idx="18">
                  <c:v>VIII.23</c:v>
                </c:pt>
                <c:pt idx="19">
                  <c:v>IX.23</c:v>
                </c:pt>
                <c:pt idx="20">
                  <c:v>X.23</c:v>
                </c:pt>
                <c:pt idx="21">
                  <c:v>XI.23</c:v>
                </c:pt>
                <c:pt idx="22">
                  <c:v>XII.23</c:v>
                </c:pt>
                <c:pt idx="23">
                  <c:v>I.24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 formatCode="0.0">
                  <c:v>21.3</c:v>
                </c:pt>
                <c:pt idx="1">
                  <c:v>24.7</c:v>
                </c:pt>
                <c:pt idx="2">
                  <c:v>26.6</c:v>
                </c:pt>
                <c:pt idx="3">
                  <c:v>27.9</c:v>
                </c:pt>
                <c:pt idx="4">
                  <c:v>28.5</c:v>
                </c:pt>
                <c:pt idx="5" formatCode="0.0">
                  <c:v>26.799999999999997</c:v>
                </c:pt>
                <c:pt idx="6">
                  <c:v>25.2</c:v>
                </c:pt>
                <c:pt idx="7">
                  <c:v>25.8</c:v>
                </c:pt>
                <c:pt idx="8">
                  <c:v>24.1</c:v>
                </c:pt>
                <c:pt idx="9">
                  <c:v>21.3</c:v>
                </c:pt>
                <c:pt idx="10">
                  <c:v>20.099999999999994</c:v>
                </c:pt>
                <c:pt idx="11" formatCode="0.0">
                  <c:v>19</c:v>
                </c:pt>
                <c:pt idx="12" formatCode="0.0">
                  <c:v>16</c:v>
                </c:pt>
                <c:pt idx="13">
                  <c:v>10.199999999999999</c:v>
                </c:pt>
                <c:pt idx="14">
                  <c:v>6.4</c:v>
                </c:pt>
                <c:pt idx="15">
                  <c:v>3.6</c:v>
                </c:pt>
                <c:pt idx="16">
                  <c:v>1.9</c:v>
                </c:pt>
                <c:pt idx="17">
                  <c:v>1.4</c:v>
                </c:pt>
                <c:pt idx="18">
                  <c:v>1.8</c:v>
                </c:pt>
                <c:pt idx="19">
                  <c:v>0.8</c:v>
                </c:pt>
                <c:pt idx="20">
                  <c:v>0.2</c:v>
                </c:pt>
                <c:pt idx="21">
                  <c:v>0.8</c:v>
                </c:pt>
                <c:pt idx="22">
                  <c:v>1.4</c:v>
                </c:pt>
                <c:pt idx="23">
                  <c:v>-1.8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E3-4291-90DE-4704B5600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II.22</c:v>
                </c:pt>
                <c:pt idx="1">
                  <c:v>III.22</c:v>
                </c:pt>
                <c:pt idx="2">
                  <c:v>IV.22</c:v>
                </c:pt>
                <c:pt idx="3">
                  <c:v>V.22</c:v>
                </c:pt>
                <c:pt idx="4">
                  <c:v>VI.22</c:v>
                </c:pt>
                <c:pt idx="5">
                  <c:v>VII.22</c:v>
                </c:pt>
                <c:pt idx="6">
                  <c:v>VIII.22</c:v>
                </c:pt>
                <c:pt idx="7">
                  <c:v>IX.22</c:v>
                </c:pt>
                <c:pt idx="8">
                  <c:v>X.22</c:v>
                </c:pt>
                <c:pt idx="9">
                  <c:v>XI.22</c:v>
                </c:pt>
                <c:pt idx="10">
                  <c:v>XII.22</c:v>
                </c:pt>
                <c:pt idx="11">
                  <c:v>I.23</c:v>
                </c:pt>
                <c:pt idx="12">
                  <c:v>II.23</c:v>
                </c:pt>
                <c:pt idx="13">
                  <c:v>III.23</c:v>
                </c:pt>
                <c:pt idx="14">
                  <c:v>IV.23</c:v>
                </c:pt>
                <c:pt idx="15">
                  <c:v>V.23</c:v>
                </c:pt>
                <c:pt idx="16">
                  <c:v>VI.23</c:v>
                </c:pt>
                <c:pt idx="17">
                  <c:v>VII.23</c:v>
                </c:pt>
                <c:pt idx="18">
                  <c:v>VIII.23</c:v>
                </c:pt>
                <c:pt idx="19">
                  <c:v>IX.23</c:v>
                </c:pt>
                <c:pt idx="20">
                  <c:v>X.23</c:v>
                </c:pt>
                <c:pt idx="21">
                  <c:v>XI.23</c:v>
                </c:pt>
                <c:pt idx="22">
                  <c:v>XII.23</c:v>
                </c:pt>
                <c:pt idx="23">
                  <c:v>I.24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16.600000000000001</c:v>
                </c:pt>
                <c:pt idx="1">
                  <c:v>20.3</c:v>
                </c:pt>
                <c:pt idx="2">
                  <c:v>22.3</c:v>
                </c:pt>
                <c:pt idx="3">
                  <c:v>24.6</c:v>
                </c:pt>
                <c:pt idx="4">
                  <c:v>25.8</c:v>
                </c:pt>
                <c:pt idx="5">
                  <c:v>22.700000000000003</c:v>
                </c:pt>
                <c:pt idx="6">
                  <c:v>20</c:v>
                </c:pt>
                <c:pt idx="7">
                  <c:v>18.899999999999999</c:v>
                </c:pt>
                <c:pt idx="8">
                  <c:v>18.399999999999999</c:v>
                </c:pt>
                <c:pt idx="9">
                  <c:v>15.7</c:v>
                </c:pt>
                <c:pt idx="10">
                  <c:v>14</c:v>
                </c:pt>
                <c:pt idx="11">
                  <c:v>13.599999999999994</c:v>
                </c:pt>
                <c:pt idx="12">
                  <c:v>11.6</c:v>
                </c:pt>
                <c:pt idx="13">
                  <c:v>5.9</c:v>
                </c:pt>
                <c:pt idx="14">
                  <c:v>2.4</c:v>
                </c:pt>
                <c:pt idx="15">
                  <c:v>-1.4</c:v>
                </c:pt>
                <c:pt idx="16">
                  <c:v>-3.6</c:v>
                </c:pt>
                <c:pt idx="17">
                  <c:v>-3.5</c:v>
                </c:pt>
                <c:pt idx="18">
                  <c:v>-2.2000000000000028</c:v>
                </c:pt>
                <c:pt idx="19" formatCode="General">
                  <c:v>-1.6</c:v>
                </c:pt>
                <c:pt idx="20">
                  <c:v>-3</c:v>
                </c:pt>
                <c:pt idx="21">
                  <c:v>-2.5</c:v>
                </c:pt>
                <c:pt idx="22">
                  <c:v>-1.4</c:v>
                </c:pt>
                <c:pt idx="23" formatCode="General">
                  <c:v>-2.5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CF-459E-A815-E19DA753C328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II.22</c:v>
                </c:pt>
                <c:pt idx="1">
                  <c:v>III.22</c:v>
                </c:pt>
                <c:pt idx="2">
                  <c:v>IV.22</c:v>
                </c:pt>
                <c:pt idx="3">
                  <c:v>V.22</c:v>
                </c:pt>
                <c:pt idx="4">
                  <c:v>VI.22</c:v>
                </c:pt>
                <c:pt idx="5">
                  <c:v>VII.22</c:v>
                </c:pt>
                <c:pt idx="6">
                  <c:v>VIII.22</c:v>
                </c:pt>
                <c:pt idx="7">
                  <c:v>IX.22</c:v>
                </c:pt>
                <c:pt idx="8">
                  <c:v>X.22</c:v>
                </c:pt>
                <c:pt idx="9">
                  <c:v>XI.22</c:v>
                </c:pt>
                <c:pt idx="10">
                  <c:v>XII.22</c:v>
                </c:pt>
                <c:pt idx="11">
                  <c:v>I.23</c:v>
                </c:pt>
                <c:pt idx="12">
                  <c:v>II.23</c:v>
                </c:pt>
                <c:pt idx="13">
                  <c:v>III.23</c:v>
                </c:pt>
                <c:pt idx="14">
                  <c:v>IV.23</c:v>
                </c:pt>
                <c:pt idx="15">
                  <c:v>V.23</c:v>
                </c:pt>
                <c:pt idx="16">
                  <c:v>VI.23</c:v>
                </c:pt>
                <c:pt idx="17">
                  <c:v>VII.23</c:v>
                </c:pt>
                <c:pt idx="18">
                  <c:v>VIII.23</c:v>
                </c:pt>
                <c:pt idx="19">
                  <c:v>IX.23</c:v>
                </c:pt>
                <c:pt idx="20">
                  <c:v>X.23</c:v>
                </c:pt>
                <c:pt idx="21">
                  <c:v>XI.23</c:v>
                </c:pt>
                <c:pt idx="22">
                  <c:v>XII.23</c:v>
                </c:pt>
                <c:pt idx="23">
                  <c:v>I.24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45.5</c:v>
                </c:pt>
                <c:pt idx="1">
                  <c:v>48.9</c:v>
                </c:pt>
                <c:pt idx="2">
                  <c:v>51.4</c:v>
                </c:pt>
                <c:pt idx="3">
                  <c:v>45.8</c:v>
                </c:pt>
                <c:pt idx="4">
                  <c:v>44.6</c:v>
                </c:pt>
                <c:pt idx="5">
                  <c:v>49.800000000000011</c:v>
                </c:pt>
                <c:pt idx="6">
                  <c:v>54.3</c:v>
                </c:pt>
                <c:pt idx="7">
                  <c:v>64</c:v>
                </c:pt>
                <c:pt idx="8">
                  <c:v>56.8</c:v>
                </c:pt>
                <c:pt idx="9">
                  <c:v>52.6</c:v>
                </c:pt>
                <c:pt idx="10">
                  <c:v>53.5</c:v>
                </c:pt>
                <c:pt idx="11">
                  <c:v>35.699999999999989</c:v>
                </c:pt>
                <c:pt idx="12">
                  <c:v>28.5</c:v>
                </c:pt>
                <c:pt idx="13">
                  <c:v>21.4</c:v>
                </c:pt>
                <c:pt idx="14">
                  <c:v>16.5</c:v>
                </c:pt>
                <c:pt idx="15">
                  <c:v>19.3</c:v>
                </c:pt>
                <c:pt idx="16">
                  <c:v>19.600000000000001</c:v>
                </c:pt>
                <c:pt idx="17">
                  <c:v>15.900000000000006</c:v>
                </c:pt>
                <c:pt idx="18">
                  <c:v>11.700000000000003</c:v>
                </c:pt>
                <c:pt idx="19">
                  <c:v>4.4000000000000004</c:v>
                </c:pt>
                <c:pt idx="20">
                  <c:v>7</c:v>
                </c:pt>
                <c:pt idx="21">
                  <c:v>8</c:v>
                </c:pt>
                <c:pt idx="22">
                  <c:v>6.3</c:v>
                </c:pt>
                <c:pt idx="23" formatCode="General">
                  <c:v>-0.7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CF-459E-A815-E19DA753C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II.22</c:v>
                </c:pt>
                <c:pt idx="1">
                  <c:v>III.22</c:v>
                </c:pt>
                <c:pt idx="2">
                  <c:v>IV.22</c:v>
                </c:pt>
                <c:pt idx="3">
                  <c:v>V.22</c:v>
                </c:pt>
                <c:pt idx="4">
                  <c:v>VI.22</c:v>
                </c:pt>
                <c:pt idx="5">
                  <c:v>VII.22</c:v>
                </c:pt>
                <c:pt idx="6">
                  <c:v>VIII.22</c:v>
                </c:pt>
                <c:pt idx="7">
                  <c:v>IX.22</c:v>
                </c:pt>
                <c:pt idx="8">
                  <c:v>X.22</c:v>
                </c:pt>
                <c:pt idx="9">
                  <c:v>XI.22</c:v>
                </c:pt>
                <c:pt idx="10">
                  <c:v>XII.22</c:v>
                </c:pt>
                <c:pt idx="11">
                  <c:v>I.23</c:v>
                </c:pt>
                <c:pt idx="12">
                  <c:v>II.23</c:v>
                </c:pt>
                <c:pt idx="13">
                  <c:v>III.23</c:v>
                </c:pt>
                <c:pt idx="14">
                  <c:v>IV.23</c:v>
                </c:pt>
                <c:pt idx="15">
                  <c:v>V.23</c:v>
                </c:pt>
                <c:pt idx="16">
                  <c:v>VI.23</c:v>
                </c:pt>
                <c:pt idx="17">
                  <c:v>VII.23</c:v>
                </c:pt>
                <c:pt idx="18">
                  <c:v>VIII.23</c:v>
                </c:pt>
                <c:pt idx="19">
                  <c:v>IX.23</c:v>
                </c:pt>
                <c:pt idx="20">
                  <c:v>X.23</c:v>
                </c:pt>
                <c:pt idx="21">
                  <c:v>XI.23</c:v>
                </c:pt>
                <c:pt idx="22">
                  <c:v>XII.23</c:v>
                </c:pt>
                <c:pt idx="23">
                  <c:v>I.24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25.1</c:v>
                </c:pt>
                <c:pt idx="1">
                  <c:v>26.3</c:v>
                </c:pt>
                <c:pt idx="2">
                  <c:v>28.3</c:v>
                </c:pt>
                <c:pt idx="3">
                  <c:v>34</c:v>
                </c:pt>
                <c:pt idx="4">
                  <c:v>33.299999999999997</c:v>
                </c:pt>
                <c:pt idx="5">
                  <c:v>30.400000000000006</c:v>
                </c:pt>
                <c:pt idx="6">
                  <c:v>28.8</c:v>
                </c:pt>
                <c:pt idx="7">
                  <c:v>31.3</c:v>
                </c:pt>
                <c:pt idx="8">
                  <c:v>24.5</c:v>
                </c:pt>
                <c:pt idx="9">
                  <c:v>23.5</c:v>
                </c:pt>
                <c:pt idx="10">
                  <c:v>21.900000000000006</c:v>
                </c:pt>
                <c:pt idx="11">
                  <c:v>54</c:v>
                </c:pt>
                <c:pt idx="12">
                  <c:v>53.3</c:v>
                </c:pt>
                <c:pt idx="13">
                  <c:v>54.6</c:v>
                </c:pt>
                <c:pt idx="14">
                  <c:v>51.4</c:v>
                </c:pt>
                <c:pt idx="15">
                  <c:v>45.6</c:v>
                </c:pt>
                <c:pt idx="16">
                  <c:v>45.9</c:v>
                </c:pt>
                <c:pt idx="17">
                  <c:v>46</c:v>
                </c:pt>
                <c:pt idx="18">
                  <c:v>45</c:v>
                </c:pt>
                <c:pt idx="19">
                  <c:v>42.5</c:v>
                </c:pt>
                <c:pt idx="20">
                  <c:v>40.200000000000003</c:v>
                </c:pt>
                <c:pt idx="21">
                  <c:v>39.700000000000003</c:v>
                </c:pt>
                <c:pt idx="22">
                  <c:v>40.5</c:v>
                </c:pt>
                <c:pt idx="23" formatCode="General">
                  <c:v>-1.3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CF-459E-A815-E19DA753C328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II.22</c:v>
                </c:pt>
                <c:pt idx="1">
                  <c:v>III.22</c:v>
                </c:pt>
                <c:pt idx="2">
                  <c:v>IV.22</c:v>
                </c:pt>
                <c:pt idx="3">
                  <c:v>V.22</c:v>
                </c:pt>
                <c:pt idx="4">
                  <c:v>VI.22</c:v>
                </c:pt>
                <c:pt idx="5">
                  <c:v>VII.22</c:v>
                </c:pt>
                <c:pt idx="6">
                  <c:v>VIII.22</c:v>
                </c:pt>
                <c:pt idx="7">
                  <c:v>IX.22</c:v>
                </c:pt>
                <c:pt idx="8">
                  <c:v>X.22</c:v>
                </c:pt>
                <c:pt idx="9">
                  <c:v>XI.22</c:v>
                </c:pt>
                <c:pt idx="10">
                  <c:v>XII.22</c:v>
                </c:pt>
                <c:pt idx="11">
                  <c:v>I.23</c:v>
                </c:pt>
                <c:pt idx="12">
                  <c:v>II.23</c:v>
                </c:pt>
                <c:pt idx="13">
                  <c:v>III.23</c:v>
                </c:pt>
                <c:pt idx="14">
                  <c:v>IV.23</c:v>
                </c:pt>
                <c:pt idx="15">
                  <c:v>V.23</c:v>
                </c:pt>
                <c:pt idx="16">
                  <c:v>VI.23</c:v>
                </c:pt>
                <c:pt idx="17">
                  <c:v>VII.23</c:v>
                </c:pt>
                <c:pt idx="18">
                  <c:v>VIII.23</c:v>
                </c:pt>
                <c:pt idx="19">
                  <c:v>IX.23</c:v>
                </c:pt>
                <c:pt idx="20">
                  <c:v>X.23</c:v>
                </c:pt>
                <c:pt idx="21">
                  <c:v>XI.23</c:v>
                </c:pt>
                <c:pt idx="22">
                  <c:v>XII.23</c:v>
                </c:pt>
                <c:pt idx="23">
                  <c:v>I.24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5.3</c:v>
                </c:pt>
                <c:pt idx="1">
                  <c:v>5.3</c:v>
                </c:pt>
                <c:pt idx="2">
                  <c:v>5.3</c:v>
                </c:pt>
                <c:pt idx="3">
                  <c:v>5.3</c:v>
                </c:pt>
                <c:pt idx="4">
                  <c:v>5.3</c:v>
                </c:pt>
                <c:pt idx="5">
                  <c:v>5.2999999999999972</c:v>
                </c:pt>
                <c:pt idx="6">
                  <c:v>5.3</c:v>
                </c:pt>
                <c:pt idx="7">
                  <c:v>5.3</c:v>
                </c:pt>
                <c:pt idx="8">
                  <c:v>5.3</c:v>
                </c:pt>
                <c:pt idx="9">
                  <c:v>5.3</c:v>
                </c:pt>
                <c:pt idx="10">
                  <c:v>5.2999999999999972</c:v>
                </c:pt>
                <c:pt idx="11">
                  <c:v>16.299999999999997</c:v>
                </c:pt>
                <c:pt idx="12">
                  <c:v>16.3</c:v>
                </c:pt>
                <c:pt idx="13">
                  <c:v>16.3</c:v>
                </c:pt>
                <c:pt idx="14">
                  <c:v>16.3</c:v>
                </c:pt>
                <c:pt idx="15">
                  <c:v>16.3</c:v>
                </c:pt>
                <c:pt idx="16">
                  <c:v>16.3</c:v>
                </c:pt>
                <c:pt idx="17">
                  <c:v>16.299999999999997</c:v>
                </c:pt>
                <c:pt idx="18">
                  <c:v>16.299999999999997</c:v>
                </c:pt>
                <c:pt idx="19">
                  <c:v>16.3</c:v>
                </c:pt>
                <c:pt idx="20">
                  <c:v>16.3</c:v>
                </c:pt>
                <c:pt idx="21">
                  <c:v>16.3</c:v>
                </c:pt>
                <c:pt idx="22">
                  <c:v>16.3</c:v>
                </c:pt>
                <c:pt idx="23" formatCode="General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0CF-459E-A815-E19DA753C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E7DD-EBBB-4B1B-96FC-A486537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20</cp:revision>
  <cp:lastPrinted>2011-06-10T07:57:00Z</cp:lastPrinted>
  <dcterms:created xsi:type="dcterms:W3CDTF">2023-10-11T06:42:00Z</dcterms:created>
  <dcterms:modified xsi:type="dcterms:W3CDTF">2024-02-21T12:23:00Z</dcterms:modified>
</cp:coreProperties>
</file>