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C1C4" w14:textId="77777777" w:rsidR="00F4587B" w:rsidRDefault="00F4587B" w:rsidP="00F4587B">
      <w:pPr>
        <w:pStyle w:val="Nadpis1"/>
      </w:pPr>
      <w:bookmarkStart w:id="0" w:name="_Toc224903150"/>
      <w:bookmarkStart w:id="1" w:name="_Toc232503737"/>
      <w:r>
        <w:t>6. Trh práce</w:t>
      </w:r>
      <w:bookmarkEnd w:id="0"/>
      <w:bookmarkEnd w:id="1"/>
    </w:p>
    <w:tbl>
      <w:tblPr>
        <w:tblW w:w="9674" w:type="dxa"/>
        <w:tblInd w:w="-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4"/>
        <w:gridCol w:w="213"/>
        <w:gridCol w:w="7697"/>
      </w:tblGrid>
      <w:tr w:rsidR="00F4587B" w:rsidRPr="009F0D7F" w14:paraId="56F8803B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17F56149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Mírný </w:t>
            </w:r>
            <w:proofErr w:type="spellStart"/>
            <w:r>
              <w:rPr>
                <w:color w:val="0D0D0D" w:themeColor="text1" w:themeTint="F2"/>
                <w:spacing w:val="-4"/>
              </w:rPr>
              <w:t>mezikvartální</w:t>
            </w:r>
            <w:proofErr w:type="spellEnd"/>
            <w:r>
              <w:rPr>
                <w:color w:val="0D0D0D" w:themeColor="text1" w:themeTint="F2"/>
                <w:spacing w:val="-4"/>
              </w:rPr>
              <w:t xml:space="preserve"> růst zaměstnanosti na počátku roku přetrval. Počet pracujících v Česku se opět posunul na historické maximum.</w:t>
            </w:r>
          </w:p>
        </w:tc>
        <w:tc>
          <w:tcPr>
            <w:tcW w:w="175" w:type="dxa"/>
            <w:tcMar>
              <w:left w:w="0" w:type="dxa"/>
            </w:tcMar>
          </w:tcPr>
          <w:p w14:paraId="3BA1E245" w14:textId="77777777" w:rsidR="00F4587B" w:rsidRPr="009F0D7F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4C72461C" w14:textId="77777777" w:rsidR="00F4587B" w:rsidRPr="00903591" w:rsidRDefault="00F4587B" w:rsidP="000E74FE">
            <w:r>
              <w:t xml:space="preserve">Mírný růst zaměstnanosti pokračoval i na </w:t>
            </w:r>
            <w:r w:rsidRPr="00903591">
              <w:t>počátku l</w:t>
            </w:r>
            <w:r>
              <w:t>etošního</w:t>
            </w:r>
            <w:r w:rsidRPr="00903591">
              <w:t xml:space="preserve"> ro</w:t>
            </w:r>
            <w:r>
              <w:t>ku</w:t>
            </w:r>
            <w:r w:rsidRPr="00903591">
              <w:t>. Celkov</w:t>
            </w:r>
            <w:r>
              <w:t>ý počet</w:t>
            </w:r>
            <w:r w:rsidRPr="00903591">
              <w:t xml:space="preserve"> </w:t>
            </w:r>
            <w:r>
              <w:t>pracovníků</w:t>
            </w:r>
            <w:r w:rsidRPr="00903591">
              <w:rPr>
                <w:color w:val="0D0D0D" w:themeColor="text1" w:themeTint="F2"/>
                <w:vertAlign w:val="superscript"/>
              </w:rPr>
              <w:footnoteReference w:id="1"/>
            </w:r>
            <w:r w:rsidRPr="00903591">
              <w:t xml:space="preserve"> </w:t>
            </w:r>
            <w:r>
              <w:t xml:space="preserve">se </w:t>
            </w:r>
            <w:r w:rsidRPr="00903591">
              <w:t>v 1. čtvrtletí 202</w:t>
            </w:r>
            <w:r>
              <w:t>6</w:t>
            </w:r>
            <w:r w:rsidRPr="00903591">
              <w:t xml:space="preserve"> mezikvartálně </w:t>
            </w:r>
            <w:r>
              <w:t>navýšil</w:t>
            </w:r>
            <w:r w:rsidRPr="00903591">
              <w:t xml:space="preserve"> o 0,4 %</w:t>
            </w:r>
            <w:r>
              <w:t>. Náznak možného slábnutí dynamiky zaměstnanosti, jež naznačovala tempa z 2. pololetí 2025, se tak zatím nepotvrdil. Pracovníků ovšem přibývalo pouze ve službách, především v oblasti ICT a aktivitách vázaných na cestovní ruch.</w:t>
            </w:r>
            <w:r w:rsidRPr="00903591">
              <w:t xml:space="preserve"> Zaměstnanost v celé ekonomice aktuálně </w:t>
            </w:r>
            <w:r>
              <w:t>dosahovala</w:t>
            </w:r>
            <w:r w:rsidRPr="00903591">
              <w:t xml:space="preserve"> rekordních 5,5</w:t>
            </w:r>
            <w:r>
              <w:t>4</w:t>
            </w:r>
            <w:r w:rsidRPr="00903591">
              <w:t xml:space="preserve"> mil. osob a proti maximální hodnotě z období poslední konjunktury (4. čtvrtletí 2018) byla vyšší již o </w:t>
            </w:r>
            <w:r>
              <w:t>3,1</w:t>
            </w:r>
            <w:r w:rsidRPr="00903591">
              <w:t xml:space="preserve"> % (+1</w:t>
            </w:r>
            <w:r>
              <w:t>66</w:t>
            </w:r>
            <w:r w:rsidRPr="00903591">
              <w:t xml:space="preserve"> tis.), </w:t>
            </w:r>
            <w:r>
              <w:t>z rozhodující části vlivem</w:t>
            </w:r>
            <w:r w:rsidRPr="00903591">
              <w:t xml:space="preserve"> rozvoj</w:t>
            </w:r>
            <w:r>
              <w:t>e veřejných</w:t>
            </w:r>
            <w:r w:rsidRPr="00903591">
              <w:t xml:space="preserve"> služeb</w:t>
            </w:r>
            <w:r w:rsidRPr="00903591">
              <w:rPr>
                <w:rStyle w:val="Znakapoznpodarou"/>
              </w:rPr>
              <w:footnoteReference w:id="2"/>
            </w:r>
            <w:r w:rsidRPr="00903591">
              <w:t>.</w:t>
            </w:r>
          </w:p>
        </w:tc>
      </w:tr>
      <w:tr w:rsidR="00F4587B" w:rsidRPr="009F0D7F" w14:paraId="15DDCC00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165C2C08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Na mírném meziročním růstu počtu pracovníků se podíleli zaměstnanci </w:t>
            </w:r>
            <w:r>
              <w:rPr>
                <w:color w:val="0D0D0D" w:themeColor="text1" w:themeTint="F2"/>
                <w:spacing w:val="-4"/>
              </w:rPr>
              <w:br/>
              <w:t xml:space="preserve">i drobní podnikatelé. </w:t>
            </w:r>
          </w:p>
          <w:p w14:paraId="6911E527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6E90F67C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4A4CF3C6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0530CF2C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3C886F1A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R</w:t>
            </w:r>
            <w:r w:rsidRPr="00630288">
              <w:rPr>
                <w:color w:val="0D0D0D" w:themeColor="text1" w:themeTint="F2"/>
                <w:spacing w:val="0"/>
              </w:rPr>
              <w:t>ůst zaměstnanosti ve</w:t>
            </w:r>
            <w:r>
              <w:rPr>
                <w:color w:val="0D0D0D" w:themeColor="text1" w:themeTint="F2"/>
                <w:spacing w:val="0"/>
              </w:rPr>
              <w:t xml:space="preserve"> ve</w:t>
            </w:r>
            <w:r w:rsidRPr="00630288">
              <w:rPr>
                <w:color w:val="0D0D0D" w:themeColor="text1" w:themeTint="F2"/>
                <w:spacing w:val="0"/>
              </w:rPr>
              <w:t>řejn</w:t>
            </w:r>
            <w:r>
              <w:rPr>
                <w:color w:val="0D0D0D" w:themeColor="text1" w:themeTint="F2"/>
                <w:spacing w:val="0"/>
              </w:rPr>
              <w:t>ých</w:t>
            </w:r>
            <w:r w:rsidRPr="00630288">
              <w:rPr>
                <w:color w:val="0D0D0D" w:themeColor="text1" w:themeTint="F2"/>
                <w:spacing w:val="0"/>
              </w:rPr>
              <w:t xml:space="preserve"> služb</w:t>
            </w:r>
            <w:r>
              <w:rPr>
                <w:color w:val="0D0D0D" w:themeColor="text1" w:themeTint="F2"/>
                <w:spacing w:val="0"/>
              </w:rPr>
              <w:t>ách byl nejvyšší za posledních 4,5 roku</w:t>
            </w:r>
            <w:r w:rsidRPr="00630288">
              <w:rPr>
                <w:color w:val="0D0D0D" w:themeColor="text1" w:themeTint="F2"/>
                <w:spacing w:val="0"/>
              </w:rPr>
              <w:t xml:space="preserve">. </w:t>
            </w:r>
          </w:p>
          <w:p w14:paraId="591B010D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C0429EF" w14:textId="77777777" w:rsidR="00F4587B" w:rsidRPr="00630288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46C9AA56" w14:textId="77777777" w:rsidR="00F4587B" w:rsidRPr="001133B5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8B66AB">
              <w:rPr>
                <w:color w:val="0D0D0D" w:themeColor="text1" w:themeTint="F2"/>
                <w:spacing w:val="0"/>
              </w:rPr>
              <w:t>Dařilo se i vyspělejším podnikovým službám, nemovitostem</w:t>
            </w:r>
            <w:r>
              <w:rPr>
                <w:color w:val="0D0D0D" w:themeColor="text1" w:themeTint="F2"/>
                <w:spacing w:val="0"/>
              </w:rPr>
              <w:t xml:space="preserve"> či oborům s vazbou na </w:t>
            </w:r>
            <w:r w:rsidRPr="008B66AB">
              <w:rPr>
                <w:color w:val="0D0D0D" w:themeColor="text1" w:themeTint="F2"/>
                <w:spacing w:val="0"/>
              </w:rPr>
              <w:t>cestovní ruch.</w:t>
            </w:r>
            <w:r>
              <w:rPr>
                <w:color w:val="0D0D0D" w:themeColor="text1" w:themeTint="F2"/>
                <w:spacing w:val="-4"/>
              </w:rPr>
              <w:t xml:space="preserve"> </w:t>
            </w:r>
          </w:p>
        </w:tc>
        <w:tc>
          <w:tcPr>
            <w:tcW w:w="175" w:type="dxa"/>
            <w:tcMar>
              <w:left w:w="0" w:type="dxa"/>
            </w:tcMar>
          </w:tcPr>
          <w:p w14:paraId="41989077" w14:textId="77777777" w:rsidR="00F4587B" w:rsidRPr="009F0D7F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14EAFC4D" w14:textId="5F2DB756" w:rsidR="00F4587B" w:rsidRPr="00903591" w:rsidRDefault="00F4587B" w:rsidP="000E74FE">
            <w:r>
              <w:t>Ve srovnání s úrovní z 1. čtvrtletí 2025 se</w:t>
            </w:r>
            <w:r w:rsidRPr="00903591">
              <w:t xml:space="preserve"> </w:t>
            </w:r>
            <w:r>
              <w:t xml:space="preserve">letos </w:t>
            </w:r>
            <w:r w:rsidRPr="00903591">
              <w:t xml:space="preserve">celková zaměstnanost </w:t>
            </w:r>
            <w:r>
              <w:t>zvýšila</w:t>
            </w:r>
            <w:r w:rsidRPr="00903591">
              <w:t xml:space="preserve"> o 1,1 %</w:t>
            </w:r>
            <w:r>
              <w:t xml:space="preserve"> (téměř identickým tempem posilovala i po celý loňský rok). K nynějšímu růstu přispěli ze dvou třetin zaměstnanci (+40 tis., +0,9 %), relativně silnějším tempem se ale navyšovaly stavy </w:t>
            </w:r>
            <w:proofErr w:type="spellStart"/>
            <w:r>
              <w:t>sebezaměstnaných</w:t>
            </w:r>
            <w:proofErr w:type="spellEnd"/>
            <w:r>
              <w:t xml:space="preserve"> (+2,1 %)</w:t>
            </w:r>
            <w:r w:rsidRPr="00903591">
              <w:rPr>
                <w:rStyle w:val="Znakapoznpodarou"/>
              </w:rPr>
              <w:footnoteReference w:id="3"/>
            </w:r>
            <w:r>
              <w:t xml:space="preserve">, což platilo po většinu období po ústupu pandemie. </w:t>
            </w:r>
            <w:r w:rsidRPr="00903591">
              <w:t xml:space="preserve">Z pohledu </w:t>
            </w:r>
            <w:r>
              <w:t xml:space="preserve">hlavních </w:t>
            </w:r>
            <w:r w:rsidRPr="00903591">
              <w:t>odvětví měl</w:t>
            </w:r>
            <w:r>
              <w:t>y</w:t>
            </w:r>
            <w:r w:rsidRPr="00903591">
              <w:t xml:space="preserve"> </w:t>
            </w:r>
            <w:r>
              <w:t xml:space="preserve">letos </w:t>
            </w:r>
            <w:r w:rsidRPr="00903591">
              <w:t xml:space="preserve">pro celkovou dynamiku zaměstnanosti v ekonomice nadále </w:t>
            </w:r>
            <w:r>
              <w:t xml:space="preserve">zcela </w:t>
            </w:r>
            <w:r w:rsidRPr="00903591">
              <w:t xml:space="preserve">zásadní </w:t>
            </w:r>
            <w:r>
              <w:t>vliv veřejné</w:t>
            </w:r>
            <w:r w:rsidRPr="00903591">
              <w:t xml:space="preserve"> služb</w:t>
            </w:r>
            <w:r>
              <w:t>y</w:t>
            </w:r>
            <w:r w:rsidRPr="00903591">
              <w:rPr>
                <w:rStyle w:val="Znakapoznpodarou"/>
              </w:rPr>
              <w:footnoteReference w:id="4"/>
            </w:r>
            <w:r w:rsidRPr="00903591">
              <w:t>. V nich totiž pracovalo meziročně o</w:t>
            </w:r>
            <w:r>
              <w:t xml:space="preserve"> 2,4</w:t>
            </w:r>
            <w:r w:rsidRPr="00903591">
              <w:t xml:space="preserve"> % </w:t>
            </w:r>
            <w:r>
              <w:t xml:space="preserve">osob </w:t>
            </w:r>
            <w:r w:rsidRPr="00903591">
              <w:t xml:space="preserve">více a na tomto nárůstu, nejvyšším za poslední čtyři </w:t>
            </w:r>
            <w:r>
              <w:t>a půl roku</w:t>
            </w:r>
            <w:r w:rsidRPr="00903591">
              <w:t>, se podílela všechna odvětví (nejvíce zdravotní a sociální péče</w:t>
            </w:r>
            <w:r>
              <w:t xml:space="preserve"> a také vzdělávání</w:t>
            </w:r>
            <w:r w:rsidRPr="00903591">
              <w:t>).</w:t>
            </w:r>
            <w:r>
              <w:t xml:space="preserve"> Dařilo se i všem dalším odvětvím služeb. Relativně nejvyšší nárůst však nastal v řádově menším odvětví </w:t>
            </w:r>
            <w:r w:rsidRPr="00903591">
              <w:t>činnost</w:t>
            </w:r>
            <w:r>
              <w:t>í</w:t>
            </w:r>
            <w:r w:rsidRPr="00903591">
              <w:t xml:space="preserve"> v oblasti nemovitostí</w:t>
            </w:r>
            <w:r>
              <w:t xml:space="preserve"> (+6,0 %), a to i přesto, že na něm participovali pouze zaměstnanci. V kontrastu s tím výhradně drobní podnikatelé podpořili vyšší celkovou zaměstnanost ve finančnictví (+2,5 %). </w:t>
            </w:r>
            <w:r w:rsidRPr="00903591">
              <w:t>V</w:t>
            </w:r>
            <w:r>
              <w:t> </w:t>
            </w:r>
            <w:r w:rsidRPr="00903591">
              <w:t>profesních, vědeckých, technických a</w:t>
            </w:r>
            <w:r>
              <w:t> </w:t>
            </w:r>
            <w:r w:rsidRPr="00903591">
              <w:t xml:space="preserve">administrativních činnostech, jež soustřeďují zejména specialisty poskytující vyspělé služby převážně pro podnikovou sféru, </w:t>
            </w:r>
            <w:r>
              <w:t xml:space="preserve">růst </w:t>
            </w:r>
            <w:r w:rsidRPr="00903591">
              <w:t>zaměstnanost</w:t>
            </w:r>
            <w:r>
              <w:t>i</w:t>
            </w:r>
            <w:r w:rsidRPr="00903591">
              <w:t xml:space="preserve"> </w:t>
            </w:r>
            <w:r>
              <w:t>sílil (na</w:t>
            </w:r>
            <w:r w:rsidRPr="00903591">
              <w:t xml:space="preserve"> 1,</w:t>
            </w:r>
            <w:r>
              <w:t>9</w:t>
            </w:r>
            <w:r w:rsidRPr="00903591">
              <w:t xml:space="preserve"> </w:t>
            </w:r>
            <w:r>
              <w:t xml:space="preserve">%). I v tomto odvětví mohlo docházet k přelivům zaměstnanců do stavu </w:t>
            </w:r>
            <w:proofErr w:type="spellStart"/>
            <w:r>
              <w:t>sebezaměstnaných</w:t>
            </w:r>
            <w:proofErr w:type="spellEnd"/>
            <w:r>
              <w:rPr>
                <w:rStyle w:val="Znakapoznpodarou"/>
              </w:rPr>
              <w:footnoteReference w:id="5"/>
            </w:r>
            <w:r>
              <w:t>. Obě tyto kategorie zaměstnanců se podílely na mírném navýšení pracovníků v informačních a komunikačních činnostech (+1,5 %). V kontextu dlouhodobějšího vývoje je ovšem tento aktuální růst nízký</w:t>
            </w:r>
            <w:r>
              <w:rPr>
                <w:rStyle w:val="Znakapoznpodarou"/>
              </w:rPr>
              <w:footnoteReference w:id="6"/>
            </w:r>
            <w:r>
              <w:t xml:space="preserve">. Na úspěšný rok 2025 navázalo </w:t>
            </w:r>
            <w:r w:rsidRPr="00903591">
              <w:t>menší různorodé odvětví ostatních činnost</w:t>
            </w:r>
            <w:r>
              <w:t>í</w:t>
            </w:r>
            <w:r w:rsidRPr="00903591">
              <w:t xml:space="preserve"> služeb</w:t>
            </w:r>
            <w:r w:rsidRPr="00903591">
              <w:rPr>
                <w:rStyle w:val="Znakapoznpodarou"/>
              </w:rPr>
              <w:footnoteReference w:id="7"/>
            </w:r>
            <w:r w:rsidRPr="00903591">
              <w:t>,</w:t>
            </w:r>
            <w:r>
              <w:t xml:space="preserve"> což se odrazilo v pokračujícím svižném růstu zaměstnanosti (+2,9 %</w:t>
            </w:r>
            <w:r>
              <w:rPr>
                <w:rStyle w:val="Znakapoznpodarou"/>
              </w:rPr>
              <w:footnoteReference w:id="8"/>
            </w:r>
            <w:r>
              <w:t>). Naopak poměrně slabý růst nastal v</w:t>
            </w:r>
            <w:r w:rsidRPr="00903591">
              <w:t xml:space="preserve"> uskupení obchod, doprava, ubytování a</w:t>
            </w:r>
            <w:r>
              <w:t> </w:t>
            </w:r>
            <w:r w:rsidRPr="00903591">
              <w:t>pohostinství (+</w:t>
            </w:r>
            <w:r>
              <w:t>0</w:t>
            </w:r>
            <w:r w:rsidRPr="00903591">
              <w:t>,</w:t>
            </w:r>
            <w:r>
              <w:t>4</w:t>
            </w:r>
            <w:r w:rsidRPr="00903591">
              <w:t xml:space="preserve"> %)</w:t>
            </w:r>
            <w:r>
              <w:t xml:space="preserve">, částečně i kvůli poklesu </w:t>
            </w:r>
            <w:proofErr w:type="spellStart"/>
            <w:r>
              <w:t>sebezaměstnaných</w:t>
            </w:r>
            <w:proofErr w:type="spellEnd"/>
            <w:r>
              <w:t>, jejichž počet zde navíc stále dosud zaostává za úrovní z roku 2019.</w:t>
            </w:r>
            <w:r w:rsidRPr="00903591">
              <w:t xml:space="preserve"> Na jedné straně se </w:t>
            </w:r>
            <w:r>
              <w:t xml:space="preserve">letos </w:t>
            </w:r>
            <w:r w:rsidRPr="00903591">
              <w:t xml:space="preserve">dařilo aktivitám navázaným na cestovní ruch, současně však ubývala pracovní místa </w:t>
            </w:r>
            <w:r>
              <w:t xml:space="preserve">zejména </w:t>
            </w:r>
            <w:r w:rsidRPr="00903591">
              <w:t>v </w:t>
            </w:r>
            <w:r w:rsidRPr="005F6027">
              <w:rPr>
                <w:spacing w:val="-4"/>
              </w:rPr>
              <w:t>dopravě a skladování, což souviselo s přetrvávající slabší dynamikou výkonu v průmyslu.</w:t>
            </w:r>
            <w:r w:rsidRPr="00903591">
              <w:t xml:space="preserve"> </w:t>
            </w:r>
          </w:p>
        </w:tc>
      </w:tr>
      <w:tr w:rsidR="00F4587B" w:rsidRPr="009F0D7F" w14:paraId="26A8150D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78E7CE0D" w14:textId="77777777" w:rsidR="00F4587B" w:rsidRDefault="00F4587B" w:rsidP="000E74FE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Ke svižnému růstu ve </w:t>
            </w:r>
            <w:r w:rsidRPr="007928AC">
              <w:rPr>
                <w:color w:val="0D0D0D" w:themeColor="text1" w:themeTint="F2"/>
              </w:rPr>
              <w:t xml:space="preserve">stavebnictví </w:t>
            </w:r>
            <w:r>
              <w:rPr>
                <w:color w:val="0D0D0D" w:themeColor="text1" w:themeTint="F2"/>
              </w:rPr>
              <w:t>letos přispívali zejména</w:t>
            </w:r>
            <w:r w:rsidRPr="007928AC">
              <w:rPr>
                <w:color w:val="0D0D0D" w:themeColor="text1" w:themeTint="F2"/>
              </w:rPr>
              <w:t xml:space="preserve"> zaměstnan</w:t>
            </w:r>
            <w:r>
              <w:rPr>
                <w:color w:val="0D0D0D" w:themeColor="text1" w:themeTint="F2"/>
              </w:rPr>
              <w:t>ci.</w:t>
            </w:r>
          </w:p>
          <w:p w14:paraId="6FD8AF72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Zaměstnanost ve zpracovatelském </w:t>
            </w:r>
            <w:r>
              <w:rPr>
                <w:color w:val="0D0D0D" w:themeColor="text1" w:themeTint="F2"/>
                <w:spacing w:val="-4"/>
              </w:rPr>
              <w:lastRenderedPageBreak/>
              <w:t>průmyslu nadále mírně klesala. Situace v řadě tradičních exportních oborů je stále obtížná.</w:t>
            </w:r>
          </w:p>
        </w:tc>
        <w:tc>
          <w:tcPr>
            <w:tcW w:w="175" w:type="dxa"/>
            <w:tcMar>
              <w:left w:w="0" w:type="dxa"/>
            </w:tcMar>
          </w:tcPr>
          <w:p w14:paraId="66CFA9D0" w14:textId="77777777" w:rsidR="00F4587B" w:rsidRPr="009F0D7F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47B28513" w14:textId="77777777" w:rsidR="00F4587B" w:rsidRPr="00B85732" w:rsidRDefault="00F4587B" w:rsidP="000E74FE">
            <w:pPr>
              <w:rPr>
                <w:color w:val="0D0D0D" w:themeColor="text1" w:themeTint="F2"/>
              </w:rPr>
            </w:pPr>
            <w:r w:rsidRPr="00903591">
              <w:rPr>
                <w:color w:val="0D0D0D" w:themeColor="text1" w:themeTint="F2"/>
              </w:rPr>
              <w:t xml:space="preserve">Mimo sektor služeb přibylo </w:t>
            </w:r>
            <w:r>
              <w:rPr>
                <w:color w:val="0D0D0D" w:themeColor="text1" w:themeTint="F2"/>
              </w:rPr>
              <w:t>letos (obdobně jako v úhrnu za celý loňský rok)</w:t>
            </w:r>
            <w:r w:rsidRPr="00903591">
              <w:t xml:space="preserve"> pracovníků pouze ve stavebnictví (+2,5 %)</w:t>
            </w:r>
            <w:r w:rsidRPr="00903591">
              <w:rPr>
                <w:color w:val="0D0D0D" w:themeColor="text1" w:themeTint="F2"/>
              </w:rPr>
              <w:t xml:space="preserve">. </w:t>
            </w:r>
            <w:r>
              <w:rPr>
                <w:color w:val="0D0D0D" w:themeColor="text1" w:themeTint="F2"/>
              </w:rPr>
              <w:t xml:space="preserve">Zatímco k růstu v roce 2025 zde výrazně pomohli drobní podnikatelé, letos byl z drtivé části v režii samotných zaměstnanců, jejichž tempo navyšování patřilo k nejvyšším v „post-pandemickém období“. Ve zcela odlišné situaci se nacházel zpracovatelský průmysl.). </w:t>
            </w:r>
            <w:r w:rsidRPr="00977FD2">
              <w:rPr>
                <w:color w:val="0D0D0D" w:themeColor="text1" w:themeTint="F2"/>
              </w:rPr>
              <w:t xml:space="preserve">Přetrvávající zvýšené ceny řady důležitých </w:t>
            </w:r>
            <w:r w:rsidRPr="00977FD2">
              <w:rPr>
                <w:color w:val="0D0D0D" w:themeColor="text1" w:themeTint="F2"/>
              </w:rPr>
              <w:lastRenderedPageBreak/>
              <w:t xml:space="preserve">výrobních </w:t>
            </w:r>
            <w:proofErr w:type="spellStart"/>
            <w:r w:rsidRPr="00977FD2">
              <w:rPr>
                <w:color w:val="0D0D0D" w:themeColor="text1" w:themeTint="F2"/>
              </w:rPr>
              <w:t>mezivstupů</w:t>
            </w:r>
            <w:proofErr w:type="spellEnd"/>
            <w:r w:rsidRPr="00977FD2">
              <w:rPr>
                <w:color w:val="0D0D0D" w:themeColor="text1" w:themeTint="F2"/>
              </w:rPr>
              <w:t xml:space="preserve"> se spolu s nevýraznou zahraniční poptávkou projevují dlouhodobým poklesem zaměstnanosti. Ten je relativně mírný, ale s menšími přestávkami pokračuje již od roku 2018.</w:t>
            </w:r>
            <w:r>
              <w:rPr>
                <w:color w:val="0D0D0D" w:themeColor="text1" w:themeTint="F2"/>
              </w:rPr>
              <w:t xml:space="preserve"> Letos zde ubylo necelé 1 % pracovníků, nicméně pozitivní je, že došlo k zotavení u drobných podnikatelů. Ve většině klíčových exportních oborů ale celkově pracovníků ubývalo (vyjma kovodělného průmyslu, kterému pomáhá dynamický rozvoj segmentu zbrojní výroby)</w:t>
            </w:r>
            <w:r>
              <w:rPr>
                <w:rStyle w:val="Znakapoznpodarou"/>
                <w:color w:val="0D0D0D" w:themeColor="text1" w:themeTint="F2"/>
              </w:rPr>
              <w:footnoteReference w:id="9"/>
            </w:r>
            <w:r>
              <w:rPr>
                <w:color w:val="0D0D0D" w:themeColor="text1" w:themeTint="F2"/>
              </w:rPr>
              <w:t xml:space="preserve">. </w:t>
            </w:r>
            <w:r w:rsidRPr="00903591">
              <w:t xml:space="preserve">V ostatním průmyslu se zaměstnanost </w:t>
            </w:r>
            <w:r>
              <w:t>mírně zvýšila (+0,9 %).</w:t>
            </w:r>
            <w:r w:rsidRPr="00903591">
              <w:t xml:space="preserve"> </w:t>
            </w:r>
            <w:r>
              <w:t>D</w:t>
            </w:r>
            <w:r w:rsidRPr="00903591">
              <w:t xml:space="preserve">opad </w:t>
            </w:r>
            <w:r>
              <w:t xml:space="preserve">hlubokého </w:t>
            </w:r>
            <w:r w:rsidRPr="00903591">
              <w:t>útlumu v těžbě a</w:t>
            </w:r>
            <w:r>
              <w:t> </w:t>
            </w:r>
            <w:r w:rsidRPr="00903591">
              <w:t>dobývání</w:t>
            </w:r>
            <w:r>
              <w:t xml:space="preserve"> dokázala</w:t>
            </w:r>
            <w:r w:rsidRPr="00903591">
              <w:t xml:space="preserve"> </w:t>
            </w:r>
            <w:r>
              <w:t xml:space="preserve">totiž </w:t>
            </w:r>
            <w:r w:rsidRPr="00903591">
              <w:t>kompenzov</w:t>
            </w:r>
            <w:r>
              <w:t>at</w:t>
            </w:r>
            <w:r w:rsidRPr="00903591">
              <w:t xml:space="preserve"> mírn</w:t>
            </w:r>
            <w:r>
              <w:t>ě</w:t>
            </w:r>
            <w:r w:rsidRPr="00903591">
              <w:t xml:space="preserve"> </w:t>
            </w:r>
            <w:r>
              <w:t>rostoucí</w:t>
            </w:r>
            <w:r w:rsidRPr="00903591">
              <w:t xml:space="preserve"> zaměstnanost</w:t>
            </w:r>
            <w:r>
              <w:t xml:space="preserve"> v energetice či</w:t>
            </w:r>
            <w:r w:rsidRPr="00903591">
              <w:t xml:space="preserve"> ve vodním a odpadovém hospodářství. V primárním sektoru zemědělství, lesnictví a</w:t>
            </w:r>
            <w:r>
              <w:t> </w:t>
            </w:r>
            <w:r w:rsidRPr="00947D72">
              <w:rPr>
                <w:spacing w:val="-2"/>
              </w:rPr>
              <w:t xml:space="preserve">rybářství se počet pracovníků po třech letech faktické stagnace letos mírně snížil </w:t>
            </w:r>
            <w:r w:rsidRPr="00947D72">
              <w:rPr>
                <w:spacing w:val="-2"/>
                <w:szCs w:val="20"/>
              </w:rPr>
              <w:t>(</w:t>
            </w:r>
            <w:r>
              <w:rPr>
                <w:spacing w:val="-2"/>
                <w:szCs w:val="20"/>
              </w:rPr>
              <w:t>−</w:t>
            </w:r>
            <w:r w:rsidRPr="00947D72">
              <w:rPr>
                <w:spacing w:val="-2"/>
              </w:rPr>
              <w:t>2,3</w:t>
            </w:r>
            <w:r>
              <w:rPr>
                <w:spacing w:val="-2"/>
              </w:rPr>
              <w:t> </w:t>
            </w:r>
            <w:r w:rsidRPr="00947D72">
              <w:rPr>
                <w:spacing w:val="-2"/>
              </w:rPr>
              <w:t>%)</w:t>
            </w:r>
            <w:r>
              <w:rPr>
                <w:spacing w:val="-2"/>
              </w:rPr>
              <w:t xml:space="preserve">, zejména vlivem citelnějšího úbytku významné kategorie </w:t>
            </w:r>
            <w:proofErr w:type="spellStart"/>
            <w:r>
              <w:rPr>
                <w:spacing w:val="-2"/>
              </w:rPr>
              <w:t>sebezaměstnaných</w:t>
            </w:r>
            <w:proofErr w:type="spellEnd"/>
            <w:r>
              <w:rPr>
                <w:spacing w:val="-2"/>
              </w:rPr>
              <w:t xml:space="preserve"> (ti se zde na celkové zaměstnanosti </w:t>
            </w:r>
            <w:r>
              <w:t xml:space="preserve">podílí bezmála 30 %, tedy dvojnásobně než v celé ekonomice). </w:t>
            </w:r>
          </w:p>
        </w:tc>
      </w:tr>
      <w:tr w:rsidR="00F4587B" w:rsidRPr="009F0D7F" w14:paraId="6AE3250D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193C63D3" w14:textId="77777777" w:rsidR="00F4587B" w:rsidRPr="00947D72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lastRenderedPageBreak/>
              <w:t xml:space="preserve">Počet odpracovaných hodin rostl nadále ve většině odvětví svižněji než fyzický počet zaměstnanců. </w:t>
            </w:r>
          </w:p>
        </w:tc>
        <w:tc>
          <w:tcPr>
            <w:tcW w:w="175" w:type="dxa"/>
            <w:tcMar>
              <w:left w:w="0" w:type="dxa"/>
            </w:tcMar>
          </w:tcPr>
          <w:p w14:paraId="3CCE4FCC" w14:textId="77777777" w:rsidR="00F4587B" w:rsidRPr="00947D72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51D81D26" w14:textId="77777777" w:rsidR="00F4587B" w:rsidRPr="00947D72" w:rsidRDefault="00F4587B" w:rsidP="000E74FE">
            <w:pPr>
              <w:spacing w:after="200"/>
              <w:rPr>
                <w:color w:val="0D0D0D" w:themeColor="text1" w:themeTint="F2"/>
              </w:rPr>
            </w:pPr>
            <w:r w:rsidRPr="009061E8">
              <w:rPr>
                <w:color w:val="0D0D0D" w:themeColor="text1" w:themeTint="F2"/>
              </w:rPr>
              <w:t>Meziroční růst celkového počtu odpracovaných hodin</w:t>
            </w:r>
            <w:r w:rsidRPr="009061E8">
              <w:rPr>
                <w:rStyle w:val="Znakapoznpodarou"/>
                <w:color w:val="0D0D0D" w:themeColor="text1" w:themeTint="F2"/>
              </w:rPr>
              <w:footnoteReference w:id="10"/>
            </w:r>
            <w:r w:rsidRPr="009061E8">
              <w:rPr>
                <w:color w:val="0D0D0D" w:themeColor="text1" w:themeTint="F2"/>
              </w:rPr>
              <w:t xml:space="preserve"> v ekonomice vystoupal letos v 1.</w:t>
            </w:r>
            <w:r>
              <w:rPr>
                <w:color w:val="0D0D0D" w:themeColor="text1" w:themeTint="F2"/>
              </w:rPr>
              <w:t> </w:t>
            </w:r>
            <w:r w:rsidRPr="009061E8">
              <w:rPr>
                <w:color w:val="0D0D0D" w:themeColor="text1" w:themeTint="F2"/>
              </w:rPr>
              <w:t>čtvrtletí nejvýše za poslední čtyři roky (+3,0 %</w:t>
            </w:r>
            <w:r w:rsidRPr="009061E8">
              <w:rPr>
                <w:rStyle w:val="Znakapoznpodarou"/>
                <w:color w:val="0D0D0D" w:themeColor="text1" w:themeTint="F2"/>
              </w:rPr>
              <w:footnoteReference w:id="11"/>
            </w:r>
            <w:r w:rsidRPr="009061E8">
              <w:rPr>
                <w:color w:val="0D0D0D" w:themeColor="text1" w:themeTint="F2"/>
              </w:rPr>
              <w:t xml:space="preserve">) a toto tempo od 2. pololetí loňského roku mírně zrychlovalo. Obdobně jako v předchozích letech (od ústupu pandemie covidu-19) narůstal počet </w:t>
            </w:r>
            <w:r>
              <w:rPr>
                <w:color w:val="0D0D0D" w:themeColor="text1" w:themeTint="F2"/>
              </w:rPr>
              <w:t xml:space="preserve">odpracovaných </w:t>
            </w:r>
            <w:r w:rsidRPr="009061E8">
              <w:rPr>
                <w:color w:val="0D0D0D" w:themeColor="text1" w:themeTint="F2"/>
              </w:rPr>
              <w:t>hodin rychleji než počet zaměstnaných (ve fyzických osobách)</w:t>
            </w:r>
            <w:r>
              <w:rPr>
                <w:color w:val="0D0D0D" w:themeColor="text1" w:themeTint="F2"/>
              </w:rPr>
              <w:t xml:space="preserve">, což v zásadě </w:t>
            </w:r>
            <w:r w:rsidRPr="00756BB6">
              <w:rPr>
                <w:color w:val="0D0D0D" w:themeColor="text1" w:themeTint="F2"/>
              </w:rPr>
              <w:t xml:space="preserve">platilo pro zaměstnance i </w:t>
            </w:r>
            <w:proofErr w:type="spellStart"/>
            <w:r w:rsidRPr="00756BB6">
              <w:rPr>
                <w:color w:val="0D0D0D" w:themeColor="text1" w:themeTint="F2"/>
              </w:rPr>
              <w:t>sebezaměstnané</w:t>
            </w:r>
            <w:proofErr w:type="spellEnd"/>
            <w:r w:rsidRPr="00756BB6">
              <w:rPr>
                <w:color w:val="0D0D0D" w:themeColor="text1" w:themeTint="F2"/>
              </w:rPr>
              <w:t>. Z pohledu hlavních odvětví je letos tato disproporce zvlášť patrná celkově zejména ve stavebnictví (kde rostla odpracovaná doba oproti zaměstnanosti více než dvojnásobným tempem), v menší míře i pro většinu dalších oblastí ekonomiky (vyjma činnosti v oblasti</w:t>
            </w:r>
            <w:r w:rsidRPr="00756BB6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756BB6">
              <w:rPr>
                <w:color w:val="0D0D0D" w:themeColor="text1" w:themeTint="F2"/>
              </w:rPr>
              <w:t>nemovitostí</w:t>
            </w:r>
            <w:r>
              <w:rPr>
                <w:color w:val="0D0D0D" w:themeColor="text1" w:themeTint="F2"/>
              </w:rPr>
              <w:t>)</w:t>
            </w:r>
            <w:r w:rsidRPr="00756BB6">
              <w:rPr>
                <w:rStyle w:val="Znakapoznpodarou"/>
                <w:color w:val="0D0D0D" w:themeColor="text1" w:themeTint="F2"/>
              </w:rPr>
              <w:footnoteReference w:id="12"/>
            </w:r>
            <w:r w:rsidRPr="00756BB6">
              <w:rPr>
                <w:color w:val="0D0D0D" w:themeColor="text1" w:themeTint="F2"/>
              </w:rPr>
              <w:t xml:space="preserve">. To </w:t>
            </w:r>
            <w:r>
              <w:rPr>
                <w:color w:val="0D0D0D" w:themeColor="text1" w:themeTint="F2"/>
              </w:rPr>
              <w:t xml:space="preserve">může </w:t>
            </w:r>
            <w:r w:rsidRPr="00756BB6">
              <w:rPr>
                <w:color w:val="0D0D0D" w:themeColor="text1" w:themeTint="F2"/>
              </w:rPr>
              <w:t>souvis</w:t>
            </w:r>
            <w:r>
              <w:rPr>
                <w:color w:val="0D0D0D" w:themeColor="text1" w:themeTint="F2"/>
              </w:rPr>
              <w:t>et</w:t>
            </w:r>
            <w:r w:rsidRPr="00756BB6">
              <w:rPr>
                <w:color w:val="0D0D0D" w:themeColor="text1" w:themeTint="F2"/>
              </w:rPr>
              <w:t xml:space="preserve"> s nedostatkem manuálních (kvalifikovaných i méně kvalifikovaných) pracovníků, ale i specialistů na trhu.</w:t>
            </w:r>
          </w:p>
        </w:tc>
      </w:tr>
      <w:tr w:rsidR="00F4587B" w:rsidRPr="009F0D7F" w14:paraId="3A05341B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2711534B" w14:textId="77777777" w:rsidR="00F4587B" w:rsidRPr="007928AC" w:rsidRDefault="00F4587B" w:rsidP="000E74FE">
            <w:pPr>
              <w:pStyle w:val="Marginlie"/>
              <w:spacing w:after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Meziroční posilování hodinové produktivity práce se letos zastavilo. U produktivity na jednoho pracovníka však mírný růst pokračoval, a to hlavně díky zpracovatelskému průmyslu.</w:t>
            </w:r>
          </w:p>
        </w:tc>
        <w:tc>
          <w:tcPr>
            <w:tcW w:w="175" w:type="dxa"/>
            <w:tcMar>
              <w:left w:w="0" w:type="dxa"/>
            </w:tcMar>
          </w:tcPr>
          <w:p w14:paraId="5EB5298E" w14:textId="77777777" w:rsidR="00F4587B" w:rsidRPr="009F0D7F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67080719" w14:textId="77777777" w:rsidR="00F4587B" w:rsidRPr="00AA3DBB" w:rsidRDefault="00F4587B" w:rsidP="000E74FE">
            <w:pPr>
              <w:spacing w:after="200"/>
              <w:rPr>
                <w:b/>
                <w:bCs/>
                <w:spacing w:val="-2"/>
              </w:rPr>
            </w:pPr>
            <w:r w:rsidRPr="00AA3DBB">
              <w:rPr>
                <w:color w:val="0D0D0D" w:themeColor="text1" w:themeTint="F2"/>
                <w:spacing w:val="-2"/>
              </w:rPr>
              <w:t>Mírný meziroční růst hodinové produktivity práce</w:t>
            </w:r>
            <w:r w:rsidRPr="00AA3DBB">
              <w:rPr>
                <w:rStyle w:val="Znakapoznpodarou"/>
                <w:color w:val="0D0D0D" w:themeColor="text1" w:themeTint="F2"/>
                <w:spacing w:val="-2"/>
              </w:rPr>
              <w:footnoteReference w:id="13"/>
            </w:r>
            <w:r w:rsidRPr="00AA3DBB">
              <w:rPr>
                <w:color w:val="0D0D0D" w:themeColor="text1" w:themeTint="F2"/>
                <w:spacing w:val="-2"/>
              </w:rPr>
              <w:t xml:space="preserve"> v tuzemské ekonomice, jenž se loni po tříleté odmlce obnovil, na počátku letošního roku nepokračoval (</w:t>
            </w:r>
            <w:r w:rsidRPr="00AA3DBB">
              <w:rPr>
                <w:color w:val="0D0D0D" w:themeColor="text1" w:themeTint="F2"/>
                <w:spacing w:val="-2"/>
                <w:szCs w:val="20"/>
              </w:rPr>
              <w:t>–</w:t>
            </w:r>
            <w:r w:rsidRPr="00AA3DBB">
              <w:rPr>
                <w:color w:val="0D0D0D" w:themeColor="text1" w:themeTint="F2"/>
                <w:spacing w:val="-2"/>
              </w:rPr>
              <w:t>0,8 %). Na úrovni hlavních odvětví se nejvíce snížila ve stavebnictví (</w:t>
            </w:r>
            <w:r w:rsidRPr="00AA3DBB">
              <w:rPr>
                <w:color w:val="0D0D0D" w:themeColor="text1" w:themeTint="F2"/>
                <w:spacing w:val="-2"/>
                <w:szCs w:val="20"/>
              </w:rPr>
              <w:t>–</w:t>
            </w:r>
            <w:r w:rsidRPr="00AA3DBB">
              <w:rPr>
                <w:color w:val="0D0D0D" w:themeColor="text1" w:themeTint="F2"/>
                <w:spacing w:val="-2"/>
              </w:rPr>
              <w:t>3,7 %) a v rámci služeb v činnosti v oblasti nemovitostí (</w:t>
            </w:r>
            <w:r>
              <w:rPr>
                <w:color w:val="0D0D0D" w:themeColor="text1" w:themeTint="F2"/>
                <w:spacing w:val="-2"/>
                <w:szCs w:val="20"/>
              </w:rPr>
              <w:t>−</w:t>
            </w:r>
            <w:r w:rsidRPr="00AA3DBB">
              <w:rPr>
                <w:color w:val="0D0D0D" w:themeColor="text1" w:themeTint="F2"/>
                <w:spacing w:val="-2"/>
              </w:rPr>
              <w:t>2,6 %). Nepatrně klesla i ve zpracovatelském průmyslu, naopak nejvýrazněji se navýšila v primárním sektor</w:t>
            </w:r>
            <w:r>
              <w:rPr>
                <w:color w:val="0D0D0D" w:themeColor="text1" w:themeTint="F2"/>
                <w:spacing w:val="-2"/>
              </w:rPr>
              <w:t>u</w:t>
            </w:r>
            <w:r w:rsidRPr="00AA3DBB">
              <w:rPr>
                <w:color w:val="0D0D0D" w:themeColor="text1" w:themeTint="F2"/>
                <w:spacing w:val="-2"/>
              </w:rPr>
              <w:t xml:space="preserve"> zemědělství, lesnictví a rybářství (+5,3 %) a</w:t>
            </w:r>
            <w:r>
              <w:rPr>
                <w:color w:val="0D0D0D" w:themeColor="text1" w:themeTint="F2"/>
                <w:spacing w:val="-2"/>
              </w:rPr>
              <w:t> </w:t>
            </w:r>
            <w:r w:rsidRPr="00AA3DBB">
              <w:rPr>
                <w:color w:val="0D0D0D" w:themeColor="text1" w:themeTint="F2"/>
                <w:spacing w:val="-2"/>
              </w:rPr>
              <w:t xml:space="preserve">dále v informačních a komunikačních činnostech (+3,0 %), kde silně rostla </w:t>
            </w:r>
            <w:r>
              <w:rPr>
                <w:color w:val="0D0D0D" w:themeColor="text1" w:themeTint="F2"/>
                <w:spacing w:val="-2"/>
              </w:rPr>
              <w:br/>
            </w:r>
            <w:r w:rsidRPr="00AA3DBB">
              <w:rPr>
                <w:color w:val="0D0D0D" w:themeColor="text1" w:themeTint="F2"/>
                <w:spacing w:val="-2"/>
              </w:rPr>
              <w:t>i v pře</w:t>
            </w:r>
            <w:r>
              <w:rPr>
                <w:color w:val="0D0D0D" w:themeColor="text1" w:themeTint="F2"/>
                <w:spacing w:val="-2"/>
              </w:rPr>
              <w:t>d</w:t>
            </w:r>
            <w:r w:rsidRPr="00AA3DBB">
              <w:rPr>
                <w:color w:val="0D0D0D" w:themeColor="text1" w:themeTint="F2"/>
                <w:spacing w:val="-2"/>
              </w:rPr>
              <w:t xml:space="preserve">chozích dvou letech. Příznivější vývoj panoval u produktivity vyjádřené na pracovníka (ve fyzických osobách), která se meziročně lehce zvyšuje nepřetržitě od poloviny roku 2024. Na počátku letošního roku vzrostla o 1,1 %, primárně díky průmyslu, oblasti ICT, primárnímu sektoru a také uskupení obchod, doprava, ubytování </w:t>
            </w:r>
            <w:r>
              <w:rPr>
                <w:color w:val="0D0D0D" w:themeColor="text1" w:themeTint="F2"/>
                <w:spacing w:val="-2"/>
              </w:rPr>
              <w:br/>
            </w:r>
            <w:r w:rsidRPr="00AA3DBB">
              <w:rPr>
                <w:color w:val="0D0D0D" w:themeColor="text1" w:themeTint="F2"/>
                <w:spacing w:val="-2"/>
              </w:rPr>
              <w:t>a pohostinství.</w:t>
            </w:r>
            <w:r>
              <w:rPr>
                <w:color w:val="0D0D0D" w:themeColor="text1" w:themeTint="F2"/>
                <w:spacing w:val="-2"/>
              </w:rPr>
              <w:t xml:space="preserve"> </w:t>
            </w:r>
            <w:r w:rsidRPr="003A4385">
              <w:rPr>
                <w:color w:val="0D0D0D" w:themeColor="text1" w:themeTint="F2"/>
              </w:rPr>
              <w:t xml:space="preserve">Oproti počátku roku 2019 je aktuální celková produktivita mírně vyšší (+3,8 %), přičemž nejvíce posílila ve finančnictví (+36 %), primárním sektoru (+30 %), informačních a komunikačních činnostech (+28 %) a profesních, vědeckých, technických a administrativních činnostech (+13 %) a zpracovatelském průmyslu </w:t>
            </w:r>
            <w:r>
              <w:rPr>
                <w:color w:val="0D0D0D" w:themeColor="text1" w:themeTint="F2"/>
              </w:rPr>
              <w:br/>
            </w:r>
            <w:r w:rsidRPr="003A4385">
              <w:rPr>
                <w:color w:val="0D0D0D" w:themeColor="text1" w:themeTint="F2"/>
              </w:rPr>
              <w:t xml:space="preserve">(+10 %). Naopak za předkrizovou úrovní zaostala hlavně v činnostech v oblasti nemovitostí a též </w:t>
            </w:r>
            <w:r>
              <w:rPr>
                <w:color w:val="0D0D0D" w:themeColor="text1" w:themeTint="F2"/>
              </w:rPr>
              <w:t xml:space="preserve">ve </w:t>
            </w:r>
            <w:r w:rsidRPr="003A4385">
              <w:rPr>
                <w:color w:val="0D0D0D" w:themeColor="text1" w:themeTint="F2"/>
              </w:rPr>
              <w:t>stavebnictví (o 18 %).</w:t>
            </w:r>
          </w:p>
        </w:tc>
      </w:tr>
      <w:tr w:rsidR="00F4587B" w:rsidRPr="009F0D7F" w14:paraId="670C4AC9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74ACCA78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Růst počtu pracujících cizinců v Česku loni </w:t>
            </w:r>
            <w:r>
              <w:rPr>
                <w:color w:val="0D0D0D" w:themeColor="text1" w:themeTint="F2"/>
                <w:spacing w:val="-4"/>
              </w:rPr>
              <w:lastRenderedPageBreak/>
              <w:t>zrychlil</w:t>
            </w:r>
            <w:r w:rsidRPr="005609A1">
              <w:rPr>
                <w:color w:val="0D0D0D" w:themeColor="text1" w:themeTint="F2"/>
                <w:spacing w:val="-4"/>
              </w:rPr>
              <w:t xml:space="preserve">. Jejich přírůstek </w:t>
            </w:r>
            <w:r>
              <w:rPr>
                <w:color w:val="0D0D0D" w:themeColor="text1" w:themeTint="F2"/>
                <w:spacing w:val="-4"/>
              </w:rPr>
              <w:t>byl stále tažen hlavně občany Ukrajiny, přibylo i Slováků a Filipínců.</w:t>
            </w:r>
          </w:p>
          <w:p w14:paraId="23E0558E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703EFB14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3B332DF2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3576642C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19EDBBDC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504CB286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 w:rsidRPr="005609A1">
              <w:rPr>
                <w:color w:val="0D0D0D" w:themeColor="text1" w:themeTint="F2"/>
                <w:spacing w:val="-4"/>
              </w:rPr>
              <w:t>Zrychlil příliv osob z některých asijských států</w:t>
            </w:r>
            <w:r>
              <w:rPr>
                <w:color w:val="0D0D0D" w:themeColor="text1" w:themeTint="F2"/>
                <w:spacing w:val="-4"/>
              </w:rPr>
              <w:t>. Počty p</w:t>
            </w:r>
            <w:r w:rsidRPr="005609A1">
              <w:rPr>
                <w:color w:val="0D0D0D" w:themeColor="text1" w:themeTint="F2"/>
                <w:spacing w:val="-4"/>
              </w:rPr>
              <w:t xml:space="preserve">racovníků ze střední </w:t>
            </w:r>
            <w:r>
              <w:rPr>
                <w:color w:val="0D0D0D" w:themeColor="text1" w:themeTint="F2"/>
                <w:spacing w:val="-4"/>
              </w:rPr>
              <w:t xml:space="preserve">a východní </w:t>
            </w:r>
            <w:r w:rsidRPr="005609A1">
              <w:rPr>
                <w:color w:val="0D0D0D" w:themeColor="text1" w:themeTint="F2"/>
                <w:spacing w:val="-4"/>
              </w:rPr>
              <w:t>Evropy</w:t>
            </w:r>
            <w:r>
              <w:rPr>
                <w:color w:val="0D0D0D" w:themeColor="text1" w:themeTint="F2"/>
                <w:spacing w:val="-4"/>
              </w:rPr>
              <w:t xml:space="preserve"> se zvyšovaly spíše jen mírně, či dokonce klesaly.</w:t>
            </w:r>
          </w:p>
          <w:p w14:paraId="2969A316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54A245C1" w14:textId="77777777" w:rsidR="00F4587B" w:rsidRPr="009F0D7F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705AD0E1" w14:textId="77777777" w:rsidR="00F4587B" w:rsidRPr="00106929" w:rsidRDefault="00F4587B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106929">
              <w:rPr>
                <w:color w:val="0D0D0D" w:themeColor="text1" w:themeTint="F2"/>
                <w:spacing w:val="-4"/>
              </w:rPr>
              <w:t>Tuzemský trh práce se dlouhodobě vlivem demografického stárnutí i nízké porodnosti potýká s nízkou zásobou volných pracovních sil</w:t>
            </w:r>
            <w:r w:rsidRPr="00106929">
              <w:rPr>
                <w:rStyle w:val="Znakapoznpodarou"/>
                <w:color w:val="0D0D0D" w:themeColor="text1" w:themeTint="F2"/>
                <w:spacing w:val="-4"/>
              </w:rPr>
              <w:footnoteReference w:id="14"/>
            </w:r>
            <w:r w:rsidRPr="00106929">
              <w:rPr>
                <w:color w:val="0D0D0D" w:themeColor="text1" w:themeTint="F2"/>
                <w:spacing w:val="-4"/>
              </w:rPr>
              <w:t xml:space="preserve">. To spolu se sílícím tlakem firem na </w:t>
            </w:r>
            <w:r w:rsidRPr="00106929">
              <w:rPr>
                <w:color w:val="0D0D0D" w:themeColor="text1" w:themeTint="F2"/>
                <w:spacing w:val="-4"/>
              </w:rPr>
              <w:lastRenderedPageBreak/>
              <w:t>optimalizaci výrobních nákladů podněcuje poptávku tuzemských zaměstnavatelů po pracovnících ze zahraničí. V posledním období napomáhají snadnějšímu zaměstnávání cizinců legislativní změny snižující administrativní náročnost v této oblasti. To se týká jak ukrajinských občanů</w:t>
            </w:r>
            <w:r w:rsidRPr="00106929">
              <w:rPr>
                <w:rStyle w:val="Znakapoznpodarou"/>
                <w:color w:val="0D0D0D" w:themeColor="text1" w:themeTint="F2"/>
                <w:spacing w:val="-4"/>
              </w:rPr>
              <w:footnoteReference w:id="15"/>
            </w:r>
            <w:r w:rsidRPr="00106929">
              <w:rPr>
                <w:color w:val="0D0D0D" w:themeColor="text1" w:themeTint="F2"/>
                <w:spacing w:val="-4"/>
              </w:rPr>
              <w:t>, tak i cizinců z dalších, nejen z hospodářsky méně vyspělých zemí mimo EU</w:t>
            </w:r>
            <w:r w:rsidRPr="00106929">
              <w:rPr>
                <w:rStyle w:val="Znakapoznpodarou"/>
                <w:color w:val="0D0D0D" w:themeColor="text1" w:themeTint="F2"/>
                <w:spacing w:val="-4"/>
              </w:rPr>
              <w:footnoteReference w:id="16"/>
            </w:r>
            <w:r w:rsidRPr="00106929">
              <w:rPr>
                <w:color w:val="0D0D0D" w:themeColor="text1" w:themeTint="F2"/>
                <w:spacing w:val="-4"/>
              </w:rPr>
              <w:t>. Dlouhodobý příliv zahraničních pracovníků do Česka proto pokračoval. V dominantní skupině zaměstnanců jich letos v březnu bylo na úřadech práce dle kvalifikovaných odhadů MPSV registrováno rekordních 957 tis</w:t>
            </w:r>
            <w:r>
              <w:rPr>
                <w:color w:val="0D0D0D" w:themeColor="text1" w:themeTint="F2"/>
                <w:spacing w:val="-4"/>
              </w:rPr>
              <w:t>. osob</w:t>
            </w:r>
            <w:r w:rsidRPr="00106929">
              <w:rPr>
                <w:color w:val="0D0D0D" w:themeColor="text1" w:themeTint="F2"/>
                <w:spacing w:val="-4"/>
              </w:rPr>
              <w:t>. To bylo meziročně o 99 tis. více</w:t>
            </w:r>
            <w:r w:rsidRPr="00106929">
              <w:rPr>
                <w:rStyle w:val="Znakapoznpodarou"/>
                <w:color w:val="0D0D0D" w:themeColor="text1" w:themeTint="F2"/>
                <w:spacing w:val="-4"/>
              </w:rPr>
              <w:footnoteReference w:id="17"/>
            </w:r>
            <w:r w:rsidRPr="00106929">
              <w:rPr>
                <w:color w:val="0D0D0D" w:themeColor="text1" w:themeTint="F2"/>
                <w:spacing w:val="-4"/>
              </w:rPr>
              <w:t>, přičemž procentní tempo růstu ve srovnání s předchozími roky mírně zrychlilo. Nejvíce meziročně přibylo již tradičně občanů Ukrajiny (+62 tis. na 374 tis., z toho ženy +30</w:t>
            </w:r>
            <w:r>
              <w:rPr>
                <w:color w:val="0D0D0D" w:themeColor="text1" w:themeTint="F2"/>
                <w:spacing w:val="-4"/>
              </w:rPr>
              <w:t> </w:t>
            </w:r>
            <w:r w:rsidRPr="00106929">
              <w:rPr>
                <w:color w:val="0D0D0D" w:themeColor="text1" w:themeTint="F2"/>
                <w:spacing w:val="-4"/>
              </w:rPr>
              <w:t>tis., na 199 tis.), dále Slovenska (+14 tis., na 230 tis.), Filipín (+4,4 tis., na 14,9 tis.) a Vietnamu (+2,3 tis., na 23,5 tis.). Z významnějších skupin cizinců rostl svižně počet občanů Indie, Číny a Kazachstánu, Uzbekistánu a Ázerbájdžánu (mezi 11 a 17 %). Naopak u řady početných skupin pracovníků z relativně chudších států střední a východní Evropy – především z Polska, Bulharska, Rumunska – jejich počet rostl minimálně (do 3 %), u</w:t>
            </w:r>
            <w:r>
              <w:rPr>
                <w:color w:val="0D0D0D" w:themeColor="text1" w:themeTint="F2"/>
                <w:spacing w:val="-4"/>
              </w:rPr>
              <w:t> </w:t>
            </w:r>
            <w:r w:rsidRPr="00106929">
              <w:rPr>
                <w:color w:val="0D0D0D" w:themeColor="text1" w:themeTint="F2"/>
                <w:spacing w:val="-4"/>
              </w:rPr>
              <w:t xml:space="preserve">Makedonie, Srbska a Bosny a Hercegoviny a Běloruska se mírně snižoval (do 5 %). To souvisí s postupným vyrovnáváním mzdové úrovně v tomto regionu. Třetina všech cizinců v zaměstnaneckém postavení v Česku byla registrována v Praze (spolu se Středočeským krajem pak polovina). Meziročně přibylo cizinců ve všech krajích – nejvíce v Olomouckém (+18 %), </w:t>
            </w:r>
            <w:r>
              <w:rPr>
                <w:color w:val="0D0D0D" w:themeColor="text1" w:themeTint="F2"/>
                <w:spacing w:val="-4"/>
              </w:rPr>
              <w:t xml:space="preserve">v </w:t>
            </w:r>
            <w:r w:rsidRPr="00106929">
              <w:rPr>
                <w:color w:val="0D0D0D" w:themeColor="text1" w:themeTint="F2"/>
                <w:spacing w:val="-4"/>
              </w:rPr>
              <w:t>Praze (+14 %), Moravskoslezském (+13 %) Karlovarském a Zlínském (+12 %), nejméně v Libereckém (+8 %</w:t>
            </w:r>
            <w:r w:rsidRPr="00106929">
              <w:rPr>
                <w:rStyle w:val="Znakapoznpodarou"/>
                <w:color w:val="0D0D0D" w:themeColor="text1" w:themeTint="F2"/>
                <w:spacing w:val="-4"/>
              </w:rPr>
              <w:footnoteReference w:id="18"/>
            </w:r>
            <w:r w:rsidRPr="00106929">
              <w:rPr>
                <w:color w:val="0D0D0D" w:themeColor="text1" w:themeTint="F2"/>
                <w:spacing w:val="-4"/>
              </w:rPr>
              <w:t>), Plzeňském a Středočeském</w:t>
            </w:r>
            <w:r>
              <w:rPr>
                <w:color w:val="0D0D0D" w:themeColor="text1" w:themeTint="F2"/>
                <w:spacing w:val="-4"/>
              </w:rPr>
              <w:t xml:space="preserve"> kraji</w:t>
            </w:r>
            <w:r w:rsidRPr="00106929">
              <w:rPr>
                <w:color w:val="0D0D0D" w:themeColor="text1" w:themeTint="F2"/>
                <w:spacing w:val="-4"/>
              </w:rPr>
              <w:t xml:space="preserve"> (shodně + 9</w:t>
            </w:r>
            <w:r>
              <w:rPr>
                <w:color w:val="0D0D0D" w:themeColor="text1" w:themeTint="F2"/>
                <w:spacing w:val="-4"/>
              </w:rPr>
              <w:t xml:space="preserve"> </w:t>
            </w:r>
            <w:r w:rsidRPr="00106929">
              <w:rPr>
                <w:color w:val="0D0D0D" w:themeColor="text1" w:themeTint="F2"/>
                <w:spacing w:val="-4"/>
              </w:rPr>
              <w:t>%).</w:t>
            </w:r>
          </w:p>
        </w:tc>
      </w:tr>
      <w:tr w:rsidR="00F4587B" w:rsidRPr="009F0D7F" w14:paraId="7AEB77B3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5D9DF562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lastRenderedPageBreak/>
              <w:t>Lehký meziroční pokles míry zaměstnanosti ve věku 15 až 64 let u mužů pokračoval, u žen se její růst téměř zastavil.</w:t>
            </w:r>
          </w:p>
          <w:p w14:paraId="0FDB8DD1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74DC3CE6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401949AD" w14:textId="77777777" w:rsidR="00F4587B" w:rsidRDefault="00F4587B" w:rsidP="000E74FE">
            <w:pPr>
              <w:pStyle w:val="Marginlie"/>
              <w:rPr>
                <w:spacing w:val="-4"/>
              </w:rPr>
            </w:pPr>
          </w:p>
          <w:p w14:paraId="252C5115" w14:textId="77777777" w:rsidR="00F4587B" w:rsidRDefault="00F4587B" w:rsidP="000E74FE">
            <w:pPr>
              <w:pStyle w:val="Marginlie"/>
              <w:rPr>
                <w:spacing w:val="-4"/>
              </w:rPr>
            </w:pPr>
          </w:p>
          <w:p w14:paraId="302F674D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259AB231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Nabídka zkrácených pracovních úvazků sice pozvolna roste, avšak pomaleji než v letech 2022 i 2023.</w:t>
            </w:r>
          </w:p>
          <w:p w14:paraId="3AB2C4A3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772E7BF3" w14:textId="77777777" w:rsidR="00F4587B" w:rsidRPr="009F0D7F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4D561835" w14:textId="77777777" w:rsidR="00F4587B" w:rsidRPr="00106929" w:rsidRDefault="00F4587B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2"/>
              </w:rPr>
              <w:t>P</w:t>
            </w:r>
            <w:r w:rsidRPr="0033774E">
              <w:rPr>
                <w:color w:val="0D0D0D" w:themeColor="text1" w:themeTint="F2"/>
                <w:spacing w:val="-2"/>
              </w:rPr>
              <w:t>okrač</w:t>
            </w:r>
            <w:r>
              <w:rPr>
                <w:color w:val="0D0D0D" w:themeColor="text1" w:themeTint="F2"/>
                <w:spacing w:val="-2"/>
              </w:rPr>
              <w:t>oval</w:t>
            </w:r>
            <w:r w:rsidRPr="0033774E">
              <w:rPr>
                <w:color w:val="0D0D0D" w:themeColor="text1" w:themeTint="F2"/>
                <w:spacing w:val="-2"/>
              </w:rPr>
              <w:t xml:space="preserve"> růst počtu pracovníků s vyšší kvalifikací (zejména specialistů, technických a</w:t>
            </w:r>
            <w:r>
              <w:rPr>
                <w:color w:val="0D0D0D" w:themeColor="text1" w:themeTint="F2"/>
                <w:spacing w:val="-2"/>
              </w:rPr>
              <w:t> </w:t>
            </w:r>
            <w:r w:rsidRPr="0033774E">
              <w:rPr>
                <w:color w:val="0D0D0D" w:themeColor="text1" w:themeTint="F2"/>
                <w:spacing w:val="-2"/>
              </w:rPr>
              <w:t>odborných pracovníků i úředníků), mírně ale také vzrostla i zaměstnanost v nejnižší třídě pomocných a nekvalifikovaných pracovníků</w:t>
            </w:r>
            <w:r w:rsidRPr="0033774E">
              <w:rPr>
                <w:rStyle w:val="Znakapoznpodarou"/>
                <w:color w:val="0D0D0D" w:themeColor="text1" w:themeTint="F2"/>
                <w:spacing w:val="-2"/>
              </w:rPr>
              <w:footnoteReference w:id="19"/>
            </w:r>
            <w:r w:rsidRPr="0033774E">
              <w:rPr>
                <w:color w:val="0D0D0D" w:themeColor="text1" w:themeTint="F2"/>
                <w:spacing w:val="-2"/>
              </w:rPr>
              <w:t xml:space="preserve">. Naopak ubylo osob v některých manuálních profesích, zejména řemeslníků a opravářů či obsluhy strojů a zařízení. Přetrvával i dlouhodobý trend postupného stárnutí pracujících. Růst zaměstnanosti byl z drtivé většiny tažen lidmi ve věku nad 45 let (mezi nimi dominovaly populačně silné ročníky </w:t>
            </w:r>
            <w:r>
              <w:rPr>
                <w:color w:val="0D0D0D" w:themeColor="text1" w:themeTint="F2"/>
                <w:spacing w:val="-2"/>
              </w:rPr>
              <w:t xml:space="preserve">ze </w:t>
            </w:r>
            <w:r w:rsidRPr="0033774E">
              <w:rPr>
                <w:color w:val="0D0D0D" w:themeColor="text1" w:themeTint="F2"/>
                <w:spacing w:val="-2"/>
              </w:rPr>
              <w:t>70.</w:t>
            </w:r>
            <w:r>
              <w:rPr>
                <w:color w:val="0D0D0D" w:themeColor="text1" w:themeTint="F2"/>
                <w:spacing w:val="-2"/>
              </w:rPr>
              <w:t xml:space="preserve"> </w:t>
            </w:r>
            <w:r w:rsidRPr="0033774E">
              <w:rPr>
                <w:color w:val="0D0D0D" w:themeColor="text1" w:themeTint="F2"/>
                <w:spacing w:val="-2"/>
              </w:rPr>
              <w:t>let, ale projevoval se i vliv prodlužování věku odchodu do důchodu).</w:t>
            </w:r>
            <w:r>
              <w:rPr>
                <w:color w:val="0D0D0D" w:themeColor="text1" w:themeTint="F2"/>
                <w:spacing w:val="-2"/>
              </w:rPr>
              <w:t xml:space="preserve"> </w:t>
            </w:r>
            <w:r w:rsidRPr="0033774E">
              <w:rPr>
                <w:color w:val="0D0D0D" w:themeColor="text1" w:themeTint="F2"/>
                <w:spacing w:val="-2"/>
              </w:rPr>
              <w:t>Míra zaměstnanosti (MZ)</w:t>
            </w:r>
            <w:r w:rsidRPr="0033774E">
              <w:rPr>
                <w:rStyle w:val="Znakapoznpodarou"/>
                <w:color w:val="0D0D0D" w:themeColor="text1" w:themeTint="F2"/>
                <w:spacing w:val="-2"/>
              </w:rPr>
              <w:footnoteReference w:id="20"/>
            </w:r>
            <w:r w:rsidRPr="0033774E">
              <w:rPr>
                <w:color w:val="0D0D0D" w:themeColor="text1" w:themeTint="F2"/>
                <w:spacing w:val="-2"/>
              </w:rPr>
              <w:t xml:space="preserve"> 15 až </w:t>
            </w:r>
            <w:r w:rsidRPr="0033774E">
              <w:rPr>
                <w:spacing w:val="-2"/>
              </w:rPr>
              <w:t xml:space="preserve">64letých dosáhla letos v dubnu 75,3 %, meziročně klesla </w:t>
            </w:r>
            <w:r w:rsidRPr="00E90344">
              <w:rPr>
                <w:spacing w:val="-4"/>
              </w:rPr>
              <w:t xml:space="preserve">o 0,5 p. b. </w:t>
            </w:r>
            <w:r w:rsidRPr="00E90344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(po drtivou většinu loňského roku přitom lehce rostla). </w:t>
            </w:r>
            <w:r w:rsidRPr="00E90344">
              <w:rPr>
                <w:rFonts w:cs="Arial"/>
                <w:spacing w:val="-4"/>
                <w:szCs w:val="20"/>
              </w:rPr>
              <w:t>Pokračoval dlouhodobější</w:t>
            </w:r>
            <w:r w:rsidRPr="0033774E">
              <w:rPr>
                <w:rFonts w:cs="Arial"/>
                <w:spacing w:val="-2"/>
                <w:szCs w:val="20"/>
              </w:rPr>
              <w:t xml:space="preserve"> trend snižování MZ mužů (</w:t>
            </w:r>
            <w:r>
              <w:rPr>
                <w:color w:val="0D0D0D" w:themeColor="text1" w:themeTint="F2"/>
                <w:spacing w:val="-2"/>
              </w:rPr>
              <w:t>−</w:t>
            </w:r>
            <w:r w:rsidRPr="0033774E">
              <w:rPr>
                <w:rFonts w:cs="Arial"/>
                <w:spacing w:val="-2"/>
                <w:szCs w:val="20"/>
              </w:rPr>
              <w:t>0,9 p. b., na 79,7 %), avšak s mírně menší intenzitou než po většinu loňského roku. MZ žen aktuálně činila 70,8 % (meziročně +0,1 p. b., růstové tempo se od loňského pololetí zpomaluje a aktuální růst je tak nejnižší od ústupu pandemie ve 2.</w:t>
            </w:r>
            <w:r>
              <w:rPr>
                <w:rFonts w:cs="Arial"/>
                <w:spacing w:val="-2"/>
                <w:szCs w:val="20"/>
              </w:rPr>
              <w:t> </w:t>
            </w:r>
            <w:r w:rsidRPr="0033774E">
              <w:rPr>
                <w:rFonts w:cs="Arial"/>
                <w:spacing w:val="-2"/>
                <w:szCs w:val="20"/>
              </w:rPr>
              <w:t xml:space="preserve">pololetí 2021). To patrně souvisí s možným vyčerpáním růstového potenciálu v řadě odvětví tržních služeb (včetně pokračujícího tlaku na automatizaci, digitalizaci a snahu snížit pracovní náklady firem vyšším zapojením nástrojů AI) a také s tím, že většina žen z řady ukrajinských uprchlíků se již zřejmě </w:t>
            </w:r>
            <w:r>
              <w:rPr>
                <w:rFonts w:cs="Arial"/>
                <w:spacing w:val="-2"/>
                <w:szCs w:val="20"/>
              </w:rPr>
              <w:t xml:space="preserve">integrovala </w:t>
            </w:r>
            <w:r w:rsidRPr="0033774E">
              <w:rPr>
                <w:rFonts w:cs="Arial"/>
                <w:spacing w:val="-2"/>
                <w:szCs w:val="20"/>
              </w:rPr>
              <w:t>na pracovní trh.</w:t>
            </w:r>
            <w:r>
              <w:rPr>
                <w:rFonts w:cs="Arial"/>
                <w:spacing w:val="-2"/>
                <w:szCs w:val="20"/>
              </w:rPr>
              <w:t xml:space="preserve"> Nabídka zkrácených </w:t>
            </w:r>
            <w:r w:rsidRPr="00903591">
              <w:rPr>
                <w:rStyle w:val="normaltextrun"/>
                <w:rFonts w:eastAsiaTheme="majorEastAsia" w:cs="Arial"/>
              </w:rPr>
              <w:t>pracovních úvazků,</w:t>
            </w:r>
            <w:r>
              <w:rPr>
                <w:rStyle w:val="normaltextrun"/>
                <w:rFonts w:eastAsiaTheme="majorEastAsia" w:cs="Arial"/>
              </w:rPr>
              <w:t xml:space="preserve"> jichž v Česku téměř ze tří čtvrtin využívají ženy, sice pozvolna roste, avšak nižšími tempy než </w:t>
            </w:r>
            <w:r w:rsidRPr="00903591">
              <w:rPr>
                <w:rStyle w:val="normaltextrun"/>
                <w:rFonts w:eastAsiaTheme="majorEastAsia" w:cs="Arial"/>
              </w:rPr>
              <w:t>v letech 2022 i</w:t>
            </w:r>
            <w:r>
              <w:rPr>
                <w:rStyle w:val="normaltextrun"/>
                <w:rFonts w:eastAsiaTheme="majorEastAsia" w:cs="Arial"/>
              </w:rPr>
              <w:t> </w:t>
            </w:r>
            <w:r w:rsidRPr="00903591">
              <w:rPr>
                <w:rStyle w:val="normaltextrun"/>
                <w:rFonts w:eastAsiaTheme="majorEastAsia" w:cs="Arial"/>
              </w:rPr>
              <w:t>2023</w:t>
            </w:r>
            <w:r w:rsidRPr="00903591">
              <w:rPr>
                <w:rStyle w:val="Znakapoznpodarou"/>
                <w:rFonts w:eastAsiaTheme="majorEastAsia"/>
              </w:rPr>
              <w:footnoteReference w:id="21"/>
            </w:r>
            <w:r>
              <w:rPr>
                <w:rStyle w:val="normaltextrun"/>
                <w:rFonts w:eastAsiaTheme="majorEastAsia" w:cs="Arial"/>
              </w:rPr>
              <w:t>.</w:t>
            </w:r>
          </w:p>
        </w:tc>
      </w:tr>
      <w:tr w:rsidR="00F4587B" w:rsidRPr="009F0D7F" w14:paraId="5865F0FC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365C150D" w14:textId="77777777" w:rsidR="00F4587B" w:rsidRPr="007C71E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05A0537E" w14:textId="77777777" w:rsidR="00F4587B" w:rsidRPr="007C71EB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72AFABFD" w14:textId="4F616B4F" w:rsidR="00F4587B" w:rsidRPr="00B85F94" w:rsidRDefault="00F4587B" w:rsidP="000E74FE">
            <w:pPr>
              <w:spacing w:after="40"/>
              <w:rPr>
                <w:color w:val="0D0D0D" w:themeColor="text1" w:themeTint="F2"/>
              </w:rPr>
            </w:pPr>
            <w:r w:rsidRPr="00B85F94">
              <w:rPr>
                <w:rFonts w:cs="Arial"/>
                <w:b/>
                <w:bCs/>
                <w:color w:val="0D0D0D" w:themeColor="text1" w:themeTint="F2"/>
                <w:szCs w:val="20"/>
              </w:rPr>
              <w:t>Graf č. 1</w:t>
            </w:r>
            <w:r w:rsidR="00D75205">
              <w:rPr>
                <w:rFonts w:cs="Arial"/>
                <w:b/>
                <w:bCs/>
                <w:color w:val="0D0D0D" w:themeColor="text1" w:themeTint="F2"/>
                <w:szCs w:val="20"/>
              </w:rPr>
              <w:t>3</w:t>
            </w:r>
            <w:r w:rsidRPr="00B85F94">
              <w:rPr>
                <w:rFonts w:cs="Arial"/>
                <w:b/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Pr="00B85F94">
              <w:rPr>
                <w:b/>
                <w:bCs/>
                <w:color w:val="0D0D0D" w:themeColor="text1" w:themeTint="F2"/>
                <w:lang w:eastAsia="en-US"/>
              </w:rPr>
              <w:t xml:space="preserve">Celková zaměstnanost </w:t>
            </w:r>
            <w:r w:rsidRPr="00B85F94">
              <w:rPr>
                <w:color w:val="0D0D0D" w:themeColor="text1" w:themeTint="F2"/>
                <w:lang w:eastAsia="en-US"/>
              </w:rPr>
              <w:t>(</w:t>
            </w:r>
            <w:r w:rsidRPr="00B85F94">
              <w:rPr>
                <w:color w:val="0D0D0D" w:themeColor="text1" w:themeTint="F2"/>
              </w:rPr>
              <w:t>meziročně v %)</w:t>
            </w:r>
            <w:r w:rsidRPr="00B85F94">
              <w:rPr>
                <w:b/>
                <w:bCs/>
                <w:color w:val="0D0D0D" w:themeColor="text1" w:themeTint="F2"/>
              </w:rPr>
              <w:t xml:space="preserve">, příspěvky odvětví k meziroční změně zaměstnanosti </w:t>
            </w:r>
            <w:r w:rsidRPr="00B85F94">
              <w:rPr>
                <w:color w:val="0D0D0D" w:themeColor="text1" w:themeTint="F2"/>
              </w:rPr>
              <w:t>(v p. b.)</w:t>
            </w:r>
            <w:r w:rsidRPr="00B85F94">
              <w:rPr>
                <w:b/>
                <w:bCs/>
                <w:color w:val="0D0D0D" w:themeColor="text1" w:themeTint="F2"/>
              </w:rPr>
              <w:t xml:space="preserve"> a očekávání vývoje zaměstnanosti </w:t>
            </w:r>
            <w:r w:rsidRPr="00B85F94">
              <w:rPr>
                <w:color w:val="0D0D0D" w:themeColor="text1" w:themeTint="F2"/>
              </w:rPr>
              <w:t>(saldo v p. b.)</w:t>
            </w:r>
          </w:p>
        </w:tc>
      </w:tr>
      <w:tr w:rsidR="00F4587B" w:rsidRPr="009F0D7F" w14:paraId="0594CD12" w14:textId="77777777" w:rsidTr="000E74FE">
        <w:trPr>
          <w:trHeight w:val="155"/>
        </w:trPr>
        <w:tc>
          <w:tcPr>
            <w:tcW w:w="1796" w:type="dxa"/>
            <w:tcMar>
              <w:left w:w="0" w:type="dxa"/>
            </w:tcMar>
          </w:tcPr>
          <w:p w14:paraId="59DAD8EC" w14:textId="77777777" w:rsidR="00F4587B" w:rsidRPr="007C71E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3BC0CCB9" w14:textId="77777777" w:rsidR="00F4587B" w:rsidRPr="007C71EB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6E7A99C4" w14:textId="77777777" w:rsidR="00F4587B" w:rsidRPr="00903591" w:rsidRDefault="00F4587B" w:rsidP="000E74FE">
            <w:pPr>
              <w:spacing w:before="20"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7A006F17" wp14:editId="7DB2B8F7">
                  <wp:extent cx="4829175" cy="3860165"/>
                  <wp:effectExtent l="0" t="0" r="0" b="6985"/>
                  <wp:docPr id="926539399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A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*</w:t>
            </w:r>
            <w:r w:rsidRPr="00903591">
              <w:rPr>
                <w:rFonts w:cs="Arial"/>
                <w:sz w:val="14"/>
                <w:szCs w:val="14"/>
              </w:rPr>
              <w:t xml:space="preserve"> Těžba a energetika; Peněžnictví a pojišťovnictví; Činnosti v oblasti nemovitostí; Kulturní, zábavní a</w:t>
            </w:r>
            <w:r w:rsidRPr="00903591">
              <w:rPr>
                <w:sz w:val="14"/>
                <w:szCs w:val="14"/>
              </w:rPr>
              <w:t> </w:t>
            </w:r>
            <w:r w:rsidRPr="00903591">
              <w:rPr>
                <w:rFonts w:cs="Arial"/>
                <w:sz w:val="14"/>
                <w:szCs w:val="14"/>
              </w:rPr>
              <w:t>rekreační činnosti.</w:t>
            </w:r>
          </w:p>
          <w:p w14:paraId="7069D5C2" w14:textId="77777777" w:rsidR="00F4587B" w:rsidRPr="00903591" w:rsidRDefault="00F4587B" w:rsidP="000E74FE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903591">
              <w:rPr>
                <w:rFonts w:cs="Arial"/>
                <w:sz w:val="14"/>
                <w:szCs w:val="14"/>
              </w:rPr>
              <w:t xml:space="preserve">Poznámka: Saldo </w:t>
            </w: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očekávání vyjadřuje rozdíl v p. b. mezi kategoriemi růst versus pokles zaměstnanosti v nejbližších třech měsících. Údaje jsou sezónně očištěny a vztahují se k druhému měsíci daného čtvrtletí.</w:t>
            </w:r>
          </w:p>
          <w:p w14:paraId="273A6080" w14:textId="77777777" w:rsidR="00F4587B" w:rsidRPr="00B85F94" w:rsidRDefault="00F4587B" w:rsidP="000E74FE">
            <w:pPr>
              <w:rPr>
                <w:rFonts w:cs="Arial"/>
                <w:b/>
                <w:bCs/>
                <w:color w:val="0D0D0D" w:themeColor="text1" w:themeTint="F2"/>
                <w:szCs w:val="20"/>
              </w:rPr>
            </w:pPr>
            <w:r w:rsidRPr="00903591">
              <w:rPr>
                <w:rFonts w:cs="Arial"/>
                <w:sz w:val="14"/>
                <w:szCs w:val="14"/>
              </w:rPr>
              <w:t>Zdroj: ČSÚ (národní účty), Eurostat (konjunkturální průzkumy).</w:t>
            </w:r>
          </w:p>
        </w:tc>
      </w:tr>
      <w:tr w:rsidR="00F4587B" w:rsidRPr="00D82DBD" w14:paraId="5F841BFF" w14:textId="77777777" w:rsidTr="000E74FE">
        <w:trPr>
          <w:trHeight w:val="145"/>
        </w:trPr>
        <w:tc>
          <w:tcPr>
            <w:tcW w:w="1796" w:type="dxa"/>
            <w:tcMar>
              <w:left w:w="0" w:type="dxa"/>
            </w:tcMar>
          </w:tcPr>
          <w:p w14:paraId="388BD25A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K</w:t>
            </w:r>
            <w:r w:rsidRPr="00294CC7">
              <w:rPr>
                <w:color w:val="0D0D0D" w:themeColor="text1" w:themeTint="F2"/>
                <w:spacing w:val="-4"/>
              </w:rPr>
              <w:t>rátkodobá očekávání podniků v oblasti zaměstnanosti</w:t>
            </w:r>
            <w:r>
              <w:rPr>
                <w:color w:val="0D0D0D" w:themeColor="text1" w:themeTint="F2"/>
                <w:spacing w:val="-4"/>
              </w:rPr>
              <w:t xml:space="preserve"> byla nejpříznivější ve stavebnictví a obchodu. Ke zhoršení došlo ve službách.</w:t>
            </w:r>
          </w:p>
          <w:p w14:paraId="6711A3FB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5"/>
              </w:rPr>
            </w:pPr>
          </w:p>
          <w:p w14:paraId="2ACCB37E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5"/>
              </w:rPr>
            </w:pPr>
          </w:p>
          <w:p w14:paraId="0A0EC46A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5"/>
              </w:rPr>
            </w:pPr>
          </w:p>
          <w:p w14:paraId="7391CF9A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5"/>
              </w:rPr>
            </w:pPr>
          </w:p>
          <w:p w14:paraId="3BD63085" w14:textId="77777777" w:rsidR="00F4587B" w:rsidRDefault="00F4587B" w:rsidP="000E74FE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5"/>
              </w:rPr>
              <w:t xml:space="preserve">Podniků limitovaných nedostatkem volné pracovní síly bylo </w:t>
            </w:r>
            <w:r>
              <w:rPr>
                <w:color w:val="0D0D0D" w:themeColor="text1" w:themeTint="F2"/>
                <w:spacing w:val="-5"/>
              </w:rPr>
              <w:lastRenderedPageBreak/>
              <w:t>v průmyslu i službách poměrně málo.</w:t>
            </w:r>
          </w:p>
        </w:tc>
        <w:tc>
          <w:tcPr>
            <w:tcW w:w="175" w:type="dxa"/>
            <w:tcMar>
              <w:left w:w="0" w:type="dxa"/>
            </w:tcMar>
          </w:tcPr>
          <w:p w14:paraId="2310359C" w14:textId="77777777" w:rsidR="00F4587B" w:rsidRPr="008659E6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3FE56C9A" w14:textId="77777777" w:rsidR="00F4587B" w:rsidRPr="003673C6" w:rsidRDefault="00F4587B" w:rsidP="000E74FE">
            <w:pPr>
              <w:spacing w:after="220"/>
              <w:rPr>
                <w:color w:val="0D0D0D" w:themeColor="text1" w:themeTint="F2"/>
                <w:spacing w:val="-2"/>
              </w:rPr>
            </w:pPr>
            <w:r w:rsidRPr="008E7721">
              <w:rPr>
                <w:color w:val="0D0D0D" w:themeColor="text1" w:themeTint="F2"/>
              </w:rPr>
              <w:t>Krátkodobá očekávání tuzemských podniků v </w:t>
            </w:r>
            <w:r w:rsidRPr="00903591">
              <w:rPr>
                <w:color w:val="0D0D0D" w:themeColor="text1" w:themeTint="F2"/>
              </w:rPr>
              <w:t>oblasti vlastní zaměstnanosti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22"/>
            </w:r>
            <w:r w:rsidRPr="00903591">
              <w:rPr>
                <w:color w:val="0D0D0D" w:themeColor="text1" w:themeTint="F2"/>
              </w:rPr>
              <w:t xml:space="preserve"> se </w:t>
            </w:r>
            <w:r>
              <w:rPr>
                <w:color w:val="0D0D0D" w:themeColor="text1" w:themeTint="F2"/>
              </w:rPr>
              <w:t xml:space="preserve">na samém počátku letošního roku zlepšovala a v březnu dosáhla nejvýše za poslední tři a půl roku </w:t>
            </w:r>
            <w:r w:rsidRPr="00903591">
              <w:rPr>
                <w:color w:val="0D0D0D" w:themeColor="text1" w:themeTint="F2"/>
              </w:rPr>
              <w:t>(a je</w:t>
            </w:r>
            <w:r>
              <w:rPr>
                <w:color w:val="0D0D0D" w:themeColor="text1" w:themeTint="F2"/>
              </w:rPr>
              <w:t>jich</w:t>
            </w:r>
            <w:r w:rsidRPr="00903591">
              <w:rPr>
                <w:color w:val="0D0D0D" w:themeColor="text1" w:themeTint="F2"/>
              </w:rPr>
              <w:t xml:space="preserve"> úroveň odpovídala dlouhodobému průměru).</w:t>
            </w:r>
            <w:r>
              <w:rPr>
                <w:color w:val="0D0D0D" w:themeColor="text1" w:themeTint="F2"/>
              </w:rPr>
              <w:t xml:space="preserve"> Během jara následovala mírná korekce těchto očekávání, jež mohla souviset se zhoršenou geopolitickou situací. Na úrovni hlavních sledovaných odvětví došlo k významnějšímu zhoršení negativních výhledů pouze ve službách, naopak v průmyslu očekávání setrvala blízko tříletého maxima a ve stavebnictví se dokonce zvýšila. Nadále platí, že nejvyšší optimismus si udržují obchodníci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23"/>
            </w:r>
            <w:r>
              <w:rPr>
                <w:color w:val="0D0D0D" w:themeColor="text1" w:themeTint="F2"/>
              </w:rPr>
              <w:t xml:space="preserve">. </w:t>
            </w:r>
            <w:r w:rsidRPr="00903591">
              <w:rPr>
                <w:color w:val="0D0D0D" w:themeColor="text1" w:themeTint="F2"/>
              </w:rPr>
              <w:t>V rámci dílčích odvětví přetrvávaly přirozeně významné rozdíly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24"/>
            </w:r>
            <w:r w:rsidRPr="00903591">
              <w:rPr>
                <w:color w:val="0D0D0D" w:themeColor="text1" w:themeTint="F2"/>
              </w:rPr>
              <w:t xml:space="preserve">. </w:t>
            </w:r>
            <w:r w:rsidRPr="00057DE4">
              <w:rPr>
                <w:rStyle w:val="eop"/>
                <w:rFonts w:eastAsia="MS Gothic" w:cs="Arial"/>
                <w:color w:val="0D0D0D" w:themeColor="text1" w:themeTint="F2"/>
                <w:szCs w:val="20"/>
              </w:rPr>
              <w:t xml:space="preserve">Podíl podniků, pro </w:t>
            </w:r>
            <w:r w:rsidRPr="00903591">
              <w:rPr>
                <w:rStyle w:val="eop"/>
                <w:rFonts w:eastAsia="MS Gothic" w:cs="Arial"/>
                <w:color w:val="0D0D0D" w:themeColor="text1" w:themeTint="F2"/>
                <w:szCs w:val="20"/>
              </w:rPr>
              <w:t xml:space="preserve">něž </w:t>
            </w:r>
            <w:r w:rsidRPr="00903591">
              <w:rPr>
                <w:color w:val="0D0D0D" w:themeColor="text1" w:themeTint="F2"/>
              </w:rPr>
              <w:t>představuje nedostatek pracovní síly jednu z významných růstových bariér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25"/>
            </w:r>
            <w:r w:rsidRPr="00903591">
              <w:rPr>
                <w:color w:val="0D0D0D" w:themeColor="text1" w:themeTint="F2"/>
              </w:rPr>
              <w:t xml:space="preserve">, </w:t>
            </w:r>
            <w:r>
              <w:rPr>
                <w:color w:val="0D0D0D" w:themeColor="text1" w:themeTint="F2"/>
              </w:rPr>
              <w:t xml:space="preserve">byl </w:t>
            </w:r>
            <w:r w:rsidRPr="00903591">
              <w:rPr>
                <w:color w:val="0D0D0D" w:themeColor="text1" w:themeTint="F2"/>
              </w:rPr>
              <w:t xml:space="preserve">na počátku </w:t>
            </w:r>
            <w:r>
              <w:rPr>
                <w:color w:val="0D0D0D" w:themeColor="text1" w:themeTint="F2"/>
              </w:rPr>
              <w:t>2</w:t>
            </w:r>
            <w:r w:rsidRPr="00903591">
              <w:rPr>
                <w:color w:val="0D0D0D" w:themeColor="text1" w:themeTint="F2"/>
              </w:rPr>
              <w:t>.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čtvrtletí 2026 tradičně nejvyšší ve stavebnictví (</w:t>
            </w:r>
            <w:r>
              <w:rPr>
                <w:color w:val="0D0D0D" w:themeColor="text1" w:themeTint="F2"/>
              </w:rPr>
              <w:t>43</w:t>
            </w:r>
            <w:r w:rsidRPr="00903591">
              <w:rPr>
                <w:color w:val="0D0D0D" w:themeColor="text1" w:themeTint="F2"/>
              </w:rPr>
              <w:t> %.). Opačn</w:t>
            </w:r>
            <w:r>
              <w:rPr>
                <w:color w:val="0D0D0D" w:themeColor="text1" w:themeTint="F2"/>
              </w:rPr>
              <w:t>ě</w:t>
            </w:r>
            <w:r w:rsidRPr="00903591">
              <w:rPr>
                <w:color w:val="0D0D0D" w:themeColor="text1" w:themeTint="F2"/>
              </w:rPr>
              <w:t xml:space="preserve"> tomu bylo ve službách (1</w:t>
            </w:r>
            <w:r>
              <w:rPr>
                <w:color w:val="0D0D0D" w:themeColor="text1" w:themeTint="F2"/>
              </w:rPr>
              <w:t>3</w:t>
            </w:r>
            <w:r w:rsidRPr="00903591">
              <w:rPr>
                <w:color w:val="0D0D0D" w:themeColor="text1" w:themeTint="F2"/>
              </w:rPr>
              <w:t xml:space="preserve"> %) a </w:t>
            </w:r>
            <w:r>
              <w:rPr>
                <w:color w:val="0D0D0D" w:themeColor="text1" w:themeTint="F2"/>
              </w:rPr>
              <w:t xml:space="preserve">v </w:t>
            </w:r>
            <w:r w:rsidRPr="00903591">
              <w:rPr>
                <w:color w:val="0D0D0D" w:themeColor="text1" w:themeTint="F2"/>
              </w:rPr>
              <w:t>průmyslu (1</w:t>
            </w:r>
            <w:r>
              <w:rPr>
                <w:color w:val="0D0D0D" w:themeColor="text1" w:themeTint="F2"/>
              </w:rPr>
              <w:t>4</w:t>
            </w:r>
            <w:r w:rsidRPr="00903591">
              <w:rPr>
                <w:color w:val="0D0D0D" w:themeColor="text1" w:themeTint="F2"/>
              </w:rPr>
              <w:t xml:space="preserve"> %), </w:t>
            </w:r>
            <w:r>
              <w:rPr>
                <w:color w:val="0D0D0D" w:themeColor="text1" w:themeTint="F2"/>
              </w:rPr>
              <w:t>v nichž</w:t>
            </w:r>
            <w:r w:rsidRPr="00903591">
              <w:rPr>
                <w:color w:val="0D0D0D" w:themeColor="text1" w:themeTint="F2"/>
              </w:rPr>
              <w:t xml:space="preserve"> se role této bariéry meziročně mírně </w:t>
            </w:r>
            <w:r>
              <w:rPr>
                <w:color w:val="0D0D0D" w:themeColor="text1" w:themeTint="F2"/>
              </w:rPr>
              <w:t>zvýšila</w:t>
            </w:r>
            <w:r w:rsidRPr="00903591">
              <w:rPr>
                <w:color w:val="0D0D0D" w:themeColor="text1" w:themeTint="F2"/>
              </w:rPr>
              <w:t xml:space="preserve">, ve stavebnictví </w:t>
            </w:r>
            <w:r>
              <w:rPr>
                <w:color w:val="0D0D0D" w:themeColor="text1" w:themeTint="F2"/>
              </w:rPr>
              <w:t xml:space="preserve">tomu bylo naopak. Přesto existovalo </w:t>
            </w:r>
            <w:r>
              <w:rPr>
                <w:color w:val="0D0D0D" w:themeColor="text1" w:themeTint="F2"/>
              </w:rPr>
              <w:lastRenderedPageBreak/>
              <w:t>několik vesměs menších oborů průmyslu a služeb, v nichž nedostatek pracovní síly představoval hlavní růstovou bariéru</w:t>
            </w:r>
            <w:r>
              <w:rPr>
                <w:rStyle w:val="Znakapoznpodarou"/>
                <w:color w:val="0D0D0D" w:themeColor="text1" w:themeTint="F2"/>
              </w:rPr>
              <w:footnoteReference w:id="26"/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F4587B" w:rsidRPr="00D82DBD" w14:paraId="7A0F7EE6" w14:textId="77777777" w:rsidTr="000E74FE">
        <w:trPr>
          <w:trHeight w:val="145"/>
        </w:trPr>
        <w:tc>
          <w:tcPr>
            <w:tcW w:w="1796" w:type="dxa"/>
            <w:tcMar>
              <w:left w:w="0" w:type="dxa"/>
            </w:tcMar>
          </w:tcPr>
          <w:p w14:paraId="6A32ED7C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  <w:r w:rsidRPr="00AE5540">
              <w:rPr>
                <w:color w:val="0D0D0D" w:themeColor="text1" w:themeTint="F2"/>
                <w:spacing w:val="-5"/>
              </w:rPr>
              <w:lastRenderedPageBreak/>
              <w:t xml:space="preserve">Obecná míra nezaměstnanosti </w:t>
            </w:r>
            <w:r>
              <w:rPr>
                <w:color w:val="0D0D0D" w:themeColor="text1" w:themeTint="F2"/>
                <w:spacing w:val="-5"/>
              </w:rPr>
              <w:t>od jara 2025 roste stabilním mírným tempem.</w:t>
            </w:r>
            <w:r w:rsidRPr="00AE5540">
              <w:rPr>
                <w:color w:val="0D0D0D" w:themeColor="text1" w:themeTint="F2"/>
                <w:spacing w:val="-5"/>
              </w:rPr>
              <w:t xml:space="preserve"> </w:t>
            </w:r>
            <w:r w:rsidRPr="00F00B16">
              <w:rPr>
                <w:color w:val="0D0D0D" w:themeColor="text1" w:themeTint="F2"/>
                <w:spacing w:val="-7"/>
              </w:rPr>
              <w:t>I tak zůstává z historického</w:t>
            </w:r>
            <w:r w:rsidRPr="00F00B16">
              <w:rPr>
                <w:color w:val="0D0D0D" w:themeColor="text1" w:themeTint="F2"/>
                <w:spacing w:val="-5"/>
              </w:rPr>
              <w:t xml:space="preserve"> a rovněž mezinárodního hlediska nízká.</w:t>
            </w:r>
          </w:p>
        </w:tc>
        <w:tc>
          <w:tcPr>
            <w:tcW w:w="175" w:type="dxa"/>
            <w:tcMar>
              <w:left w:w="0" w:type="dxa"/>
            </w:tcMar>
          </w:tcPr>
          <w:p w14:paraId="3ECDA4CF" w14:textId="77777777" w:rsidR="00F4587B" w:rsidRPr="008659E6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72386F37" w14:textId="77777777" w:rsidR="00F4587B" w:rsidRPr="00903591" w:rsidRDefault="00F4587B" w:rsidP="000E74FE">
            <w:pPr>
              <w:spacing w:after="220"/>
              <w:rPr>
                <w:color w:val="0D0D0D" w:themeColor="text1" w:themeTint="F2"/>
              </w:rPr>
            </w:pPr>
            <w:r w:rsidRPr="00055F37">
              <w:rPr>
                <w:rFonts w:cs="Arial"/>
                <w:color w:val="0D0D0D" w:themeColor="text1" w:themeTint="F2"/>
                <w:szCs w:val="20"/>
              </w:rPr>
              <w:t>Obecná míra nezaměstnanosti</w:t>
            </w:r>
            <w:r w:rsidRPr="00055F37">
              <w:rPr>
                <w:rFonts w:cs="Arial"/>
                <w:color w:val="0D0D0D" w:themeColor="text1" w:themeTint="F2"/>
                <w:szCs w:val="20"/>
                <w:vertAlign w:val="superscript"/>
              </w:rPr>
              <w:footnoteReference w:id="27"/>
            </w:r>
            <w:r w:rsidRPr="00055F37">
              <w:rPr>
                <w:rFonts w:cs="Arial"/>
                <w:color w:val="0D0D0D" w:themeColor="text1" w:themeTint="F2"/>
                <w:szCs w:val="20"/>
              </w:rPr>
              <w:t xml:space="preserve"> se po stagnaci </w:t>
            </w:r>
            <w:r w:rsidRPr="00903591">
              <w:rPr>
                <w:rFonts w:cs="Arial"/>
                <w:szCs w:val="20"/>
              </w:rPr>
              <w:t>v roce 2024 začala od loňského jara mírně zvyšovat. Nezaměstnanost 15</w:t>
            </w:r>
            <w:r>
              <w:rPr>
                <w:rFonts w:cs="Arial"/>
                <w:szCs w:val="20"/>
              </w:rPr>
              <w:t xml:space="preserve"> </w:t>
            </w:r>
            <w:r>
              <w:t xml:space="preserve">až </w:t>
            </w:r>
            <w:r w:rsidRPr="00903591">
              <w:rPr>
                <w:rFonts w:cs="Arial"/>
                <w:szCs w:val="20"/>
              </w:rPr>
              <w:t>64letých tak letos v</w:t>
            </w:r>
            <w:r>
              <w:rPr>
                <w:rFonts w:cs="Arial"/>
                <w:szCs w:val="20"/>
              </w:rPr>
              <w:t xml:space="preserve"> dubnu</w:t>
            </w:r>
            <w:r w:rsidRPr="00903591">
              <w:rPr>
                <w:rFonts w:cs="Arial"/>
                <w:szCs w:val="20"/>
              </w:rPr>
              <w:t xml:space="preserve"> činila 3,</w:t>
            </w:r>
            <w:r>
              <w:rPr>
                <w:rFonts w:cs="Arial"/>
                <w:szCs w:val="20"/>
              </w:rPr>
              <w:t>2</w:t>
            </w:r>
            <w:r w:rsidRPr="00903591">
              <w:rPr>
                <w:rFonts w:cs="Arial"/>
                <w:szCs w:val="20"/>
              </w:rPr>
              <w:t xml:space="preserve"> % (muži: 2,8</w:t>
            </w:r>
            <w:r>
              <w:rPr>
                <w:rFonts w:cs="Arial"/>
                <w:szCs w:val="20"/>
              </w:rPr>
              <w:t> </w:t>
            </w:r>
            <w:r w:rsidRPr="00903591">
              <w:rPr>
                <w:rFonts w:cs="Arial"/>
                <w:szCs w:val="20"/>
              </w:rPr>
              <w:t>%, ženy: 3,</w:t>
            </w:r>
            <w:r>
              <w:rPr>
                <w:rFonts w:cs="Arial"/>
                <w:szCs w:val="20"/>
              </w:rPr>
              <w:t>7</w:t>
            </w:r>
            <w:r w:rsidRPr="00903591">
              <w:rPr>
                <w:rFonts w:cs="Arial"/>
                <w:szCs w:val="20"/>
              </w:rPr>
              <w:t xml:space="preserve"> %). Celková nezaměstnanost je </w:t>
            </w:r>
            <w:r>
              <w:rPr>
                <w:rFonts w:cs="Arial"/>
                <w:szCs w:val="20"/>
              </w:rPr>
              <w:t xml:space="preserve">tak </w:t>
            </w:r>
            <w:r w:rsidRPr="00903591">
              <w:rPr>
                <w:rFonts w:cs="Arial"/>
                <w:szCs w:val="20"/>
              </w:rPr>
              <w:t>srovnatelná jako za vrcholu pandemie (březen 2021) a vyšší byla předtím naposledy na počátku roku 2017. Nezaměstnanost se meziročně zvýšila o 0,</w:t>
            </w:r>
            <w:r>
              <w:rPr>
                <w:rFonts w:cs="Arial"/>
                <w:szCs w:val="20"/>
              </w:rPr>
              <w:t>4</w:t>
            </w:r>
            <w:r w:rsidRPr="00903591">
              <w:rPr>
                <w:rFonts w:cs="Arial"/>
                <w:szCs w:val="20"/>
              </w:rPr>
              <w:t xml:space="preserve"> p. b., podobně u mužů i žen. </w:t>
            </w:r>
            <w:r>
              <w:rPr>
                <w:rFonts w:cs="Arial"/>
                <w:szCs w:val="20"/>
              </w:rPr>
              <w:t>Rychleji narůstal počet dlouhodobě nezaměstnaných (meziročně v 1. čtvrtletí o 20 tis., na 55 tis.), ti však stále tvořili pouze necelou třetinu všech nezaměstnaných (což se nevymyká dlouhodobému i mezinárodnímu kontextu). Pozitivní je, že v</w:t>
            </w:r>
            <w:r w:rsidRPr="00903591">
              <w:rPr>
                <w:rFonts w:cs="Arial"/>
                <w:szCs w:val="20"/>
              </w:rPr>
              <w:t xml:space="preserve">ýznamně nenarůstá skrytá nezaměstnanost (ve formě dočasného „úniku“ do ekonomické neaktivity). </w:t>
            </w:r>
          </w:p>
        </w:tc>
      </w:tr>
      <w:tr w:rsidR="00F4587B" w:rsidRPr="00D82DBD" w14:paraId="50193320" w14:textId="77777777" w:rsidTr="000E74FE">
        <w:trPr>
          <w:trHeight w:val="145"/>
        </w:trPr>
        <w:tc>
          <w:tcPr>
            <w:tcW w:w="1796" w:type="dxa"/>
            <w:tcMar>
              <w:left w:w="0" w:type="dxa"/>
            </w:tcMar>
          </w:tcPr>
          <w:p w14:paraId="3F842960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5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4C343066" w14:textId="77777777" w:rsidR="00F4587B" w:rsidRPr="008659E6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0931A1CF" w14:textId="7ED70CD1" w:rsidR="00F4587B" w:rsidRPr="00903591" w:rsidRDefault="00F4587B" w:rsidP="000E74FE">
            <w:pPr>
              <w:spacing w:after="40"/>
              <w:rPr>
                <w:rFonts w:cs="Arial"/>
                <w:szCs w:val="20"/>
              </w:rPr>
            </w:pPr>
            <w:r w:rsidRPr="00903591">
              <w:rPr>
                <w:b/>
              </w:rPr>
              <w:t>Graf č. 1</w:t>
            </w:r>
            <w:r w:rsidR="00D75205">
              <w:rPr>
                <w:b/>
              </w:rPr>
              <w:t>4</w:t>
            </w:r>
            <w:r w:rsidRPr="00903591">
              <w:rPr>
                <w:b/>
              </w:rPr>
              <w:t xml:space="preserve"> </w:t>
            </w:r>
            <w:r w:rsidRPr="00903591">
              <w:rPr>
                <w:rFonts w:cs="Arial"/>
                <w:b/>
              </w:rPr>
              <w:t xml:space="preserve">Obecná míra nezaměstnanosti </w:t>
            </w:r>
            <w:r w:rsidRPr="00903591">
              <w:rPr>
                <w:rFonts w:cs="Arial"/>
                <w:bCs/>
              </w:rPr>
              <w:t>(v %, věk 15 až 64 let)</w:t>
            </w:r>
            <w:r w:rsidRPr="00903591">
              <w:rPr>
                <w:rFonts w:cs="Arial"/>
                <w:b/>
              </w:rPr>
              <w:t>,</w:t>
            </w:r>
            <w:r w:rsidRPr="00903591">
              <w:rPr>
                <w:rFonts w:cs="Arial"/>
                <w:bCs/>
              </w:rPr>
              <w:t xml:space="preserve"> </w:t>
            </w:r>
            <w:r w:rsidRPr="00903591">
              <w:rPr>
                <w:rFonts w:cs="Arial"/>
                <w:b/>
                <w:bCs/>
              </w:rPr>
              <w:t>očekávání vývoje nezaměstnanosti ze strany domácností*</w:t>
            </w:r>
            <w:r w:rsidRPr="00903591">
              <w:rPr>
                <w:rFonts w:cs="Arial"/>
                <w:bCs/>
              </w:rPr>
              <w:t xml:space="preserve"> (v p. b.), </w:t>
            </w:r>
            <w:r w:rsidRPr="00903591">
              <w:rPr>
                <w:rFonts w:cs="Arial"/>
                <w:b/>
                <w:bCs/>
              </w:rPr>
              <w:t xml:space="preserve">volná pracovní místa a pracující cizinci v pozici zaměstnanců** </w:t>
            </w:r>
            <w:r w:rsidRPr="00903591">
              <w:rPr>
                <w:rFonts w:cs="Arial"/>
                <w:bCs/>
              </w:rPr>
              <w:t>(v tis.)</w:t>
            </w:r>
          </w:p>
        </w:tc>
      </w:tr>
      <w:tr w:rsidR="00F4587B" w:rsidRPr="00D82DBD" w14:paraId="4165393D" w14:textId="77777777" w:rsidTr="000E74FE">
        <w:trPr>
          <w:trHeight w:val="145"/>
        </w:trPr>
        <w:tc>
          <w:tcPr>
            <w:tcW w:w="1796" w:type="dxa"/>
            <w:tcMar>
              <w:left w:w="0" w:type="dxa"/>
            </w:tcMar>
          </w:tcPr>
          <w:p w14:paraId="71CB43EA" w14:textId="77777777" w:rsidR="00F4587B" w:rsidRPr="008659E6" w:rsidRDefault="00F4587B" w:rsidP="000E74FE">
            <w:pPr>
              <w:pStyle w:val="Marginlie"/>
              <w:rPr>
                <w:color w:val="0D0D0D" w:themeColor="text1" w:themeTint="F2"/>
                <w:spacing w:val="-5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1DF95A6D" w14:textId="77777777" w:rsidR="00F4587B" w:rsidRPr="00B43216" w:rsidRDefault="00F4587B" w:rsidP="000E74FE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  <w:p w14:paraId="020EC92A" w14:textId="77777777" w:rsidR="00F4587B" w:rsidRPr="008659E6" w:rsidRDefault="00F4587B" w:rsidP="000E74F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0C480144" w14:textId="77777777" w:rsidR="00F4587B" w:rsidRPr="00903591" w:rsidRDefault="00F4587B" w:rsidP="000E74FE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6EE66C" wp14:editId="558A9F77">
                  <wp:extent cx="4753999" cy="3552847"/>
                  <wp:effectExtent l="0" t="0" r="8890" b="0"/>
                  <wp:docPr id="13068516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3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F4587B" w:rsidRPr="00D82DBD" w14:paraId="3E810D81" w14:textId="77777777" w:rsidTr="000E74FE">
        <w:trPr>
          <w:trHeight w:val="145"/>
        </w:trPr>
        <w:tc>
          <w:tcPr>
            <w:tcW w:w="1796" w:type="dxa"/>
            <w:tcMar>
              <w:left w:w="0" w:type="dxa"/>
            </w:tcMar>
          </w:tcPr>
          <w:p w14:paraId="6351B815" w14:textId="77777777" w:rsidR="00F4587B" w:rsidRPr="00B43216" w:rsidRDefault="00F4587B" w:rsidP="000E74FE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510FF3DD" w14:textId="77777777" w:rsidR="00F4587B" w:rsidRPr="00B43216" w:rsidRDefault="00F4587B" w:rsidP="000E74FE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6C0B5740" w14:textId="77777777" w:rsidR="00F4587B" w:rsidRPr="00903591" w:rsidRDefault="00F4587B" w:rsidP="000E74FE">
            <w:pPr>
              <w:spacing w:before="60"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Pozn.: Míry nezaměstnanosti jsou očištěny pomocí trendcyklu.</w:t>
            </w:r>
          </w:p>
          <w:p w14:paraId="0A1F16A8" w14:textId="77777777" w:rsidR="00F4587B" w:rsidRPr="00903591" w:rsidRDefault="00F4587B" w:rsidP="000E74FE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VPM = pouze volná pracovní místa s délkou evidence do šesti měsíců. (stav na konci čtvrtletí)</w:t>
            </w:r>
            <w:r>
              <w:rPr>
                <w:rFonts w:cs="Arial"/>
                <w:color w:val="0D0D0D" w:themeColor="text1" w:themeTint="F2"/>
                <w:sz w:val="14"/>
                <w:szCs w:val="14"/>
              </w:rPr>
              <w:t>.</w:t>
            </w:r>
          </w:p>
          <w:p w14:paraId="65B4EDCA" w14:textId="77777777" w:rsidR="00F4587B" w:rsidRPr="00903591" w:rsidRDefault="00F4587B" w:rsidP="000E74FE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*Sezónně očištěné saldo očekávání nezaměstnanosti v nejbližších 12 měsících (rozdíl mezi procentuální četností odpovědí domácností, růst a pokles vyjádřený v procentních bodech). Vztahuje se k prostřednímu měsíci daného čtvrtletí.</w:t>
            </w:r>
          </w:p>
          <w:p w14:paraId="69135884" w14:textId="77777777" w:rsidR="00F4587B" w:rsidRPr="00903591" w:rsidRDefault="00F4587B" w:rsidP="000E74FE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**Počet cizinců v postavení zaměstnanců evidovaných na úřadech práce v ČR (na konci příslušného čtvrtletí).</w:t>
            </w:r>
          </w:p>
          <w:p w14:paraId="26379CA4" w14:textId="77777777" w:rsidR="00F4587B" w:rsidRDefault="00F4587B" w:rsidP="000E74FE">
            <w:pPr>
              <w:spacing w:after="200"/>
              <w:rPr>
                <w:noProof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Zdroj: ČSÚ (VŠPS, konjunkturální průzkum), MPSV (VPM registrovaná na úřadech práce v ČR, zaměstnaní cizinci)</w:t>
            </w:r>
          </w:p>
        </w:tc>
      </w:tr>
      <w:tr w:rsidR="00F4587B" w:rsidRPr="00016778" w14:paraId="3861BB8B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77EFE41A" w14:textId="77777777" w:rsidR="00F4587B" w:rsidRPr="00461673" w:rsidRDefault="00F4587B" w:rsidP="000E74FE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Meziroční růst počtu r</w:t>
            </w:r>
            <w:r w:rsidRPr="002F4E55">
              <w:rPr>
                <w:color w:val="0D0D0D" w:themeColor="text1" w:themeTint="F2"/>
              </w:rPr>
              <w:t xml:space="preserve">egistrovaných </w:t>
            </w:r>
            <w:r>
              <w:rPr>
                <w:color w:val="0D0D0D" w:themeColor="text1" w:themeTint="F2"/>
              </w:rPr>
              <w:t>uchazečů o práci letos zvolnil. Přesto se nezaměstnanost zvýšila ve všech okresech.</w:t>
            </w:r>
          </w:p>
          <w:p w14:paraId="490EBC45" w14:textId="77777777" w:rsidR="00F4587B" w:rsidRDefault="00F4587B" w:rsidP="000E74FE">
            <w:pPr>
              <w:pStyle w:val="Marginlie"/>
              <w:spacing w:after="120"/>
              <w:rPr>
                <w:spacing w:val="0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55598299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65F4181F" w14:textId="77777777" w:rsidR="00F4587B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</w:pPr>
            <w:r w:rsidRPr="000B2FD2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Významnější ochlazení tuzemského pracovního trhu dosud nenaznačují ani údaje z úřadů práce (ÚP).</w:t>
            </w:r>
            <w:r w:rsidRPr="000B2FD2">
              <w:rPr>
                <w:rStyle w:val="normaltextrun"/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0B2FD2">
              <w:rPr>
                <w:rStyle w:val="normaltextrun"/>
                <w:rFonts w:ascii="Arial" w:eastAsiaTheme="majorEastAsia" w:hAnsi="Arial" w:cs="Arial"/>
                <w:color w:val="0D0D0D" w:themeColor="text1" w:themeTint="F2"/>
                <w:sz w:val="20"/>
                <w:szCs w:val="20"/>
              </w:rPr>
              <w:t xml:space="preserve">Sezonně neočištěný podíl registrovaných uchazečů o práci na celkové populaci 15 až 64letých dosáhl na konci letošního </w:t>
            </w:r>
            <w:r w:rsidRPr="000B2FD2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května 4,8 % (muži: 4,4 %, ženy: 5,2 %). Tento podíl se meziročně zvyšuje již více než dva a půl toku, letos však růst nezaměstnanosti čtvrtý měsíc v řadě zvolnil (na +0,6 p. b.)</w:t>
            </w:r>
            <w:r w:rsidRPr="000B2FD2">
              <w:rPr>
                <w:rStyle w:val="Znakapoznpodarou"/>
                <w:rFonts w:ascii="Arial" w:eastAsiaTheme="majorEastAsia" w:hAnsi="Arial" w:cs="Arial"/>
                <w:sz w:val="20"/>
                <w:szCs w:val="20"/>
              </w:rPr>
              <w:footnoteReference w:id="28"/>
            </w:r>
            <w:r w:rsidRPr="000B2FD2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. </w:t>
            </w:r>
            <w:r w:rsidRPr="000B2FD2">
              <w:rPr>
                <w:rFonts w:ascii="Arial" w:hAnsi="Arial" w:cs="Arial"/>
                <w:sz w:val="20"/>
                <w:szCs w:val="20"/>
              </w:rPr>
              <w:t xml:space="preserve">Nezaměstnanost je tradičně </w:t>
            </w:r>
            <w:r w:rsidRPr="000B2FD2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výrazně regionálně diferencovaná</w:t>
            </w:r>
            <w:r w:rsidRPr="000B2FD2">
              <w:rPr>
                <w:rStyle w:val="Znakapoznpodarou"/>
                <w:rFonts w:ascii="Arial" w:hAnsi="Arial" w:cs="Arial"/>
                <w:color w:val="0D0D0D" w:themeColor="text1" w:themeTint="F2"/>
                <w:sz w:val="20"/>
                <w:szCs w:val="20"/>
              </w:rPr>
              <w:footnoteReference w:id="29"/>
            </w:r>
            <w:r w:rsidRPr="000B2FD2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. </w:t>
            </w:r>
            <w:r w:rsidRPr="000B2FD2">
              <w:rPr>
                <w:rStyle w:val="normaltextrun"/>
                <w:rFonts w:ascii="Arial" w:eastAsiaTheme="majorEastAsia" w:hAnsi="Arial" w:cs="Arial"/>
                <w:color w:val="0D0D0D" w:themeColor="text1" w:themeTint="F2"/>
                <w:sz w:val="20"/>
                <w:szCs w:val="20"/>
              </w:rPr>
              <w:t xml:space="preserve">Nynější nárůst registrovaných uchazečů </w:t>
            </w:r>
            <w:r w:rsidRPr="000B2FD2">
              <w:rPr>
                <w:rStyle w:val="normaltextrun"/>
                <w:rFonts w:ascii="Arial" w:eastAsiaTheme="majorEastAsia" w:hAnsi="Arial" w:cs="Arial"/>
                <w:color w:val="0D0D0D" w:themeColor="text1" w:themeTint="F2"/>
                <w:sz w:val="20"/>
                <w:szCs w:val="20"/>
              </w:rPr>
              <w:lastRenderedPageBreak/>
              <w:t>o</w:t>
            </w:r>
            <w:r>
              <w:rPr>
                <w:rStyle w:val="normaltextrun"/>
                <w:rFonts w:ascii="Arial" w:eastAsiaTheme="majorEastAsia" w:hAnsi="Arial" w:cs="Arial"/>
                <w:color w:val="0D0D0D" w:themeColor="text1" w:themeTint="F2"/>
                <w:sz w:val="20"/>
                <w:szCs w:val="20"/>
              </w:rPr>
              <w:t> </w:t>
            </w:r>
            <w:r w:rsidRPr="000B2FD2">
              <w:rPr>
                <w:rStyle w:val="normaltextrun"/>
                <w:rFonts w:ascii="Arial" w:eastAsiaTheme="majorEastAsia" w:hAnsi="Arial" w:cs="Arial"/>
                <w:color w:val="0D0D0D" w:themeColor="text1" w:themeTint="F2"/>
                <w:sz w:val="20"/>
                <w:szCs w:val="20"/>
              </w:rPr>
              <w:t xml:space="preserve">práci může (kromě běžné sezónnosti) souviset </w:t>
            </w:r>
            <w:r w:rsidRPr="000B2FD2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i s vyšší aktivitou ÚP v oblasti poradenství a rekvalifikací a také s flexibilnějšími možnostmi kontaktu ÚP (digitálně na dálku). Lze předpokládat, že se již může projevovat i větší odvaha lidí měnit nevyhovující pracovní místa (např. s motivací k vyššímu výdělku či zvýšenou podporou v prvních měsících nezaměstnanosti, jež platí od ledna 2026)</w:t>
            </w:r>
            <w:r w:rsidRPr="000B2FD2">
              <w:rPr>
                <w:rStyle w:val="Znakapoznpodarou"/>
                <w:rFonts w:ascii="Arial" w:eastAsiaTheme="majorEastAsia" w:hAnsi="Arial" w:cs="Arial"/>
                <w:sz w:val="20"/>
                <w:szCs w:val="20"/>
              </w:rPr>
              <w:footnoteReference w:id="30"/>
            </w:r>
            <w:r w:rsidRPr="000B2FD2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. </w:t>
            </w:r>
          </w:p>
          <w:p w14:paraId="604E56B8" w14:textId="77777777" w:rsidR="00F4587B" w:rsidRPr="000B2FD2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</w:pPr>
          </w:p>
        </w:tc>
      </w:tr>
      <w:tr w:rsidR="00F4587B" w:rsidRPr="00016778" w14:paraId="3CF7BCFF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18649027" w14:textId="77777777" w:rsidR="00F4587B" w:rsidRPr="00B43216" w:rsidRDefault="00F4587B" w:rsidP="000E74FE">
            <w:pPr>
              <w:pStyle w:val="Marginlie"/>
              <w:spacing w:after="120"/>
              <w:rPr>
                <w:spacing w:val="-4"/>
              </w:rPr>
            </w:pPr>
            <w:r>
              <w:rPr>
                <w:spacing w:val="0"/>
              </w:rPr>
              <w:lastRenderedPageBreak/>
              <w:t>N</w:t>
            </w:r>
            <w:r w:rsidRPr="00F96464">
              <w:rPr>
                <w:spacing w:val="0"/>
              </w:rPr>
              <w:t>abídk</w:t>
            </w:r>
            <w:r>
              <w:rPr>
                <w:spacing w:val="0"/>
              </w:rPr>
              <w:t>a</w:t>
            </w:r>
            <w:r w:rsidRPr="00F96464">
              <w:rPr>
                <w:spacing w:val="0"/>
              </w:rPr>
              <w:t xml:space="preserve"> volných míst prostřednictvím ÚP</w:t>
            </w:r>
            <w:r>
              <w:rPr>
                <w:spacing w:val="0"/>
              </w:rPr>
              <w:t xml:space="preserve"> meziročně stagnovala.</w:t>
            </w:r>
          </w:p>
          <w:p w14:paraId="64FAD4AC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05BDC6A5" w14:textId="77777777" w:rsidR="00F4587B" w:rsidRDefault="00F4587B" w:rsidP="000E74FE">
            <w:pPr>
              <w:pStyle w:val="Marginlie"/>
              <w:rPr>
                <w:color w:val="0D0D0D" w:themeColor="text1" w:themeTint="F2"/>
              </w:rPr>
            </w:pPr>
          </w:p>
          <w:p w14:paraId="5C7A5A97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</w:rPr>
              <w:t xml:space="preserve">Obavy spotřebitelů z růstu nezaměstnanosti se mírně zvýšily, ale </w:t>
            </w:r>
            <w:r>
              <w:rPr>
                <w:color w:val="0D0D0D" w:themeColor="text1" w:themeTint="F2"/>
              </w:rPr>
              <w:br/>
              <w:t xml:space="preserve">z pásma dlouhodobého normálu zatím nevybočovaly. </w:t>
            </w:r>
          </w:p>
        </w:tc>
        <w:tc>
          <w:tcPr>
            <w:tcW w:w="175" w:type="dxa"/>
            <w:tcMar>
              <w:left w:w="0" w:type="dxa"/>
            </w:tcMar>
          </w:tcPr>
          <w:p w14:paraId="5CF24AF7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5632C616" w14:textId="77777777" w:rsidR="00F4587B" w:rsidRPr="00A54AD3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</w:pP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Úřady práce evidovaly letos na konci 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dubna</w:t>
            </w: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12773A">
              <w:rPr>
                <w:rFonts w:ascii="Arial" w:hAnsi="Arial" w:cs="Arial"/>
                <w:sz w:val="20"/>
                <w:szCs w:val="20"/>
              </w:rPr>
              <w:t>94,</w:t>
            </w:r>
            <w:r w:rsidRPr="002162E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 tis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.</w:t>
            </w:r>
            <w:r>
              <w:rPr>
                <w:rStyle w:val="normaltextrun"/>
                <w:rFonts w:ascii="Arial" w:eastAsiaTheme="majorEastAsia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2162EA">
              <w:rPr>
                <w:rStyle w:val="normaltextrun"/>
                <w:rFonts w:ascii="Arial" w:eastAsiaTheme="majorEastAsia" w:hAnsi="Arial" w:cs="Arial"/>
                <w:color w:val="0D0D0D" w:themeColor="text1" w:themeTint="F2"/>
                <w:sz w:val="20"/>
                <w:szCs w:val="20"/>
              </w:rPr>
              <w:t>volných míst</w:t>
            </w:r>
            <w:r w:rsidRPr="002162EA">
              <w:rPr>
                <w:rStyle w:val="Znakapoznpodarou"/>
                <w:rFonts w:ascii="Arial" w:hAnsi="Arial" w:cs="Arial"/>
                <w:color w:val="0D0D0D" w:themeColor="text1" w:themeTint="F2"/>
                <w:sz w:val="20"/>
                <w:szCs w:val="20"/>
              </w:rPr>
              <w:footnoteReference w:id="31"/>
            </w:r>
            <w:r w:rsidRPr="002162EA">
              <w:rPr>
                <w:rStyle w:val="normaltextrun"/>
                <w:rFonts w:ascii="Arial" w:eastAsiaTheme="majorEastAsia" w:hAnsi="Arial" w:cs="Arial"/>
                <w:color w:val="0D0D0D" w:themeColor="text1" w:themeTint="F2"/>
                <w:sz w:val="20"/>
                <w:szCs w:val="20"/>
              </w:rPr>
              <w:t xml:space="preserve"> (v </w:t>
            </w: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zásadě jen místa s dobou evidence kratší než šest měsíců).</w:t>
            </w:r>
            <w:r w:rsidRPr="0012773A">
              <w:rPr>
                <w:rFonts w:ascii="Arial" w:hAnsi="Arial" w:cs="Arial"/>
                <w:sz w:val="20"/>
                <w:szCs w:val="20"/>
              </w:rPr>
              <w:t xml:space="preserve"> Meziročně byl počet těchto míst srovnatelný, meziměsíčně v souladu s očekávaným působením sezónních vlivů rostl (od počátku letošního roku v kumulaci o 7,1 tis.). Na 1 volné místo připadalo aktuálně v Česku 3,9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773A">
              <w:rPr>
                <w:rFonts w:ascii="Arial" w:hAnsi="Arial" w:cs="Arial"/>
                <w:sz w:val="20"/>
                <w:szCs w:val="20"/>
              </w:rPr>
              <w:t>uchazeče (vč. osob dočasně nedosažitelných)</w:t>
            </w:r>
            <w:r>
              <w:rPr>
                <w:rStyle w:val="Znakapoznpodarou"/>
                <w:rFonts w:ascii="Arial" w:hAnsi="Arial"/>
                <w:sz w:val="20"/>
                <w:szCs w:val="20"/>
              </w:rPr>
              <w:footnoteReference w:id="32"/>
            </w:r>
            <w:r w:rsidRPr="0012773A">
              <w:rPr>
                <w:rFonts w:ascii="Arial" w:hAnsi="Arial" w:cs="Arial"/>
                <w:sz w:val="20"/>
                <w:szCs w:val="20"/>
              </w:rPr>
              <w:t xml:space="preserve">. To sice bylo více než ve stejném období loni (3,3), avšak zároveň nejméně za posledních </w:t>
            </w:r>
            <w:r>
              <w:rPr>
                <w:rFonts w:ascii="Arial" w:hAnsi="Arial" w:cs="Arial"/>
                <w:sz w:val="20"/>
                <w:szCs w:val="20"/>
              </w:rPr>
              <w:t>pět</w:t>
            </w:r>
            <w:r w:rsidRPr="0012773A">
              <w:rPr>
                <w:rFonts w:ascii="Arial" w:hAnsi="Arial" w:cs="Arial"/>
                <w:sz w:val="20"/>
                <w:szCs w:val="20"/>
              </w:rPr>
              <w:t xml:space="preserve"> měsíců.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Přetrvával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významný strukturální nesoulad nabídky a poptávky z kvalifikačního</w:t>
            </w:r>
            <w:r w:rsidRPr="00A54AD3">
              <w:rPr>
                <w:rFonts w:ascii="Arial" w:hAnsi="Arial" w:cs="Arial"/>
                <w:color w:val="0D0D0D" w:themeColor="text1" w:themeTint="F2"/>
                <w:sz w:val="20"/>
                <w:szCs w:val="20"/>
                <w:vertAlign w:val="superscript"/>
              </w:rPr>
              <w:footnoteReference w:id="33"/>
            </w: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i regionálního pohledu</w:t>
            </w:r>
            <w:r w:rsidRPr="00A54AD3">
              <w:rPr>
                <w:rStyle w:val="Znakapoznpodarou"/>
                <w:rFonts w:ascii="Arial" w:eastAsiaTheme="majorEastAsia" w:hAnsi="Arial" w:cs="Arial"/>
                <w:sz w:val="20"/>
                <w:szCs w:val="20"/>
              </w:rPr>
              <w:footnoteReference w:id="34"/>
            </w: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. Obavy lidí z růstu nezaměstnanosti (vyjádřené 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v</w:t>
            </w:r>
            <w:r w:rsidRPr="0097550E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 ročním výhledu</w:t>
            </w:r>
            <w:r>
              <w:rPr>
                <w:rStyle w:val="normaltextrun"/>
                <w:rFonts w:ascii="Arial" w:eastAsiaTheme="majorEastAsia" w:hAnsi="Arial" w:cs="Arial"/>
              </w:rPr>
              <w:t xml:space="preserve"> </w:t>
            </w: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v rámci konjunkturálních průzkumů) 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letos mírně</w:t>
            </w:r>
            <w:r w:rsidRPr="00A54AD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narůstaly, 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ovšem její úroveň v květnu </w:t>
            </w:r>
            <w:r>
              <w:rPr>
                <w:rFonts w:ascii="Arial" w:hAnsi="Arial" w:cs="Arial"/>
                <w:sz w:val="20"/>
                <w:szCs w:val="20"/>
              </w:rPr>
              <w:t>nepřekračovala dlouhodobý průměr.</w:t>
            </w:r>
          </w:p>
          <w:p w14:paraId="74E62A75" w14:textId="77777777" w:rsidR="00F4587B" w:rsidRPr="00F80861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F4587B" w:rsidRPr="00016778" w14:paraId="011D0C54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071A4B19" w14:textId="77777777" w:rsidR="00F4587B" w:rsidRDefault="00F4587B" w:rsidP="000E74FE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pacing w:val="0"/>
              </w:rPr>
              <w:t>Tempo růstu nominálních mezd n</w:t>
            </w:r>
            <w:r>
              <w:rPr>
                <w:color w:val="0D0D0D" w:themeColor="text1" w:themeTint="F2"/>
              </w:rPr>
              <w:t>a počátku roku zrychlilo.</w:t>
            </w:r>
          </w:p>
          <w:p w14:paraId="16BFA400" w14:textId="77777777" w:rsidR="00F4587B" w:rsidRDefault="00F4587B" w:rsidP="000E74FE">
            <w:pPr>
              <w:pStyle w:val="Marginlie"/>
              <w:rPr>
                <w:color w:val="0D0D0D" w:themeColor="text1" w:themeTint="F2"/>
              </w:rPr>
            </w:pPr>
          </w:p>
          <w:p w14:paraId="51034407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</w:rPr>
              <w:t>Evidenční počet zaměstnanců se mírně zvýšil při dosti různorodém vývoji na odvětvové úrovni.</w:t>
            </w:r>
          </w:p>
        </w:tc>
        <w:tc>
          <w:tcPr>
            <w:tcW w:w="175" w:type="dxa"/>
            <w:tcMar>
              <w:left w:w="0" w:type="dxa"/>
            </w:tcMar>
          </w:tcPr>
          <w:p w14:paraId="0555AAF2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04EC87A9" w14:textId="7F25A3F4" w:rsidR="00F4587B" w:rsidRPr="00903591" w:rsidRDefault="00F4587B" w:rsidP="002F2057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>V 1. čtvrtletí 2026 dosáhla průměrná hrubá měsíční nominální mzda zaměstnance v</w:t>
            </w:r>
            <w:r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> 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národním hospodářství 50 282 korun. Meziročně vzrostla o 8,1 % a přiblížila se tempům z konjunkturních let 2018 a 2019. </w:t>
            </w:r>
            <w:r w:rsidRPr="00A03CE4">
              <w:rPr>
                <w:rStyle w:val="normaltextrun"/>
                <w:rFonts w:ascii="Arial" w:eastAsiaTheme="majorEastAsia" w:hAnsi="Arial"/>
                <w:spacing w:val="-4"/>
                <w:sz w:val="20"/>
              </w:rPr>
              <w:t xml:space="preserve">Sezónně očištěná mzda posílila mezikvartálně o 2,0 %, (během roku 2025 se tempa pohybovala v rozmezí 1,5 až 1,9 %). </w:t>
            </w:r>
            <w:r w:rsidRPr="00A03CE4">
              <w:rPr>
                <w:rStyle w:val="normaltextrun"/>
                <w:rFonts w:ascii="Arial" w:eastAsiaTheme="majorEastAsia" w:hAnsi="Arial" w:cs="Arial"/>
                <w:color w:val="000000"/>
                <w:spacing w:val="-4"/>
                <w:sz w:val="20"/>
                <w:szCs w:val="20"/>
              </w:rPr>
              <w:t>Přepočtený evidenční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</w:t>
            </w:r>
            <w:r w:rsidRPr="00A03CE4">
              <w:rPr>
                <w:rStyle w:val="normaltextrun"/>
                <w:rFonts w:ascii="Arial" w:eastAsiaTheme="majorEastAsia" w:hAnsi="Arial" w:cs="Arial"/>
                <w:color w:val="000000"/>
                <w:spacing w:val="-4"/>
                <w:sz w:val="20"/>
                <w:szCs w:val="20"/>
              </w:rPr>
              <w:t xml:space="preserve">stav zaměstnanců se meziročně zvýšil o 0,6 % a zvyšoval se poprvé za posledních pět kvartálů. 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Rostl ve většině služeb </w:t>
            </w:r>
            <w:r w:rsidRPr="00A03CE4"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>–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 nejvíce v relativně malém odvětví činnosti v oblasti nemovitostí (+6,1 %), dále v energetice (+3,1 %), ubytování</w:t>
            </w:r>
            <w:r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>,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 stravování a pohostinství (+2,8</w:t>
            </w:r>
            <w:r w:rsidRPr="00A03CE4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%), </w:t>
            </w:r>
            <w:r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>ve</w:t>
            </w:r>
            <w:r>
              <w:rPr>
                <w:rStyle w:val="normaltextrun"/>
                <w:rFonts w:ascii="Arial" w:eastAsiaTheme="majorEastAsia" w:hAnsi="Arial" w:cs="Arial"/>
                <w:spacing w:val="-4"/>
                <w:szCs w:val="20"/>
              </w:rPr>
              <w:t xml:space="preserve"> 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stavebnictví (+2,4 %) a veřejných službách – zejména </w:t>
            </w:r>
            <w:r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ve 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zdravotní a sociální péči </w:t>
            </w:r>
            <w:r w:rsidRPr="00A03CE4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(+2,4 %) a vzdělávání (+2,2 %). Naopak k poklesu došlo především v těžbě 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br/>
            </w:r>
            <w:r w:rsidRPr="00A03CE4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a dobývání </w:t>
            </w:r>
            <w:r w:rsidRPr="00A03CE4">
              <w:rPr>
                <w:rStyle w:val="normaltextrun"/>
                <w:rFonts w:ascii="Arial" w:eastAsiaTheme="majorEastAsia" w:hAnsi="Arial" w:cs="Arial"/>
                <w:spacing w:val="2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>−</w:t>
            </w:r>
            <w:r w:rsidRPr="00A03CE4">
              <w:rPr>
                <w:rStyle w:val="normaltextrun"/>
                <w:rFonts w:ascii="Arial" w:eastAsiaTheme="majorEastAsia" w:hAnsi="Arial" w:cs="Arial"/>
                <w:spacing w:val="2"/>
                <w:sz w:val="20"/>
                <w:szCs w:val="20"/>
              </w:rPr>
              <w:t>10,6</w:t>
            </w:r>
            <w:r w:rsidRPr="00A03CE4">
              <w:rPr>
                <w:rStyle w:val="normaltextrun"/>
                <w:rFonts w:ascii="Arial" w:eastAsiaTheme="majorEastAsia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A03CE4">
              <w:rPr>
                <w:rStyle w:val="normaltextrun"/>
                <w:rFonts w:ascii="Arial" w:eastAsiaTheme="majorEastAsia" w:hAnsi="Arial" w:cs="Arial"/>
                <w:spacing w:val="2"/>
                <w:sz w:val="20"/>
                <w:szCs w:val="20"/>
              </w:rPr>
              <w:t>%), zpracovatelském průmyslu (</w:t>
            </w:r>
            <w:r>
              <w:rPr>
                <w:rStyle w:val="normaltextrun"/>
                <w:rFonts w:ascii="Arial" w:eastAsiaTheme="majorEastAsia" w:hAnsi="Arial" w:cs="Arial"/>
                <w:spacing w:val="2"/>
                <w:sz w:val="20"/>
                <w:szCs w:val="20"/>
              </w:rPr>
              <w:t>−</w:t>
            </w:r>
            <w:r w:rsidRPr="00A03CE4">
              <w:rPr>
                <w:rStyle w:val="normaltextrun"/>
                <w:rFonts w:ascii="Arial" w:eastAsiaTheme="majorEastAsia" w:hAnsi="Arial" w:cs="Arial"/>
                <w:spacing w:val="2"/>
                <w:sz w:val="20"/>
                <w:szCs w:val="20"/>
              </w:rPr>
              <w:t xml:space="preserve">0,7 %), ale i </w:t>
            </w:r>
            <w:r>
              <w:rPr>
                <w:rStyle w:val="normaltextrun"/>
                <w:rFonts w:ascii="Arial" w:eastAsiaTheme="majorEastAsia" w:hAnsi="Arial" w:cs="Arial"/>
                <w:spacing w:val="2"/>
                <w:sz w:val="20"/>
                <w:szCs w:val="20"/>
              </w:rPr>
              <w:t xml:space="preserve">v </w:t>
            </w:r>
            <w:r w:rsidRPr="00A03CE4">
              <w:rPr>
                <w:rStyle w:val="normaltextrun"/>
                <w:rFonts w:ascii="Arial" w:eastAsiaTheme="majorEastAsia" w:hAnsi="Arial" w:cs="Arial"/>
                <w:spacing w:val="2"/>
                <w:sz w:val="20"/>
                <w:szCs w:val="20"/>
              </w:rPr>
              <w:t>některých službách: v obchodě (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>−</w:t>
            </w:r>
            <w:r w:rsidRPr="00A03CE4">
              <w:rPr>
                <w:rStyle w:val="normaltextrun"/>
                <w:rFonts w:ascii="Arial" w:eastAsiaTheme="majorEastAsia" w:hAnsi="Arial" w:cs="Arial"/>
                <w:spacing w:val="2"/>
                <w:sz w:val="20"/>
                <w:szCs w:val="20"/>
              </w:rPr>
              <w:t>0,3 %),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 dopravě a skladování </w:t>
            </w:r>
            <w:r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>−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>0,6 %) či finančnictví (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>−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0,6 %) a také </w:t>
            </w:r>
            <w:r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br/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v minulosti </w:t>
            </w:r>
            <w:r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 xml:space="preserve">v 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>silně rostoucích informačních a komunikačních činnostech (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>−</w:t>
            </w:r>
            <w:r w:rsidRPr="00A03CE4">
              <w:rPr>
                <w:rStyle w:val="normaltextrun"/>
                <w:rFonts w:ascii="Arial" w:eastAsiaTheme="majorEastAsia" w:hAnsi="Arial" w:cs="Arial"/>
                <w:spacing w:val="-4"/>
                <w:sz w:val="20"/>
                <w:szCs w:val="20"/>
              </w:rPr>
              <w:t>0,1 %).</w:t>
            </w:r>
          </w:p>
        </w:tc>
      </w:tr>
      <w:tr w:rsidR="00F4587B" w:rsidRPr="00016778" w14:paraId="7D801684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526EB341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Mzdový růst byl podpořen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spacing w:val="0"/>
              </w:rPr>
              <w:t>zlepšeným l</w:t>
            </w:r>
            <w:r>
              <w:rPr>
                <w:color w:val="0D0D0D" w:themeColor="text1" w:themeTint="F2"/>
              </w:rPr>
              <w:t xml:space="preserve">oňským </w:t>
            </w:r>
            <w:r>
              <w:rPr>
                <w:color w:val="0D0D0D" w:themeColor="text1" w:themeTint="F2"/>
                <w:spacing w:val="0"/>
              </w:rPr>
              <w:t xml:space="preserve">výkonem ekonomiky </w:t>
            </w:r>
            <w:r>
              <w:rPr>
                <w:color w:val="0D0D0D" w:themeColor="text1" w:themeTint="F2"/>
                <w:spacing w:val="0"/>
              </w:rPr>
              <w:br/>
              <w:t xml:space="preserve">i přetrvávajícím nedostatkem volné </w:t>
            </w:r>
            <w:r>
              <w:rPr>
                <w:color w:val="0D0D0D" w:themeColor="text1" w:themeTint="F2"/>
                <w:spacing w:val="0"/>
              </w:rPr>
              <w:lastRenderedPageBreak/>
              <w:t>pracovní síly v řadě oborů.</w:t>
            </w:r>
          </w:p>
        </w:tc>
        <w:tc>
          <w:tcPr>
            <w:tcW w:w="175" w:type="dxa"/>
            <w:tcMar>
              <w:left w:w="0" w:type="dxa"/>
            </w:tcMar>
          </w:tcPr>
          <w:p w14:paraId="7BDF9C0D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4C72A96A" w14:textId="77777777" w:rsidR="00F4587B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Aktuální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svižný mzdový růst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(s ohledem na určitou setrvačnost)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souvis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el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s postupným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l</w:t>
            </w:r>
            <w:r w:rsidRPr="003800BB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oňsk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ým</w:t>
            </w:r>
            <w:r w:rsidRPr="003800BB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posilováním výkonu tuzemské ekonomiky, včetně růstu produktivity práce. Projev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oval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se i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dlouhodobější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nedostatek volné pracovní síly, je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n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ž je nejvíce viditelný ve stavebnictví, ale i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některých službách (např. v dopravě). Vzhledem k přetrvávající poměrně nízké nezaměstnanosti (i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k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jej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ímu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vcelku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stabilní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mu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výhled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u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na nejbližší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lastRenderedPageBreak/>
              <w:t>období) a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absenci výrazněji akcentovaných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obav domácností z jejího růstu m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ohlo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docházet k větší fluktuaci pracovníků. Ti mohou být více motivováni ke změně pracovního místa s vidinou vyššího výdělku (mj. i vlivem státní politiky zaměstnanosti – růst nabídky rekvalifikací, zvýšení státní podpory lidem v prvních měsících nezaměstnanosti). </w:t>
            </w:r>
            <w:r w:rsidRPr="00903591">
              <w:rPr>
                <w:rStyle w:val="normaltextrun"/>
                <w:rFonts w:ascii="Arial" w:eastAsia="MS Gothic" w:hAnsi="Arial" w:cs="Arial"/>
                <w:color w:val="0D0D0D" w:themeColor="text1" w:themeTint="F2"/>
                <w:sz w:val="20"/>
                <w:szCs w:val="20"/>
              </w:rPr>
              <w:t xml:space="preserve">Na druhou stranu </w:t>
            </w:r>
            <w:r w:rsidRPr="00903591">
              <w:rPr>
                <w:rFonts w:ascii="Arial" w:hAnsi="Arial" w:cs="Arial"/>
                <w:sz w:val="20"/>
                <w:szCs w:val="20"/>
              </w:rPr>
              <w:t>m</w:t>
            </w:r>
            <w:r w:rsidRPr="0090359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zdový růst v ekonomice stále tlumila potřeba úspor v rozpočtové sféře a také vytrvale rostoucí počet zahraničních pracovníků ze „třetích zemí“. Ti často obsazují nízkokvalifikované pozice a jejich výdělky tudíž zpravidla nedosahují úrovně občanů Česka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.</w:t>
            </w:r>
          </w:p>
          <w:p w14:paraId="65DA29BD" w14:textId="77777777" w:rsidR="00F4587B" w:rsidRPr="00903591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F4587B" w:rsidRPr="00016778" w14:paraId="74D5FB70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35ECC482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lastRenderedPageBreak/>
              <w:t>Růst reálné mzdy vystoupal na téměř pětileté maximum.</w:t>
            </w:r>
          </w:p>
        </w:tc>
        <w:tc>
          <w:tcPr>
            <w:tcW w:w="175" w:type="dxa"/>
            <w:tcMar>
              <w:left w:w="0" w:type="dxa"/>
            </w:tcMar>
          </w:tcPr>
          <w:p w14:paraId="573B811F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20D5708F" w14:textId="77777777" w:rsidR="00F4587B" w:rsidRPr="00224C67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Z</w:t>
            </w:r>
            <w:r w:rsidRPr="00915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klidnění růstu spotřebitelských cen (ty v 1. čtvrtletí 2026 vzrostly meziročně jen o 1,6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 </w:t>
            </w:r>
            <w:r w:rsidRPr="00915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%,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nejméně od konce roku 2016) spolu s výše uvedeným svižným nominálním mzdovým růstem</w:t>
            </w:r>
            <w:r w:rsidRPr="00915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letos vyústily v 6,4% růst kupní síly průměrných mezd, nejvyšší za posledních bezmála pět let. </w:t>
            </w:r>
            <w:r w:rsidRPr="00F8086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Na úrovni celé ekonomiky roste meziročně reálná mzda nepřetržitě od počátku roku 2024.</w:t>
            </w:r>
            <w:r w:rsidRPr="000B5ECC">
              <w:rPr>
                <w:rStyle w:val="normaltextrun"/>
                <w:rFonts w:ascii="Arial" w:eastAsiaTheme="majorEastAsia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374BDFD0" w14:textId="77777777" w:rsidR="00F4587B" w:rsidRPr="00F80861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F4587B" w:rsidRPr="00016778" w14:paraId="28E079C0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501BDF76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</w:rPr>
              <w:t xml:space="preserve">Mzdový růst byl tažen tržním segmentem ekonomiky. V řadě </w:t>
            </w:r>
            <w:proofErr w:type="spellStart"/>
            <w:r>
              <w:rPr>
                <w:color w:val="0D0D0D" w:themeColor="text1" w:themeTint="F2"/>
              </w:rPr>
              <w:t>nízkovýdělečných</w:t>
            </w:r>
            <w:proofErr w:type="spellEnd"/>
            <w:r>
              <w:rPr>
                <w:color w:val="0D0D0D" w:themeColor="text1" w:themeTint="F2"/>
              </w:rPr>
              <w:t xml:space="preserve"> odvětví se projevil vliv zvýšení minimální mzdy.</w:t>
            </w:r>
          </w:p>
        </w:tc>
        <w:tc>
          <w:tcPr>
            <w:tcW w:w="175" w:type="dxa"/>
            <w:tcMar>
              <w:left w:w="0" w:type="dxa"/>
            </w:tcMar>
          </w:tcPr>
          <w:p w14:paraId="5858A1BC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5B418A67" w14:textId="77777777" w:rsidR="00F4587B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Růst průměrné nominální mzdy byl v 1. čtvrtletí tažen zejména tržním segmentem ekonomiky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a 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nejvyšší tempa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 něm 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zpravidla dosáhla odvětví s podprůměrnou mzdovou úrovní. Mezi hlavními odvětvími došlo k relativně nejv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ýraznějšímu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navýšení v činnostech v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oblasti nemovitostí (22,1 %), v administrativních a podpůrných činnostech (18,8 %). Dále také ve stavebnictví (12,6 %) či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 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zemědělství, lesnictví a rybářství (+11,2 %), v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těchto oblastech se dlouhodobě projevuje nedostatek pracovníků na trhu. Tento vliv spolu s růstem zákonné minimální mzdy se promítl i do tempa mezd v ubytování, stravování a pohostinství (+11,9 %). Svižný mzdový růst nastal také v profesních, vědeckých a technických činnostech (+11,8 %), toto odvětví se od všech výše uvedených odlišuje vysokým podílem kvalifikované pracovní sily specialistů a z toho vyplývající nadprůměrnou mzdovou úrovní (65,7 tis. korun/měs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íc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).</w:t>
            </w:r>
          </w:p>
          <w:p w14:paraId="7C677AD7" w14:textId="77777777" w:rsidR="00F4587B" w:rsidRPr="00F80861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F4587B" w:rsidRPr="00016778" w14:paraId="4A8E6BBA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46AB871A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Relativně slabý mzdový růst v energetice souvisí se zvýšenou loňskou základnou, do níž se promítly výplaty mimořádných odměn.</w:t>
            </w:r>
          </w:p>
          <w:p w14:paraId="3D6ACDCE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45663E1D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E69B60C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879F08F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90E5DB7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Mzdový růst ve zpracovatelském průmyslu na rozdíl od předchozích let letos zaostal za tempem celé ekonomiky.</w:t>
            </w:r>
          </w:p>
          <w:p w14:paraId="772DFF0F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A9ECA86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8CC5C0E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52F47C12" w14:textId="77777777" w:rsidR="00F4587B" w:rsidRPr="009C466F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0848A977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6699F56C" w14:textId="77777777" w:rsidR="00F4587B" w:rsidRPr="00B82257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/>
                <w:sz w:val="20"/>
              </w:rPr>
            </w:pP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 xml:space="preserve">Naopak k nejnižšímu mzdovému růstu došlo letos ve výrobě a rozvodu elektřiny, plynu, tepla a klimatizovaného vzduchu (2,1 %, především vlivem loňské základny vzedmuté výplatou mimořádných odměn ve vazbě na dobré hospodářské výsledky tohoto odvětví). I to však stačilo na to, aby i zde kupní síla mezd vzrostla. Relativně (nikoli v absolutním vyjádření) podprůměrně se zvýšily mzdy v peněžnictví a pojišťovnictví (+5,8 %) a jejich měsíční úroveň 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(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>89,1 tis. korun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/měsíc)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 xml:space="preserve"> a byla mezi odvětvími druhá nejvyšší (po informačních a komunikačních činnostech – s 98,8 tis. korun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/měsíc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 xml:space="preserve"> a relativně průměrným tempem mzdového navýšení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: +8,5 %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 xml:space="preserve">). Slabším tempem rostly nadále mzdy ve zpracovatelském průmyslu (+6,9 %), z jeho hlavních oborů vykázalo mírně lepší výsledky např. potravinářství (+8,4 %), v němž 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(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>pro průmysl netypicky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)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 xml:space="preserve"> pokračoval i růst zaměstnanosti. Podprůměrn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ě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 xml:space="preserve"> si na mzdách polepšila také všechna odvětví s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 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>významnou rolí státu – nejslabší tempo bylo ve zdravotní a sociální péči (+4,8 %) a ve veřejné správě, obraně a soc. zabezpečení (+5,6 %), kde by však mělo letos od 2.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 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>čtvrtletí dojít k akceleraci (vlivem plošného navýšen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í</w:t>
            </w:r>
            <w:r w:rsidRPr="00B82257">
              <w:rPr>
                <w:rStyle w:val="normaltextrun"/>
                <w:rFonts w:ascii="Arial" w:eastAsiaTheme="majorEastAsia" w:hAnsi="Arial"/>
                <w:sz w:val="20"/>
              </w:rPr>
              <w:t xml:space="preserve"> tarifů o 9 % u váhově významných skupin zaměstnanců).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 xml:space="preserve"> V obchodu, jenž představuje váhově dominantní odvětví služeb, letošní růst mezd kopíroval dynamiku v celé ekonomice (+8,1 %), po celý předcházející rok za ní přitom poměrně viditelně zaostával. I proto aktuální dosažená mzdová úroveň 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(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47,5 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tis. korun/měs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íc</w:t>
            </w:r>
            <w:r w:rsidRPr="00B822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)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stále mírně zaostává </w:t>
            </w:r>
            <w:r>
              <w:rPr>
                <w:rStyle w:val="normaltextrun"/>
                <w:rFonts w:ascii="Arial" w:eastAsiaTheme="majorEastAsia" w:hAnsi="Arial"/>
                <w:sz w:val="20"/>
              </w:rPr>
              <w:t>za výší v celé ekonomice. Podobné platí rovněž pro odvětví dopravy a skladování, kde byl ovšem letos mzdový růst lehce nadprůměrný (+8,7 %), což platilo v předchozích dvou letech.</w:t>
            </w:r>
          </w:p>
          <w:p w14:paraId="3B691D1B" w14:textId="77777777" w:rsidR="00F4587B" w:rsidRPr="00A54AD3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F4587B" w:rsidRPr="00016778" w14:paraId="4FBA1B55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54C78D05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Relativně nejvyšší růst mezd vykázal Moravskoslezský kraj. V Praze byl tento růst průměrný, svižně se zde však zvyšovala zaměstnanost.</w:t>
            </w:r>
          </w:p>
        </w:tc>
        <w:tc>
          <w:tcPr>
            <w:tcW w:w="175" w:type="dxa"/>
            <w:tcMar>
              <w:left w:w="0" w:type="dxa"/>
            </w:tcMar>
          </w:tcPr>
          <w:p w14:paraId="0679D97A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0B98DCF0" w14:textId="4FD80A66" w:rsidR="00F4587B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Mezi regiony rostly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letos 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ve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1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. čtvrtletí průměrné nominální mzdy meziročně nejvíce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 Moravskoslezském kraji (+9,8 %) a nejméně v kraji Ústeckém (+6,3 %). Mzdová dynamika v Praze kopírovala celostátní tempo, ovšem evidenční počet zaměstnanců zde rostl nejvíce ze všech regionů (+1,4 %). V těsném závěsu následoval Pardubický kraj (+1,3 %), jenž navíc docílil i mírně nadprůměrného růstu mezd (+8,7 %). Nepatrné snížení počtu zaměstnanců postihlo Moravskoslezský, Karlovarský a Královéhradecký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lastRenderedPageBreak/>
              <w:t xml:space="preserve">kraj (v prvních dvou případech se patrně projevil dopad řízeného útlumu těžeb uhlí).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Mzdová hladina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v Praze (67,9 tis./měsíc) aktuálně převyšovala národní úroveň o 35 % a žádný z dalších regionů se nad celorepublikový průměr již nedostal (nejblíže mu byly kraje Středočeský a Jihomoravský (oba shodně zaostávaly okolo 2 %). Nejnižší mzdovou úroveň má dlouhodobě Karlovarský kraj (letos se nacházel na 84 % celorepublikové hladiny), s drobným odstupem byl následovaný Zlínským (86 %) a</w:t>
            </w:r>
            <w:r w:rsidR="002F205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Olomouckým krajem (87 %).</w:t>
            </w:r>
          </w:p>
          <w:p w14:paraId="02609ED6" w14:textId="77777777" w:rsidR="00F4587B" w:rsidRPr="00B82257" w:rsidRDefault="00F4587B" w:rsidP="000E74F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/>
                <w:sz w:val="20"/>
              </w:rPr>
            </w:pPr>
          </w:p>
        </w:tc>
      </w:tr>
      <w:tr w:rsidR="00F4587B" w:rsidRPr="00016778" w14:paraId="7C57DDEE" w14:textId="77777777" w:rsidTr="000E74FE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31B77070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75" w:type="dxa"/>
            <w:tcMar>
              <w:left w:w="0" w:type="dxa"/>
            </w:tcMar>
          </w:tcPr>
          <w:p w14:paraId="65613A06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5DFBE101" w14:textId="0CCD9C64" w:rsidR="00F4587B" w:rsidRDefault="00F4587B" w:rsidP="000E74FE">
            <w:pPr>
              <w:spacing w:after="0"/>
              <w:jc w:val="left"/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</w:pPr>
            <w:r w:rsidRPr="00BE517C"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  <w:t>Graf č. 1</w:t>
            </w:r>
            <w:r w:rsidR="00D75205"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  <w:t>5</w:t>
            </w:r>
            <w:r w:rsidRPr="00BE517C"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  <w:t xml:space="preserve"> </w:t>
            </w:r>
            <w:r w:rsidRPr="00A90A79"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  <w:t xml:space="preserve">Průměrná nominální i reálná mzda </w:t>
            </w:r>
            <w:r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  <w:t xml:space="preserve">v národním hospodářství </w:t>
            </w:r>
          </w:p>
          <w:p w14:paraId="22F3C1A0" w14:textId="77777777" w:rsidR="00F4587B" w:rsidRPr="00903591" w:rsidRDefault="00F4587B" w:rsidP="000E74FE">
            <w:pPr>
              <w:spacing w:after="200"/>
              <w:rPr>
                <w:rFonts w:eastAsiaTheme="majorEastAsia" w:cs="Arial"/>
                <w:color w:val="000000"/>
                <w:szCs w:val="20"/>
              </w:rPr>
            </w:pPr>
            <w:r w:rsidRPr="00BE517C">
              <w:rPr>
                <w:rFonts w:cs="Arial"/>
                <w:color w:val="0D0D0D" w:themeColor="text1" w:themeTint="F2"/>
                <w:spacing w:val="-6"/>
                <w:szCs w:val="20"/>
              </w:rPr>
              <w:t>(meziroční změna, v %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>)</w:t>
            </w:r>
          </w:p>
        </w:tc>
      </w:tr>
      <w:tr w:rsidR="00F4587B" w:rsidRPr="00016778" w14:paraId="39270B70" w14:textId="77777777" w:rsidTr="00C9082C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51E9E640" w14:textId="77777777" w:rsidR="00F4587B" w:rsidRPr="009C466F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227" w:type="dxa"/>
            <w:tcMar>
              <w:left w:w="0" w:type="dxa"/>
            </w:tcMar>
          </w:tcPr>
          <w:p w14:paraId="15330995" w14:textId="77777777" w:rsidR="00F4587B" w:rsidRPr="00B43216" w:rsidRDefault="00F4587B" w:rsidP="000E74FE">
            <w:pPr>
              <w:pStyle w:val="Textpoznpodarou"/>
              <w:jc w:val="both"/>
              <w:rPr>
                <w:spacing w:val="-4"/>
              </w:rPr>
            </w:pPr>
          </w:p>
          <w:p w14:paraId="620354EC" w14:textId="77777777" w:rsidR="00F4587B" w:rsidRPr="00016778" w:rsidRDefault="00F4587B" w:rsidP="000E74FE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34DDB9A0" w14:textId="77777777" w:rsidR="00F4587B" w:rsidRPr="00903591" w:rsidRDefault="00F4587B" w:rsidP="000E74FE">
            <w:pPr>
              <w:spacing w:before="20" w:after="40"/>
              <w:rPr>
                <w:rFonts w:eastAsiaTheme="majorEastAsia" w:cs="Arial"/>
                <w:color w:val="00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147717" wp14:editId="2629858C">
                  <wp:extent cx="4753155" cy="3958590"/>
                  <wp:effectExtent l="0" t="0" r="0" b="3810"/>
                  <wp:docPr id="696644635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3A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F4587B" w:rsidRPr="00016778" w14:paraId="51EB5D77" w14:textId="77777777" w:rsidTr="00C9082C">
        <w:trPr>
          <w:trHeight w:val="132"/>
        </w:trPr>
        <w:tc>
          <w:tcPr>
            <w:tcW w:w="1796" w:type="dxa"/>
            <w:tcMar>
              <w:left w:w="0" w:type="dxa"/>
            </w:tcMar>
          </w:tcPr>
          <w:p w14:paraId="29EE9923" w14:textId="77777777" w:rsidR="00F4587B" w:rsidRDefault="00F4587B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227" w:type="dxa"/>
            <w:tcMar>
              <w:left w:w="0" w:type="dxa"/>
            </w:tcMar>
          </w:tcPr>
          <w:p w14:paraId="41759833" w14:textId="77777777" w:rsidR="00F4587B" w:rsidRPr="00016778" w:rsidRDefault="00F4587B" w:rsidP="00C9082C">
            <w:pPr>
              <w:pStyle w:val="Textpoznpodarou"/>
              <w:ind w:right="-5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03" w:type="dxa"/>
            <w:tcMar>
              <w:left w:w="0" w:type="dxa"/>
            </w:tcMar>
          </w:tcPr>
          <w:p w14:paraId="575CB71D" w14:textId="77777777" w:rsidR="00F4587B" w:rsidRDefault="00F4587B" w:rsidP="000E74FE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*</w:t>
            </w: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Zahrnuj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e odvětví s významnou rolí vládního sektoru</w:t>
            </w: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: Veřejná správa a obrana, povinné sociální zabezpečení; Vzdělávání; Zdravotní a sociální péče; Kulturn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í, zábavní a rekreační činnosti.</w:t>
            </w:r>
          </w:p>
          <w:p w14:paraId="1AE9C488" w14:textId="77777777" w:rsidR="00F4587B" w:rsidRDefault="00F4587B" w:rsidP="000E74FE">
            <w:pPr>
              <w:spacing w:after="0"/>
              <w:jc w:val="left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Zdroj: ČSÚ</w:t>
            </w:r>
          </w:p>
          <w:p w14:paraId="15254597" w14:textId="77777777" w:rsidR="00F4587B" w:rsidRPr="00151F13" w:rsidRDefault="00F4587B" w:rsidP="000E74FE">
            <w:pPr>
              <w:spacing w:after="0"/>
              <w:jc w:val="left"/>
              <w:rPr>
                <w:rStyle w:val="normaltextrun"/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</w:p>
        </w:tc>
      </w:tr>
    </w:tbl>
    <w:p w14:paraId="22A07E09" w14:textId="4E33ECCF" w:rsidR="00F4587B" w:rsidRDefault="00F4587B">
      <w:pPr>
        <w:spacing w:after="0" w:line="240" w:lineRule="auto"/>
        <w:jc w:val="left"/>
        <w:rPr>
          <w:rFonts w:eastAsia="MS Gothic"/>
          <w:b/>
          <w:bCs/>
          <w:color w:val="86BF5E"/>
          <w:sz w:val="32"/>
          <w:szCs w:val="28"/>
        </w:rPr>
      </w:pPr>
    </w:p>
    <w:sectPr w:rsidR="00F4587B" w:rsidSect="00DE2F95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A0E6" w14:textId="77777777" w:rsidR="00640ACD" w:rsidRDefault="00640ACD" w:rsidP="00E71A58">
      <w:r>
        <w:separator/>
      </w:r>
    </w:p>
  </w:endnote>
  <w:endnote w:type="continuationSeparator" w:id="0">
    <w:p w14:paraId="1FA763B6" w14:textId="77777777" w:rsidR="00640ACD" w:rsidRDefault="00640AC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2E38F52B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1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D53EAD">
      <w:rPr>
        <w:szCs w:val="16"/>
      </w:rPr>
      <w:t xml:space="preserve">1. čtvrtletí </w:t>
    </w:r>
    <w:r w:rsidR="00C5418A">
      <w:rPr>
        <w:szCs w:val="16"/>
      </w:rPr>
      <w:t>202</w:t>
    </w:r>
    <w:r w:rsidR="00D53EAD">
      <w:rPr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8290478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D53EAD">
      <w:rPr>
        <w:szCs w:val="16"/>
      </w:rPr>
      <w:t>1. čtvrtletí</w:t>
    </w:r>
    <w:r>
      <w:rPr>
        <w:szCs w:val="16"/>
      </w:rPr>
      <w:t xml:space="preserve"> 202</w:t>
    </w:r>
    <w:r w:rsidR="00D53EAD">
      <w:rPr>
        <w:szCs w:val="16"/>
      </w:rPr>
      <w:t>6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BEC0" w14:textId="77777777" w:rsidR="00640ACD" w:rsidRDefault="00640ACD" w:rsidP="00EA4302">
      <w:pPr>
        <w:spacing w:after="0"/>
      </w:pPr>
      <w:r>
        <w:separator/>
      </w:r>
    </w:p>
  </w:footnote>
  <w:footnote w:type="continuationSeparator" w:id="0">
    <w:p w14:paraId="17092B7E" w14:textId="77777777" w:rsidR="00640ACD" w:rsidRDefault="00640ACD" w:rsidP="00E71A58">
      <w:r>
        <w:continuationSeparator/>
      </w:r>
    </w:p>
  </w:footnote>
  <w:footnote w:id="1">
    <w:p w14:paraId="21F51DAF" w14:textId="77777777" w:rsidR="00F4587B" w:rsidRPr="00F72E52" w:rsidRDefault="00F4587B" w:rsidP="00F4587B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F72E52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F72E52">
        <w:rPr>
          <w:color w:val="0D0D0D" w:themeColor="text1" w:themeTint="F2"/>
          <w:spacing w:val="-2"/>
          <w:sz w:val="16"/>
          <w:szCs w:val="16"/>
        </w:rPr>
        <w:t xml:space="preserve"> Údaje </w:t>
      </w:r>
      <w:r>
        <w:rPr>
          <w:color w:val="0D0D0D" w:themeColor="text1" w:themeTint="F2"/>
          <w:spacing w:val="-2"/>
          <w:sz w:val="16"/>
          <w:szCs w:val="16"/>
        </w:rPr>
        <w:t xml:space="preserve">o zaměstnanosti </w:t>
      </w:r>
      <w:r w:rsidRPr="00F72E52">
        <w:rPr>
          <w:color w:val="0D0D0D" w:themeColor="text1" w:themeTint="F2"/>
          <w:spacing w:val="-2"/>
          <w:sz w:val="16"/>
          <w:szCs w:val="16"/>
        </w:rPr>
        <w:t>vycház</w:t>
      </w:r>
      <w:r>
        <w:rPr>
          <w:color w:val="0D0D0D" w:themeColor="text1" w:themeTint="F2"/>
          <w:spacing w:val="-2"/>
          <w:sz w:val="16"/>
          <w:szCs w:val="16"/>
        </w:rPr>
        <w:t>ej</w:t>
      </w:r>
      <w:r w:rsidRPr="00F72E52">
        <w:rPr>
          <w:color w:val="0D0D0D" w:themeColor="text1" w:themeTint="F2"/>
          <w:spacing w:val="-2"/>
          <w:sz w:val="16"/>
          <w:szCs w:val="16"/>
        </w:rPr>
        <w:t>í z</w:t>
      </w:r>
      <w:r>
        <w:rPr>
          <w:color w:val="0D0D0D" w:themeColor="text1" w:themeTint="F2"/>
          <w:spacing w:val="-2"/>
          <w:sz w:val="16"/>
          <w:szCs w:val="16"/>
        </w:rPr>
        <w:t> </w:t>
      </w:r>
      <w:r w:rsidRPr="00F72E52">
        <w:rPr>
          <w:color w:val="0D0D0D" w:themeColor="text1" w:themeTint="F2"/>
          <w:spacing w:val="-2"/>
          <w:sz w:val="16"/>
          <w:szCs w:val="16"/>
        </w:rPr>
        <w:t>pojetí národních účtů. Jsou vyjádřeny ve fyzických osobách a</w:t>
      </w:r>
      <w:r>
        <w:rPr>
          <w:color w:val="0D0D0D" w:themeColor="text1" w:themeTint="F2"/>
          <w:spacing w:val="-2"/>
          <w:sz w:val="16"/>
          <w:szCs w:val="16"/>
        </w:rPr>
        <w:t> </w:t>
      </w:r>
      <w:r w:rsidRPr="00F72E52">
        <w:rPr>
          <w:color w:val="0D0D0D" w:themeColor="text1" w:themeTint="F2"/>
          <w:spacing w:val="-2"/>
          <w:sz w:val="16"/>
          <w:szCs w:val="16"/>
        </w:rPr>
        <w:t>očištěny o sezónní vlivy.</w:t>
      </w:r>
      <w:r>
        <w:rPr>
          <w:color w:val="0D0D0D" w:themeColor="text1" w:themeTint="F2"/>
          <w:spacing w:val="-2"/>
          <w:sz w:val="16"/>
          <w:szCs w:val="16"/>
        </w:rPr>
        <w:t xml:space="preserve"> Na rozdíl od údajů z podnikové statistiky či z </w:t>
      </w:r>
      <w:r w:rsidRPr="00946AFA">
        <w:rPr>
          <w:sz w:val="16"/>
          <w:szCs w:val="16"/>
        </w:rPr>
        <w:t xml:space="preserve">výběrového šetření pracovních sil </w:t>
      </w:r>
      <w:r>
        <w:rPr>
          <w:sz w:val="16"/>
          <w:szCs w:val="16"/>
        </w:rPr>
        <w:t>(VŠPS) zahrnují např. i odhad vlivu šedé ekonomiky.</w:t>
      </w:r>
    </w:p>
  </w:footnote>
  <w:footnote w:id="2">
    <w:p w14:paraId="53808389" w14:textId="77777777" w:rsidR="00F4587B" w:rsidRPr="000412D4" w:rsidRDefault="00F4587B" w:rsidP="00F4587B">
      <w:pPr>
        <w:pStyle w:val="Textpoznpodarou"/>
        <w:rPr>
          <w:sz w:val="16"/>
          <w:szCs w:val="16"/>
        </w:rPr>
      </w:pPr>
      <w:r w:rsidRPr="000412D4">
        <w:rPr>
          <w:rStyle w:val="Znakapoznpodarou"/>
          <w:sz w:val="16"/>
          <w:szCs w:val="16"/>
        </w:rPr>
        <w:footnoteRef/>
      </w:r>
      <w:r w:rsidRPr="000412D4">
        <w:rPr>
          <w:sz w:val="16"/>
          <w:szCs w:val="16"/>
        </w:rPr>
        <w:t xml:space="preserve"> V odvětví veřejná správa a obrana, vzdělávání, zdravotní a sociální péče</w:t>
      </w:r>
      <w:r>
        <w:rPr>
          <w:sz w:val="16"/>
          <w:szCs w:val="16"/>
        </w:rPr>
        <w:t xml:space="preserve"> bylo letos v 1. čtvrtletí ve srovnání s koncem roku 2018 zaměstnáno o 13 % (+130 tis.) osob více. Významný vliv mělo i navýšení v profesních</w:t>
      </w:r>
      <w:r w:rsidRPr="00591EF5">
        <w:rPr>
          <w:sz w:val="16"/>
          <w:szCs w:val="16"/>
        </w:rPr>
        <w:t>, vě</w:t>
      </w:r>
      <w:r>
        <w:rPr>
          <w:sz w:val="16"/>
          <w:szCs w:val="16"/>
        </w:rPr>
        <w:t>deckých, technických a administrativních činnostech (+9 %), i</w:t>
      </w:r>
      <w:r w:rsidRPr="00591EF5">
        <w:rPr>
          <w:sz w:val="16"/>
          <w:szCs w:val="16"/>
        </w:rPr>
        <w:t>nformační</w:t>
      </w:r>
      <w:r>
        <w:rPr>
          <w:sz w:val="16"/>
          <w:szCs w:val="16"/>
        </w:rPr>
        <w:t>ch</w:t>
      </w:r>
      <w:r w:rsidRPr="00591EF5">
        <w:rPr>
          <w:sz w:val="16"/>
          <w:szCs w:val="16"/>
        </w:rPr>
        <w:t xml:space="preserve"> a komunikační</w:t>
      </w:r>
      <w:r>
        <w:rPr>
          <w:sz w:val="16"/>
          <w:szCs w:val="16"/>
        </w:rPr>
        <w:t>ch činnostech (+23 %) a též v oblasti nemovitostí. Z tradičních odvětví hmotné výroby se zvýšila pouze zaměstnanost ve stavebnictví (+12 %, resp. +46 tis. osob), v průmyslu citelně ubylo pracovníků (</w:t>
      </w:r>
      <w:r w:rsidRPr="00ED60FF">
        <w:rPr>
          <w:color w:val="0D0D0D" w:themeColor="text1" w:themeTint="F2"/>
          <w:spacing w:val="-2"/>
          <w:sz w:val="16"/>
          <w:szCs w:val="16"/>
        </w:rPr>
        <w:t>−</w:t>
      </w:r>
      <w:r>
        <w:rPr>
          <w:sz w:val="16"/>
          <w:szCs w:val="16"/>
        </w:rPr>
        <w:t xml:space="preserve">9 %, </w:t>
      </w:r>
      <w:r w:rsidRPr="00ED60FF">
        <w:rPr>
          <w:color w:val="0D0D0D" w:themeColor="text1" w:themeTint="F2"/>
          <w:spacing w:val="-2"/>
          <w:sz w:val="16"/>
          <w:szCs w:val="16"/>
        </w:rPr>
        <w:t>−</w:t>
      </w:r>
      <w:r>
        <w:rPr>
          <w:color w:val="0D0D0D" w:themeColor="text1" w:themeTint="F2"/>
          <w:spacing w:val="-2"/>
          <w:sz w:val="16"/>
          <w:szCs w:val="16"/>
        </w:rPr>
        <w:t>1</w:t>
      </w:r>
      <w:r>
        <w:rPr>
          <w:sz w:val="16"/>
          <w:szCs w:val="16"/>
        </w:rPr>
        <w:t>36 tis.).</w:t>
      </w:r>
    </w:p>
  </w:footnote>
  <w:footnote w:id="3">
    <w:p w14:paraId="04430B1F" w14:textId="77777777" w:rsidR="00F4587B" w:rsidRPr="004D3AFF" w:rsidRDefault="00F4587B" w:rsidP="00F4587B">
      <w:pPr>
        <w:pStyle w:val="Textpoznpodarou"/>
        <w:rPr>
          <w:sz w:val="16"/>
          <w:szCs w:val="16"/>
        </w:rPr>
      </w:pPr>
      <w:r w:rsidRPr="004D3AFF">
        <w:rPr>
          <w:rStyle w:val="Znakapoznpodarou"/>
          <w:sz w:val="16"/>
          <w:szCs w:val="16"/>
        </w:rPr>
        <w:footnoteRef/>
      </w:r>
      <w:r w:rsidRPr="004D3AFF">
        <w:rPr>
          <w:sz w:val="16"/>
          <w:szCs w:val="16"/>
        </w:rPr>
        <w:t xml:space="preserve"> Z podrobnějších údajů </w:t>
      </w:r>
      <w:r>
        <w:rPr>
          <w:sz w:val="16"/>
          <w:szCs w:val="16"/>
        </w:rPr>
        <w:t xml:space="preserve">VŠPS </w:t>
      </w:r>
      <w:r w:rsidRPr="004D3AFF">
        <w:rPr>
          <w:sz w:val="16"/>
          <w:szCs w:val="16"/>
        </w:rPr>
        <w:t xml:space="preserve">plyne, že </w:t>
      </w:r>
      <w:r>
        <w:rPr>
          <w:sz w:val="16"/>
          <w:szCs w:val="16"/>
        </w:rPr>
        <w:t>v 1.</w:t>
      </w:r>
      <w:r w:rsidRPr="004D3AFF">
        <w:rPr>
          <w:sz w:val="16"/>
          <w:szCs w:val="16"/>
        </w:rPr>
        <w:t xml:space="preserve"> čtvrtletí 202</w:t>
      </w:r>
      <w:r>
        <w:rPr>
          <w:sz w:val="16"/>
          <w:szCs w:val="16"/>
        </w:rPr>
        <w:t>6</w:t>
      </w:r>
      <w:r w:rsidRPr="004D3AFF">
        <w:rPr>
          <w:sz w:val="16"/>
          <w:szCs w:val="16"/>
        </w:rPr>
        <w:t xml:space="preserve"> se meziročně zvyšovaly </w:t>
      </w:r>
      <w:r>
        <w:rPr>
          <w:sz w:val="16"/>
          <w:szCs w:val="16"/>
        </w:rPr>
        <w:t>pouze</w:t>
      </w:r>
      <w:r w:rsidRPr="004D3AFF">
        <w:rPr>
          <w:sz w:val="16"/>
          <w:szCs w:val="16"/>
        </w:rPr>
        <w:t xml:space="preserve"> počty podnikatel</w:t>
      </w:r>
      <w:r>
        <w:rPr>
          <w:sz w:val="16"/>
          <w:szCs w:val="16"/>
        </w:rPr>
        <w:t>ů</w:t>
      </w:r>
      <w:r w:rsidRPr="004D3AFF">
        <w:rPr>
          <w:sz w:val="16"/>
          <w:szCs w:val="16"/>
        </w:rPr>
        <w:t xml:space="preserve"> bez zaměstnanců</w:t>
      </w:r>
      <w:r>
        <w:rPr>
          <w:sz w:val="16"/>
          <w:szCs w:val="16"/>
        </w:rPr>
        <w:t>. Naproti tomu podnikatelů se zaměstnanci (</w:t>
      </w:r>
      <w:r w:rsidRPr="004D3AFF">
        <w:rPr>
          <w:sz w:val="16"/>
          <w:szCs w:val="16"/>
        </w:rPr>
        <w:t>zaměstnavatel</w:t>
      </w:r>
      <w:r>
        <w:rPr>
          <w:sz w:val="16"/>
          <w:szCs w:val="16"/>
        </w:rPr>
        <w:t>ů) ubývalo, což navazovalo na dlouhodobější trendy.</w:t>
      </w:r>
    </w:p>
  </w:footnote>
  <w:footnote w:id="4">
    <w:p w14:paraId="1B0E4A67" w14:textId="77777777" w:rsidR="00F4587B" w:rsidRDefault="00F4587B" w:rsidP="00F4587B">
      <w:pPr>
        <w:pStyle w:val="Textpoznpodarou"/>
      </w:pPr>
      <w:r w:rsidRPr="00442EDD">
        <w:rPr>
          <w:rStyle w:val="Znakapoznpodarou"/>
          <w:sz w:val="16"/>
          <w:szCs w:val="16"/>
        </w:rPr>
        <w:footnoteRef/>
      </w:r>
      <w:r w:rsidRPr="00442ED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Pro zjednodušení </w:t>
      </w:r>
      <w:r>
        <w:rPr>
          <w:spacing w:val="-2"/>
          <w:sz w:val="16"/>
          <w:szCs w:val="16"/>
        </w:rPr>
        <w:t>zde z</w:t>
      </w:r>
      <w:r w:rsidRPr="00442EDD">
        <w:rPr>
          <w:spacing w:val="-2"/>
          <w:sz w:val="16"/>
          <w:szCs w:val="16"/>
        </w:rPr>
        <w:t xml:space="preserve">ahrnují </w:t>
      </w:r>
      <w:r>
        <w:rPr>
          <w:spacing w:val="-2"/>
          <w:sz w:val="16"/>
          <w:szCs w:val="16"/>
        </w:rPr>
        <w:t xml:space="preserve">uskupení </w:t>
      </w:r>
      <w:r w:rsidRPr="00442EDD">
        <w:rPr>
          <w:spacing w:val="-2"/>
          <w:sz w:val="16"/>
          <w:szCs w:val="16"/>
        </w:rPr>
        <w:t>od</w:t>
      </w:r>
      <w:r>
        <w:rPr>
          <w:spacing w:val="-2"/>
          <w:sz w:val="16"/>
          <w:szCs w:val="16"/>
        </w:rPr>
        <w:t>větví Veřejná správa a obrana, Vzdělávání, Z</w:t>
      </w:r>
      <w:r w:rsidRPr="00442EDD">
        <w:rPr>
          <w:spacing w:val="-2"/>
          <w:sz w:val="16"/>
          <w:szCs w:val="16"/>
        </w:rPr>
        <w:t>dravotní a sociální péče.</w:t>
      </w:r>
    </w:p>
  </w:footnote>
  <w:footnote w:id="5">
    <w:p w14:paraId="0E49165B" w14:textId="77777777" w:rsidR="00F4587B" w:rsidRPr="001E1EAE" w:rsidRDefault="00F4587B" w:rsidP="00F4587B">
      <w:pPr>
        <w:pStyle w:val="Textpoznpodarou"/>
        <w:rPr>
          <w:sz w:val="16"/>
          <w:szCs w:val="16"/>
        </w:rPr>
      </w:pPr>
      <w:r w:rsidRPr="001E1EAE">
        <w:rPr>
          <w:rStyle w:val="Znakapoznpodarou"/>
          <w:sz w:val="16"/>
          <w:szCs w:val="16"/>
        </w:rPr>
        <w:footnoteRef/>
      </w:r>
      <w:r w:rsidRPr="001E1EAE">
        <w:rPr>
          <w:sz w:val="16"/>
          <w:szCs w:val="16"/>
        </w:rPr>
        <w:t xml:space="preserve"> Jestliže</w:t>
      </w:r>
      <w:r>
        <w:rPr>
          <w:sz w:val="16"/>
          <w:szCs w:val="16"/>
        </w:rPr>
        <w:t xml:space="preserve"> se zde</w:t>
      </w:r>
      <w:r w:rsidRPr="001E1EAE">
        <w:rPr>
          <w:sz w:val="16"/>
          <w:szCs w:val="16"/>
        </w:rPr>
        <w:t xml:space="preserve"> počet zaměstnanců meziročně nepatrně snížil (klesl poprvé za posledních pět let)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sebezaměstnaných</w:t>
      </w:r>
      <w:proofErr w:type="spellEnd"/>
      <w:r>
        <w:rPr>
          <w:sz w:val="16"/>
          <w:szCs w:val="16"/>
        </w:rPr>
        <w:t xml:space="preserve"> přibylo o rovných 8 % (vyšším tempem jejich stavy narůstaly naposledy na počátku roku 2017). </w:t>
      </w:r>
    </w:p>
  </w:footnote>
  <w:footnote w:id="6">
    <w:p w14:paraId="24EB58BB" w14:textId="1C9A3367" w:rsidR="00F4587B" w:rsidRPr="00515FFB" w:rsidRDefault="00F4587B" w:rsidP="00F4587B">
      <w:pPr>
        <w:pStyle w:val="Textpoznpodarou"/>
        <w:rPr>
          <w:sz w:val="16"/>
          <w:szCs w:val="16"/>
        </w:rPr>
      </w:pPr>
      <w:r w:rsidRPr="00515FFB">
        <w:rPr>
          <w:rStyle w:val="Znakapoznpodarou"/>
          <w:sz w:val="16"/>
          <w:szCs w:val="16"/>
        </w:rPr>
        <w:footnoteRef/>
      </w:r>
      <w:r w:rsidRPr="00515FFB">
        <w:rPr>
          <w:sz w:val="16"/>
          <w:szCs w:val="16"/>
        </w:rPr>
        <w:t xml:space="preserve"> Oblast ICT</w:t>
      </w:r>
      <w:r w:rsidR="0060201D">
        <w:rPr>
          <w:sz w:val="16"/>
          <w:szCs w:val="16"/>
        </w:rPr>
        <w:t xml:space="preserve"> i </w:t>
      </w:r>
      <w:r w:rsidRPr="00515FFB">
        <w:rPr>
          <w:sz w:val="16"/>
          <w:szCs w:val="16"/>
        </w:rPr>
        <w:t>peněžnictví a pojišťovnictví čelí v</w:t>
      </w:r>
      <w:r w:rsidR="00352109">
        <w:rPr>
          <w:sz w:val="16"/>
          <w:szCs w:val="16"/>
        </w:rPr>
        <w:t xml:space="preserve"> současném </w:t>
      </w:r>
      <w:r w:rsidRPr="00515FFB">
        <w:rPr>
          <w:sz w:val="16"/>
          <w:szCs w:val="16"/>
        </w:rPr>
        <w:t>technologickém prostředí výzvám, jak udržet konkurenceschopnost i vysokou produktivitu a současně efektivně využít relativně nákladnou (a ne vždy snadno dostupnou) práci specialistů.</w:t>
      </w:r>
    </w:p>
  </w:footnote>
  <w:footnote w:id="7">
    <w:p w14:paraId="73B7D632" w14:textId="77777777" w:rsidR="00F4587B" w:rsidRDefault="00F4587B" w:rsidP="00F4587B">
      <w:pPr>
        <w:pStyle w:val="Textpoznpodarou"/>
      </w:pPr>
      <w:r w:rsidRPr="00AF2AB5">
        <w:rPr>
          <w:rStyle w:val="Znakapoznpodarou"/>
          <w:sz w:val="16"/>
          <w:szCs w:val="16"/>
        </w:rPr>
        <w:footnoteRef/>
      </w:r>
      <w:r w:rsidRPr="00AF2AB5">
        <w:rPr>
          <w:sz w:val="16"/>
          <w:szCs w:val="16"/>
        </w:rPr>
        <w:t xml:space="preserve"> </w:t>
      </w:r>
      <w:r w:rsidRPr="00B85732">
        <w:rPr>
          <w:spacing w:val="-2"/>
          <w:sz w:val="16"/>
          <w:szCs w:val="16"/>
        </w:rPr>
        <w:t>Ty zahrnují vedle kulturních, zábavních a rekreačních činností např. různé služby pro domácnosti (opravy výrobků, kadeřnické a kosmetické</w:t>
      </w:r>
      <w:r w:rsidRPr="00180D79">
        <w:rPr>
          <w:sz w:val="16"/>
          <w:szCs w:val="16"/>
        </w:rPr>
        <w:t xml:space="preserve"> činnosti aj.). Zaměstnanost </w:t>
      </w:r>
      <w:r>
        <w:rPr>
          <w:sz w:val="16"/>
          <w:szCs w:val="16"/>
        </w:rPr>
        <w:t xml:space="preserve">je </w:t>
      </w:r>
      <w:r w:rsidRPr="00180D79">
        <w:rPr>
          <w:sz w:val="16"/>
          <w:szCs w:val="16"/>
        </w:rPr>
        <w:t>v</w:t>
      </w:r>
      <w:r>
        <w:rPr>
          <w:sz w:val="16"/>
          <w:szCs w:val="16"/>
        </w:rPr>
        <w:t> </w:t>
      </w:r>
      <w:r w:rsidRPr="00180D79">
        <w:rPr>
          <w:sz w:val="16"/>
          <w:szCs w:val="16"/>
        </w:rPr>
        <w:t>t</w:t>
      </w:r>
      <w:r>
        <w:rPr>
          <w:sz w:val="16"/>
          <w:szCs w:val="16"/>
        </w:rPr>
        <w:t xml:space="preserve">omto odvětví tvořená z více než třetiny </w:t>
      </w:r>
      <w:r w:rsidRPr="00180D79">
        <w:rPr>
          <w:sz w:val="16"/>
          <w:szCs w:val="16"/>
        </w:rPr>
        <w:t>drobnými podnikateli</w:t>
      </w:r>
      <w:r>
        <w:rPr>
          <w:sz w:val="16"/>
          <w:szCs w:val="16"/>
        </w:rPr>
        <w:t xml:space="preserve"> (resp. </w:t>
      </w:r>
      <w:proofErr w:type="spellStart"/>
      <w:r>
        <w:rPr>
          <w:sz w:val="16"/>
          <w:szCs w:val="16"/>
        </w:rPr>
        <w:t>sebezaměstnanými</w:t>
      </w:r>
      <w:proofErr w:type="spellEnd"/>
      <w:r>
        <w:rPr>
          <w:sz w:val="16"/>
          <w:szCs w:val="16"/>
        </w:rPr>
        <w:t>).</w:t>
      </w:r>
    </w:p>
  </w:footnote>
  <w:footnote w:id="8">
    <w:p w14:paraId="6EA13B51" w14:textId="77777777" w:rsidR="00F4587B" w:rsidRPr="00B829AD" w:rsidRDefault="00F4587B" w:rsidP="00F4587B">
      <w:pPr>
        <w:pStyle w:val="Textpoznpodarou"/>
        <w:rPr>
          <w:sz w:val="16"/>
          <w:szCs w:val="16"/>
        </w:rPr>
      </w:pPr>
      <w:r w:rsidRPr="00B829AD">
        <w:rPr>
          <w:rStyle w:val="Znakapoznpodarou"/>
          <w:sz w:val="16"/>
          <w:szCs w:val="16"/>
        </w:rPr>
        <w:footnoteRef/>
      </w:r>
      <w:r w:rsidRPr="00B829AD">
        <w:rPr>
          <w:sz w:val="16"/>
          <w:szCs w:val="16"/>
        </w:rPr>
        <w:t xml:space="preserve"> Počet pracovníků v tomto odvětví, citelně zasaženém protipandemickými restrikcemi, překonal rekordní úroveň z vrcholu poslední konjunktury (na sklonku minulé dekády) teprve během loňského roku.</w:t>
      </w:r>
    </w:p>
  </w:footnote>
  <w:footnote w:id="9">
    <w:p w14:paraId="3A6D75B5" w14:textId="700EAA12" w:rsidR="00F4587B" w:rsidRPr="00B85732" w:rsidRDefault="00F4587B" w:rsidP="00F4587B">
      <w:pPr>
        <w:pStyle w:val="Textpoznpodarou"/>
        <w:rPr>
          <w:sz w:val="16"/>
          <w:szCs w:val="16"/>
        </w:rPr>
      </w:pPr>
      <w:r w:rsidRPr="00B85732">
        <w:rPr>
          <w:rStyle w:val="Znakapoznpodarou"/>
          <w:sz w:val="16"/>
          <w:szCs w:val="16"/>
        </w:rPr>
        <w:footnoteRef/>
      </w:r>
      <w:r w:rsidRPr="00B85732">
        <w:rPr>
          <w:sz w:val="16"/>
          <w:szCs w:val="16"/>
        </w:rPr>
        <w:t xml:space="preserve"> Pracovníků přibývalo také v několika menších oborech zaměřených na výrobu produktů krátkodobé spotřeby (potravinářský, nápojový a oděvní průmysl) a dále ve výrobě ostatních (zejména kolejových) dopravních prostředků a rovněž v opravách strojů a zařízení.</w:t>
      </w:r>
    </w:p>
  </w:footnote>
  <w:footnote w:id="10">
    <w:p w14:paraId="14496E28" w14:textId="77777777" w:rsidR="00F4587B" w:rsidRPr="00443624" w:rsidRDefault="00F4587B" w:rsidP="00F4587B">
      <w:pPr>
        <w:pStyle w:val="Textpoznpodarou"/>
        <w:rPr>
          <w:sz w:val="16"/>
          <w:szCs w:val="16"/>
        </w:rPr>
      </w:pPr>
      <w:r w:rsidRPr="00443624">
        <w:rPr>
          <w:rStyle w:val="Znakapoznpodarou"/>
          <w:sz w:val="16"/>
          <w:szCs w:val="16"/>
        </w:rPr>
        <w:footnoteRef/>
      </w:r>
      <w:r w:rsidRPr="00443624">
        <w:rPr>
          <w:sz w:val="16"/>
          <w:szCs w:val="16"/>
        </w:rPr>
        <w:t xml:space="preserve"> Údaje </w:t>
      </w:r>
      <w:r w:rsidRPr="00443624">
        <w:rPr>
          <w:color w:val="0D0D0D" w:themeColor="text1" w:themeTint="F2"/>
          <w:spacing w:val="-2"/>
          <w:sz w:val="16"/>
          <w:szCs w:val="16"/>
        </w:rPr>
        <w:t>vycházejí z pojetí národních účtů</w:t>
      </w:r>
      <w:r>
        <w:rPr>
          <w:color w:val="0D0D0D" w:themeColor="text1" w:themeTint="F2"/>
          <w:spacing w:val="-2"/>
          <w:sz w:val="16"/>
          <w:szCs w:val="16"/>
        </w:rPr>
        <w:t xml:space="preserve"> a jsou </w:t>
      </w:r>
      <w:r w:rsidRPr="00F72E52">
        <w:rPr>
          <w:color w:val="0D0D0D" w:themeColor="text1" w:themeTint="F2"/>
          <w:spacing w:val="-2"/>
          <w:sz w:val="16"/>
          <w:szCs w:val="16"/>
        </w:rPr>
        <w:t>očištěny o sezónní vlivy</w:t>
      </w:r>
      <w:r>
        <w:rPr>
          <w:color w:val="0D0D0D" w:themeColor="text1" w:themeTint="F2"/>
          <w:spacing w:val="-2"/>
          <w:sz w:val="16"/>
          <w:szCs w:val="16"/>
        </w:rPr>
        <w:t>.</w:t>
      </w:r>
    </w:p>
  </w:footnote>
  <w:footnote w:id="11">
    <w:p w14:paraId="6013C05B" w14:textId="77777777" w:rsidR="00F4587B" w:rsidRPr="00B358BA" w:rsidRDefault="00F4587B" w:rsidP="00F4587B">
      <w:pPr>
        <w:pStyle w:val="Textpoznpodarou"/>
        <w:rPr>
          <w:sz w:val="16"/>
          <w:szCs w:val="16"/>
        </w:rPr>
      </w:pPr>
      <w:r w:rsidRPr="00B358BA">
        <w:rPr>
          <w:rStyle w:val="Znakapoznpodarou"/>
          <w:sz w:val="16"/>
          <w:szCs w:val="16"/>
        </w:rPr>
        <w:footnoteRef/>
      </w:r>
      <w:r w:rsidRPr="00B358BA">
        <w:rPr>
          <w:sz w:val="16"/>
          <w:szCs w:val="16"/>
        </w:rPr>
        <w:t xml:space="preserve"> </w:t>
      </w:r>
      <w:r w:rsidRPr="00B358BA">
        <w:rPr>
          <w:spacing w:val="-4"/>
          <w:sz w:val="16"/>
          <w:szCs w:val="16"/>
        </w:rPr>
        <w:t>Ve srovnání s</w:t>
      </w:r>
      <w:r>
        <w:rPr>
          <w:spacing w:val="-4"/>
          <w:sz w:val="16"/>
          <w:szCs w:val="16"/>
        </w:rPr>
        <w:t xml:space="preserve"> počátkem roku </w:t>
      </w:r>
      <w:r w:rsidRPr="00B358BA">
        <w:rPr>
          <w:spacing w:val="-4"/>
          <w:sz w:val="16"/>
          <w:szCs w:val="16"/>
        </w:rPr>
        <w:t>2019 byl l</w:t>
      </w:r>
      <w:r>
        <w:rPr>
          <w:spacing w:val="-4"/>
          <w:sz w:val="16"/>
          <w:szCs w:val="16"/>
        </w:rPr>
        <w:t>etos</w:t>
      </w:r>
      <w:r w:rsidRPr="00B358BA">
        <w:rPr>
          <w:spacing w:val="-4"/>
          <w:sz w:val="16"/>
          <w:szCs w:val="16"/>
        </w:rPr>
        <w:t xml:space="preserve"> počet odpracovaných hodin v ekonomice vyšší o </w:t>
      </w:r>
      <w:r>
        <w:rPr>
          <w:spacing w:val="-4"/>
          <w:sz w:val="16"/>
          <w:szCs w:val="16"/>
        </w:rPr>
        <w:t>6,2</w:t>
      </w:r>
      <w:r w:rsidRPr="00B358BA">
        <w:rPr>
          <w:spacing w:val="-4"/>
          <w:sz w:val="16"/>
          <w:szCs w:val="16"/>
        </w:rPr>
        <w:t xml:space="preserve"> %, z toho u </w:t>
      </w:r>
      <w:proofErr w:type="spellStart"/>
      <w:r w:rsidRPr="00B358BA">
        <w:rPr>
          <w:spacing w:val="-4"/>
          <w:sz w:val="16"/>
          <w:szCs w:val="16"/>
        </w:rPr>
        <w:t>sebezaměstnaných</w:t>
      </w:r>
      <w:proofErr w:type="spellEnd"/>
      <w:r w:rsidRPr="00B358BA">
        <w:rPr>
          <w:spacing w:val="-4"/>
          <w:sz w:val="16"/>
          <w:szCs w:val="16"/>
        </w:rPr>
        <w:t xml:space="preserve"> o </w:t>
      </w:r>
      <w:r>
        <w:rPr>
          <w:spacing w:val="-4"/>
          <w:sz w:val="16"/>
          <w:szCs w:val="16"/>
        </w:rPr>
        <w:t>8,2</w:t>
      </w:r>
      <w:r w:rsidRPr="00B358BA">
        <w:rPr>
          <w:spacing w:val="-4"/>
          <w:sz w:val="16"/>
          <w:szCs w:val="16"/>
        </w:rPr>
        <w:t xml:space="preserve"> %. </w:t>
      </w:r>
      <w:r w:rsidRPr="00B358BA">
        <w:rPr>
          <w:sz w:val="16"/>
          <w:szCs w:val="16"/>
        </w:rPr>
        <w:t xml:space="preserve">Analogické navýšení u počtu fyzických pracovníků činilo </w:t>
      </w:r>
      <w:r>
        <w:rPr>
          <w:sz w:val="16"/>
          <w:szCs w:val="16"/>
        </w:rPr>
        <w:t>3,6</w:t>
      </w:r>
      <w:r w:rsidRPr="00B358BA">
        <w:rPr>
          <w:sz w:val="16"/>
          <w:szCs w:val="16"/>
        </w:rPr>
        <w:t xml:space="preserve"> %, z toho u </w:t>
      </w:r>
      <w:proofErr w:type="spellStart"/>
      <w:r w:rsidRPr="00B358BA">
        <w:rPr>
          <w:sz w:val="16"/>
          <w:szCs w:val="16"/>
        </w:rPr>
        <w:t>sebezaměstnaných</w:t>
      </w:r>
      <w:proofErr w:type="spellEnd"/>
      <w:r w:rsidRPr="00B358BA">
        <w:rPr>
          <w:sz w:val="16"/>
          <w:szCs w:val="16"/>
        </w:rPr>
        <w:t xml:space="preserve"> </w:t>
      </w:r>
      <w:r>
        <w:rPr>
          <w:sz w:val="16"/>
          <w:szCs w:val="16"/>
        </w:rPr>
        <w:t>6,4</w:t>
      </w:r>
      <w:r w:rsidRPr="00B358BA">
        <w:rPr>
          <w:sz w:val="16"/>
          <w:szCs w:val="16"/>
        </w:rPr>
        <w:t xml:space="preserve"> %.</w:t>
      </w:r>
      <w:r>
        <w:rPr>
          <w:sz w:val="16"/>
          <w:szCs w:val="16"/>
        </w:rPr>
        <w:t xml:space="preserve"> Svižný letošní celkový růst odpracovaných hodin v ekonomice byl podpořen i nárůstem práce na dohody (DPP, DPČ). Dle experimentální statistiky ČSÚ vzrostl </w:t>
      </w:r>
      <w:r>
        <w:rPr>
          <w:sz w:val="16"/>
          <w:szCs w:val="16"/>
        </w:rPr>
        <w:br/>
        <w:t>v 1. čtvrtletí počet takto odpracovaných hodin meziročně o desetinu (při stagnaci počtu osob pracujících touto formou).</w:t>
      </w:r>
    </w:p>
  </w:footnote>
  <w:footnote w:id="12">
    <w:p w14:paraId="70C75C5D" w14:textId="77777777" w:rsidR="00F4587B" w:rsidRPr="00930844" w:rsidRDefault="00F4587B" w:rsidP="00F4587B">
      <w:pPr>
        <w:pStyle w:val="Textpoznpodarou"/>
        <w:rPr>
          <w:sz w:val="16"/>
          <w:szCs w:val="16"/>
        </w:rPr>
      </w:pPr>
      <w:r w:rsidRPr="00930844">
        <w:rPr>
          <w:rStyle w:val="Znakapoznpodarou"/>
          <w:sz w:val="16"/>
          <w:szCs w:val="16"/>
        </w:rPr>
        <w:footnoteRef/>
      </w:r>
      <w:r w:rsidRPr="0093084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tomto odvětví letos odpracovaná doba meziročně vzrostla o 3,6 %, což ovšem bylo zhruba pouze poloviční tempo ve srovnání s tempem zaměstnanosti. Odpracovaná doba zde zaostávala za dynamikou zaměstnanosti v období let 2023 až 2025. </w:t>
      </w:r>
    </w:p>
  </w:footnote>
  <w:footnote w:id="13">
    <w:p w14:paraId="2B2F5EE9" w14:textId="77777777" w:rsidR="00F4587B" w:rsidRPr="00164965" w:rsidRDefault="00F4587B" w:rsidP="00F4587B">
      <w:pPr>
        <w:pStyle w:val="Textpoznpodarou"/>
        <w:rPr>
          <w:sz w:val="16"/>
          <w:szCs w:val="16"/>
        </w:rPr>
      </w:pPr>
      <w:r w:rsidRPr="00164965">
        <w:rPr>
          <w:rStyle w:val="Znakapoznpodarou"/>
          <w:sz w:val="16"/>
          <w:szCs w:val="16"/>
        </w:rPr>
        <w:footnoteRef/>
      </w:r>
      <w:r w:rsidRPr="00164965">
        <w:rPr>
          <w:sz w:val="16"/>
          <w:szCs w:val="16"/>
        </w:rPr>
        <w:t xml:space="preserve"> Vyjadřuje sezónně očištěné HDP</w:t>
      </w:r>
      <w:r>
        <w:rPr>
          <w:sz w:val="16"/>
          <w:szCs w:val="16"/>
        </w:rPr>
        <w:t>, resp. HPH na úrovni jednotlivých odvětví (</w:t>
      </w:r>
      <w:r w:rsidRPr="00164965">
        <w:rPr>
          <w:sz w:val="16"/>
          <w:szCs w:val="16"/>
        </w:rPr>
        <w:t>ve s</w:t>
      </w:r>
      <w:r>
        <w:rPr>
          <w:sz w:val="16"/>
          <w:szCs w:val="16"/>
        </w:rPr>
        <w:t xml:space="preserve">rovnatelných cenách roku 2020) </w:t>
      </w:r>
      <w:r w:rsidRPr="00164965">
        <w:rPr>
          <w:sz w:val="16"/>
          <w:szCs w:val="16"/>
        </w:rPr>
        <w:t>na o</w:t>
      </w:r>
      <w:r>
        <w:rPr>
          <w:sz w:val="16"/>
          <w:szCs w:val="16"/>
        </w:rPr>
        <w:t>d</w:t>
      </w:r>
      <w:r w:rsidRPr="00164965">
        <w:rPr>
          <w:sz w:val="16"/>
          <w:szCs w:val="16"/>
        </w:rPr>
        <w:t>pracovanou hodinu zaměstnanými osobami (po sezónním očištění).</w:t>
      </w:r>
    </w:p>
  </w:footnote>
  <w:footnote w:id="14">
    <w:p w14:paraId="5358E5B0" w14:textId="77777777" w:rsidR="00F4587B" w:rsidRDefault="00F4587B" w:rsidP="00F4587B">
      <w:pPr>
        <w:pStyle w:val="Textpoznpodarou"/>
      </w:pPr>
      <w:r w:rsidRPr="00B57963">
        <w:rPr>
          <w:rStyle w:val="Znakapoznpodarou"/>
          <w:sz w:val="16"/>
          <w:szCs w:val="16"/>
        </w:rPr>
        <w:footnoteRef/>
      </w:r>
      <w:r w:rsidRPr="00B57963">
        <w:rPr>
          <w:sz w:val="16"/>
          <w:szCs w:val="16"/>
        </w:rPr>
        <w:t xml:space="preserve"> Z údajů VŠPS plyne, že </w:t>
      </w:r>
      <w:r w:rsidRPr="00B85F94">
        <w:rPr>
          <w:color w:val="0D0D0D" w:themeColor="text1" w:themeTint="F2"/>
          <w:sz w:val="16"/>
          <w:szCs w:val="16"/>
        </w:rPr>
        <w:t>počet ekonomicky neaktivních osob, které si práci nehledají, ale přitom uvádějí, že by chtěl</w:t>
      </w:r>
      <w:r>
        <w:rPr>
          <w:color w:val="0D0D0D" w:themeColor="text1" w:themeTint="F2"/>
          <w:sz w:val="16"/>
          <w:szCs w:val="16"/>
        </w:rPr>
        <w:t>y</w:t>
      </w:r>
      <w:r w:rsidRPr="00B85F94">
        <w:rPr>
          <w:color w:val="0D0D0D" w:themeColor="text1" w:themeTint="F2"/>
          <w:sz w:val="16"/>
          <w:szCs w:val="16"/>
        </w:rPr>
        <w:t xml:space="preserve"> pracovat, dosáhl letos v 1. čtvrtletí 73 tis., meziročně o 8 % méně (za posledních pět let činil pokles dokonce 28 %).</w:t>
      </w:r>
      <w:r w:rsidRPr="00B85F94">
        <w:rPr>
          <w:color w:val="0D0D0D" w:themeColor="text1" w:themeTint="F2"/>
        </w:rPr>
        <w:t xml:space="preserve"> </w:t>
      </w:r>
      <w:r w:rsidRPr="00B85F94">
        <w:rPr>
          <w:color w:val="0D0D0D" w:themeColor="text1" w:themeTint="F2"/>
          <w:sz w:val="16"/>
          <w:szCs w:val="16"/>
        </w:rPr>
        <w:t xml:space="preserve">Navíc pouze </w:t>
      </w:r>
      <w:r>
        <w:rPr>
          <w:sz w:val="16"/>
          <w:szCs w:val="16"/>
        </w:rPr>
        <w:t>necelá pětina z tohoto počtu byla ovšem schop</w:t>
      </w:r>
      <w:r w:rsidRPr="004A5CB3">
        <w:rPr>
          <w:sz w:val="16"/>
          <w:szCs w:val="16"/>
        </w:rPr>
        <w:t>n</w:t>
      </w:r>
      <w:r>
        <w:rPr>
          <w:sz w:val="16"/>
          <w:szCs w:val="16"/>
        </w:rPr>
        <w:t>a</w:t>
      </w:r>
      <w:r w:rsidRPr="004A5C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nastoupit </w:t>
      </w:r>
      <w:r w:rsidRPr="004A5CB3">
        <w:rPr>
          <w:sz w:val="16"/>
          <w:szCs w:val="16"/>
        </w:rPr>
        <w:t xml:space="preserve">bezprostředně </w:t>
      </w:r>
      <w:r>
        <w:rPr>
          <w:sz w:val="16"/>
          <w:szCs w:val="16"/>
        </w:rPr>
        <w:t xml:space="preserve">(do 14 dnů) </w:t>
      </w:r>
      <w:r w:rsidRPr="004A5CB3">
        <w:rPr>
          <w:sz w:val="16"/>
          <w:szCs w:val="16"/>
        </w:rPr>
        <w:t>do práce</w:t>
      </w:r>
      <w:r>
        <w:rPr>
          <w:sz w:val="16"/>
          <w:szCs w:val="16"/>
        </w:rPr>
        <w:t xml:space="preserve"> (v</w:t>
      </w:r>
      <w:r w:rsidRPr="004A5CB3">
        <w:rPr>
          <w:sz w:val="16"/>
          <w:szCs w:val="16"/>
        </w:rPr>
        <w:t>ýznamnou část p</w:t>
      </w:r>
      <w:r>
        <w:rPr>
          <w:sz w:val="16"/>
          <w:szCs w:val="16"/>
        </w:rPr>
        <w:t>otenciálních p</w:t>
      </w:r>
      <w:r w:rsidRPr="004A5CB3">
        <w:rPr>
          <w:sz w:val="16"/>
          <w:szCs w:val="16"/>
        </w:rPr>
        <w:t>racovních rezerv totiž tvoří studenti a ženy na rodičovské dovolené</w:t>
      </w:r>
      <w:r>
        <w:rPr>
          <w:sz w:val="16"/>
          <w:szCs w:val="16"/>
        </w:rPr>
        <w:t>)</w:t>
      </w:r>
      <w:r w:rsidRPr="004A5CB3">
        <w:rPr>
          <w:sz w:val="16"/>
          <w:szCs w:val="16"/>
        </w:rPr>
        <w:t>.</w:t>
      </w:r>
    </w:p>
  </w:footnote>
  <w:footnote w:id="15">
    <w:p w14:paraId="14707100" w14:textId="77777777" w:rsidR="00F4587B" w:rsidRPr="00B93369" w:rsidRDefault="00F4587B" w:rsidP="00F4587B">
      <w:pPr>
        <w:pStyle w:val="Textpoznpodarou"/>
        <w:rPr>
          <w:sz w:val="16"/>
          <w:szCs w:val="16"/>
        </w:rPr>
      </w:pPr>
      <w:r w:rsidRPr="00AD3730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Oprávnění k zaměstnání (pracovní povolení, zaměstnanecké či modré karty) nepotřebovaly</w:t>
      </w:r>
      <w:r w:rsidRPr="00AD3730">
        <w:rPr>
          <w:sz w:val="16"/>
          <w:szCs w:val="16"/>
        </w:rPr>
        <w:t xml:space="preserve"> </w:t>
      </w:r>
      <w:r>
        <w:rPr>
          <w:sz w:val="16"/>
          <w:szCs w:val="16"/>
        </w:rPr>
        <w:t>na konci 1. čtvrtletí 2026 více než čtyři pětiny veškerých</w:t>
      </w:r>
      <w:r w:rsidRPr="00AD3730">
        <w:rPr>
          <w:sz w:val="16"/>
          <w:szCs w:val="16"/>
        </w:rPr>
        <w:t xml:space="preserve"> občanů Ukrajiny </w:t>
      </w:r>
      <w:r>
        <w:rPr>
          <w:sz w:val="16"/>
          <w:szCs w:val="16"/>
        </w:rPr>
        <w:t xml:space="preserve">(resp. 76 % mužů a 92 % </w:t>
      </w:r>
      <w:r w:rsidRPr="00B93369">
        <w:rPr>
          <w:sz w:val="16"/>
          <w:szCs w:val="16"/>
        </w:rPr>
        <w:t>žen) působících v ČR v zaměstnaneckém postavení.</w:t>
      </w:r>
    </w:p>
  </w:footnote>
  <w:footnote w:id="16">
    <w:p w14:paraId="38ABBB3B" w14:textId="77777777" w:rsidR="00F4587B" w:rsidRPr="00CF611C" w:rsidRDefault="00F4587B" w:rsidP="00F4587B">
      <w:pPr>
        <w:pStyle w:val="Textpoznpodarou"/>
        <w:rPr>
          <w:color w:val="0D0D0D" w:themeColor="text1" w:themeTint="F2"/>
          <w:sz w:val="16"/>
          <w:szCs w:val="16"/>
        </w:rPr>
      </w:pPr>
      <w:r w:rsidRPr="00B93369">
        <w:rPr>
          <w:rStyle w:val="Znakapoznpodarou"/>
          <w:sz w:val="16"/>
          <w:szCs w:val="16"/>
        </w:rPr>
        <w:footnoteRef/>
      </w:r>
      <w:r w:rsidRPr="00B93369">
        <w:rPr>
          <w:sz w:val="16"/>
          <w:szCs w:val="16"/>
        </w:rPr>
        <w:t xml:space="preserve"> Od 1. července 2024 nově nepotřebují v Česku pracovní povolení ani zaměstnanecké karty cizinci z některých ekonomicky vyspělých </w:t>
      </w:r>
      <w:r w:rsidRPr="00B93369">
        <w:rPr>
          <w:color w:val="0D0D0D" w:themeColor="text1" w:themeTint="F2"/>
          <w:sz w:val="16"/>
          <w:szCs w:val="16"/>
        </w:rPr>
        <w:t>zemí mimo EU (USA, Velká Británie, Kanada, Austrálie, Nový Zéland, Japonsko, Jižní Korea, Izrae</w:t>
      </w:r>
      <w:r w:rsidRPr="000643E1">
        <w:rPr>
          <w:color w:val="0D0D0D" w:themeColor="text1" w:themeTint="F2"/>
          <w:sz w:val="16"/>
          <w:szCs w:val="16"/>
        </w:rPr>
        <w:t>l a Singapur). L</w:t>
      </w:r>
      <w:r>
        <w:rPr>
          <w:color w:val="0D0D0D" w:themeColor="text1" w:themeTint="F2"/>
          <w:sz w:val="16"/>
          <w:szCs w:val="16"/>
        </w:rPr>
        <w:t>etos</w:t>
      </w:r>
      <w:r w:rsidRPr="000643E1">
        <w:rPr>
          <w:color w:val="0D0D0D" w:themeColor="text1" w:themeTint="F2"/>
          <w:sz w:val="16"/>
          <w:szCs w:val="16"/>
        </w:rPr>
        <w:t xml:space="preserve"> na konci </w:t>
      </w:r>
      <w:r>
        <w:rPr>
          <w:color w:val="0D0D0D" w:themeColor="text1" w:themeTint="F2"/>
          <w:sz w:val="16"/>
          <w:szCs w:val="16"/>
        </w:rPr>
        <w:t>března</w:t>
      </w:r>
      <w:r w:rsidRPr="000643E1">
        <w:rPr>
          <w:color w:val="0D0D0D" w:themeColor="text1" w:themeTint="F2"/>
          <w:sz w:val="16"/>
          <w:szCs w:val="16"/>
        </w:rPr>
        <w:t xml:space="preserve"> pracovalo z těchto zemí v Česku v zaměstnaneckém postavení </w:t>
      </w:r>
      <w:r>
        <w:rPr>
          <w:color w:val="0D0D0D" w:themeColor="text1" w:themeTint="F2"/>
          <w:sz w:val="16"/>
          <w:szCs w:val="16"/>
        </w:rPr>
        <w:t>9,9</w:t>
      </w:r>
      <w:r w:rsidRPr="000643E1">
        <w:rPr>
          <w:color w:val="0D0D0D" w:themeColor="text1" w:themeTint="F2"/>
          <w:sz w:val="16"/>
          <w:szCs w:val="16"/>
        </w:rPr>
        <w:t xml:space="preserve"> tis. osob (meziročně o </w:t>
      </w:r>
      <w:r>
        <w:rPr>
          <w:color w:val="0D0D0D" w:themeColor="text1" w:themeTint="F2"/>
          <w:sz w:val="16"/>
          <w:szCs w:val="16"/>
        </w:rPr>
        <w:t>3</w:t>
      </w:r>
      <w:r w:rsidRPr="000643E1">
        <w:rPr>
          <w:color w:val="0D0D0D" w:themeColor="text1" w:themeTint="F2"/>
          <w:sz w:val="16"/>
          <w:szCs w:val="16"/>
        </w:rPr>
        <w:t xml:space="preserve"> % více).</w:t>
      </w:r>
    </w:p>
  </w:footnote>
  <w:footnote w:id="17">
    <w:p w14:paraId="2F3AA30C" w14:textId="77777777" w:rsidR="00F4587B" w:rsidRDefault="00F4587B" w:rsidP="00F4587B">
      <w:pPr>
        <w:pStyle w:val="Textpoznpodarou"/>
      </w:pPr>
      <w:r w:rsidRPr="00432D0C">
        <w:rPr>
          <w:rStyle w:val="Znakapoznpodarou"/>
          <w:sz w:val="16"/>
          <w:szCs w:val="16"/>
        </w:rPr>
        <w:footnoteRef/>
      </w:r>
      <w:r w:rsidRPr="00432D0C">
        <w:rPr>
          <w:sz w:val="16"/>
          <w:szCs w:val="16"/>
        </w:rPr>
        <w:t xml:space="preserve"> </w:t>
      </w:r>
      <w:r w:rsidRPr="00590A80">
        <w:rPr>
          <w:color w:val="0D0D0D" w:themeColor="text1" w:themeTint="F2"/>
          <w:sz w:val="16"/>
          <w:szCs w:val="16"/>
        </w:rPr>
        <w:t xml:space="preserve">Vedle toho </w:t>
      </w:r>
      <w:r w:rsidRPr="00C47864">
        <w:rPr>
          <w:color w:val="0D0D0D" w:themeColor="text1" w:themeTint="F2"/>
          <w:sz w:val="16"/>
          <w:szCs w:val="16"/>
        </w:rPr>
        <w:t xml:space="preserve">evidovalo MPO ve stejném období 145 tis. cizích státních příslušníků s živnostenským oprávněním v Česku (meziročně </w:t>
      </w:r>
      <w:r w:rsidRPr="00C47864">
        <w:rPr>
          <w:color w:val="0D0D0D" w:themeColor="text1" w:themeTint="F2"/>
          <w:sz w:val="16"/>
          <w:szCs w:val="16"/>
        </w:rPr>
        <w:br/>
        <w:t xml:space="preserve">o desetinu více). Na tomto růstu se ze dvou třetin podíleli </w:t>
      </w:r>
      <w:r w:rsidRPr="00590A80">
        <w:rPr>
          <w:color w:val="0D0D0D" w:themeColor="text1" w:themeTint="F2"/>
          <w:sz w:val="16"/>
          <w:szCs w:val="16"/>
        </w:rPr>
        <w:t xml:space="preserve">Ukrajinci, jichž v Česku podnikalo </w:t>
      </w:r>
      <w:r>
        <w:rPr>
          <w:color w:val="0D0D0D" w:themeColor="text1" w:themeTint="F2"/>
          <w:sz w:val="16"/>
          <w:szCs w:val="16"/>
        </w:rPr>
        <w:t>51</w:t>
      </w:r>
      <w:r w:rsidRPr="00590A80">
        <w:rPr>
          <w:color w:val="0D0D0D" w:themeColor="text1" w:themeTint="F2"/>
          <w:sz w:val="16"/>
          <w:szCs w:val="16"/>
        </w:rPr>
        <w:t xml:space="preserve"> tis., s odstupem následovali Slováci </w:t>
      </w:r>
      <w:r>
        <w:rPr>
          <w:color w:val="0D0D0D" w:themeColor="text1" w:themeTint="F2"/>
          <w:sz w:val="16"/>
          <w:szCs w:val="16"/>
        </w:rPr>
        <w:br/>
      </w:r>
      <w:r w:rsidRPr="00590A80">
        <w:rPr>
          <w:color w:val="0D0D0D" w:themeColor="text1" w:themeTint="F2"/>
          <w:sz w:val="16"/>
          <w:szCs w:val="16"/>
        </w:rPr>
        <w:t>(2</w:t>
      </w:r>
      <w:r>
        <w:rPr>
          <w:color w:val="0D0D0D" w:themeColor="text1" w:themeTint="F2"/>
          <w:sz w:val="16"/>
          <w:szCs w:val="16"/>
        </w:rPr>
        <w:t>8</w:t>
      </w:r>
      <w:r w:rsidRPr="00590A80">
        <w:rPr>
          <w:color w:val="0D0D0D" w:themeColor="text1" w:themeTint="F2"/>
          <w:sz w:val="16"/>
          <w:szCs w:val="16"/>
        </w:rPr>
        <w:t xml:space="preserve"> tis.)</w:t>
      </w:r>
      <w:r>
        <w:rPr>
          <w:color w:val="0D0D0D" w:themeColor="text1" w:themeTint="F2"/>
          <w:sz w:val="16"/>
          <w:szCs w:val="16"/>
        </w:rPr>
        <w:t>,</w:t>
      </w:r>
      <w:r w:rsidRPr="00590A80">
        <w:rPr>
          <w:color w:val="0D0D0D" w:themeColor="text1" w:themeTint="F2"/>
          <w:sz w:val="16"/>
          <w:szCs w:val="16"/>
        </w:rPr>
        <w:t xml:space="preserve"> Vietnamci (2</w:t>
      </w:r>
      <w:r>
        <w:rPr>
          <w:color w:val="0D0D0D" w:themeColor="text1" w:themeTint="F2"/>
          <w:sz w:val="16"/>
          <w:szCs w:val="16"/>
        </w:rPr>
        <w:t>1</w:t>
      </w:r>
      <w:r w:rsidRPr="00590A80">
        <w:rPr>
          <w:color w:val="0D0D0D" w:themeColor="text1" w:themeTint="F2"/>
          <w:sz w:val="16"/>
          <w:szCs w:val="16"/>
        </w:rPr>
        <w:t xml:space="preserve"> tis.)</w:t>
      </w:r>
      <w:r>
        <w:rPr>
          <w:color w:val="0D0D0D" w:themeColor="text1" w:themeTint="F2"/>
          <w:sz w:val="16"/>
          <w:szCs w:val="16"/>
        </w:rPr>
        <w:t xml:space="preserve"> a s výraznějším odstupem Rusové, Rumuni, Němci a Poláci. </w:t>
      </w:r>
    </w:p>
  </w:footnote>
  <w:footnote w:id="18">
    <w:p w14:paraId="778DCA50" w14:textId="77777777" w:rsidR="00F4587B" w:rsidRPr="001C35A3" w:rsidRDefault="00F4587B" w:rsidP="00F4587B">
      <w:pPr>
        <w:pStyle w:val="Textpoznpodarou"/>
        <w:rPr>
          <w:sz w:val="16"/>
          <w:szCs w:val="16"/>
        </w:rPr>
      </w:pPr>
      <w:r w:rsidRPr="001C35A3">
        <w:rPr>
          <w:rStyle w:val="Znakapoznpodarou"/>
          <w:sz w:val="16"/>
          <w:szCs w:val="16"/>
        </w:rPr>
        <w:footnoteRef/>
      </w:r>
      <w:r w:rsidRPr="001C35A3">
        <w:rPr>
          <w:sz w:val="16"/>
          <w:szCs w:val="16"/>
        </w:rPr>
        <w:t xml:space="preserve"> Tento region s poměrně silným zastoupení</w:t>
      </w:r>
      <w:r>
        <w:rPr>
          <w:sz w:val="16"/>
          <w:szCs w:val="16"/>
        </w:rPr>
        <w:t>m</w:t>
      </w:r>
      <w:r w:rsidRPr="001C35A3">
        <w:rPr>
          <w:sz w:val="16"/>
          <w:szCs w:val="16"/>
        </w:rPr>
        <w:t xml:space="preserve"> průmyslu čelí v poslední době relativně vyšší nezaměstnanosti a úbytku pracovních míst (patrně i v subdodavatelských firmách automobilového průmyslu). </w:t>
      </w:r>
    </w:p>
  </w:footnote>
  <w:footnote w:id="19">
    <w:p w14:paraId="15975FCB" w14:textId="77777777" w:rsidR="00F4587B" w:rsidRPr="00436B10" w:rsidRDefault="00F4587B" w:rsidP="00F4587B">
      <w:pPr>
        <w:pStyle w:val="Textpoznpodarou"/>
        <w:rPr>
          <w:sz w:val="16"/>
          <w:szCs w:val="16"/>
        </w:rPr>
      </w:pPr>
      <w:r w:rsidRPr="00436B10">
        <w:rPr>
          <w:rStyle w:val="Znakapoznpodarou"/>
          <w:sz w:val="16"/>
          <w:szCs w:val="16"/>
        </w:rPr>
        <w:footnoteRef/>
      </w:r>
      <w:r w:rsidRPr="00436B10">
        <w:rPr>
          <w:sz w:val="16"/>
          <w:szCs w:val="16"/>
        </w:rPr>
        <w:t xml:space="preserve"> </w:t>
      </w:r>
      <w:r w:rsidRPr="00436B10">
        <w:rPr>
          <w:spacing w:val="-5"/>
          <w:sz w:val="16"/>
          <w:szCs w:val="16"/>
        </w:rPr>
        <w:t xml:space="preserve">Dle údajů VŠPS se jejich počet v </w:t>
      </w:r>
      <w:r>
        <w:rPr>
          <w:spacing w:val="-5"/>
          <w:sz w:val="16"/>
          <w:szCs w:val="16"/>
        </w:rPr>
        <w:t>1</w:t>
      </w:r>
      <w:r w:rsidRPr="00436B10">
        <w:rPr>
          <w:spacing w:val="-5"/>
          <w:sz w:val="16"/>
          <w:szCs w:val="16"/>
        </w:rPr>
        <w:t xml:space="preserve">. čtvrtletí 2025 meziročně zvýšil o </w:t>
      </w:r>
      <w:r>
        <w:rPr>
          <w:spacing w:val="-5"/>
          <w:sz w:val="16"/>
          <w:szCs w:val="16"/>
        </w:rPr>
        <w:t>11 tis., resp. 4</w:t>
      </w:r>
      <w:r w:rsidRPr="00436B10">
        <w:rPr>
          <w:spacing w:val="-5"/>
          <w:sz w:val="16"/>
          <w:szCs w:val="16"/>
        </w:rPr>
        <w:t xml:space="preserve"> %</w:t>
      </w:r>
      <w:r>
        <w:rPr>
          <w:spacing w:val="-5"/>
          <w:sz w:val="16"/>
          <w:szCs w:val="16"/>
        </w:rPr>
        <w:t xml:space="preserve">, </w:t>
      </w:r>
      <w:r w:rsidRPr="00436B10">
        <w:rPr>
          <w:spacing w:val="-5"/>
          <w:sz w:val="16"/>
          <w:szCs w:val="16"/>
        </w:rPr>
        <w:t xml:space="preserve">což mohlo souviset se silným přílivem pracovníků </w:t>
      </w:r>
      <w:r>
        <w:rPr>
          <w:spacing w:val="-5"/>
          <w:sz w:val="16"/>
          <w:szCs w:val="16"/>
        </w:rPr>
        <w:t>z asijských států</w:t>
      </w:r>
      <w:r>
        <w:rPr>
          <w:sz w:val="16"/>
          <w:szCs w:val="16"/>
        </w:rPr>
        <w:t>.</w:t>
      </w:r>
    </w:p>
  </w:footnote>
  <w:footnote w:id="20">
    <w:p w14:paraId="6B42A49E" w14:textId="77777777" w:rsidR="00F4587B" w:rsidRPr="00A47DAB" w:rsidRDefault="00F4587B" w:rsidP="00F4587B">
      <w:pPr>
        <w:pStyle w:val="Textpoznpodarou"/>
        <w:rPr>
          <w:sz w:val="16"/>
          <w:szCs w:val="16"/>
        </w:rPr>
      </w:pPr>
      <w:r w:rsidRPr="00A47DAB">
        <w:rPr>
          <w:rStyle w:val="Znakapoznpodarou"/>
          <w:sz w:val="16"/>
          <w:szCs w:val="16"/>
        </w:rPr>
        <w:footnoteRef/>
      </w:r>
      <w:r w:rsidRPr="00A47DAB">
        <w:rPr>
          <w:sz w:val="16"/>
          <w:szCs w:val="16"/>
        </w:rPr>
        <w:t xml:space="preserve"> Jedná se o údaje v novém modelu sezónního oči</w:t>
      </w:r>
      <w:r>
        <w:rPr>
          <w:sz w:val="16"/>
          <w:szCs w:val="16"/>
        </w:rPr>
        <w:t>štění – pomocí trendcyklu. Inovo</w:t>
      </w:r>
      <w:r w:rsidRPr="00A47DAB">
        <w:rPr>
          <w:sz w:val="16"/>
          <w:szCs w:val="16"/>
        </w:rPr>
        <w:t>vaný model očištění lépe odráží změny charakteru trhu práce a sezónnosti.</w:t>
      </w:r>
      <w:r>
        <w:rPr>
          <w:sz w:val="16"/>
          <w:szCs w:val="16"/>
        </w:rPr>
        <w:t xml:space="preserve"> Obdobně je očištěna i měsíční míra nezaměstnanosti.</w:t>
      </w:r>
    </w:p>
  </w:footnote>
  <w:footnote w:id="21">
    <w:p w14:paraId="76B2323D" w14:textId="77777777" w:rsidR="00F4587B" w:rsidRPr="003D26DD" w:rsidRDefault="00F4587B" w:rsidP="00F4587B">
      <w:pPr>
        <w:pStyle w:val="Textpoznpodarou"/>
        <w:rPr>
          <w:sz w:val="16"/>
          <w:szCs w:val="16"/>
        </w:rPr>
      </w:pPr>
      <w:r w:rsidRPr="003D26DD">
        <w:rPr>
          <w:rStyle w:val="Znakapoznpodarou"/>
          <w:sz w:val="16"/>
          <w:szCs w:val="16"/>
        </w:rPr>
        <w:footnoteRef/>
      </w:r>
      <w:r w:rsidRPr="003D26DD">
        <w:rPr>
          <w:sz w:val="16"/>
          <w:szCs w:val="16"/>
        </w:rPr>
        <w:t xml:space="preserve"> Ten</w:t>
      </w:r>
      <w:r>
        <w:rPr>
          <w:sz w:val="16"/>
          <w:szCs w:val="16"/>
        </w:rPr>
        <w:t>to vyšší růst</w:t>
      </w:r>
      <w:r w:rsidRPr="003D26DD">
        <w:rPr>
          <w:sz w:val="16"/>
          <w:szCs w:val="16"/>
        </w:rPr>
        <w:t xml:space="preserve"> souvisel s obecnějšími změnami na pracovním trhu po ústupu pandemie covid</w:t>
      </w:r>
      <w:r>
        <w:rPr>
          <w:sz w:val="16"/>
          <w:szCs w:val="16"/>
        </w:rPr>
        <w:t>u</w:t>
      </w:r>
      <w:r w:rsidRPr="003D26DD">
        <w:rPr>
          <w:sz w:val="16"/>
          <w:szCs w:val="16"/>
        </w:rPr>
        <w:t>-19 a také se státní politikou zaměstnanosti, jež od roku 2023 stimulovala nabídku těchto úvazků (zejména formou slevy na pojistném u zaměstnavatelů, jež se týká vybraných skupin zaměstnanců</w:t>
      </w:r>
      <w:r>
        <w:rPr>
          <w:sz w:val="16"/>
          <w:szCs w:val="16"/>
        </w:rPr>
        <w:t>, např. o</w:t>
      </w:r>
      <w:r w:rsidRPr="003D26DD">
        <w:rPr>
          <w:sz w:val="16"/>
          <w:szCs w:val="16"/>
        </w:rPr>
        <w:t>soby pečující o dítě do 10 le</w:t>
      </w:r>
      <w:r>
        <w:rPr>
          <w:sz w:val="16"/>
          <w:szCs w:val="16"/>
        </w:rPr>
        <w:t xml:space="preserve">t, osob starších 55 let, osob se zdravotním postižením či studentů). V 1. čtvrtletí 2026 pracovalo v Česku na zkrácený úvazek 13,4 % žen ve věku 20 až 64 let, meziročně o 0,6 p. b. více (ještě před dvěma, resp. třemi lety byl ovšem tento meziroční přírůstek téměř dvojnásobný). O něco svižněji přibývá těchto úvazků mezi nejmladšími ženami na pracovním trhu (15 až 29 let), ovšem tato skupina vychází z populačně slabých </w:t>
      </w:r>
      <w:proofErr w:type="gramStart"/>
      <w:r>
        <w:rPr>
          <w:sz w:val="16"/>
          <w:szCs w:val="16"/>
        </w:rPr>
        <w:t>kohort</w:t>
      </w:r>
      <w:proofErr w:type="gramEnd"/>
      <w:r>
        <w:rPr>
          <w:sz w:val="16"/>
          <w:szCs w:val="16"/>
        </w:rPr>
        <w:t xml:space="preserve"> a i s ohledem na celkově nižší míru ekonomické aktivity v tomto věku se zatím do souhrnných ukazatelů trhu práce dostatečně razantně nepropisuje. </w:t>
      </w:r>
    </w:p>
  </w:footnote>
  <w:footnote w:id="22">
    <w:p w14:paraId="2D3E3D48" w14:textId="77777777" w:rsidR="00F4587B" w:rsidRPr="00126939" w:rsidRDefault="00F4587B" w:rsidP="00F4587B">
      <w:pPr>
        <w:pStyle w:val="Textpoznpodarou"/>
        <w:rPr>
          <w:sz w:val="16"/>
          <w:szCs w:val="16"/>
        </w:rPr>
      </w:pPr>
      <w:r w:rsidRPr="00126939">
        <w:rPr>
          <w:rStyle w:val="Znakapoznpodarou"/>
          <w:sz w:val="16"/>
          <w:szCs w:val="16"/>
        </w:rPr>
        <w:footnoteRef/>
      </w:r>
      <w:r w:rsidRPr="00126939">
        <w:rPr>
          <w:sz w:val="16"/>
          <w:szCs w:val="16"/>
        </w:rPr>
        <w:t xml:space="preserve"> </w:t>
      </w:r>
      <w:r>
        <w:rPr>
          <w:sz w:val="16"/>
          <w:szCs w:val="16"/>
        </w:rPr>
        <w:t>Není-li uvedeno jinak, jsou dále použity</w:t>
      </w:r>
      <w:r w:rsidRPr="00126939">
        <w:rPr>
          <w:sz w:val="16"/>
          <w:szCs w:val="16"/>
        </w:rPr>
        <w:t xml:space="preserve"> sezónně očištěné údaje.</w:t>
      </w:r>
    </w:p>
  </w:footnote>
  <w:footnote w:id="23">
    <w:p w14:paraId="47C1B505" w14:textId="77777777" w:rsidR="00F4587B" w:rsidRPr="00630BA3" w:rsidRDefault="00F4587B" w:rsidP="00F4587B">
      <w:pPr>
        <w:pStyle w:val="Textpoznpodarou"/>
        <w:rPr>
          <w:color w:val="0D0D0D" w:themeColor="text1" w:themeTint="F2"/>
          <w:spacing w:val="-3"/>
          <w:sz w:val="16"/>
          <w:szCs w:val="16"/>
        </w:rPr>
      </w:pPr>
      <w:r w:rsidRPr="00630BA3">
        <w:rPr>
          <w:rStyle w:val="Znakapoznpodarou"/>
          <w:sz w:val="16"/>
          <w:szCs w:val="16"/>
        </w:rPr>
        <w:footnoteRef/>
      </w:r>
      <w:r w:rsidRPr="00630BA3">
        <w:rPr>
          <w:sz w:val="16"/>
          <w:szCs w:val="16"/>
        </w:rPr>
        <w:t xml:space="preserve"> </w:t>
      </w:r>
      <w:r w:rsidRPr="00630BA3">
        <w:rPr>
          <w:color w:val="0D0D0D" w:themeColor="text1" w:themeTint="F2"/>
          <w:spacing w:val="-3"/>
          <w:sz w:val="16"/>
          <w:szCs w:val="16"/>
        </w:rPr>
        <w:t xml:space="preserve">Dle konjunkturálního průzkumu z května </w:t>
      </w:r>
      <w:r w:rsidRPr="00630BA3">
        <w:rPr>
          <w:rFonts w:cs="Arial"/>
          <w:sz w:val="16"/>
          <w:szCs w:val="16"/>
        </w:rPr>
        <w:t>předpokládalo (bez zohlednění sezónnosti) v tříměsíčním horizontu snižování počtu zaměstnanců 29 % firem ve vybraných službách, zhruba desetina shodně v průmyslu i stavebnictví, ale v obchodu jen 5 %. Naopak úmysl rozšiřovat stavy pracovníků byl nejzřetelnější ve stavebnictví (21 %) i v obchodě (17 %), nejméně v průmyslu (8 %) a vybraných službách (jen 7 % firem).</w:t>
      </w:r>
    </w:p>
  </w:footnote>
  <w:footnote w:id="24">
    <w:p w14:paraId="6D4A4DB1" w14:textId="77777777" w:rsidR="00F4587B" w:rsidRPr="00170701" w:rsidRDefault="00F4587B" w:rsidP="00F4587B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1C07D2">
        <w:rPr>
          <w:rStyle w:val="Znakapoznpodarou"/>
          <w:color w:val="0D0D0D" w:themeColor="text1" w:themeTint="F2"/>
          <w:sz w:val="16"/>
          <w:szCs w:val="16"/>
        </w:rPr>
        <w:footnoteRef/>
      </w:r>
      <w:r w:rsidRPr="001C07D2">
        <w:rPr>
          <w:color w:val="0D0D0D" w:themeColor="text1" w:themeTint="F2"/>
          <w:sz w:val="16"/>
          <w:szCs w:val="16"/>
        </w:rPr>
        <w:t xml:space="preserve"> </w:t>
      </w:r>
      <w:r w:rsidRPr="001C07D2">
        <w:rPr>
          <w:color w:val="0D0D0D" w:themeColor="text1" w:themeTint="F2"/>
          <w:spacing w:val="-2"/>
          <w:sz w:val="16"/>
          <w:szCs w:val="16"/>
        </w:rPr>
        <w:t xml:space="preserve">Převažující negativní očekávání zaměstnanosti vyjádřily 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podniky </w:t>
      </w:r>
      <w:r>
        <w:rPr>
          <w:color w:val="0D0D0D" w:themeColor="text1" w:themeTint="F2"/>
          <w:spacing w:val="-2"/>
          <w:sz w:val="16"/>
          <w:szCs w:val="16"/>
        </w:rPr>
        <w:t>v polovině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</w:t>
      </w:r>
      <w:r w:rsidRPr="00170701">
        <w:rPr>
          <w:i/>
          <w:iCs/>
          <w:color w:val="0D0D0D" w:themeColor="text1" w:themeTint="F2"/>
          <w:spacing w:val="-2"/>
          <w:sz w:val="16"/>
          <w:szCs w:val="16"/>
        </w:rPr>
        <w:t>zpracovatelských průmyslových oborů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. Nejhorší vyhlídky měly </w:t>
      </w:r>
      <w:r>
        <w:rPr>
          <w:color w:val="0D0D0D" w:themeColor="text1" w:themeTint="F2"/>
          <w:spacing w:val="-2"/>
          <w:sz w:val="16"/>
          <w:szCs w:val="16"/>
        </w:rPr>
        <w:t>textilní průmysl, nábytkářství a strojírenství, elektronický průmysl, výroba stavebních materiálů a papírenský a dřevozpracující průmysl.</w:t>
      </w:r>
      <w:r w:rsidRPr="00A73603">
        <w:rPr>
          <w:color w:val="0D0D0D" w:themeColor="text1" w:themeTint="F2"/>
          <w:spacing w:val="-4"/>
          <w:sz w:val="16"/>
          <w:szCs w:val="16"/>
        </w:rPr>
        <w:t xml:space="preserve"> Naopak pozitivní výhledy zaměstnanosti přetrvávaly hlavně v</w:t>
      </w:r>
      <w:r>
        <w:rPr>
          <w:color w:val="0D0D0D" w:themeColor="text1" w:themeTint="F2"/>
          <w:spacing w:val="-4"/>
          <w:sz w:val="16"/>
          <w:szCs w:val="16"/>
        </w:rPr>
        <w:t xml:space="preserve"> ostatním průmyslu (např. výroba sportovních potřeb), ve farmacii, tiskárenství, </w:t>
      </w:r>
      <w:r>
        <w:rPr>
          <w:color w:val="0D0D0D" w:themeColor="text1" w:themeTint="F2"/>
          <w:spacing w:val="-2"/>
          <w:sz w:val="16"/>
          <w:szCs w:val="16"/>
        </w:rPr>
        <w:t xml:space="preserve">opravách strojů a zařízení, </w:t>
      </w:r>
      <w:r w:rsidRPr="00A73603">
        <w:rPr>
          <w:color w:val="0D0D0D" w:themeColor="text1" w:themeTint="F2"/>
          <w:spacing w:val="-4"/>
          <w:sz w:val="16"/>
          <w:szCs w:val="16"/>
        </w:rPr>
        <w:t>výrobě kolejových dopravních prostředků</w:t>
      </w:r>
      <w:r>
        <w:rPr>
          <w:color w:val="0D0D0D" w:themeColor="text1" w:themeTint="F2"/>
          <w:spacing w:val="-2"/>
          <w:sz w:val="16"/>
          <w:szCs w:val="16"/>
        </w:rPr>
        <w:t xml:space="preserve">, opravách strojů a zařízení, </w:t>
      </w:r>
      <w:r w:rsidRPr="00A82316">
        <w:rPr>
          <w:color w:val="0D0D0D" w:themeColor="text1" w:themeTint="F2"/>
          <w:spacing w:val="-2"/>
          <w:sz w:val="16"/>
          <w:szCs w:val="16"/>
        </w:rPr>
        <w:t>potravinářství</w:t>
      </w:r>
      <w:r>
        <w:rPr>
          <w:color w:val="0D0D0D" w:themeColor="text1" w:themeTint="F2"/>
          <w:spacing w:val="-2"/>
          <w:sz w:val="16"/>
          <w:szCs w:val="16"/>
        </w:rPr>
        <w:t xml:space="preserve"> a z větších oborů v kovodělném průmyslu. 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Ve </w:t>
      </w:r>
      <w:r w:rsidRPr="00170701">
        <w:rPr>
          <w:i/>
          <w:iCs/>
          <w:color w:val="0D0D0D" w:themeColor="text1" w:themeTint="F2"/>
          <w:spacing w:val="-2"/>
          <w:sz w:val="16"/>
          <w:szCs w:val="16"/>
        </w:rPr>
        <w:t>službách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převažovala negativní očekávání v</w:t>
      </w:r>
      <w:r>
        <w:rPr>
          <w:color w:val="0D0D0D" w:themeColor="text1" w:themeTint="F2"/>
          <w:spacing w:val="-2"/>
          <w:sz w:val="16"/>
          <w:szCs w:val="16"/>
        </w:rPr>
        <w:t>e třetině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dílčích odvětví</w:t>
      </w:r>
      <w:r>
        <w:rPr>
          <w:color w:val="0D0D0D" w:themeColor="text1" w:themeTint="F2"/>
          <w:spacing w:val="-2"/>
          <w:sz w:val="16"/>
          <w:szCs w:val="16"/>
        </w:rPr>
        <w:t xml:space="preserve"> –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</w:t>
      </w:r>
      <w:r>
        <w:rPr>
          <w:color w:val="0D0D0D" w:themeColor="text1" w:themeTint="F2"/>
          <w:spacing w:val="-2"/>
          <w:sz w:val="16"/>
          <w:szCs w:val="16"/>
        </w:rPr>
        <w:t>n</w:t>
      </w:r>
      <w:r w:rsidRPr="00A82316">
        <w:rPr>
          <w:color w:val="0D0D0D" w:themeColor="text1" w:themeTint="F2"/>
          <w:spacing w:val="-2"/>
          <w:sz w:val="16"/>
          <w:szCs w:val="16"/>
        </w:rPr>
        <w:t>ejvíce</w:t>
      </w:r>
      <w:r>
        <w:rPr>
          <w:color w:val="0D0D0D" w:themeColor="text1" w:themeTint="F2"/>
          <w:spacing w:val="-2"/>
          <w:sz w:val="16"/>
          <w:szCs w:val="16"/>
        </w:rPr>
        <w:t xml:space="preserve"> </w:t>
      </w:r>
      <w:r w:rsidRPr="00A82316">
        <w:rPr>
          <w:color w:val="0D0D0D" w:themeColor="text1" w:themeTint="F2"/>
          <w:spacing w:val="-2"/>
          <w:sz w:val="16"/>
          <w:szCs w:val="16"/>
        </w:rPr>
        <w:t>v</w:t>
      </w:r>
      <w:r>
        <w:rPr>
          <w:color w:val="0D0D0D" w:themeColor="text1" w:themeTint="F2"/>
          <w:spacing w:val="-2"/>
          <w:sz w:val="16"/>
          <w:szCs w:val="16"/>
        </w:rPr>
        <w:t xml:space="preserve"> telekomunikacích, peněžnictví, vydavatelských činnostech, filmovém a hudebním průmyslu, reklamě, pojišťovnictví a v některých administrativních a podpůrných činnostech. 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Naopak optimismus převládal </w:t>
      </w:r>
      <w:r>
        <w:rPr>
          <w:color w:val="0D0D0D" w:themeColor="text1" w:themeTint="F2"/>
          <w:spacing w:val="-2"/>
          <w:sz w:val="16"/>
          <w:szCs w:val="16"/>
        </w:rPr>
        <w:t>v</w:t>
      </w:r>
      <w:r w:rsidRPr="00BA5CE9">
        <w:rPr>
          <w:color w:val="0D0D0D" w:themeColor="text1" w:themeTint="F2"/>
          <w:spacing w:val="-6"/>
          <w:sz w:val="16"/>
          <w:szCs w:val="16"/>
        </w:rPr>
        <w:t xml:space="preserve"> informačních činnostech</w:t>
      </w:r>
      <w:r>
        <w:rPr>
          <w:color w:val="0D0D0D" w:themeColor="text1" w:themeTint="F2"/>
          <w:spacing w:val="-6"/>
          <w:sz w:val="16"/>
          <w:szCs w:val="16"/>
        </w:rPr>
        <w:t>,</w:t>
      </w:r>
      <w:r w:rsidRPr="00BA5CE9">
        <w:rPr>
          <w:color w:val="0D0D0D" w:themeColor="text1" w:themeTint="F2"/>
          <w:spacing w:val="-6"/>
          <w:sz w:val="16"/>
          <w:szCs w:val="16"/>
        </w:rPr>
        <w:t xml:space="preserve"> skladování, činnostech vedení podniků a poradenství v oblasti řízení, </w:t>
      </w:r>
      <w:r>
        <w:rPr>
          <w:color w:val="0D0D0D" w:themeColor="text1" w:themeTint="F2"/>
          <w:spacing w:val="-6"/>
          <w:sz w:val="16"/>
          <w:szCs w:val="16"/>
        </w:rPr>
        <w:t xml:space="preserve">v </w:t>
      </w:r>
      <w:r w:rsidRPr="00BA5CE9">
        <w:rPr>
          <w:color w:val="0D0D0D" w:themeColor="text1" w:themeTint="F2"/>
          <w:spacing w:val="-6"/>
          <w:sz w:val="16"/>
          <w:szCs w:val="16"/>
        </w:rPr>
        <w:t>bezpečnostních a pátracích činnostech</w:t>
      </w:r>
      <w:r>
        <w:rPr>
          <w:color w:val="0D0D0D" w:themeColor="text1" w:themeTint="F2"/>
          <w:spacing w:val="-6"/>
          <w:sz w:val="16"/>
          <w:szCs w:val="16"/>
        </w:rPr>
        <w:t>, t</w:t>
      </w:r>
      <w:r w:rsidRPr="001C07D2">
        <w:rPr>
          <w:color w:val="0D0D0D" w:themeColor="text1" w:themeTint="F2"/>
          <w:spacing w:val="-6"/>
          <w:sz w:val="16"/>
          <w:szCs w:val="16"/>
        </w:rPr>
        <w:t>vůrčí</w:t>
      </w:r>
      <w:r>
        <w:rPr>
          <w:color w:val="0D0D0D" w:themeColor="text1" w:themeTint="F2"/>
          <w:spacing w:val="-6"/>
          <w:sz w:val="16"/>
          <w:szCs w:val="16"/>
        </w:rPr>
        <w:t>ch</w:t>
      </w:r>
      <w:r w:rsidRPr="001C07D2">
        <w:rPr>
          <w:color w:val="0D0D0D" w:themeColor="text1" w:themeTint="F2"/>
          <w:spacing w:val="-6"/>
          <w:sz w:val="16"/>
          <w:szCs w:val="16"/>
        </w:rPr>
        <w:t>, uměleck</w:t>
      </w:r>
      <w:r>
        <w:rPr>
          <w:color w:val="0D0D0D" w:themeColor="text1" w:themeTint="F2"/>
          <w:spacing w:val="-6"/>
          <w:sz w:val="16"/>
          <w:szCs w:val="16"/>
        </w:rPr>
        <w:t xml:space="preserve">ých </w:t>
      </w:r>
      <w:r w:rsidRPr="001C07D2">
        <w:rPr>
          <w:color w:val="0D0D0D" w:themeColor="text1" w:themeTint="F2"/>
          <w:spacing w:val="-6"/>
          <w:sz w:val="16"/>
          <w:szCs w:val="16"/>
        </w:rPr>
        <w:t>a zábavní</w:t>
      </w:r>
      <w:r>
        <w:rPr>
          <w:color w:val="0D0D0D" w:themeColor="text1" w:themeTint="F2"/>
          <w:spacing w:val="-6"/>
          <w:sz w:val="16"/>
          <w:szCs w:val="16"/>
        </w:rPr>
        <w:t>ch</w:t>
      </w:r>
      <w:r w:rsidRPr="001C07D2">
        <w:rPr>
          <w:color w:val="0D0D0D" w:themeColor="text1" w:themeTint="F2"/>
          <w:spacing w:val="-6"/>
          <w:sz w:val="16"/>
          <w:szCs w:val="16"/>
        </w:rPr>
        <w:t xml:space="preserve"> činnost</w:t>
      </w:r>
      <w:r>
        <w:rPr>
          <w:color w:val="0D0D0D" w:themeColor="text1" w:themeTint="F2"/>
          <w:spacing w:val="-6"/>
          <w:sz w:val="16"/>
          <w:szCs w:val="16"/>
        </w:rPr>
        <w:t>ech, ve vědě a výzkumu.</w:t>
      </w:r>
    </w:p>
  </w:footnote>
  <w:footnote w:id="25">
    <w:p w14:paraId="56936713" w14:textId="77777777" w:rsidR="00F4587B" w:rsidRPr="00A4613D" w:rsidRDefault="00F4587B" w:rsidP="00F4587B">
      <w:pPr>
        <w:pStyle w:val="Textpoznpodarou"/>
        <w:rPr>
          <w:sz w:val="16"/>
          <w:szCs w:val="16"/>
        </w:rPr>
      </w:pPr>
      <w:r w:rsidRPr="00A82316">
        <w:rPr>
          <w:rStyle w:val="Znakapoznpodarou"/>
          <w:color w:val="0D0D0D" w:themeColor="text1" w:themeTint="F2"/>
          <w:sz w:val="16"/>
          <w:szCs w:val="16"/>
        </w:rPr>
        <w:footnoteRef/>
      </w:r>
      <w:r w:rsidRPr="00A82316">
        <w:rPr>
          <w:color w:val="0D0D0D" w:themeColor="text1" w:themeTint="F2"/>
          <w:sz w:val="16"/>
          <w:szCs w:val="16"/>
        </w:rPr>
        <w:t xml:space="preserve"> Podniky mohly uvést více bariér současně.</w:t>
      </w:r>
    </w:p>
  </w:footnote>
  <w:footnote w:id="26">
    <w:p w14:paraId="6FE633C5" w14:textId="77777777" w:rsidR="00F4587B" w:rsidRPr="00A378F8" w:rsidRDefault="00F4587B" w:rsidP="00F4587B">
      <w:pPr>
        <w:pStyle w:val="Textpoznpodarou"/>
        <w:rPr>
          <w:sz w:val="16"/>
          <w:szCs w:val="16"/>
        </w:rPr>
      </w:pPr>
      <w:r w:rsidRPr="00A378F8">
        <w:rPr>
          <w:rStyle w:val="Znakapoznpodarou"/>
          <w:sz w:val="16"/>
          <w:szCs w:val="16"/>
        </w:rPr>
        <w:footnoteRef/>
      </w:r>
      <w:r w:rsidRPr="00A378F8">
        <w:rPr>
          <w:sz w:val="16"/>
          <w:szCs w:val="16"/>
        </w:rPr>
        <w:t xml:space="preserve"> Jednalo se o výrobu ostatních dopravních prostředků, opravy strojů a zařízen</w:t>
      </w:r>
      <w:r>
        <w:rPr>
          <w:sz w:val="16"/>
          <w:szCs w:val="16"/>
        </w:rPr>
        <w:t>í</w:t>
      </w:r>
      <w:r w:rsidRPr="00A378F8">
        <w:rPr>
          <w:sz w:val="16"/>
          <w:szCs w:val="16"/>
        </w:rPr>
        <w:t xml:space="preserve"> a také ostatní průmysl (např. výroba sportovních potřeb, her a hraček aj.). V rámci služeb sem patřily </w:t>
      </w:r>
      <w:r>
        <w:rPr>
          <w:sz w:val="16"/>
          <w:szCs w:val="16"/>
        </w:rPr>
        <w:t xml:space="preserve">architektonické a inženýrské činnosti, věda a výzkum, bezpečnostní a pátrací činnosti, </w:t>
      </w:r>
      <w:r>
        <w:rPr>
          <w:color w:val="0D0D0D" w:themeColor="text1" w:themeTint="F2"/>
          <w:spacing w:val="-6"/>
          <w:sz w:val="16"/>
          <w:szCs w:val="16"/>
        </w:rPr>
        <w:t>úklidové činnosti a p</w:t>
      </w:r>
      <w:r w:rsidRPr="003E371B">
        <w:rPr>
          <w:color w:val="0D0D0D" w:themeColor="text1" w:themeTint="F2"/>
          <w:spacing w:val="-6"/>
          <w:sz w:val="16"/>
          <w:szCs w:val="16"/>
        </w:rPr>
        <w:t>oskytování ostatních osobních služe</w:t>
      </w:r>
      <w:r>
        <w:rPr>
          <w:color w:val="0D0D0D" w:themeColor="text1" w:themeTint="F2"/>
          <w:spacing w:val="-6"/>
          <w:sz w:val="16"/>
          <w:szCs w:val="16"/>
        </w:rPr>
        <w:t>b.</w:t>
      </w:r>
    </w:p>
  </w:footnote>
  <w:footnote w:id="27">
    <w:p w14:paraId="6D5CEDAC" w14:textId="77777777" w:rsidR="00F4587B" w:rsidRPr="004E68B1" w:rsidRDefault="00F4587B" w:rsidP="00F4587B">
      <w:pPr>
        <w:pStyle w:val="Textpoznpodarou"/>
        <w:rPr>
          <w:spacing w:val="-3"/>
          <w:sz w:val="16"/>
          <w:szCs w:val="16"/>
        </w:rPr>
      </w:pPr>
      <w:r w:rsidRPr="004E68B1">
        <w:rPr>
          <w:rStyle w:val="Znakapoznpodarou"/>
          <w:spacing w:val="-3"/>
          <w:sz w:val="16"/>
          <w:szCs w:val="16"/>
        </w:rPr>
        <w:footnoteRef/>
      </w:r>
      <w:r>
        <w:rPr>
          <w:spacing w:val="-3"/>
          <w:sz w:val="16"/>
          <w:szCs w:val="16"/>
        </w:rPr>
        <w:t xml:space="preserve"> Ú</w:t>
      </w:r>
      <w:r w:rsidRPr="004E68B1">
        <w:rPr>
          <w:spacing w:val="-3"/>
          <w:sz w:val="16"/>
          <w:szCs w:val="16"/>
        </w:rPr>
        <w:t>daje o </w:t>
      </w:r>
      <w:r>
        <w:rPr>
          <w:spacing w:val="-3"/>
          <w:sz w:val="16"/>
          <w:szCs w:val="16"/>
        </w:rPr>
        <w:t xml:space="preserve">mírách </w:t>
      </w:r>
      <w:r w:rsidRPr="004E68B1">
        <w:rPr>
          <w:spacing w:val="-3"/>
          <w:sz w:val="16"/>
          <w:szCs w:val="16"/>
        </w:rPr>
        <w:t xml:space="preserve">nezaměstnanosti </w:t>
      </w:r>
      <w:r>
        <w:rPr>
          <w:spacing w:val="-3"/>
          <w:sz w:val="16"/>
          <w:szCs w:val="16"/>
        </w:rPr>
        <w:t xml:space="preserve">v Česku vycházejí </w:t>
      </w:r>
      <w:r w:rsidRPr="004E68B1">
        <w:rPr>
          <w:spacing w:val="-3"/>
          <w:sz w:val="16"/>
          <w:szCs w:val="16"/>
        </w:rPr>
        <w:t>z</w:t>
      </w:r>
      <w:r>
        <w:rPr>
          <w:spacing w:val="-3"/>
          <w:sz w:val="16"/>
          <w:szCs w:val="16"/>
        </w:rPr>
        <w:t> VŠPS (dle metodiky ILO) a jsou sezónně očištěny pomocí trendcyklu.</w:t>
      </w:r>
    </w:p>
  </w:footnote>
  <w:footnote w:id="28">
    <w:p w14:paraId="2116C8E9" w14:textId="77777777" w:rsidR="00F4587B" w:rsidRPr="00300589" w:rsidRDefault="00F4587B" w:rsidP="00F4587B">
      <w:pPr>
        <w:pStyle w:val="Textpoznpodarou"/>
        <w:rPr>
          <w:sz w:val="16"/>
          <w:szCs w:val="16"/>
        </w:rPr>
      </w:pPr>
      <w:r w:rsidRPr="00300589">
        <w:rPr>
          <w:rStyle w:val="Znakapoznpodarou"/>
          <w:sz w:val="16"/>
          <w:szCs w:val="16"/>
        </w:rPr>
        <w:footnoteRef/>
      </w:r>
      <w:r w:rsidRPr="00300589">
        <w:rPr>
          <w:sz w:val="16"/>
          <w:szCs w:val="16"/>
        </w:rPr>
        <w:t xml:space="preserve"> Letos v lednu </w:t>
      </w:r>
      <w:r>
        <w:rPr>
          <w:sz w:val="16"/>
          <w:szCs w:val="16"/>
        </w:rPr>
        <w:t xml:space="preserve">přitom </w:t>
      </w:r>
      <w:r w:rsidRPr="00300589">
        <w:rPr>
          <w:sz w:val="16"/>
          <w:szCs w:val="16"/>
        </w:rPr>
        <w:t>dosáhl 0,8 p. b., což</w:t>
      </w:r>
      <w:r>
        <w:rPr>
          <w:sz w:val="16"/>
          <w:szCs w:val="16"/>
        </w:rPr>
        <w:t xml:space="preserve"> tehdy</w:t>
      </w:r>
      <w:r w:rsidRPr="00300589">
        <w:rPr>
          <w:sz w:val="16"/>
          <w:szCs w:val="16"/>
        </w:rPr>
        <w:t xml:space="preserve"> představovalo </w:t>
      </w:r>
      <w:r w:rsidRPr="00300589">
        <w:rPr>
          <w:rStyle w:val="normaltextrun"/>
          <w:rFonts w:eastAsiaTheme="majorEastAsia" w:cs="Arial"/>
          <w:sz w:val="16"/>
          <w:szCs w:val="16"/>
        </w:rPr>
        <w:t>nejvýraznější zhoršení od vrcholu pandemie (</w:t>
      </w:r>
      <w:r>
        <w:rPr>
          <w:rStyle w:val="normaltextrun"/>
          <w:rFonts w:eastAsiaTheme="majorEastAsia" w:cs="Arial"/>
          <w:sz w:val="16"/>
          <w:szCs w:val="16"/>
        </w:rPr>
        <w:t xml:space="preserve">resp. </w:t>
      </w:r>
      <w:r w:rsidRPr="00300589">
        <w:rPr>
          <w:rStyle w:val="normaltextrun"/>
          <w:rFonts w:eastAsiaTheme="majorEastAsia" w:cs="Arial"/>
          <w:sz w:val="16"/>
          <w:szCs w:val="16"/>
        </w:rPr>
        <w:t>březn</w:t>
      </w:r>
      <w:r>
        <w:rPr>
          <w:rStyle w:val="normaltextrun"/>
          <w:rFonts w:eastAsiaTheme="majorEastAsia" w:cs="Arial"/>
          <w:sz w:val="16"/>
          <w:szCs w:val="16"/>
        </w:rPr>
        <w:t>a</w:t>
      </w:r>
      <w:r w:rsidRPr="00300589">
        <w:rPr>
          <w:rStyle w:val="normaltextrun"/>
          <w:rFonts w:eastAsiaTheme="majorEastAsia" w:cs="Arial"/>
          <w:sz w:val="16"/>
          <w:szCs w:val="16"/>
        </w:rPr>
        <w:t xml:space="preserve"> 2021).</w:t>
      </w:r>
    </w:p>
  </w:footnote>
  <w:footnote w:id="29">
    <w:p w14:paraId="02265C01" w14:textId="77777777" w:rsidR="00F4587B" w:rsidRPr="00CC188E" w:rsidRDefault="00F4587B" w:rsidP="00F4587B">
      <w:pPr>
        <w:pStyle w:val="Textpoznpodarou"/>
        <w:rPr>
          <w:rFonts w:eastAsiaTheme="majorEastAsia"/>
          <w:sz w:val="16"/>
          <w:szCs w:val="16"/>
        </w:rPr>
      </w:pPr>
      <w:r w:rsidRPr="00CC188E">
        <w:rPr>
          <w:rStyle w:val="Znakapoznpodarou"/>
          <w:color w:val="0D0D0D" w:themeColor="text1" w:themeTint="F2"/>
          <w:sz w:val="16"/>
          <w:szCs w:val="16"/>
        </w:rPr>
        <w:footnoteRef/>
      </w:r>
      <w:r w:rsidRPr="00CC188E">
        <w:rPr>
          <w:color w:val="0D0D0D" w:themeColor="text1" w:themeTint="F2"/>
          <w:sz w:val="16"/>
          <w:szCs w:val="16"/>
        </w:rPr>
        <w:t xml:space="preserve"> </w:t>
      </w:r>
      <w:r w:rsidRPr="00CC188E">
        <w:rPr>
          <w:rFonts w:cs="Arial"/>
          <w:color w:val="0D0D0D" w:themeColor="text1" w:themeTint="F2"/>
          <w:sz w:val="16"/>
          <w:szCs w:val="16"/>
        </w:rPr>
        <w:t>Nejvyšší podíl nezaměstnaných (k obyvatelstvu ve věku 15</w:t>
      </w:r>
      <w:r>
        <w:rPr>
          <w:rFonts w:cs="Arial"/>
          <w:color w:val="0D0D0D" w:themeColor="text1" w:themeTint="F2"/>
          <w:sz w:val="16"/>
          <w:szCs w:val="16"/>
        </w:rPr>
        <w:t xml:space="preserve"> až </w:t>
      </w:r>
      <w:r w:rsidRPr="00CC188E">
        <w:rPr>
          <w:rFonts w:cs="Arial"/>
          <w:color w:val="0D0D0D" w:themeColor="text1" w:themeTint="F2"/>
          <w:sz w:val="16"/>
          <w:szCs w:val="16"/>
        </w:rPr>
        <w:t xml:space="preserve">64 let) měli letos v dubnu muži v okrese Karviná (11,1 %) a ženy na Mostecku (11,7 %). Celková nezaměstnanost převyšující alespoň o polovinu celorepublikovou hodnotu se vedle výše uvedených regionů vyskytovala v okresech Bruntál, Chomutov, Sokolov, Ústí nad Labem, Děčín a Ostrava-město. Naopak nejnižší byla v bezprostředním zázemí Prahy (1,9 %) a na Rychnovsku (2,7 %) a Pelhřimovsku (3,2 %). </w:t>
      </w:r>
      <w:r w:rsidRPr="00CC188E">
        <w:rPr>
          <w:rFonts w:cs="Arial"/>
          <w:color w:val="0D0D0D" w:themeColor="text1" w:themeTint="F2"/>
          <w:spacing w:val="-2"/>
          <w:sz w:val="16"/>
          <w:szCs w:val="16"/>
        </w:rPr>
        <w:t xml:space="preserve">Meziročně vzrostla nezaměstnanost ve všech okresech ČR </w:t>
      </w:r>
      <w:r w:rsidRPr="00CC188E">
        <w:rPr>
          <w:rStyle w:val="normaltextrun"/>
          <w:rFonts w:eastAsiaTheme="majorEastAsia"/>
          <w:color w:val="0D0D0D" w:themeColor="text1" w:themeTint="F2"/>
          <w:sz w:val="16"/>
          <w:szCs w:val="16"/>
        </w:rPr>
        <w:t>– nejméně v Kroměříži, Karlových Varech a Trutnově (do +0,2 p. b.), nejvíce v Karviné (z 8,9 % na 10,3 %), k</w:t>
      </w:r>
      <w:r>
        <w:rPr>
          <w:rStyle w:val="normaltextrun"/>
          <w:rFonts w:eastAsiaTheme="majorEastAsia"/>
          <w:color w:val="0D0D0D" w:themeColor="text1" w:themeTint="F2"/>
          <w:sz w:val="16"/>
          <w:szCs w:val="16"/>
        </w:rPr>
        <w:t>de</w:t>
      </w:r>
      <w:r w:rsidRPr="00CC188E">
        <w:rPr>
          <w:rStyle w:val="normaltextrun"/>
          <w:rFonts w:eastAsiaTheme="majorEastAsia"/>
          <w:color w:val="0D0D0D" w:themeColor="text1" w:themeTint="F2"/>
          <w:sz w:val="16"/>
          <w:szCs w:val="16"/>
        </w:rPr>
        <w:t xml:space="preserve"> jde současně o region s nejvyšší úrovní nezaměstnanosti (loni držel tuto pozici Most), Bruntálu (ze 7,5 % na 8,5 %), Ústí nad Labem (z 6,5 % na 7,5 %) a Liberci (z 4,8 % na 5,8 %). Mezi kraji došlo k největšímu nárůstu v Libereckém (+0,84 p. b.), Moravskoslezském (+0,82), Ústeckém kraji (+0,78) a </w:t>
      </w:r>
      <w:r>
        <w:rPr>
          <w:rStyle w:val="normaltextrun"/>
          <w:rFonts w:eastAsiaTheme="majorEastAsia"/>
          <w:color w:val="0D0D0D" w:themeColor="text1" w:themeTint="F2"/>
          <w:sz w:val="16"/>
          <w:szCs w:val="16"/>
        </w:rPr>
        <w:t xml:space="preserve">v </w:t>
      </w:r>
      <w:r w:rsidRPr="00CC188E">
        <w:rPr>
          <w:rStyle w:val="normaltextrun"/>
          <w:rFonts w:eastAsiaTheme="majorEastAsia"/>
          <w:color w:val="0D0D0D" w:themeColor="text1" w:themeTint="F2"/>
          <w:sz w:val="16"/>
          <w:szCs w:val="16"/>
        </w:rPr>
        <w:t xml:space="preserve">Praze (+0,76), naopak </w:t>
      </w:r>
      <w:r>
        <w:rPr>
          <w:rStyle w:val="normaltextrun"/>
          <w:rFonts w:eastAsiaTheme="majorEastAsia"/>
          <w:color w:val="0D0D0D" w:themeColor="text1" w:themeTint="F2"/>
          <w:sz w:val="16"/>
          <w:szCs w:val="16"/>
        </w:rPr>
        <w:t xml:space="preserve">k </w:t>
      </w:r>
      <w:r w:rsidRPr="00CC188E">
        <w:rPr>
          <w:rStyle w:val="normaltextrun"/>
          <w:rFonts w:eastAsiaTheme="majorEastAsia"/>
          <w:color w:val="0D0D0D" w:themeColor="text1" w:themeTint="F2"/>
          <w:sz w:val="16"/>
          <w:szCs w:val="16"/>
        </w:rPr>
        <w:t>nejmenším</w:t>
      </w:r>
      <w:r>
        <w:rPr>
          <w:rStyle w:val="normaltextrun"/>
          <w:rFonts w:eastAsiaTheme="majorEastAsia"/>
          <w:color w:val="0D0D0D" w:themeColor="text1" w:themeTint="F2"/>
          <w:sz w:val="16"/>
          <w:szCs w:val="16"/>
        </w:rPr>
        <w:t>u</w:t>
      </w:r>
      <w:r w:rsidRPr="00CC188E">
        <w:rPr>
          <w:rStyle w:val="normaltextrun"/>
          <w:rFonts w:eastAsiaTheme="majorEastAsia"/>
          <w:color w:val="0D0D0D" w:themeColor="text1" w:themeTint="F2"/>
          <w:sz w:val="16"/>
          <w:szCs w:val="16"/>
        </w:rPr>
        <w:t xml:space="preserve"> v kraji Královéhradeckém (+0,46).</w:t>
      </w:r>
    </w:p>
  </w:footnote>
  <w:footnote w:id="30">
    <w:p w14:paraId="14A43F2C" w14:textId="77777777" w:rsidR="00F4587B" w:rsidRPr="00300589" w:rsidRDefault="00F4587B" w:rsidP="00F4587B">
      <w:pPr>
        <w:pStyle w:val="Textpoznpodarou"/>
        <w:rPr>
          <w:sz w:val="16"/>
          <w:szCs w:val="16"/>
        </w:rPr>
      </w:pPr>
      <w:r w:rsidRPr="00300589">
        <w:rPr>
          <w:rStyle w:val="Znakapoznpodarou"/>
          <w:sz w:val="16"/>
          <w:szCs w:val="16"/>
        </w:rPr>
        <w:footnoteRef/>
      </w:r>
      <w:r w:rsidRPr="00300589">
        <w:rPr>
          <w:sz w:val="16"/>
          <w:szCs w:val="16"/>
        </w:rPr>
        <w:t xml:space="preserve"> </w:t>
      </w:r>
      <w:r w:rsidRPr="00300589">
        <w:rPr>
          <w:rStyle w:val="normaltextrun"/>
          <w:rFonts w:eastAsiaTheme="majorEastAsia" w:cs="Arial"/>
          <w:sz w:val="16"/>
          <w:szCs w:val="16"/>
        </w:rPr>
        <w:t>Nelze rovněž vyloučit, že část osob, jež měly v posledních měsících úmysl odejít ze zaměstnání, si svůj odchod načasovala až na období platnosti vyšších podpor v nezaměstnanosti.</w:t>
      </w:r>
    </w:p>
  </w:footnote>
  <w:footnote w:id="31">
    <w:p w14:paraId="7C184649" w14:textId="4A54E973" w:rsidR="00F4587B" w:rsidRPr="00A657A4" w:rsidRDefault="00F4587B" w:rsidP="00F4587B">
      <w:pPr>
        <w:pStyle w:val="Textpoznpodarou"/>
        <w:rPr>
          <w:rFonts w:cs="Arial"/>
          <w:sz w:val="16"/>
          <w:szCs w:val="16"/>
        </w:rPr>
      </w:pPr>
      <w:r w:rsidRPr="00723CD6">
        <w:rPr>
          <w:rStyle w:val="Znakapoznpodarou"/>
          <w:sz w:val="16"/>
          <w:szCs w:val="16"/>
        </w:rPr>
        <w:footnoteRef/>
      </w:r>
      <w:r w:rsidRPr="00723CD6">
        <w:rPr>
          <w:sz w:val="16"/>
          <w:szCs w:val="16"/>
        </w:rPr>
        <w:t xml:space="preserve"> </w:t>
      </w:r>
      <w:r w:rsidRPr="00F00B16">
        <w:rPr>
          <w:rStyle w:val="eop"/>
          <w:rFonts w:cs="Arial"/>
          <w:color w:val="0D0D0D" w:themeColor="text1" w:themeTint="F2"/>
          <w:sz w:val="16"/>
          <w:szCs w:val="16"/>
        </w:rPr>
        <w:t xml:space="preserve">Dle experimentální statistiky ČSÚ (šetření u podniků </w:t>
      </w:r>
      <w:r w:rsidRPr="00723CD6">
        <w:rPr>
          <w:rStyle w:val="eop"/>
          <w:rFonts w:cs="Arial"/>
          <w:sz w:val="16"/>
          <w:szCs w:val="16"/>
        </w:rPr>
        <w:t>p</w:t>
      </w:r>
      <w:r>
        <w:rPr>
          <w:rStyle w:val="eop"/>
          <w:rFonts w:cs="Arial"/>
          <w:sz w:val="16"/>
          <w:szCs w:val="16"/>
        </w:rPr>
        <w:t xml:space="preserve">rováděná od roku 2020) byla </w:t>
      </w:r>
      <w:r w:rsidRPr="00723CD6">
        <w:rPr>
          <w:rStyle w:val="eop"/>
          <w:rFonts w:cs="Arial"/>
          <w:sz w:val="16"/>
          <w:szCs w:val="16"/>
        </w:rPr>
        <w:t>nabídka t</w:t>
      </w:r>
      <w:r>
        <w:rPr>
          <w:rStyle w:val="eop"/>
          <w:rFonts w:cs="Arial"/>
          <w:sz w:val="16"/>
          <w:szCs w:val="16"/>
        </w:rPr>
        <w:t>uzemských firem v 1. čtvrtletí 2026 odhadnuta na 103</w:t>
      </w:r>
      <w:r w:rsidRPr="00723CD6">
        <w:rPr>
          <w:rStyle w:val="eop"/>
          <w:rFonts w:cs="Arial"/>
          <w:sz w:val="16"/>
          <w:szCs w:val="16"/>
        </w:rPr>
        <w:t xml:space="preserve"> tis. volných míst (j</w:t>
      </w:r>
      <w:r>
        <w:rPr>
          <w:rStyle w:val="eop"/>
          <w:rFonts w:cs="Arial"/>
          <w:sz w:val="16"/>
          <w:szCs w:val="16"/>
        </w:rPr>
        <w:t>de jen</w:t>
      </w:r>
      <w:r w:rsidRPr="00723CD6">
        <w:rPr>
          <w:rStyle w:val="eop"/>
          <w:rFonts w:cs="Arial"/>
          <w:sz w:val="16"/>
          <w:szCs w:val="16"/>
        </w:rPr>
        <w:t xml:space="preserve"> o místa v pracovním poměru, n</w:t>
      </w:r>
      <w:r>
        <w:rPr>
          <w:rStyle w:val="eop"/>
          <w:rFonts w:cs="Arial"/>
          <w:sz w:val="16"/>
          <w:szCs w:val="16"/>
        </w:rPr>
        <w:t>ikoli</w:t>
      </w:r>
      <w:r w:rsidRPr="00723CD6">
        <w:rPr>
          <w:rStyle w:val="eop"/>
          <w:rFonts w:cs="Arial"/>
          <w:sz w:val="16"/>
          <w:szCs w:val="16"/>
        </w:rPr>
        <w:t xml:space="preserve"> o přechodná zaměstnání, např. různé typy dohod). Počet míst se meziročně</w:t>
      </w:r>
      <w:r>
        <w:rPr>
          <w:rStyle w:val="eop"/>
          <w:rFonts w:cs="Arial"/>
          <w:sz w:val="16"/>
          <w:szCs w:val="16"/>
        </w:rPr>
        <w:t xml:space="preserve"> snížil</w:t>
      </w:r>
      <w:r w:rsidRPr="00723CD6">
        <w:rPr>
          <w:rStyle w:val="eop"/>
          <w:rFonts w:cs="Arial"/>
          <w:sz w:val="16"/>
          <w:szCs w:val="16"/>
        </w:rPr>
        <w:t xml:space="preserve"> o </w:t>
      </w:r>
      <w:r>
        <w:rPr>
          <w:rStyle w:val="eop"/>
          <w:rFonts w:cs="Arial"/>
          <w:sz w:val="16"/>
          <w:szCs w:val="16"/>
        </w:rPr>
        <w:t>2,0</w:t>
      </w:r>
      <w:r w:rsidRPr="00723CD6">
        <w:rPr>
          <w:rStyle w:val="eop"/>
          <w:rFonts w:cs="Arial"/>
          <w:sz w:val="16"/>
          <w:szCs w:val="16"/>
        </w:rPr>
        <w:t xml:space="preserve"> % (</w:t>
      </w:r>
      <w:r>
        <w:rPr>
          <w:rStyle w:val="eop"/>
          <w:rFonts w:cs="Arial"/>
          <w:sz w:val="16"/>
          <w:szCs w:val="16"/>
        </w:rPr>
        <w:t>mírně klesal i v předchozích loňských čtvrtletích</w:t>
      </w:r>
      <w:r w:rsidRPr="00723CD6">
        <w:rPr>
          <w:rStyle w:val="eop"/>
          <w:rFonts w:cs="Arial"/>
          <w:sz w:val="16"/>
          <w:szCs w:val="16"/>
        </w:rPr>
        <w:t xml:space="preserve">). </w:t>
      </w:r>
      <w:r>
        <w:rPr>
          <w:rStyle w:val="eop"/>
          <w:rFonts w:cs="Arial"/>
          <w:sz w:val="16"/>
          <w:szCs w:val="16"/>
        </w:rPr>
        <w:t>Na současném poklesu nabídky se podílely hlavně profesní, vědecké a technické</w:t>
      </w:r>
      <w:r w:rsidRPr="00723CD6">
        <w:rPr>
          <w:rStyle w:val="eop"/>
          <w:rFonts w:cs="Arial"/>
          <w:sz w:val="16"/>
          <w:szCs w:val="16"/>
        </w:rPr>
        <w:t xml:space="preserve"> činnosti</w:t>
      </w:r>
      <w:r>
        <w:rPr>
          <w:rStyle w:val="eop"/>
          <w:rFonts w:cs="Arial"/>
          <w:sz w:val="16"/>
          <w:szCs w:val="16"/>
        </w:rPr>
        <w:t xml:space="preserve"> (</w:t>
      </w:r>
      <w:r w:rsidRPr="00EA34AB">
        <w:rPr>
          <w:rFonts w:eastAsia="Times New Roman" w:cs="Arial"/>
          <w:spacing w:val="-5"/>
          <w:sz w:val="16"/>
          <w:szCs w:val="16"/>
        </w:rPr>
        <w:t>–</w:t>
      </w:r>
      <w:r>
        <w:rPr>
          <w:rStyle w:val="eop"/>
          <w:rFonts w:cs="Arial"/>
          <w:sz w:val="16"/>
          <w:szCs w:val="16"/>
        </w:rPr>
        <w:t>1,5 tis.) a dále pak doprava vč. skladování (</w:t>
      </w:r>
      <w:r w:rsidRPr="00EA34AB">
        <w:rPr>
          <w:rFonts w:eastAsia="Times New Roman" w:cs="Arial"/>
          <w:spacing w:val="-5"/>
          <w:sz w:val="16"/>
          <w:szCs w:val="16"/>
        </w:rPr>
        <w:t>–</w:t>
      </w:r>
      <w:r>
        <w:rPr>
          <w:rStyle w:val="eop"/>
          <w:rFonts w:cs="Arial"/>
          <w:sz w:val="16"/>
          <w:szCs w:val="16"/>
        </w:rPr>
        <w:t>0,9 tis.) a trochu překvapivě také informační</w:t>
      </w:r>
      <w:r w:rsidR="001403D0">
        <w:rPr>
          <w:rStyle w:val="eop"/>
          <w:rFonts w:cs="Arial"/>
          <w:sz w:val="16"/>
          <w:szCs w:val="16"/>
        </w:rPr>
        <w:t xml:space="preserve"> </w:t>
      </w:r>
      <w:r>
        <w:rPr>
          <w:rStyle w:val="eop"/>
          <w:rFonts w:cs="Arial"/>
          <w:sz w:val="16"/>
          <w:szCs w:val="16"/>
        </w:rPr>
        <w:t>a komunikační činnosti (</w:t>
      </w:r>
      <w:r w:rsidRPr="00EA34AB">
        <w:rPr>
          <w:rFonts w:eastAsia="Times New Roman" w:cs="Arial"/>
          <w:spacing w:val="-5"/>
          <w:sz w:val="16"/>
          <w:szCs w:val="16"/>
        </w:rPr>
        <w:t>–</w:t>
      </w:r>
      <w:r>
        <w:rPr>
          <w:rStyle w:val="eop"/>
          <w:rFonts w:cs="Arial"/>
          <w:sz w:val="16"/>
          <w:szCs w:val="16"/>
        </w:rPr>
        <w:t>0,8 tis.). Naopak nejvíce rostla nabídka míst v a</w:t>
      </w:r>
      <w:r w:rsidRPr="00F00B16">
        <w:rPr>
          <w:rStyle w:val="eop"/>
          <w:rFonts w:cs="Arial"/>
          <w:sz w:val="16"/>
          <w:szCs w:val="16"/>
        </w:rPr>
        <w:t>dministrativní</w:t>
      </w:r>
      <w:r>
        <w:rPr>
          <w:rStyle w:val="eop"/>
          <w:rFonts w:cs="Arial"/>
          <w:sz w:val="16"/>
          <w:szCs w:val="16"/>
        </w:rPr>
        <w:t>ch</w:t>
      </w:r>
      <w:r w:rsidRPr="00F00B16">
        <w:rPr>
          <w:rStyle w:val="eop"/>
          <w:rFonts w:cs="Arial"/>
          <w:sz w:val="16"/>
          <w:szCs w:val="16"/>
        </w:rPr>
        <w:t xml:space="preserve"> a podpůrn</w:t>
      </w:r>
      <w:r>
        <w:rPr>
          <w:rStyle w:val="eop"/>
          <w:rFonts w:cs="Arial"/>
          <w:sz w:val="16"/>
          <w:szCs w:val="16"/>
        </w:rPr>
        <w:t>ých</w:t>
      </w:r>
      <w:r w:rsidRPr="00F00B16">
        <w:rPr>
          <w:rStyle w:val="eop"/>
          <w:rFonts w:cs="Arial"/>
          <w:sz w:val="16"/>
          <w:szCs w:val="16"/>
        </w:rPr>
        <w:t xml:space="preserve"> činnost</w:t>
      </w:r>
      <w:r>
        <w:rPr>
          <w:rStyle w:val="eop"/>
          <w:rFonts w:cs="Arial"/>
          <w:sz w:val="16"/>
          <w:szCs w:val="16"/>
        </w:rPr>
        <w:t>ech</w:t>
      </w:r>
      <w:r w:rsidRPr="00296602">
        <w:rPr>
          <w:rStyle w:val="eop"/>
          <w:rFonts w:cs="Arial"/>
          <w:spacing w:val="-2"/>
          <w:sz w:val="16"/>
          <w:szCs w:val="16"/>
        </w:rPr>
        <w:t xml:space="preserve"> (+</w:t>
      </w:r>
      <w:r>
        <w:rPr>
          <w:rStyle w:val="eop"/>
          <w:rFonts w:cs="Arial"/>
          <w:spacing w:val="-2"/>
          <w:sz w:val="16"/>
          <w:szCs w:val="16"/>
        </w:rPr>
        <w:t>0</w:t>
      </w:r>
      <w:r w:rsidRPr="00296602">
        <w:rPr>
          <w:rStyle w:val="eop"/>
          <w:rFonts w:cs="Arial"/>
          <w:spacing w:val="-2"/>
          <w:sz w:val="16"/>
          <w:szCs w:val="16"/>
        </w:rPr>
        <w:t>,</w:t>
      </w:r>
      <w:r>
        <w:rPr>
          <w:rStyle w:val="eop"/>
          <w:rFonts w:cs="Arial"/>
          <w:spacing w:val="-2"/>
          <w:sz w:val="16"/>
          <w:szCs w:val="16"/>
        </w:rPr>
        <w:t>7</w:t>
      </w:r>
      <w:r w:rsidRPr="00296602">
        <w:rPr>
          <w:rStyle w:val="eop"/>
          <w:rFonts w:cs="Arial"/>
          <w:spacing w:val="-2"/>
          <w:sz w:val="16"/>
          <w:szCs w:val="16"/>
        </w:rPr>
        <w:t xml:space="preserve"> tis.)</w:t>
      </w:r>
      <w:r>
        <w:rPr>
          <w:rStyle w:val="eop"/>
          <w:rFonts w:cs="Arial"/>
          <w:spacing w:val="-2"/>
          <w:sz w:val="16"/>
          <w:szCs w:val="16"/>
        </w:rPr>
        <w:t xml:space="preserve"> a ve stavebnictví (+0,6 tis.)</w:t>
      </w:r>
      <w:r w:rsidRPr="00296602">
        <w:rPr>
          <w:rStyle w:val="eop"/>
          <w:rFonts w:cs="Arial"/>
          <w:spacing w:val="-2"/>
          <w:sz w:val="16"/>
          <w:szCs w:val="16"/>
        </w:rPr>
        <w:t>. Nejvíce volných pozic bylo v odvětvích s významnou rolí státu (2</w:t>
      </w:r>
      <w:r>
        <w:rPr>
          <w:rStyle w:val="eop"/>
          <w:rFonts w:cs="Arial"/>
          <w:spacing w:val="-2"/>
          <w:sz w:val="16"/>
          <w:szCs w:val="16"/>
        </w:rPr>
        <w:t>8</w:t>
      </w:r>
      <w:r w:rsidRPr="00296602">
        <w:rPr>
          <w:rStyle w:val="eop"/>
          <w:rFonts w:cs="Arial"/>
          <w:spacing w:val="-2"/>
          <w:sz w:val="16"/>
          <w:szCs w:val="16"/>
        </w:rPr>
        <w:t xml:space="preserve"> tis.), </w:t>
      </w:r>
      <w:r>
        <w:rPr>
          <w:rStyle w:val="eop"/>
          <w:rFonts w:cs="Arial"/>
          <w:spacing w:val="-2"/>
          <w:sz w:val="16"/>
          <w:szCs w:val="16"/>
        </w:rPr>
        <w:t>zpracovatelském</w:t>
      </w:r>
      <w:r w:rsidRPr="00296602">
        <w:rPr>
          <w:rStyle w:val="eop"/>
          <w:rFonts w:cs="Arial"/>
          <w:spacing w:val="-2"/>
          <w:sz w:val="16"/>
          <w:szCs w:val="16"/>
        </w:rPr>
        <w:t xml:space="preserve"> průmyslu (2</w:t>
      </w:r>
      <w:r>
        <w:rPr>
          <w:rStyle w:val="eop"/>
          <w:rFonts w:cs="Arial"/>
          <w:spacing w:val="-2"/>
          <w:sz w:val="16"/>
          <w:szCs w:val="16"/>
        </w:rPr>
        <w:t>7</w:t>
      </w:r>
      <w:r w:rsidRPr="00296602">
        <w:rPr>
          <w:rStyle w:val="eop"/>
          <w:rFonts w:cs="Arial"/>
          <w:spacing w:val="-2"/>
          <w:sz w:val="16"/>
          <w:szCs w:val="16"/>
        </w:rPr>
        <w:t xml:space="preserve"> tis.)</w:t>
      </w:r>
      <w:r>
        <w:rPr>
          <w:rStyle w:val="eop"/>
          <w:rFonts w:cs="Arial"/>
          <w:spacing w:val="-2"/>
          <w:sz w:val="16"/>
          <w:szCs w:val="16"/>
        </w:rPr>
        <w:t xml:space="preserve"> </w:t>
      </w:r>
      <w:r w:rsidRPr="00296602">
        <w:rPr>
          <w:rStyle w:val="eop"/>
          <w:rFonts w:cs="Arial"/>
          <w:spacing w:val="-2"/>
          <w:sz w:val="16"/>
          <w:szCs w:val="16"/>
        </w:rPr>
        <w:t>a v obchodu (1</w:t>
      </w:r>
      <w:r>
        <w:rPr>
          <w:rStyle w:val="eop"/>
          <w:rFonts w:cs="Arial"/>
          <w:spacing w:val="-2"/>
          <w:sz w:val="16"/>
          <w:szCs w:val="16"/>
        </w:rPr>
        <w:t>1</w:t>
      </w:r>
      <w:r w:rsidRPr="00296602">
        <w:rPr>
          <w:rStyle w:val="eop"/>
          <w:rFonts w:cs="Arial"/>
          <w:spacing w:val="-2"/>
          <w:sz w:val="16"/>
          <w:szCs w:val="16"/>
        </w:rPr>
        <w:t xml:space="preserve"> tis.).</w:t>
      </w:r>
      <w:r>
        <w:rPr>
          <w:rStyle w:val="eop"/>
          <w:rFonts w:cs="Arial"/>
          <w:sz w:val="16"/>
          <w:szCs w:val="16"/>
        </w:rPr>
        <w:t xml:space="preserve"> </w:t>
      </w:r>
    </w:p>
  </w:footnote>
  <w:footnote w:id="32">
    <w:p w14:paraId="4A4D646B" w14:textId="77777777" w:rsidR="00F4587B" w:rsidRPr="0097550E" w:rsidRDefault="00F4587B" w:rsidP="00F4587B">
      <w:pPr>
        <w:pStyle w:val="Textpoznpodarou"/>
        <w:rPr>
          <w:sz w:val="16"/>
          <w:szCs w:val="16"/>
        </w:rPr>
      </w:pPr>
      <w:r w:rsidRPr="0097550E">
        <w:rPr>
          <w:rStyle w:val="Znakapoznpodarou"/>
          <w:sz w:val="16"/>
          <w:szCs w:val="16"/>
        </w:rPr>
        <w:footnoteRef/>
      </w:r>
      <w:r w:rsidRPr="0097550E">
        <w:rPr>
          <w:sz w:val="16"/>
          <w:szCs w:val="16"/>
        </w:rPr>
        <w:t xml:space="preserve"> </w:t>
      </w:r>
      <w:r w:rsidRPr="0097550E">
        <w:rPr>
          <w:rFonts w:eastAsia="Times New Roman" w:cs="Arial"/>
          <w:sz w:val="16"/>
          <w:szCs w:val="16"/>
        </w:rPr>
        <w:t xml:space="preserve">Nejvíce uchazečů </w:t>
      </w:r>
      <w:r>
        <w:rPr>
          <w:rFonts w:eastAsia="Times New Roman" w:cs="Arial"/>
          <w:sz w:val="16"/>
          <w:szCs w:val="16"/>
        </w:rPr>
        <w:t>na jedno volné</w:t>
      </w:r>
      <w:r w:rsidRPr="0097550E">
        <w:rPr>
          <w:rFonts w:eastAsia="Times New Roman" w:cs="Arial"/>
          <w:sz w:val="16"/>
          <w:szCs w:val="16"/>
        </w:rPr>
        <w:t xml:space="preserve"> místo připadá tradičně v „hornických okresech“ Karviná (19,6) a Sokolov (15,1), dále pak Děčín (15,5), Bruntál (11,8), Ústí nad Labem (13,2), Jablonec n. Nisou (10,3). Naopak téměř vyrovnaný poměr mezi uchazeči a místy byl v okresech Praha-východ a západ (1,3), Tachov a Mladá Boleslav (shodně 1,3) a Kutná Hora (1,4). Relativně příznivý byl i v Praze a </w:t>
      </w:r>
      <w:r>
        <w:rPr>
          <w:rFonts w:eastAsia="Times New Roman" w:cs="Arial"/>
          <w:sz w:val="16"/>
          <w:szCs w:val="16"/>
        </w:rPr>
        <w:t xml:space="preserve">na </w:t>
      </w:r>
      <w:r w:rsidRPr="0097550E">
        <w:rPr>
          <w:rFonts w:eastAsia="Times New Roman" w:cs="Arial"/>
          <w:sz w:val="16"/>
          <w:szCs w:val="16"/>
        </w:rPr>
        <w:t>Prachaticku shodně (1,6) a v okre</w:t>
      </w:r>
      <w:r>
        <w:rPr>
          <w:rFonts w:eastAsia="Times New Roman" w:cs="Arial"/>
          <w:sz w:val="16"/>
          <w:szCs w:val="16"/>
        </w:rPr>
        <w:t>se</w:t>
      </w:r>
      <w:r w:rsidRPr="0097550E">
        <w:rPr>
          <w:rFonts w:eastAsia="Times New Roman" w:cs="Arial"/>
          <w:sz w:val="16"/>
          <w:szCs w:val="16"/>
        </w:rPr>
        <w:t>ch v okolí Plzně. K největšímu meziročnímu zvýšení tlaku uchazečů na nabízená pracovní místa došlo v okre</w:t>
      </w:r>
      <w:r>
        <w:rPr>
          <w:rFonts w:eastAsia="Times New Roman" w:cs="Arial"/>
          <w:sz w:val="16"/>
          <w:szCs w:val="16"/>
        </w:rPr>
        <w:t>se</w:t>
      </w:r>
      <w:r w:rsidRPr="0097550E">
        <w:rPr>
          <w:rFonts w:eastAsia="Times New Roman" w:cs="Arial"/>
          <w:sz w:val="16"/>
          <w:szCs w:val="16"/>
        </w:rPr>
        <w:t>ch Ústí nad Labem, Frýdek-Místek a Děčín.</w:t>
      </w:r>
    </w:p>
  </w:footnote>
  <w:footnote w:id="33">
    <w:p w14:paraId="16122721" w14:textId="77777777" w:rsidR="00F4587B" w:rsidRPr="00BC4EF9" w:rsidRDefault="00F4587B" w:rsidP="00F4587B">
      <w:pPr>
        <w:pStyle w:val="Textpoznpodarou"/>
        <w:rPr>
          <w:sz w:val="16"/>
          <w:szCs w:val="16"/>
        </w:rPr>
      </w:pPr>
      <w:r w:rsidRPr="00BC4EF9">
        <w:rPr>
          <w:rStyle w:val="Znakapoznpodarou"/>
          <w:sz w:val="16"/>
          <w:szCs w:val="16"/>
        </w:rPr>
        <w:footnoteRef/>
      </w:r>
      <w:r w:rsidRPr="00BC4EF9">
        <w:rPr>
          <w:sz w:val="16"/>
          <w:szCs w:val="16"/>
        </w:rPr>
        <w:t xml:space="preserve"> U </w:t>
      </w:r>
      <w:r w:rsidRPr="00BC4EF9">
        <w:rPr>
          <w:color w:val="0D0D0D" w:themeColor="text1" w:themeTint="F2"/>
          <w:sz w:val="16"/>
          <w:szCs w:val="16"/>
        </w:rPr>
        <w:t>téměř tří čtvrtin volných pracovních míst postačovalo uchazečům pouze základní vzdělání. Naopak více než třetina všech registrovaných uchazečů o práci disponuje alespoň maturitním vzděláním.</w:t>
      </w:r>
    </w:p>
  </w:footnote>
  <w:footnote w:id="34">
    <w:p w14:paraId="5173D0B0" w14:textId="77777777" w:rsidR="00F4587B" w:rsidRPr="00BC4EF9" w:rsidRDefault="00F4587B" w:rsidP="00F4587B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16"/>
          <w:szCs w:val="16"/>
        </w:rPr>
      </w:pPr>
      <w:r w:rsidRPr="00BC4EF9">
        <w:rPr>
          <w:rStyle w:val="Znakapoznpodarou"/>
          <w:sz w:val="16"/>
          <w:szCs w:val="16"/>
        </w:rPr>
        <w:footnoteRef/>
      </w:r>
      <w:r w:rsidRPr="00BC4EF9">
        <w:rPr>
          <w:sz w:val="16"/>
          <w:szCs w:val="16"/>
        </w:rPr>
        <w:t xml:space="preserve"> </w:t>
      </w:r>
      <w:r w:rsidRPr="00BC4EF9">
        <w:rPr>
          <w:rStyle w:val="normaltextrun"/>
          <w:rFonts w:ascii="Arial" w:eastAsiaTheme="majorEastAsia" w:hAnsi="Arial" w:cs="Arial"/>
          <w:sz w:val="16"/>
          <w:szCs w:val="16"/>
        </w:rPr>
        <w:t xml:space="preserve">Nejvíce uchazečů </w:t>
      </w:r>
      <w:r>
        <w:rPr>
          <w:rStyle w:val="normaltextrun"/>
          <w:rFonts w:ascii="Arial" w:eastAsiaTheme="majorEastAsia" w:hAnsi="Arial" w:cs="Arial"/>
          <w:sz w:val="16"/>
          <w:szCs w:val="16"/>
        </w:rPr>
        <w:t>o</w:t>
      </w:r>
      <w:r w:rsidRPr="00BC4EF9">
        <w:rPr>
          <w:rStyle w:val="normaltextrun"/>
          <w:rFonts w:ascii="Arial" w:eastAsiaTheme="majorEastAsia" w:hAnsi="Arial" w:cs="Arial"/>
          <w:sz w:val="16"/>
          <w:szCs w:val="16"/>
        </w:rPr>
        <w:t xml:space="preserve"> místo připadalo na konci ledna 2026 tradičně na okres Karviná (20), dále Sokolov a Děčín (shodně 17), Bruntál (14), Hodonín a Znojmo (12) a Jablonec n. Nisou (11) a Ústí nad Labem (10). Naopak téměř vyrovnaný poměr mezi uchazeči a místy byl v okresech Mladá Boleslav (1,3)</w:t>
      </w:r>
      <w:r>
        <w:rPr>
          <w:rStyle w:val="normaltextrun"/>
          <w:rFonts w:ascii="Arial" w:eastAsiaTheme="majorEastAsia" w:hAnsi="Arial" w:cs="Arial"/>
          <w:sz w:val="16"/>
          <w:szCs w:val="16"/>
        </w:rPr>
        <w:t>,</w:t>
      </w:r>
      <w:r w:rsidRPr="00BC4EF9">
        <w:rPr>
          <w:rStyle w:val="normaltextrun"/>
          <w:rFonts w:ascii="Arial" w:eastAsiaTheme="majorEastAsia" w:hAnsi="Arial" w:cs="Arial"/>
          <w:sz w:val="16"/>
          <w:szCs w:val="16"/>
        </w:rPr>
        <w:t xml:space="preserve"> Praha-východ a západ (1,4) a příznivý byl nadále </w:t>
      </w:r>
      <w:r>
        <w:rPr>
          <w:rStyle w:val="normaltextrun"/>
          <w:rFonts w:ascii="Arial" w:eastAsiaTheme="majorEastAsia" w:hAnsi="Arial" w:cs="Arial"/>
          <w:sz w:val="16"/>
          <w:szCs w:val="16"/>
        </w:rPr>
        <w:t xml:space="preserve">na </w:t>
      </w:r>
      <w:r w:rsidRPr="00BC4EF9">
        <w:rPr>
          <w:rStyle w:val="normaltextrun"/>
          <w:rFonts w:ascii="Arial" w:eastAsiaTheme="majorEastAsia" w:hAnsi="Arial" w:cs="Arial"/>
          <w:sz w:val="16"/>
          <w:szCs w:val="16"/>
        </w:rPr>
        <w:t>Tachovsku (1,6) a v Praze (1,7).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35D04"/>
    <w:multiLevelType w:val="hybridMultilevel"/>
    <w:tmpl w:val="2684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4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3"/>
  </w:num>
  <w:num w:numId="27" w16cid:durableId="223610688">
    <w:abstractNumId w:val="44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6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5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4"/>
  </w:num>
  <w:num w:numId="48" w16cid:durableId="1639922006">
    <w:abstractNumId w:val="44"/>
    <w:lvlOverride w:ilvl="0">
      <w:startOverride w:val="1"/>
    </w:lvlOverride>
  </w:num>
  <w:num w:numId="49" w16cid:durableId="1509101590">
    <w:abstractNumId w:val="17"/>
  </w:num>
  <w:num w:numId="50" w16cid:durableId="14816520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6CFB"/>
    <w:rsid w:val="00087634"/>
    <w:rsid w:val="00087F2B"/>
    <w:rsid w:val="00090C0E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1202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18D0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098"/>
    <w:rsid w:val="001224E5"/>
    <w:rsid w:val="00124443"/>
    <w:rsid w:val="00124940"/>
    <w:rsid w:val="00125D69"/>
    <w:rsid w:val="001302D9"/>
    <w:rsid w:val="001403D0"/>
    <w:rsid w:val="001405FA"/>
    <w:rsid w:val="00142254"/>
    <w:rsid w:val="001425C3"/>
    <w:rsid w:val="001476BD"/>
    <w:rsid w:val="001477BA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93777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4738"/>
    <w:rsid w:val="001B6310"/>
    <w:rsid w:val="001B6C09"/>
    <w:rsid w:val="001B73E6"/>
    <w:rsid w:val="001C05CD"/>
    <w:rsid w:val="001C2AA7"/>
    <w:rsid w:val="001C3924"/>
    <w:rsid w:val="001C6020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3A3C"/>
    <w:rsid w:val="00244A15"/>
    <w:rsid w:val="0024661A"/>
    <w:rsid w:val="00247319"/>
    <w:rsid w:val="0024741D"/>
    <w:rsid w:val="002475AC"/>
    <w:rsid w:val="0024799E"/>
    <w:rsid w:val="00247EE7"/>
    <w:rsid w:val="0025271C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264B"/>
    <w:rsid w:val="002B4845"/>
    <w:rsid w:val="002B48B4"/>
    <w:rsid w:val="002C2FE9"/>
    <w:rsid w:val="002C3E17"/>
    <w:rsid w:val="002C43BD"/>
    <w:rsid w:val="002C5568"/>
    <w:rsid w:val="002D0E59"/>
    <w:rsid w:val="002E02A1"/>
    <w:rsid w:val="002E42AC"/>
    <w:rsid w:val="002E4E4C"/>
    <w:rsid w:val="002F2057"/>
    <w:rsid w:val="002F3E4F"/>
    <w:rsid w:val="002F40D1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3701"/>
    <w:rsid w:val="00344668"/>
    <w:rsid w:val="003462D9"/>
    <w:rsid w:val="00352109"/>
    <w:rsid w:val="00360C86"/>
    <w:rsid w:val="00360FBC"/>
    <w:rsid w:val="00362E90"/>
    <w:rsid w:val="00364FA0"/>
    <w:rsid w:val="003657F3"/>
    <w:rsid w:val="00366591"/>
    <w:rsid w:val="00366647"/>
    <w:rsid w:val="00371826"/>
    <w:rsid w:val="00373504"/>
    <w:rsid w:val="00374FEF"/>
    <w:rsid w:val="0038123E"/>
    <w:rsid w:val="003818DC"/>
    <w:rsid w:val="00382C5B"/>
    <w:rsid w:val="00384327"/>
    <w:rsid w:val="00385D98"/>
    <w:rsid w:val="003A15ED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6BF6"/>
    <w:rsid w:val="003B7AFA"/>
    <w:rsid w:val="003C1099"/>
    <w:rsid w:val="003C16D0"/>
    <w:rsid w:val="003C3490"/>
    <w:rsid w:val="003C6550"/>
    <w:rsid w:val="003C79A6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95B"/>
    <w:rsid w:val="00416EB7"/>
    <w:rsid w:val="00420136"/>
    <w:rsid w:val="00421773"/>
    <w:rsid w:val="00432A58"/>
    <w:rsid w:val="00434617"/>
    <w:rsid w:val="00440900"/>
    <w:rsid w:val="00441BF6"/>
    <w:rsid w:val="00443556"/>
    <w:rsid w:val="004441A0"/>
    <w:rsid w:val="004455BA"/>
    <w:rsid w:val="00446D77"/>
    <w:rsid w:val="0045010F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87F47"/>
    <w:rsid w:val="004915CB"/>
    <w:rsid w:val="004924DC"/>
    <w:rsid w:val="004942C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0C"/>
    <w:rsid w:val="004E7C6B"/>
    <w:rsid w:val="004F06F5"/>
    <w:rsid w:val="004F16B2"/>
    <w:rsid w:val="004F2C1B"/>
    <w:rsid w:val="004F33A0"/>
    <w:rsid w:val="004F3A59"/>
    <w:rsid w:val="00501EBC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353A2"/>
    <w:rsid w:val="005402E9"/>
    <w:rsid w:val="00541508"/>
    <w:rsid w:val="00543498"/>
    <w:rsid w:val="00545512"/>
    <w:rsid w:val="00553016"/>
    <w:rsid w:val="0055599F"/>
    <w:rsid w:val="00556995"/>
    <w:rsid w:val="00556D68"/>
    <w:rsid w:val="005602C0"/>
    <w:rsid w:val="00563EB8"/>
    <w:rsid w:val="005647BF"/>
    <w:rsid w:val="0056486D"/>
    <w:rsid w:val="00564AF1"/>
    <w:rsid w:val="0056601A"/>
    <w:rsid w:val="005722EB"/>
    <w:rsid w:val="0057364B"/>
    <w:rsid w:val="0057452C"/>
    <w:rsid w:val="00574773"/>
    <w:rsid w:val="0058050D"/>
    <w:rsid w:val="0058308D"/>
    <w:rsid w:val="00583FFD"/>
    <w:rsid w:val="00591099"/>
    <w:rsid w:val="005911BE"/>
    <w:rsid w:val="00591330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A7128"/>
    <w:rsid w:val="005B121D"/>
    <w:rsid w:val="005B1BD0"/>
    <w:rsid w:val="005B3361"/>
    <w:rsid w:val="005C06ED"/>
    <w:rsid w:val="005C2609"/>
    <w:rsid w:val="005C3522"/>
    <w:rsid w:val="005C50BD"/>
    <w:rsid w:val="005C6CF0"/>
    <w:rsid w:val="005D0D46"/>
    <w:rsid w:val="005D2A72"/>
    <w:rsid w:val="005D4DDC"/>
    <w:rsid w:val="005D5802"/>
    <w:rsid w:val="005D7119"/>
    <w:rsid w:val="005D7241"/>
    <w:rsid w:val="005D7890"/>
    <w:rsid w:val="005E705E"/>
    <w:rsid w:val="005E7903"/>
    <w:rsid w:val="005E7C78"/>
    <w:rsid w:val="005F082A"/>
    <w:rsid w:val="005F18C5"/>
    <w:rsid w:val="005F3374"/>
    <w:rsid w:val="005F3491"/>
    <w:rsid w:val="005F3EB1"/>
    <w:rsid w:val="005F46D8"/>
    <w:rsid w:val="005F5469"/>
    <w:rsid w:val="0060201D"/>
    <w:rsid w:val="00603FF5"/>
    <w:rsid w:val="00604307"/>
    <w:rsid w:val="0060487F"/>
    <w:rsid w:val="00604EAD"/>
    <w:rsid w:val="00605D96"/>
    <w:rsid w:val="006104FB"/>
    <w:rsid w:val="00612A2F"/>
    <w:rsid w:val="0061390C"/>
    <w:rsid w:val="0061546D"/>
    <w:rsid w:val="006165E5"/>
    <w:rsid w:val="00616E05"/>
    <w:rsid w:val="00622275"/>
    <w:rsid w:val="00624093"/>
    <w:rsid w:val="00625F8F"/>
    <w:rsid w:val="00632F89"/>
    <w:rsid w:val="006350D5"/>
    <w:rsid w:val="006404A7"/>
    <w:rsid w:val="00640ACD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BD1"/>
    <w:rsid w:val="00675E37"/>
    <w:rsid w:val="006760C8"/>
    <w:rsid w:val="0068174E"/>
    <w:rsid w:val="00681DCE"/>
    <w:rsid w:val="0068260E"/>
    <w:rsid w:val="0068697A"/>
    <w:rsid w:val="00693594"/>
    <w:rsid w:val="00693FEC"/>
    <w:rsid w:val="0069490A"/>
    <w:rsid w:val="00695BEF"/>
    <w:rsid w:val="006977F6"/>
    <w:rsid w:val="00697A13"/>
    <w:rsid w:val="006A109C"/>
    <w:rsid w:val="006A2056"/>
    <w:rsid w:val="006A31AB"/>
    <w:rsid w:val="006A3832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6EC"/>
    <w:rsid w:val="006C6924"/>
    <w:rsid w:val="006C70EB"/>
    <w:rsid w:val="006C7CA6"/>
    <w:rsid w:val="006D3E8A"/>
    <w:rsid w:val="006D61F6"/>
    <w:rsid w:val="006D7C3A"/>
    <w:rsid w:val="006E279A"/>
    <w:rsid w:val="006E313B"/>
    <w:rsid w:val="006E41EC"/>
    <w:rsid w:val="006E4254"/>
    <w:rsid w:val="006E50F8"/>
    <w:rsid w:val="006E6B4C"/>
    <w:rsid w:val="006E7227"/>
    <w:rsid w:val="006F438E"/>
    <w:rsid w:val="006F4AB0"/>
    <w:rsid w:val="006F5416"/>
    <w:rsid w:val="006F7076"/>
    <w:rsid w:val="00702448"/>
    <w:rsid w:val="007037C0"/>
    <w:rsid w:val="00705242"/>
    <w:rsid w:val="00706AD4"/>
    <w:rsid w:val="00707150"/>
    <w:rsid w:val="00710078"/>
    <w:rsid w:val="00710229"/>
    <w:rsid w:val="00710CD2"/>
    <w:rsid w:val="0071217E"/>
    <w:rsid w:val="00712600"/>
    <w:rsid w:val="0071340F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35AD8"/>
    <w:rsid w:val="00741493"/>
    <w:rsid w:val="00743C34"/>
    <w:rsid w:val="007446ED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4BEB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835CD"/>
    <w:rsid w:val="00790711"/>
    <w:rsid w:val="00790764"/>
    <w:rsid w:val="0079124F"/>
    <w:rsid w:val="0079453C"/>
    <w:rsid w:val="00794677"/>
    <w:rsid w:val="007951E8"/>
    <w:rsid w:val="00795928"/>
    <w:rsid w:val="00797445"/>
    <w:rsid w:val="007A0CEC"/>
    <w:rsid w:val="007A37D6"/>
    <w:rsid w:val="007A3861"/>
    <w:rsid w:val="007A4577"/>
    <w:rsid w:val="007A516D"/>
    <w:rsid w:val="007B3597"/>
    <w:rsid w:val="007B5EB6"/>
    <w:rsid w:val="007B6203"/>
    <w:rsid w:val="007B6689"/>
    <w:rsid w:val="007C6BBD"/>
    <w:rsid w:val="007D293C"/>
    <w:rsid w:val="007D40DF"/>
    <w:rsid w:val="007E29B4"/>
    <w:rsid w:val="007E2BA5"/>
    <w:rsid w:val="007E435A"/>
    <w:rsid w:val="007E4A88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316C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3CC6"/>
    <w:rsid w:val="00854F24"/>
    <w:rsid w:val="00855408"/>
    <w:rsid w:val="00855712"/>
    <w:rsid w:val="00856D65"/>
    <w:rsid w:val="0085781D"/>
    <w:rsid w:val="00860007"/>
    <w:rsid w:val="00861B41"/>
    <w:rsid w:val="00861BE3"/>
    <w:rsid w:val="00863434"/>
    <w:rsid w:val="00865E4C"/>
    <w:rsid w:val="008701E4"/>
    <w:rsid w:val="0087052A"/>
    <w:rsid w:val="00871069"/>
    <w:rsid w:val="00875A32"/>
    <w:rsid w:val="00875B99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A7135"/>
    <w:rsid w:val="008B542E"/>
    <w:rsid w:val="008B5CF6"/>
    <w:rsid w:val="008B76AB"/>
    <w:rsid w:val="008B7C02"/>
    <w:rsid w:val="008B7D2B"/>
    <w:rsid w:val="008C0049"/>
    <w:rsid w:val="008C0E88"/>
    <w:rsid w:val="008C1968"/>
    <w:rsid w:val="008C4F74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279"/>
    <w:rsid w:val="00934464"/>
    <w:rsid w:val="00937AE2"/>
    <w:rsid w:val="00943853"/>
    <w:rsid w:val="0094427A"/>
    <w:rsid w:val="00945245"/>
    <w:rsid w:val="009452D0"/>
    <w:rsid w:val="00952289"/>
    <w:rsid w:val="00954BC5"/>
    <w:rsid w:val="00956572"/>
    <w:rsid w:val="00957309"/>
    <w:rsid w:val="0095759C"/>
    <w:rsid w:val="009607C5"/>
    <w:rsid w:val="00960A29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1731"/>
    <w:rsid w:val="00992CF3"/>
    <w:rsid w:val="00994868"/>
    <w:rsid w:val="0099574A"/>
    <w:rsid w:val="009968D6"/>
    <w:rsid w:val="009A1136"/>
    <w:rsid w:val="009A1CAB"/>
    <w:rsid w:val="009A60D1"/>
    <w:rsid w:val="009A7063"/>
    <w:rsid w:val="009B6FD3"/>
    <w:rsid w:val="009B8F42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4C0"/>
    <w:rsid w:val="00A40EAC"/>
    <w:rsid w:val="00A40EDD"/>
    <w:rsid w:val="00A418BC"/>
    <w:rsid w:val="00A41A20"/>
    <w:rsid w:val="00A41D7E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453F"/>
    <w:rsid w:val="00A754EA"/>
    <w:rsid w:val="00A75E40"/>
    <w:rsid w:val="00A770F4"/>
    <w:rsid w:val="00A77D1D"/>
    <w:rsid w:val="00A84A6A"/>
    <w:rsid w:val="00A857C0"/>
    <w:rsid w:val="00A85A4E"/>
    <w:rsid w:val="00A875AD"/>
    <w:rsid w:val="00A90FED"/>
    <w:rsid w:val="00AA2996"/>
    <w:rsid w:val="00AA2A70"/>
    <w:rsid w:val="00AA2DA1"/>
    <w:rsid w:val="00AA4B30"/>
    <w:rsid w:val="00AA52BF"/>
    <w:rsid w:val="00AA559A"/>
    <w:rsid w:val="00AB11E0"/>
    <w:rsid w:val="00AB2AF1"/>
    <w:rsid w:val="00AB4BB8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48A"/>
    <w:rsid w:val="00B2687D"/>
    <w:rsid w:val="00B26897"/>
    <w:rsid w:val="00B32DDB"/>
    <w:rsid w:val="00B34528"/>
    <w:rsid w:val="00B34CC9"/>
    <w:rsid w:val="00B402FC"/>
    <w:rsid w:val="00B42C45"/>
    <w:rsid w:val="00B439DA"/>
    <w:rsid w:val="00B46604"/>
    <w:rsid w:val="00B50624"/>
    <w:rsid w:val="00B530CD"/>
    <w:rsid w:val="00B55F5E"/>
    <w:rsid w:val="00B5752E"/>
    <w:rsid w:val="00B615F8"/>
    <w:rsid w:val="00B63A11"/>
    <w:rsid w:val="00B63B6A"/>
    <w:rsid w:val="00B64C24"/>
    <w:rsid w:val="00B65232"/>
    <w:rsid w:val="00B6584F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1396"/>
    <w:rsid w:val="00B84CF6"/>
    <w:rsid w:val="00B857A1"/>
    <w:rsid w:val="00B87623"/>
    <w:rsid w:val="00B927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5F"/>
    <w:rsid w:val="00BF1578"/>
    <w:rsid w:val="00BF3B1D"/>
    <w:rsid w:val="00BF53A6"/>
    <w:rsid w:val="00BF6D32"/>
    <w:rsid w:val="00BF71A0"/>
    <w:rsid w:val="00BF723F"/>
    <w:rsid w:val="00BF7ED6"/>
    <w:rsid w:val="00C02943"/>
    <w:rsid w:val="00C145CE"/>
    <w:rsid w:val="00C16FB0"/>
    <w:rsid w:val="00C21F94"/>
    <w:rsid w:val="00C27913"/>
    <w:rsid w:val="00C27E4F"/>
    <w:rsid w:val="00C325AE"/>
    <w:rsid w:val="00C32964"/>
    <w:rsid w:val="00C33B68"/>
    <w:rsid w:val="00C36A79"/>
    <w:rsid w:val="00C36F5A"/>
    <w:rsid w:val="00C401D2"/>
    <w:rsid w:val="00C405D4"/>
    <w:rsid w:val="00C41A20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0427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82C"/>
    <w:rsid w:val="00C90CF4"/>
    <w:rsid w:val="00C92EB6"/>
    <w:rsid w:val="00C93389"/>
    <w:rsid w:val="00C96040"/>
    <w:rsid w:val="00C97237"/>
    <w:rsid w:val="00C9769E"/>
    <w:rsid w:val="00CA0914"/>
    <w:rsid w:val="00CA6AB4"/>
    <w:rsid w:val="00CA7BE7"/>
    <w:rsid w:val="00CB15D6"/>
    <w:rsid w:val="00CB2F3F"/>
    <w:rsid w:val="00CB4930"/>
    <w:rsid w:val="00CC0E87"/>
    <w:rsid w:val="00CC2E7D"/>
    <w:rsid w:val="00CC6B42"/>
    <w:rsid w:val="00CD10A5"/>
    <w:rsid w:val="00CD1F6B"/>
    <w:rsid w:val="00CD2076"/>
    <w:rsid w:val="00CD29B5"/>
    <w:rsid w:val="00CD6331"/>
    <w:rsid w:val="00CD7704"/>
    <w:rsid w:val="00CD7AFB"/>
    <w:rsid w:val="00CE3E57"/>
    <w:rsid w:val="00CE670B"/>
    <w:rsid w:val="00CF04C7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8DC"/>
    <w:rsid w:val="00D23C02"/>
    <w:rsid w:val="00D23F97"/>
    <w:rsid w:val="00D25F28"/>
    <w:rsid w:val="00D26071"/>
    <w:rsid w:val="00D27973"/>
    <w:rsid w:val="00D35E1A"/>
    <w:rsid w:val="00D373EA"/>
    <w:rsid w:val="00D37C1E"/>
    <w:rsid w:val="00D40B2B"/>
    <w:rsid w:val="00D40F7C"/>
    <w:rsid w:val="00D417B7"/>
    <w:rsid w:val="00D42211"/>
    <w:rsid w:val="00D42756"/>
    <w:rsid w:val="00D50F46"/>
    <w:rsid w:val="00D53EAD"/>
    <w:rsid w:val="00D567C6"/>
    <w:rsid w:val="00D57677"/>
    <w:rsid w:val="00D61DF8"/>
    <w:rsid w:val="00D66223"/>
    <w:rsid w:val="00D674D7"/>
    <w:rsid w:val="00D71625"/>
    <w:rsid w:val="00D73A8D"/>
    <w:rsid w:val="00D751DA"/>
    <w:rsid w:val="00D75205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C6743"/>
    <w:rsid w:val="00DD129F"/>
    <w:rsid w:val="00DD4EFE"/>
    <w:rsid w:val="00DE02BD"/>
    <w:rsid w:val="00DE2F95"/>
    <w:rsid w:val="00DE5DBA"/>
    <w:rsid w:val="00DF42FF"/>
    <w:rsid w:val="00DF5908"/>
    <w:rsid w:val="00E01C0E"/>
    <w:rsid w:val="00E03F9A"/>
    <w:rsid w:val="00E0465E"/>
    <w:rsid w:val="00E04694"/>
    <w:rsid w:val="00E063CE"/>
    <w:rsid w:val="00E1017C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551D2"/>
    <w:rsid w:val="00E6519D"/>
    <w:rsid w:val="00E67696"/>
    <w:rsid w:val="00E678BC"/>
    <w:rsid w:val="00E71654"/>
    <w:rsid w:val="00E71A58"/>
    <w:rsid w:val="00E72A7A"/>
    <w:rsid w:val="00E75C94"/>
    <w:rsid w:val="00E7677B"/>
    <w:rsid w:val="00E776FD"/>
    <w:rsid w:val="00E77A6B"/>
    <w:rsid w:val="00E8073E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24BB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5B59"/>
    <w:rsid w:val="00EE7F19"/>
    <w:rsid w:val="00EF150D"/>
    <w:rsid w:val="00EF1F5A"/>
    <w:rsid w:val="00EF371C"/>
    <w:rsid w:val="00EF47BF"/>
    <w:rsid w:val="00EF6DB3"/>
    <w:rsid w:val="00F04811"/>
    <w:rsid w:val="00F0488C"/>
    <w:rsid w:val="00F066CF"/>
    <w:rsid w:val="00F06C9E"/>
    <w:rsid w:val="00F10F11"/>
    <w:rsid w:val="00F15AAA"/>
    <w:rsid w:val="00F15BEF"/>
    <w:rsid w:val="00F17E83"/>
    <w:rsid w:val="00F20B71"/>
    <w:rsid w:val="00F21780"/>
    <w:rsid w:val="00F24407"/>
    <w:rsid w:val="00F24931"/>
    <w:rsid w:val="00F24FAA"/>
    <w:rsid w:val="00F252A0"/>
    <w:rsid w:val="00F25B4A"/>
    <w:rsid w:val="00F25DEE"/>
    <w:rsid w:val="00F3364D"/>
    <w:rsid w:val="00F4081A"/>
    <w:rsid w:val="00F437CC"/>
    <w:rsid w:val="00F43E29"/>
    <w:rsid w:val="00F44537"/>
    <w:rsid w:val="00F44B6A"/>
    <w:rsid w:val="00F4587B"/>
    <w:rsid w:val="00F47067"/>
    <w:rsid w:val="00F50FC3"/>
    <w:rsid w:val="00F51087"/>
    <w:rsid w:val="00F5188A"/>
    <w:rsid w:val="00F52106"/>
    <w:rsid w:val="00F525EB"/>
    <w:rsid w:val="00F52AFF"/>
    <w:rsid w:val="00F545ED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76A1A"/>
    <w:rsid w:val="00F84E7D"/>
    <w:rsid w:val="00F85066"/>
    <w:rsid w:val="00F87A4D"/>
    <w:rsid w:val="00F90035"/>
    <w:rsid w:val="00F9212A"/>
    <w:rsid w:val="00F92283"/>
    <w:rsid w:val="00F9785E"/>
    <w:rsid w:val="00FA1E9B"/>
    <w:rsid w:val="00FA3B1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23FA"/>
    <w:rsid w:val="00FD3265"/>
    <w:rsid w:val="00FD5F92"/>
    <w:rsid w:val="00FD66F9"/>
    <w:rsid w:val="00FD78F8"/>
    <w:rsid w:val="00FE2F78"/>
    <w:rsid w:val="00FE402C"/>
    <w:rsid w:val="00FE470B"/>
    <w:rsid w:val="00FF4082"/>
    <w:rsid w:val="00FF7090"/>
    <w:rsid w:val="00FF7B96"/>
    <w:rsid w:val="010E6CF6"/>
    <w:rsid w:val="01C12A79"/>
    <w:rsid w:val="0274CEEB"/>
    <w:rsid w:val="068FDE2D"/>
    <w:rsid w:val="0715AD2B"/>
    <w:rsid w:val="07E2429D"/>
    <w:rsid w:val="08A8D553"/>
    <w:rsid w:val="0B987C70"/>
    <w:rsid w:val="0C4F5932"/>
    <w:rsid w:val="0CDADA5A"/>
    <w:rsid w:val="0D60D9AA"/>
    <w:rsid w:val="0F9A6A16"/>
    <w:rsid w:val="11D0C0D9"/>
    <w:rsid w:val="13CB842F"/>
    <w:rsid w:val="13F45D65"/>
    <w:rsid w:val="17193E37"/>
    <w:rsid w:val="1873E3C4"/>
    <w:rsid w:val="1941F3F6"/>
    <w:rsid w:val="1A33BA0B"/>
    <w:rsid w:val="1B2689A5"/>
    <w:rsid w:val="1C7F89FF"/>
    <w:rsid w:val="1F63A775"/>
    <w:rsid w:val="1FF29EC8"/>
    <w:rsid w:val="24E94C0C"/>
    <w:rsid w:val="26B06DF0"/>
    <w:rsid w:val="26E021B7"/>
    <w:rsid w:val="292D1013"/>
    <w:rsid w:val="2A7920C3"/>
    <w:rsid w:val="2A79D812"/>
    <w:rsid w:val="2C90AA00"/>
    <w:rsid w:val="2DB28FFA"/>
    <w:rsid w:val="304DB734"/>
    <w:rsid w:val="30D0B3BE"/>
    <w:rsid w:val="331BE13C"/>
    <w:rsid w:val="332C5513"/>
    <w:rsid w:val="34AC24B1"/>
    <w:rsid w:val="3547C370"/>
    <w:rsid w:val="36710FB5"/>
    <w:rsid w:val="36C06199"/>
    <w:rsid w:val="3A09C7D4"/>
    <w:rsid w:val="3A10C190"/>
    <w:rsid w:val="3D1A961D"/>
    <w:rsid w:val="40199337"/>
    <w:rsid w:val="40B601A1"/>
    <w:rsid w:val="416A2A6C"/>
    <w:rsid w:val="4237DD18"/>
    <w:rsid w:val="442C5944"/>
    <w:rsid w:val="4C532880"/>
    <w:rsid w:val="4D58776A"/>
    <w:rsid w:val="52985A95"/>
    <w:rsid w:val="52CC52E2"/>
    <w:rsid w:val="54C43EB7"/>
    <w:rsid w:val="55C2456F"/>
    <w:rsid w:val="5D089BC5"/>
    <w:rsid w:val="5DC219FF"/>
    <w:rsid w:val="5E9E82EF"/>
    <w:rsid w:val="614CA75B"/>
    <w:rsid w:val="620EDB10"/>
    <w:rsid w:val="62DFE06B"/>
    <w:rsid w:val="6526004C"/>
    <w:rsid w:val="66D2B563"/>
    <w:rsid w:val="6766E9C4"/>
    <w:rsid w:val="68A6219C"/>
    <w:rsid w:val="69AF073E"/>
    <w:rsid w:val="6AD8AC9F"/>
    <w:rsid w:val="6B2670A5"/>
    <w:rsid w:val="6D02C387"/>
    <w:rsid w:val="6E1EAC99"/>
    <w:rsid w:val="7365B279"/>
    <w:rsid w:val="78254C23"/>
    <w:rsid w:val="7934B909"/>
    <w:rsid w:val="7A8E97F6"/>
    <w:rsid w:val="7A9DC929"/>
    <w:rsid w:val="7AD10CA0"/>
    <w:rsid w:val="7B277DC5"/>
    <w:rsid w:val="7BDB84E4"/>
    <w:rsid w:val="7DB22EB4"/>
    <w:rsid w:val="7E11BEDC"/>
    <w:rsid w:val="7E305D59"/>
    <w:rsid w:val="7EFAE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6F256F2C-AFCA-4565-B6C6-99433E4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6\Trh%20pr&#225;ce\Grafy-TRH%20PR&#193;CE%20celorok-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6\Trh%20pr&#225;ce\Grafy-TRH%20PR&#193;CE%20celorok-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6\Trh%20pr&#225;ce\Grafy-TRH%20PR&#193;CE%20celorok-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88731014312048E-2"/>
          <c:y val="1.4522051060224651E-2"/>
          <c:w val="0.84495121574960907"/>
          <c:h val="0.6790318537289844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'Trh práce 1-SNÚ'!$AC$7</c:f>
              <c:strCache>
                <c:ptCount val="1"/>
                <c:pt idx="0">
                  <c:v>Zemědělství, lesnictví a rybářství</c:v>
                </c:pt>
              </c:strCache>
            </c:strRef>
          </c:tx>
          <c:spPr>
            <a:solidFill>
              <a:srgbClr val="85BF5E"/>
            </a:solidFill>
            <a:ln>
              <a:noFill/>
            </a:ln>
          </c:spPr>
          <c:invertIfNegative val="0"/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1-SNÚ'!$AC$40:$AC$73</c:f>
              <c:numCache>
                <c:formatCode>#\ ##0.0</c:formatCode>
                <c:ptCount val="34"/>
                <c:pt idx="0">
                  <c:v>6.9696535208619856E-3</c:v>
                </c:pt>
                <c:pt idx="1">
                  <c:v>9.479406509684412E-3</c:v>
                </c:pt>
                <c:pt idx="2">
                  <c:v>-3.0827114025735328E-3</c:v>
                </c:pt>
                <c:pt idx="3">
                  <c:v>6.4491191371409462E-2</c:v>
                </c:pt>
                <c:pt idx="4">
                  <c:v>-7.7187206717196741E-2</c:v>
                </c:pt>
                <c:pt idx="5">
                  <c:v>-0.12718590883712605</c:v>
                </c:pt>
                <c:pt idx="6">
                  <c:v>-0.15865097587800736</c:v>
                </c:pt>
                <c:pt idx="7">
                  <c:v>-0.17609829358037335</c:v>
                </c:pt>
                <c:pt idx="8">
                  <c:v>-0.2250948926699913</c:v>
                </c:pt>
                <c:pt idx="9">
                  <c:v>-0.16640126097373187</c:v>
                </c:pt>
                <c:pt idx="10">
                  <c:v>-7.0549043823175311E-2</c:v>
                </c:pt>
                <c:pt idx="11">
                  <c:v>-7.5093576708931548E-2</c:v>
                </c:pt>
                <c:pt idx="12">
                  <c:v>2.5997211931659263E-2</c:v>
                </c:pt>
                <c:pt idx="13">
                  <c:v>-4.2507410945245912E-2</c:v>
                </c:pt>
                <c:pt idx="14">
                  <c:v>-5.8046329677072947E-2</c:v>
                </c:pt>
                <c:pt idx="15">
                  <c:v>-8.5212682410797293E-3</c:v>
                </c:pt>
                <c:pt idx="16">
                  <c:v>0.10306235339118135</c:v>
                </c:pt>
                <c:pt idx="17">
                  <c:v>0.19517688868299057</c:v>
                </c:pt>
                <c:pt idx="18">
                  <c:v>0.16543408341936516</c:v>
                </c:pt>
                <c:pt idx="19">
                  <c:v>7.650834296747365E-2</c:v>
                </c:pt>
                <c:pt idx="20">
                  <c:v>1.021676732039499E-2</c:v>
                </c:pt>
                <c:pt idx="21">
                  <c:v>-1.5016960166060134E-2</c:v>
                </c:pt>
                <c:pt idx="22">
                  <c:v>-1.6656098487454283E-2</c:v>
                </c:pt>
                <c:pt idx="23">
                  <c:v>1.7912694758528712E-2</c:v>
                </c:pt>
                <c:pt idx="24">
                  <c:v>3.8532804198889358E-3</c:v>
                </c:pt>
                <c:pt idx="25">
                  <c:v>-1.8453058003866385E-4</c:v>
                </c:pt>
                <c:pt idx="26">
                  <c:v>-6.1260581645534037E-2</c:v>
                </c:pt>
                <c:pt idx="27">
                  <c:v>-2.1629374863206263E-2</c:v>
                </c:pt>
                <c:pt idx="28">
                  <c:v>4.8474884296165572E-3</c:v>
                </c:pt>
                <c:pt idx="29">
                  <c:v>-1.6224647384330118E-2</c:v>
                </c:pt>
                <c:pt idx="30">
                  <c:v>1.1246514999902025E-2</c:v>
                </c:pt>
                <c:pt idx="31">
                  <c:v>-3.3859448149563256E-3</c:v>
                </c:pt>
                <c:pt idx="32">
                  <c:v>-6.4570045735140649E-2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F-49D9-9121-5E98A66B9059}"/>
            </c:ext>
          </c:extLst>
        </c:ser>
        <c:ser>
          <c:idx val="1"/>
          <c:order val="1"/>
          <c:tx>
            <c:strRef>
              <c:f>'Trh práce 1-SNÚ'!$AD$7</c:f>
              <c:strCache>
                <c:ptCount val="1"/>
                <c:pt idx="0">
                  <c:v>Zpracovatelský průmysl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</c:spPr>
          <c:invertIfNegative val="0"/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1-SNÚ'!$AD$40:$AD$73</c:f>
              <c:numCache>
                <c:formatCode>#\ ##0.0</c:formatCode>
                <c:ptCount val="34"/>
                <c:pt idx="0">
                  <c:v>0.1196805353909325</c:v>
                </c:pt>
                <c:pt idx="1">
                  <c:v>7.6175829556865152E-2</c:v>
                </c:pt>
                <c:pt idx="2">
                  <c:v>-0.12295131270874073</c:v>
                </c:pt>
                <c:pt idx="3">
                  <c:v>-0.10359555303921339</c:v>
                </c:pt>
                <c:pt idx="4">
                  <c:v>-4.3860627420650888E-2</c:v>
                </c:pt>
                <c:pt idx="5">
                  <c:v>-0.13093050641677487</c:v>
                </c:pt>
                <c:pt idx="6">
                  <c:v>-0.22271976780709798</c:v>
                </c:pt>
                <c:pt idx="7">
                  <c:v>-0.58749039840145689</c:v>
                </c:pt>
                <c:pt idx="8">
                  <c:v>-1.0289411191473512</c:v>
                </c:pt>
                <c:pt idx="9">
                  <c:v>-1.36021427307888</c:v>
                </c:pt>
                <c:pt idx="10">
                  <c:v>-1.3451400845056487</c:v>
                </c:pt>
                <c:pt idx="11">
                  <c:v>-1.0778269079948288</c:v>
                </c:pt>
                <c:pt idx="12">
                  <c:v>-0.3488211912900257</c:v>
                </c:pt>
                <c:pt idx="13">
                  <c:v>2.4010060407391501E-3</c:v>
                </c:pt>
                <c:pt idx="14">
                  <c:v>0.30789292015034142</c:v>
                </c:pt>
                <c:pt idx="15">
                  <c:v>0.30237067823921421</c:v>
                </c:pt>
                <c:pt idx="16">
                  <c:v>-2.6580743871842144E-2</c:v>
                </c:pt>
                <c:pt idx="17">
                  <c:v>0.16853333211620991</c:v>
                </c:pt>
                <c:pt idx="18">
                  <c:v>-2.6403068489182765E-2</c:v>
                </c:pt>
                <c:pt idx="19">
                  <c:v>-9.2811547940365419E-2</c:v>
                </c:pt>
                <c:pt idx="20">
                  <c:v>-5.2764598693500184E-2</c:v>
                </c:pt>
                <c:pt idx="21">
                  <c:v>-0.31110042071860405</c:v>
                </c:pt>
                <c:pt idx="22">
                  <c:v>-0.50542192458507462</c:v>
                </c:pt>
                <c:pt idx="23">
                  <c:v>-0.46124722040365801</c:v>
                </c:pt>
                <c:pt idx="24">
                  <c:v>-0.54429438469594627</c:v>
                </c:pt>
                <c:pt idx="25">
                  <c:v>-0.56112058778156904</c:v>
                </c:pt>
                <c:pt idx="26">
                  <c:v>-0.35445597451058775</c:v>
                </c:pt>
                <c:pt idx="27">
                  <c:v>-0.3121256852600216</c:v>
                </c:pt>
                <c:pt idx="28">
                  <c:v>-0.1298500227629226</c:v>
                </c:pt>
                <c:pt idx="29">
                  <c:v>-0.10165612400690451</c:v>
                </c:pt>
                <c:pt idx="30">
                  <c:v>-7.4128088281113183E-2</c:v>
                </c:pt>
                <c:pt idx="31">
                  <c:v>6.5101652469187282E-2</c:v>
                </c:pt>
                <c:pt idx="32">
                  <c:v>-0.18027096078441132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2F-49D9-9121-5E98A66B9059}"/>
            </c:ext>
          </c:extLst>
        </c:ser>
        <c:ser>
          <c:idx val="2"/>
          <c:order val="2"/>
          <c:tx>
            <c:strRef>
              <c:f>'Trh práce 1-SNÚ'!$AE$7</c:f>
              <c:strCache>
                <c:ptCount val="1"/>
                <c:pt idx="0">
                  <c:v>Stavebnictví</c:v>
                </c:pt>
              </c:strCache>
            </c:strRef>
          </c:tx>
          <c:spPr>
            <a:solidFill>
              <a:srgbClr val="009CB5"/>
            </a:solidFill>
            <a:ln w="19050">
              <a:noFill/>
            </a:ln>
          </c:spPr>
          <c:invertIfNegative val="0"/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1-SNÚ'!$AE$40:$AE$73</c:f>
              <c:numCache>
                <c:formatCode>#\ ##0.0</c:formatCode>
                <c:ptCount val="34"/>
                <c:pt idx="0">
                  <c:v>5.1256389244704353E-2</c:v>
                </c:pt>
                <c:pt idx="1">
                  <c:v>8.9117773773679798E-3</c:v>
                </c:pt>
                <c:pt idx="2">
                  <c:v>-5.6391062242198758E-3</c:v>
                </c:pt>
                <c:pt idx="3">
                  <c:v>5.0923988524626936E-2</c:v>
                </c:pt>
                <c:pt idx="4">
                  <c:v>-4.7272009553368181E-2</c:v>
                </c:pt>
                <c:pt idx="5">
                  <c:v>2.6435741121998226E-2</c:v>
                </c:pt>
                <c:pt idx="6">
                  <c:v>4.1039112569784514E-2</c:v>
                </c:pt>
                <c:pt idx="7">
                  <c:v>5.3949403273091355E-2</c:v>
                </c:pt>
                <c:pt idx="8">
                  <c:v>-5.1099289115963641E-2</c:v>
                </c:pt>
                <c:pt idx="9">
                  <c:v>-0.28554955941039528</c:v>
                </c:pt>
                <c:pt idx="10">
                  <c:v>-0.16527458730397476</c:v>
                </c:pt>
                <c:pt idx="11">
                  <c:v>-8.3857615087929036E-2</c:v>
                </c:pt>
                <c:pt idx="12">
                  <c:v>0.10143081302490671</c:v>
                </c:pt>
                <c:pt idx="13">
                  <c:v>0.31378267745211802</c:v>
                </c:pt>
                <c:pt idx="14">
                  <c:v>0.1716844366035131</c:v>
                </c:pt>
                <c:pt idx="15">
                  <c:v>0.23602377664143806</c:v>
                </c:pt>
                <c:pt idx="16">
                  <c:v>0.12253074614093086</c:v>
                </c:pt>
                <c:pt idx="17">
                  <c:v>0.14594050898891842</c:v>
                </c:pt>
                <c:pt idx="18">
                  <c:v>0.14253885117231668</c:v>
                </c:pt>
                <c:pt idx="19">
                  <c:v>0.12602038578353064</c:v>
                </c:pt>
                <c:pt idx="20">
                  <c:v>0.42623371242387226</c:v>
                </c:pt>
                <c:pt idx="21">
                  <c:v>0.38361677767530888</c:v>
                </c:pt>
                <c:pt idx="22">
                  <c:v>0.35275036864002512</c:v>
                </c:pt>
                <c:pt idx="23">
                  <c:v>0.24898458929216655</c:v>
                </c:pt>
                <c:pt idx="24">
                  <c:v>-0.12919604638608381</c:v>
                </c:pt>
                <c:pt idx="25">
                  <c:v>-7.741057832621949E-2</c:v>
                </c:pt>
                <c:pt idx="26">
                  <c:v>-3.0049578116828311E-3</c:v>
                </c:pt>
                <c:pt idx="27">
                  <c:v>5.8095580483641676E-2</c:v>
                </c:pt>
                <c:pt idx="28">
                  <c:v>0.17192917137438493</c:v>
                </c:pt>
                <c:pt idx="29">
                  <c:v>8.7246437177431663E-2</c:v>
                </c:pt>
                <c:pt idx="30">
                  <c:v>0.22841049193612095</c:v>
                </c:pt>
                <c:pt idx="31">
                  <c:v>0.27508513820969493</c:v>
                </c:pt>
                <c:pt idx="32">
                  <c:v>0.19385601700375046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2F-49D9-9121-5E98A66B9059}"/>
            </c:ext>
          </c:extLst>
        </c:ser>
        <c:ser>
          <c:idx val="3"/>
          <c:order val="3"/>
          <c:tx>
            <c:strRef>
              <c:f>'Trh práce 1-SNÚ'!$AF$7</c:f>
              <c:strCache>
                <c:ptCount val="1"/>
                <c:pt idx="0">
                  <c:v>Obchod, doprava, ubytování a pohost.</c:v>
                </c:pt>
              </c:strCache>
            </c:strRef>
          </c:tx>
          <c:spPr>
            <a:solidFill>
              <a:srgbClr val="E6C483"/>
            </a:solidFill>
            <a:ln w="19050">
              <a:noFill/>
            </a:ln>
          </c:spPr>
          <c:invertIfNegative val="0"/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1-SNÚ'!$AF$40:$AF$73</c:f>
              <c:numCache>
                <c:formatCode>#\ ##0.0</c:formatCode>
                <c:ptCount val="34"/>
                <c:pt idx="0">
                  <c:v>0.13394268741863646</c:v>
                </c:pt>
                <c:pt idx="1">
                  <c:v>0.36277177846343162</c:v>
                </c:pt>
                <c:pt idx="2">
                  <c:v>0.13140997204507052</c:v>
                </c:pt>
                <c:pt idx="3">
                  <c:v>0.13129369292308796</c:v>
                </c:pt>
                <c:pt idx="4">
                  <c:v>5.4732064986453249E-2</c:v>
                </c:pt>
                <c:pt idx="5">
                  <c:v>-0.15364027979782902</c:v>
                </c:pt>
                <c:pt idx="6">
                  <c:v>-0.32178098177727366</c:v>
                </c:pt>
                <c:pt idx="7">
                  <c:v>-0.33729538991186869</c:v>
                </c:pt>
                <c:pt idx="8">
                  <c:v>-0.17031226657786785</c:v>
                </c:pt>
                <c:pt idx="9">
                  <c:v>-0.74764066051253641</c:v>
                </c:pt>
                <c:pt idx="10">
                  <c:v>-0.58389796545600492</c:v>
                </c:pt>
                <c:pt idx="11">
                  <c:v>-0.96116032871885804</c:v>
                </c:pt>
                <c:pt idx="12">
                  <c:v>-0.80036168715842226</c:v>
                </c:pt>
                <c:pt idx="13">
                  <c:v>-0.32784296882668651</c:v>
                </c:pt>
                <c:pt idx="14">
                  <c:v>0.14896065045639337</c:v>
                </c:pt>
                <c:pt idx="15">
                  <c:v>0.62556472594142731</c:v>
                </c:pt>
                <c:pt idx="16">
                  <c:v>0.11242472443929792</c:v>
                </c:pt>
                <c:pt idx="17">
                  <c:v>0.33360547415736347</c:v>
                </c:pt>
                <c:pt idx="18">
                  <c:v>-3.4097677020316033E-2</c:v>
                </c:pt>
                <c:pt idx="19">
                  <c:v>-0.17029883624108427</c:v>
                </c:pt>
                <c:pt idx="20">
                  <c:v>0.23343708104880306</c:v>
                </c:pt>
                <c:pt idx="21">
                  <c:v>0.20303830037257334</c:v>
                </c:pt>
                <c:pt idx="22">
                  <c:v>0.31586767243828845</c:v>
                </c:pt>
                <c:pt idx="23">
                  <c:v>0.401289191024224</c:v>
                </c:pt>
                <c:pt idx="24">
                  <c:v>0.42760297428786742</c:v>
                </c:pt>
                <c:pt idx="25">
                  <c:v>0.52906762602885304</c:v>
                </c:pt>
                <c:pt idx="26">
                  <c:v>0.28331405920209662</c:v>
                </c:pt>
                <c:pt idx="27">
                  <c:v>8.1713017036402213E-2</c:v>
                </c:pt>
                <c:pt idx="28">
                  <c:v>0.21828443145227713</c:v>
                </c:pt>
                <c:pt idx="29">
                  <c:v>0.31789309112348496</c:v>
                </c:pt>
                <c:pt idx="30">
                  <c:v>0.29264750839321607</c:v>
                </c:pt>
                <c:pt idx="31">
                  <c:v>4.5188636476363064E-2</c:v>
                </c:pt>
                <c:pt idx="32">
                  <c:v>7.8902735920913195E-2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E2F-49D9-9121-5E98A66B9059}"/>
            </c:ext>
          </c:extLst>
        </c:ser>
        <c:ser>
          <c:idx val="4"/>
          <c:order val="4"/>
          <c:tx>
            <c:strRef>
              <c:f>'Trh práce 1-SNÚ'!$AG$7</c:f>
              <c:strCache>
                <c:ptCount val="1"/>
                <c:pt idx="0">
                  <c:v>Informační a komunikač. čin.</c:v>
                </c:pt>
              </c:strCache>
            </c:strRef>
          </c:tx>
          <c:spPr>
            <a:solidFill>
              <a:srgbClr val="CC9610"/>
            </a:solidFill>
            <a:ln w="19050">
              <a:noFill/>
            </a:ln>
          </c:spPr>
          <c:invertIfNegative val="0"/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1-SNÚ'!$AG$40:$AG$73</c:f>
              <c:numCache>
                <c:formatCode>#\ ##0.0</c:formatCode>
                <c:ptCount val="34"/>
                <c:pt idx="0">
                  <c:v>0.13192965397664363</c:v>
                </c:pt>
                <c:pt idx="1">
                  <c:v>0.14949459248107094</c:v>
                </c:pt>
                <c:pt idx="2">
                  <c:v>0.10537609830992209</c:v>
                </c:pt>
                <c:pt idx="3">
                  <c:v>0.12451009149969672</c:v>
                </c:pt>
                <c:pt idx="4">
                  <c:v>0.12599621261607491</c:v>
                </c:pt>
                <c:pt idx="5">
                  <c:v>7.6289189495829968E-2</c:v>
                </c:pt>
                <c:pt idx="6">
                  <c:v>0.11559629979865636</c:v>
                </c:pt>
                <c:pt idx="7">
                  <c:v>0.11960024608369116</c:v>
                </c:pt>
                <c:pt idx="8">
                  <c:v>9.8159995557559124E-2</c:v>
                </c:pt>
                <c:pt idx="9">
                  <c:v>5.3460156432470374E-2</c:v>
                </c:pt>
                <c:pt idx="10">
                  <c:v>7.6826712976932429E-2</c:v>
                </c:pt>
                <c:pt idx="11">
                  <c:v>6.039321318860455E-2</c:v>
                </c:pt>
                <c:pt idx="12">
                  <c:v>2.7532032752697451E-2</c:v>
                </c:pt>
                <c:pt idx="13">
                  <c:v>8.0385682243946738E-2</c:v>
                </c:pt>
                <c:pt idx="14">
                  <c:v>6.3128020250057523E-2</c:v>
                </c:pt>
                <c:pt idx="15">
                  <c:v>-1.7675873986564034E-2</c:v>
                </c:pt>
                <c:pt idx="16">
                  <c:v>0.18492112917440828</c:v>
                </c:pt>
                <c:pt idx="17">
                  <c:v>0.17372511722879458</c:v>
                </c:pt>
                <c:pt idx="18">
                  <c:v>0.17938999104936179</c:v>
                </c:pt>
                <c:pt idx="19">
                  <c:v>0.26610369779656495</c:v>
                </c:pt>
                <c:pt idx="20">
                  <c:v>0.27430415033038302</c:v>
                </c:pt>
                <c:pt idx="21">
                  <c:v>0.19353318326371879</c:v>
                </c:pt>
                <c:pt idx="22">
                  <c:v>0.15713935340689195</c:v>
                </c:pt>
                <c:pt idx="23">
                  <c:v>0.13924832056812467</c:v>
                </c:pt>
                <c:pt idx="24">
                  <c:v>0.11028162663268672</c:v>
                </c:pt>
                <c:pt idx="25">
                  <c:v>7.960649222867959E-2</c:v>
                </c:pt>
                <c:pt idx="26">
                  <c:v>4.973850414675017E-2</c:v>
                </c:pt>
                <c:pt idx="27">
                  <c:v>-9.1414021762282818E-2</c:v>
                </c:pt>
                <c:pt idx="28">
                  <c:v>-4.5525841905524316E-3</c:v>
                </c:pt>
                <c:pt idx="29">
                  <c:v>-4.0717448407454448E-2</c:v>
                </c:pt>
                <c:pt idx="30">
                  <c:v>6.0976626115103988E-2</c:v>
                </c:pt>
                <c:pt idx="31">
                  <c:v>5.3937185782034006E-2</c:v>
                </c:pt>
                <c:pt idx="32">
                  <c:v>5.3446711112594546E-2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2F-49D9-9121-5E98A66B9059}"/>
            </c:ext>
          </c:extLst>
        </c:ser>
        <c:ser>
          <c:idx val="5"/>
          <c:order val="5"/>
          <c:tx>
            <c:strRef>
              <c:f>'Trh práce 1-SNÚ'!$AH$7</c:f>
              <c:strCache>
                <c:ptCount val="1"/>
                <c:pt idx="0">
                  <c:v>Profesní, vědec., techn. a admin. čin.</c:v>
                </c:pt>
              </c:strCache>
            </c:strRef>
          </c:tx>
          <c:spPr>
            <a:solidFill>
              <a:srgbClr val="D8A7B7"/>
            </a:solidFill>
            <a:ln w="19050">
              <a:noFill/>
            </a:ln>
          </c:spPr>
          <c:invertIfNegative val="0"/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1-SNÚ'!$AH$40:$AH$73</c:f>
              <c:numCache>
                <c:formatCode>#\ ##0.0</c:formatCode>
                <c:ptCount val="34"/>
                <c:pt idx="0">
                  <c:v>0.11405923445857516</c:v>
                </c:pt>
                <c:pt idx="1">
                  <c:v>0.12026169216677469</c:v>
                </c:pt>
                <c:pt idx="2">
                  <c:v>8.2368544915104994E-2</c:v>
                </c:pt>
                <c:pt idx="3">
                  <c:v>0.21654909363756486</c:v>
                </c:pt>
                <c:pt idx="4">
                  <c:v>4.1892522344083222E-2</c:v>
                </c:pt>
                <c:pt idx="5">
                  <c:v>2.5895475799561337E-3</c:v>
                </c:pt>
                <c:pt idx="6">
                  <c:v>1.655374845356929E-2</c:v>
                </c:pt>
                <c:pt idx="7">
                  <c:v>-0.16305742058229164</c:v>
                </c:pt>
                <c:pt idx="8">
                  <c:v>-0.17106015225830634</c:v>
                </c:pt>
                <c:pt idx="9">
                  <c:v>-0.35509622734956792</c:v>
                </c:pt>
                <c:pt idx="10">
                  <c:v>-0.52248517227624403</c:v>
                </c:pt>
                <c:pt idx="11">
                  <c:v>-0.259700179999866</c:v>
                </c:pt>
                <c:pt idx="12">
                  <c:v>-0.13767911216868525</c:v>
                </c:pt>
                <c:pt idx="13">
                  <c:v>0.17127816692216799</c:v>
                </c:pt>
                <c:pt idx="14">
                  <c:v>0.30499731533328217</c:v>
                </c:pt>
                <c:pt idx="15">
                  <c:v>0.11023910985757197</c:v>
                </c:pt>
                <c:pt idx="16">
                  <c:v>0.14110294451336577</c:v>
                </c:pt>
                <c:pt idx="17">
                  <c:v>0.11855526883462565</c:v>
                </c:pt>
                <c:pt idx="18">
                  <c:v>0.16494374071885179</c:v>
                </c:pt>
                <c:pt idx="19">
                  <c:v>0.23562461136341045</c:v>
                </c:pt>
                <c:pt idx="20">
                  <c:v>0.45505217255496794</c:v>
                </c:pt>
                <c:pt idx="21">
                  <c:v>0.46143875226871167</c:v>
                </c:pt>
                <c:pt idx="22">
                  <c:v>0.51807756844142316</c:v>
                </c:pt>
                <c:pt idx="23">
                  <c:v>0.51726408336593921</c:v>
                </c:pt>
                <c:pt idx="24">
                  <c:v>0.23145618060621329</c:v>
                </c:pt>
                <c:pt idx="25">
                  <c:v>0.17142890885591872</c:v>
                </c:pt>
                <c:pt idx="26">
                  <c:v>0.14532565907666109</c:v>
                </c:pt>
                <c:pt idx="27">
                  <c:v>0.10479662220956021</c:v>
                </c:pt>
                <c:pt idx="28">
                  <c:v>0.16424322964377619</c:v>
                </c:pt>
                <c:pt idx="29">
                  <c:v>8.8548075555157577E-2</c:v>
                </c:pt>
                <c:pt idx="30">
                  <c:v>7.3871653085675684E-2</c:v>
                </c:pt>
                <c:pt idx="31">
                  <c:v>0.15921261592056798</c:v>
                </c:pt>
                <c:pt idx="32">
                  <c:v>0.18063566028023254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E2F-49D9-9121-5E98A66B9059}"/>
            </c:ext>
          </c:extLst>
        </c:ser>
        <c:ser>
          <c:idx val="6"/>
          <c:order val="6"/>
          <c:tx>
            <c:strRef>
              <c:f>'Trh práce 1-SNÚ'!$AI$7</c:f>
              <c:strCache>
                <c:ptCount val="1"/>
                <c:pt idx="0">
                  <c:v>Veř.spr.,obrana, vzděl.,zdrav.a soc.péče</c:v>
                </c:pt>
              </c:strCache>
            </c:strRef>
          </c:tx>
          <c:spPr>
            <a:solidFill>
              <a:srgbClr val="BC5B80"/>
            </a:solidFill>
            <a:ln>
              <a:noFill/>
            </a:ln>
          </c:spPr>
          <c:invertIfNegative val="0"/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1-SNÚ'!$AI$40:$AI$73</c:f>
              <c:numCache>
                <c:formatCode>#\ ##0.0</c:formatCode>
                <c:ptCount val="34"/>
                <c:pt idx="0">
                  <c:v>0.60960729705632077</c:v>
                </c:pt>
                <c:pt idx="1">
                  <c:v>0.68223345413111947</c:v>
                </c:pt>
                <c:pt idx="2">
                  <c:v>0.5434782608695643</c:v>
                </c:pt>
                <c:pt idx="3">
                  <c:v>0.5340066073405344</c:v>
                </c:pt>
                <c:pt idx="4">
                  <c:v>0.30745550067561389</c:v>
                </c:pt>
                <c:pt idx="5">
                  <c:v>0.28160864186055334</c:v>
                </c:pt>
                <c:pt idx="6">
                  <c:v>0.3282382500579219</c:v>
                </c:pt>
                <c:pt idx="7">
                  <c:v>0.35876353176605752</c:v>
                </c:pt>
                <c:pt idx="8">
                  <c:v>0.41133712424120017</c:v>
                </c:pt>
                <c:pt idx="9">
                  <c:v>0.31561623734818278</c:v>
                </c:pt>
                <c:pt idx="10">
                  <c:v>0.43203815926035638</c:v>
                </c:pt>
                <c:pt idx="11">
                  <c:v>0.41513077518294128</c:v>
                </c:pt>
                <c:pt idx="12">
                  <c:v>0.48992996479954942</c:v>
                </c:pt>
                <c:pt idx="13">
                  <c:v>0.61125772187553584</c:v>
                </c:pt>
                <c:pt idx="14">
                  <c:v>0.59327299225281893</c:v>
                </c:pt>
                <c:pt idx="15">
                  <c:v>0.46696166120205151</c:v>
                </c:pt>
                <c:pt idx="16">
                  <c:v>0.25751287373689258</c:v>
                </c:pt>
                <c:pt idx="17">
                  <c:v>0.20481877532064779</c:v>
                </c:pt>
                <c:pt idx="18">
                  <c:v>0.21446835347070459</c:v>
                </c:pt>
                <c:pt idx="19">
                  <c:v>0.25725553805377149</c:v>
                </c:pt>
                <c:pt idx="20">
                  <c:v>0.3121685098080022</c:v>
                </c:pt>
                <c:pt idx="21">
                  <c:v>0.29209018650089497</c:v>
                </c:pt>
                <c:pt idx="22">
                  <c:v>0.13623978201634884</c:v>
                </c:pt>
                <c:pt idx="23">
                  <c:v>0.10560831716863539</c:v>
                </c:pt>
                <c:pt idx="24">
                  <c:v>8.9514668215881429E-2</c:v>
                </c:pt>
                <c:pt idx="25">
                  <c:v>0.10296806366157443</c:v>
                </c:pt>
                <c:pt idx="26">
                  <c:v>0.18542248877242892</c:v>
                </c:pt>
                <c:pt idx="27">
                  <c:v>0.29456447366895883</c:v>
                </c:pt>
                <c:pt idx="28">
                  <c:v>0.3390661488639779</c:v>
                </c:pt>
                <c:pt idx="29">
                  <c:v>0.45427179382634569</c:v>
                </c:pt>
                <c:pt idx="30">
                  <c:v>0.41273244705666512</c:v>
                </c:pt>
                <c:pt idx="31">
                  <c:v>0.28361405866250389</c:v>
                </c:pt>
                <c:pt idx="32">
                  <c:v>0.47759222475263169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E2F-49D9-9121-5E98A66B9059}"/>
            </c:ext>
          </c:extLst>
        </c:ser>
        <c:ser>
          <c:idx val="7"/>
          <c:order val="7"/>
          <c:tx>
            <c:strRef>
              <c:f>'Trh práce 1-SNÚ'!$AJ$7</c:f>
              <c:strCache>
                <c:ptCount val="1"/>
                <c:pt idx="0">
                  <c:v>Ostatní odvětví*</c:v>
                </c:pt>
              </c:strCache>
            </c:strRef>
          </c:tx>
          <c:spPr>
            <a:solidFill>
              <a:srgbClr val="BBBBC0"/>
            </a:solidFill>
            <a:ln>
              <a:noFill/>
            </a:ln>
          </c:spPr>
          <c:invertIfNegative val="0"/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1-SNÚ'!$AJ$40:$AJ$73</c:f>
              <c:numCache>
                <c:formatCode>#\ ##0.0</c:formatCode>
                <c:ptCount val="34"/>
                <c:pt idx="0">
                  <c:v>0.15044576346667207</c:v>
                </c:pt>
                <c:pt idx="1">
                  <c:v>0.15339231252297711</c:v>
                </c:pt>
                <c:pt idx="2">
                  <c:v>-1.0827083950502157E-2</c:v>
                </c:pt>
                <c:pt idx="3">
                  <c:v>-8.1553546198111036E-3</c:v>
                </c:pt>
                <c:pt idx="4">
                  <c:v>-0.11190083149627598</c:v>
                </c:pt>
                <c:pt idx="5">
                  <c:v>-3.0869642733721676E-2</c:v>
                </c:pt>
                <c:pt idx="6">
                  <c:v>8.9785889301152055E-2</c:v>
                </c:pt>
                <c:pt idx="7">
                  <c:v>7.3017726843752948E-2</c:v>
                </c:pt>
                <c:pt idx="8">
                  <c:v>-0.18902810573084244</c:v>
                </c:pt>
                <c:pt idx="9">
                  <c:v>-0.41036448530712522</c:v>
                </c:pt>
                <c:pt idx="10">
                  <c:v>-0.39059806942990016</c:v>
                </c:pt>
                <c:pt idx="11">
                  <c:v>-0.44320191520455926</c:v>
                </c:pt>
                <c:pt idx="12">
                  <c:v>1.4950291701223861E-2</c:v>
                </c:pt>
                <c:pt idx="13">
                  <c:v>0.1930600937237536</c:v>
                </c:pt>
                <c:pt idx="14">
                  <c:v>0.14821277901357677</c:v>
                </c:pt>
                <c:pt idx="15">
                  <c:v>0.23009343455474068</c:v>
                </c:pt>
                <c:pt idx="16">
                  <c:v>7.4040909938567476E-2</c:v>
                </c:pt>
                <c:pt idx="17">
                  <c:v>9.8548829499684021E-2</c:v>
                </c:pt>
                <c:pt idx="18">
                  <c:v>7.9699548168061685E-2</c:v>
                </c:pt>
                <c:pt idx="19">
                  <c:v>9.0514791581597767E-2</c:v>
                </c:pt>
                <c:pt idx="20">
                  <c:v>0.28236803137624006</c:v>
                </c:pt>
                <c:pt idx="21">
                  <c:v>0.38946608051152709</c:v>
                </c:pt>
                <c:pt idx="22">
                  <c:v>0.44360181493523027</c:v>
                </c:pt>
                <c:pt idx="23">
                  <c:v>0.50060284903371011</c:v>
                </c:pt>
                <c:pt idx="24">
                  <c:v>0.32008163026365882</c:v>
                </c:pt>
                <c:pt idx="25">
                  <c:v>0.41087578951408893</c:v>
                </c:pt>
                <c:pt idx="26">
                  <c:v>0.40200067510156945</c:v>
                </c:pt>
                <c:pt idx="27">
                  <c:v>0.46283180611540009</c:v>
                </c:pt>
                <c:pt idx="28">
                  <c:v>0.31385183642399517</c:v>
                </c:pt>
                <c:pt idx="29">
                  <c:v>0.21660362581453141</c:v>
                </c:pt>
                <c:pt idx="30">
                  <c:v>0.11303297078891761</c:v>
                </c:pt>
                <c:pt idx="31">
                  <c:v>0.16236062947825708</c:v>
                </c:pt>
                <c:pt idx="32">
                  <c:v>0.31579329343156337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E2F-49D9-9121-5E98A66B9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"/>
        <c:overlap val="100"/>
        <c:axId val="101898496"/>
        <c:axId val="101781504"/>
      </c:barChart>
      <c:lineChart>
        <c:grouping val="standard"/>
        <c:varyColors val="0"/>
        <c:ser>
          <c:idx val="8"/>
          <c:order val="8"/>
          <c:tx>
            <c:strRef>
              <c:f>'Trh práce 1-SNÚ'!$AK$7</c:f>
              <c:strCache>
                <c:ptCount val="1"/>
                <c:pt idx="0">
                  <c:v>Zaměstnanost celkem</c:v>
                </c:pt>
              </c:strCache>
            </c:strRef>
          </c:tx>
          <c:spPr>
            <a:ln w="19050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1-SNÚ'!$AK$40:$AK$73</c:f>
              <c:numCache>
                <c:formatCode>#\ ##0.0</c:formatCode>
                <c:ptCount val="34"/>
                <c:pt idx="0">
                  <c:v>1.317891214533347</c:v>
                </c:pt>
                <c:pt idx="1">
                  <c:v>1.5627208432092914</c:v>
                </c:pt>
                <c:pt idx="2">
                  <c:v>0.72013266185362568</c:v>
                </c:pt>
                <c:pt idx="3">
                  <c:v>1.0100237576378959</c:v>
                </c:pt>
                <c:pt idx="4">
                  <c:v>0.2498556254347335</c:v>
                </c:pt>
                <c:pt idx="5">
                  <c:v>-5.5703217727113952E-2</c:v>
                </c:pt>
                <c:pt idx="6">
                  <c:v>-0.11193842528129494</c:v>
                </c:pt>
                <c:pt idx="7">
                  <c:v>-0.65861059450939763</c:v>
                </c:pt>
                <c:pt idx="8">
                  <c:v>-1.3260387057015635</c:v>
                </c:pt>
                <c:pt idx="9">
                  <c:v>-2.9561900728515837</c:v>
                </c:pt>
                <c:pt idx="10">
                  <c:v>-2.569080050557659</c:v>
                </c:pt>
                <c:pt idx="11">
                  <c:v>-2.4253165353434269</c:v>
                </c:pt>
                <c:pt idx="12">
                  <c:v>-0.62702167640709661</c:v>
                </c:pt>
                <c:pt idx="13">
                  <c:v>1.0018149684863289</c:v>
                </c:pt>
                <c:pt idx="14">
                  <c:v>1.6801027843829104</c:v>
                </c:pt>
                <c:pt idx="15">
                  <c:v>1.9450562442088</c:v>
                </c:pt>
                <c:pt idx="16">
                  <c:v>0.9690149374628021</c:v>
                </c:pt>
                <c:pt idx="17">
                  <c:v>1.4389041948292345</c:v>
                </c:pt>
                <c:pt idx="18">
                  <c:v>0.8859738224891629</c:v>
                </c:pt>
                <c:pt idx="19">
                  <c:v>0.78891698336489924</c:v>
                </c:pt>
                <c:pt idx="20">
                  <c:v>1.9410158261691635</c:v>
                </c:pt>
                <c:pt idx="21">
                  <c:v>1.5970658997080704</c:v>
                </c:pt>
                <c:pt idx="22">
                  <c:v>1.4015985368056789</c:v>
                </c:pt>
                <c:pt idx="23">
                  <c:v>1.4696628248076706</c:v>
                </c:pt>
                <c:pt idx="24">
                  <c:v>0.50929992934416646</c:v>
                </c:pt>
                <c:pt idx="25">
                  <c:v>0.65523118360128763</c:v>
                </c:pt>
                <c:pt idx="26">
                  <c:v>0.64707987233170172</c:v>
                </c:pt>
                <c:pt idx="27">
                  <c:v>0.57683241762845228</c:v>
                </c:pt>
                <c:pt idx="28">
                  <c:v>1.0778196992345528</c:v>
                </c:pt>
                <c:pt idx="29">
                  <c:v>1.0059648036982622</c:v>
                </c:pt>
                <c:pt idx="30">
                  <c:v>1.1187901240944882</c:v>
                </c:pt>
                <c:pt idx="31">
                  <c:v>1.041113972183652</c:v>
                </c:pt>
                <c:pt idx="32">
                  <c:v>1.0553856359821339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9E2F-49D9-9121-5E98A66B9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898496"/>
        <c:axId val="101781504"/>
      </c:lineChart>
      <c:lineChart>
        <c:grouping val="standard"/>
        <c:varyColors val="0"/>
        <c:ser>
          <c:idx val="9"/>
          <c:order val="9"/>
          <c:tx>
            <c:strRef>
              <c:f>'Trh práce 1-SNÚ'!$AL$7</c:f>
              <c:strCache>
                <c:ptCount val="1"/>
              </c:strCache>
            </c:strRef>
          </c:tx>
          <c:spPr>
            <a:ln>
              <a:noFill/>
            </a:ln>
          </c:spPr>
          <c:marker>
            <c:symbol val="none"/>
          </c:marker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1-SNÚ'!$AL$40:$AL$73</c:f>
              <c:numCache>
                <c:formatCode>General</c:formatCode>
                <c:ptCount val="3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9E2F-49D9-9121-5E98A66B9059}"/>
            </c:ext>
          </c:extLst>
        </c:ser>
        <c:ser>
          <c:idx val="10"/>
          <c:order val="10"/>
          <c:tx>
            <c:strRef>
              <c:f>'Trh práce 1-SNÚ'!$AM$7</c:f>
              <c:strCache>
                <c:ptCount val="1"/>
                <c:pt idx="0">
                  <c:v>Očekávání zaměstnanosti (průmysl)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1-SNÚ'!$AM$40:$AM$73</c:f>
              <c:numCache>
                <c:formatCode>#\ ##0.0</c:formatCode>
                <c:ptCount val="34"/>
                <c:pt idx="0">
                  <c:v>9.8000000000000007</c:v>
                </c:pt>
                <c:pt idx="1">
                  <c:v>9.4</c:v>
                </c:pt>
                <c:pt idx="2">
                  <c:v>6.2</c:v>
                </c:pt>
                <c:pt idx="3">
                  <c:v>6.3</c:v>
                </c:pt>
                <c:pt idx="4">
                  <c:v>2.5</c:v>
                </c:pt>
                <c:pt idx="5">
                  <c:v>2.6</c:v>
                </c:pt>
                <c:pt idx="6">
                  <c:v>0.5</c:v>
                </c:pt>
                <c:pt idx="7">
                  <c:v>-2.8</c:v>
                </c:pt>
                <c:pt idx="8">
                  <c:v>2.9</c:v>
                </c:pt>
                <c:pt idx="9">
                  <c:v>-19</c:v>
                </c:pt>
                <c:pt idx="10">
                  <c:v>-10.9</c:v>
                </c:pt>
                <c:pt idx="11">
                  <c:v>-3.5</c:v>
                </c:pt>
                <c:pt idx="12">
                  <c:v>4.4000000000000004</c:v>
                </c:pt>
                <c:pt idx="13">
                  <c:v>8.6</c:v>
                </c:pt>
                <c:pt idx="14">
                  <c:v>4.7</c:v>
                </c:pt>
                <c:pt idx="15">
                  <c:v>1.8</c:v>
                </c:pt>
                <c:pt idx="16">
                  <c:v>11.2</c:v>
                </c:pt>
                <c:pt idx="17">
                  <c:v>2.2999999999999998</c:v>
                </c:pt>
                <c:pt idx="18">
                  <c:v>2.1</c:v>
                </c:pt>
                <c:pt idx="19">
                  <c:v>-9.9</c:v>
                </c:pt>
                <c:pt idx="20">
                  <c:v>-13.6</c:v>
                </c:pt>
                <c:pt idx="21">
                  <c:v>-5.8</c:v>
                </c:pt>
                <c:pt idx="22">
                  <c:v>-4.3</c:v>
                </c:pt>
                <c:pt idx="23">
                  <c:v>-8.3000000000000007</c:v>
                </c:pt>
                <c:pt idx="24">
                  <c:v>-6</c:v>
                </c:pt>
                <c:pt idx="25">
                  <c:v>-9.6</c:v>
                </c:pt>
                <c:pt idx="26">
                  <c:v>-10.7</c:v>
                </c:pt>
                <c:pt idx="27">
                  <c:v>-13.2</c:v>
                </c:pt>
                <c:pt idx="28">
                  <c:v>-13</c:v>
                </c:pt>
                <c:pt idx="29">
                  <c:v>-11.9</c:v>
                </c:pt>
                <c:pt idx="30">
                  <c:v>-9.5</c:v>
                </c:pt>
                <c:pt idx="31">
                  <c:v>-9.8000000000000007</c:v>
                </c:pt>
                <c:pt idx="32">
                  <c:v>-1.6</c:v>
                </c:pt>
                <c:pt idx="33">
                  <c:v>-2.1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9E2F-49D9-9121-5E98A66B9059}"/>
            </c:ext>
          </c:extLst>
        </c:ser>
        <c:ser>
          <c:idx val="11"/>
          <c:order val="11"/>
          <c:tx>
            <c:strRef>
              <c:f>'Trh práce 1-SNÚ'!$AN$7</c:f>
              <c:strCache>
                <c:ptCount val="1"/>
                <c:pt idx="0">
                  <c:v>Očekávání zaměstnanosti (stavebnictví)</c:v>
                </c:pt>
              </c:strCache>
            </c:strRef>
          </c:tx>
          <c:spPr>
            <a:ln w="15875">
              <a:solidFill>
                <a:srgbClr val="009CB5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1-SNÚ'!$AN$40:$AN$73</c:f>
              <c:numCache>
                <c:formatCode>#\ ##0.0</c:formatCode>
                <c:ptCount val="34"/>
                <c:pt idx="0">
                  <c:v>4.5</c:v>
                </c:pt>
                <c:pt idx="1">
                  <c:v>5.9</c:v>
                </c:pt>
                <c:pt idx="2">
                  <c:v>9</c:v>
                </c:pt>
                <c:pt idx="3">
                  <c:v>8.6999999999999993</c:v>
                </c:pt>
                <c:pt idx="4">
                  <c:v>6.7</c:v>
                </c:pt>
                <c:pt idx="5">
                  <c:v>10.199999999999999</c:v>
                </c:pt>
                <c:pt idx="6">
                  <c:v>4</c:v>
                </c:pt>
                <c:pt idx="7">
                  <c:v>9.5</c:v>
                </c:pt>
                <c:pt idx="8">
                  <c:v>5.8</c:v>
                </c:pt>
                <c:pt idx="9">
                  <c:v>-3.4</c:v>
                </c:pt>
                <c:pt idx="10">
                  <c:v>1.4</c:v>
                </c:pt>
                <c:pt idx="11">
                  <c:v>-3.1</c:v>
                </c:pt>
                <c:pt idx="12">
                  <c:v>3.7</c:v>
                </c:pt>
                <c:pt idx="13">
                  <c:v>5.3</c:v>
                </c:pt>
                <c:pt idx="14">
                  <c:v>4.0999999999999996</c:v>
                </c:pt>
                <c:pt idx="15">
                  <c:v>6.7</c:v>
                </c:pt>
                <c:pt idx="16">
                  <c:v>9.6</c:v>
                </c:pt>
                <c:pt idx="17">
                  <c:v>8.6999999999999993</c:v>
                </c:pt>
                <c:pt idx="18">
                  <c:v>1.3</c:v>
                </c:pt>
                <c:pt idx="19">
                  <c:v>-2.4</c:v>
                </c:pt>
                <c:pt idx="20">
                  <c:v>-12.3</c:v>
                </c:pt>
                <c:pt idx="21">
                  <c:v>-12.4</c:v>
                </c:pt>
                <c:pt idx="22">
                  <c:v>-8.5</c:v>
                </c:pt>
                <c:pt idx="23">
                  <c:v>-1</c:v>
                </c:pt>
                <c:pt idx="24">
                  <c:v>0.1</c:v>
                </c:pt>
                <c:pt idx="25">
                  <c:v>-8.3000000000000007</c:v>
                </c:pt>
                <c:pt idx="26">
                  <c:v>-7.1</c:v>
                </c:pt>
                <c:pt idx="27">
                  <c:v>9</c:v>
                </c:pt>
                <c:pt idx="28">
                  <c:v>3</c:v>
                </c:pt>
                <c:pt idx="29">
                  <c:v>6.8</c:v>
                </c:pt>
                <c:pt idx="30">
                  <c:v>11.2</c:v>
                </c:pt>
                <c:pt idx="31">
                  <c:v>0.7</c:v>
                </c:pt>
                <c:pt idx="32">
                  <c:v>5.2</c:v>
                </c:pt>
                <c:pt idx="33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E2F-49D9-9121-5E98A66B9059}"/>
            </c:ext>
          </c:extLst>
        </c:ser>
        <c:ser>
          <c:idx val="12"/>
          <c:order val="12"/>
          <c:tx>
            <c:strRef>
              <c:f>'Trh práce 1-SNÚ'!$AO$7</c:f>
              <c:strCache>
                <c:ptCount val="1"/>
                <c:pt idx="0">
                  <c:v>Očekávání zaměstnanosti (obchod)</c:v>
                </c:pt>
              </c:strCache>
            </c:strRef>
          </c:tx>
          <c:spPr>
            <a:ln w="15875">
              <a:solidFill>
                <a:srgbClr val="CC9610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1-SNÚ'!$AO$40:$AO$73</c:f>
              <c:numCache>
                <c:formatCode>#\ ##0.0</c:formatCode>
                <c:ptCount val="34"/>
                <c:pt idx="0">
                  <c:v>30.4</c:v>
                </c:pt>
                <c:pt idx="1">
                  <c:v>31.7</c:v>
                </c:pt>
                <c:pt idx="2">
                  <c:v>27.3</c:v>
                </c:pt>
                <c:pt idx="3">
                  <c:v>15.3</c:v>
                </c:pt>
                <c:pt idx="4">
                  <c:v>12.5</c:v>
                </c:pt>
                <c:pt idx="5">
                  <c:v>14.9</c:v>
                </c:pt>
                <c:pt idx="6">
                  <c:v>13.8</c:v>
                </c:pt>
                <c:pt idx="7">
                  <c:v>12.9</c:v>
                </c:pt>
                <c:pt idx="8">
                  <c:v>12.1</c:v>
                </c:pt>
                <c:pt idx="9">
                  <c:v>-7</c:v>
                </c:pt>
                <c:pt idx="10">
                  <c:v>-3.4</c:v>
                </c:pt>
                <c:pt idx="11">
                  <c:v>0.5</c:v>
                </c:pt>
                <c:pt idx="12">
                  <c:v>6.3</c:v>
                </c:pt>
                <c:pt idx="13">
                  <c:v>12.3</c:v>
                </c:pt>
                <c:pt idx="14">
                  <c:v>11</c:v>
                </c:pt>
                <c:pt idx="15">
                  <c:v>9.1999999999999993</c:v>
                </c:pt>
                <c:pt idx="16">
                  <c:v>10.7</c:v>
                </c:pt>
                <c:pt idx="17">
                  <c:v>2.2999999999999998</c:v>
                </c:pt>
                <c:pt idx="18">
                  <c:v>5.4</c:v>
                </c:pt>
                <c:pt idx="19">
                  <c:v>13.3</c:v>
                </c:pt>
                <c:pt idx="20">
                  <c:v>11.4</c:v>
                </c:pt>
                <c:pt idx="21">
                  <c:v>8.4</c:v>
                </c:pt>
                <c:pt idx="22">
                  <c:v>11</c:v>
                </c:pt>
                <c:pt idx="23">
                  <c:v>11.3</c:v>
                </c:pt>
                <c:pt idx="24">
                  <c:v>6.3</c:v>
                </c:pt>
                <c:pt idx="25">
                  <c:v>8.5</c:v>
                </c:pt>
                <c:pt idx="26">
                  <c:v>2.2000000000000002</c:v>
                </c:pt>
                <c:pt idx="27">
                  <c:v>8.1999999999999993</c:v>
                </c:pt>
                <c:pt idx="28">
                  <c:v>4.2</c:v>
                </c:pt>
                <c:pt idx="29">
                  <c:v>7.6</c:v>
                </c:pt>
                <c:pt idx="30">
                  <c:v>13.5</c:v>
                </c:pt>
                <c:pt idx="31">
                  <c:v>6.8</c:v>
                </c:pt>
                <c:pt idx="32">
                  <c:v>15.2</c:v>
                </c:pt>
                <c:pt idx="33">
                  <c:v>12.1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E2F-49D9-9121-5E98A66B9059}"/>
            </c:ext>
          </c:extLst>
        </c:ser>
        <c:ser>
          <c:idx val="13"/>
          <c:order val="13"/>
          <c:tx>
            <c:strRef>
              <c:f>'Trh práce 1-SNÚ'!$AP$7</c:f>
              <c:strCache>
                <c:ptCount val="1"/>
                <c:pt idx="0">
                  <c:v>Očekávání zaměstnanosti (vybr. služby)</c:v>
                </c:pt>
              </c:strCache>
            </c:strRef>
          </c:tx>
          <c:spPr>
            <a:ln w="15875">
              <a:solidFill>
                <a:srgbClr val="BC5B80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1-SNÚ'!$AA$40:$AB$73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1-SNÚ'!$AP$40:$AP$73</c:f>
              <c:numCache>
                <c:formatCode>#\ ##0.0</c:formatCode>
                <c:ptCount val="34"/>
                <c:pt idx="0">
                  <c:v>15.7</c:v>
                </c:pt>
                <c:pt idx="1">
                  <c:v>10.5</c:v>
                </c:pt>
                <c:pt idx="2">
                  <c:v>9.5</c:v>
                </c:pt>
                <c:pt idx="3">
                  <c:v>-7.6</c:v>
                </c:pt>
                <c:pt idx="4">
                  <c:v>-6.5</c:v>
                </c:pt>
                <c:pt idx="5">
                  <c:v>-1.1000000000000001</c:v>
                </c:pt>
                <c:pt idx="6">
                  <c:v>-4.5999999999999996</c:v>
                </c:pt>
                <c:pt idx="7">
                  <c:v>-15.4</c:v>
                </c:pt>
                <c:pt idx="8">
                  <c:v>-20.5</c:v>
                </c:pt>
                <c:pt idx="9">
                  <c:v>-32.299999999999997</c:v>
                </c:pt>
                <c:pt idx="10">
                  <c:v>-28.6</c:v>
                </c:pt>
                <c:pt idx="11">
                  <c:v>-30.1</c:v>
                </c:pt>
                <c:pt idx="12">
                  <c:v>-27</c:v>
                </c:pt>
                <c:pt idx="13">
                  <c:v>-27.7</c:v>
                </c:pt>
                <c:pt idx="14">
                  <c:v>-12.1</c:v>
                </c:pt>
                <c:pt idx="15">
                  <c:v>-15.8</c:v>
                </c:pt>
                <c:pt idx="16">
                  <c:v>-6.8</c:v>
                </c:pt>
                <c:pt idx="17">
                  <c:v>-3.5</c:v>
                </c:pt>
                <c:pt idx="18">
                  <c:v>-6.1</c:v>
                </c:pt>
                <c:pt idx="19">
                  <c:v>-6.4</c:v>
                </c:pt>
                <c:pt idx="20">
                  <c:v>-10.7</c:v>
                </c:pt>
                <c:pt idx="21">
                  <c:v>-16.7</c:v>
                </c:pt>
                <c:pt idx="22">
                  <c:v>-14.5</c:v>
                </c:pt>
                <c:pt idx="23">
                  <c:v>-15.2</c:v>
                </c:pt>
                <c:pt idx="24">
                  <c:v>-23.7</c:v>
                </c:pt>
                <c:pt idx="25">
                  <c:v>-16</c:v>
                </c:pt>
                <c:pt idx="26">
                  <c:v>-15.7</c:v>
                </c:pt>
                <c:pt idx="27">
                  <c:v>-6.6</c:v>
                </c:pt>
                <c:pt idx="28">
                  <c:v>-14.3</c:v>
                </c:pt>
                <c:pt idx="29">
                  <c:v>-4.5999999999999996</c:v>
                </c:pt>
                <c:pt idx="30">
                  <c:v>-12.7</c:v>
                </c:pt>
                <c:pt idx="31">
                  <c:v>-8.4</c:v>
                </c:pt>
                <c:pt idx="32">
                  <c:v>-16.2</c:v>
                </c:pt>
                <c:pt idx="33">
                  <c:v>-22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9E2F-49D9-9121-5E98A66B9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2941824"/>
        <c:axId val="332936832"/>
      </c:lineChart>
      <c:catAx>
        <c:axId val="101898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101781504"/>
        <c:crosses val="autoZero"/>
        <c:auto val="1"/>
        <c:lblAlgn val="ctr"/>
        <c:lblOffset val="10"/>
        <c:noMultiLvlLbl val="0"/>
      </c:catAx>
      <c:valAx>
        <c:axId val="101781504"/>
        <c:scaling>
          <c:orientation val="minMax"/>
          <c:max val="2.5"/>
          <c:min val="-4.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Příspěvek k růstu zaměstnanosti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1898496"/>
        <c:crosses val="autoZero"/>
        <c:crossBetween val="between"/>
        <c:majorUnit val="0.5"/>
      </c:valAx>
      <c:valAx>
        <c:axId val="332936832"/>
        <c:scaling>
          <c:orientation val="minMax"/>
          <c:max val="100"/>
          <c:min val="-4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Očekávání vývoje zaměstnanosti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332941824"/>
        <c:crosses val="max"/>
        <c:crossBetween val="between"/>
        <c:majorUnit val="10"/>
      </c:valAx>
      <c:catAx>
        <c:axId val="332941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32936832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1.2822898706986479E-2"/>
          <c:y val="0.77650317447341888"/>
          <c:w val="0.96005692595618608"/>
          <c:h val="0.21537108953613804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036417007492182E-2"/>
          <c:y val="1.6081916099773243E-2"/>
          <c:w val="0.84389226838289211"/>
          <c:h val="0.764940823491389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'Trh práce-2b'!$A$32</c:f>
              <c:strCache>
                <c:ptCount val="1"/>
                <c:pt idx="0">
                  <c:v>Míra nezaměstnanosti mužů</c:v>
                </c:pt>
              </c:strCache>
            </c:strRef>
          </c:tx>
          <c:spPr>
            <a:solidFill>
              <a:srgbClr val="BBBBC0"/>
            </a:solidFill>
          </c:spPr>
          <c:invertIfNegative val="0"/>
          <c:cat>
            <c:multiLvlStrRef>
              <c:f>'Trh práce-2b'!$N$30:$AU$31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práce-2b'!$N$32:$AU$32</c:f>
              <c:numCache>
                <c:formatCode>0.0</c:formatCode>
                <c:ptCount val="34"/>
                <c:pt idx="0">
                  <c:v>1.913923377518989</c:v>
                </c:pt>
                <c:pt idx="1">
                  <c:v>1.8537058693528132</c:v>
                </c:pt>
                <c:pt idx="2">
                  <c:v>1.8408753885044196</c:v>
                </c:pt>
                <c:pt idx="3">
                  <c:v>1.7028019543291224</c:v>
                </c:pt>
                <c:pt idx="4">
                  <c:v>1.7904790647121915</c:v>
                </c:pt>
                <c:pt idx="5">
                  <c:v>1.7123235848595</c:v>
                </c:pt>
                <c:pt idx="6">
                  <c:v>1.7258439953780116</c:v>
                </c:pt>
                <c:pt idx="7">
                  <c:v>1.8481107303523698</c:v>
                </c:pt>
                <c:pt idx="8">
                  <c:v>1.8674367763245829</c:v>
                </c:pt>
                <c:pt idx="9">
                  <c:v>2.247954123264321</c:v>
                </c:pt>
                <c:pt idx="10">
                  <c:v>2.4903748663951091</c:v>
                </c:pt>
                <c:pt idx="11">
                  <c:v>2.5330647317509012</c:v>
                </c:pt>
                <c:pt idx="12">
                  <c:v>2.6796600644258519</c:v>
                </c:pt>
                <c:pt idx="13">
                  <c:v>2.5506082337225151</c:v>
                </c:pt>
                <c:pt idx="14">
                  <c:v>2.257397837755533</c:v>
                </c:pt>
                <c:pt idx="15">
                  <c:v>1.996954437569693</c:v>
                </c:pt>
                <c:pt idx="16">
                  <c:v>1.9745473149532156</c:v>
                </c:pt>
                <c:pt idx="17">
                  <c:v>1.9054994001097809</c:v>
                </c:pt>
                <c:pt idx="18">
                  <c:v>1.932952331059236</c:v>
                </c:pt>
                <c:pt idx="19">
                  <c:v>2.0801017621866373</c:v>
                </c:pt>
                <c:pt idx="20">
                  <c:v>2.1941441276054494</c:v>
                </c:pt>
                <c:pt idx="21">
                  <c:v>2.237546367224768</c:v>
                </c:pt>
                <c:pt idx="22">
                  <c:v>2.3187383560377843</c:v>
                </c:pt>
                <c:pt idx="23">
                  <c:v>2.4192281415362449</c:v>
                </c:pt>
                <c:pt idx="24">
                  <c:v>2.400027453393129</c:v>
                </c:pt>
                <c:pt idx="25">
                  <c:v>2.3874821000784103</c:v>
                </c:pt>
                <c:pt idx="26">
                  <c:v>2.3334324554850951</c:v>
                </c:pt>
                <c:pt idx="27">
                  <c:v>2.3073283907746061</c:v>
                </c:pt>
                <c:pt idx="28">
                  <c:v>2.3075975858020517</c:v>
                </c:pt>
                <c:pt idx="29">
                  <c:v>2.5538305582517133</c:v>
                </c:pt>
                <c:pt idx="30">
                  <c:v>2.7737974412464315</c:v>
                </c:pt>
                <c:pt idx="31">
                  <c:v>2.8554752724628103</c:v>
                </c:pt>
                <c:pt idx="32">
                  <c:v>2.8058390442633514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9B-4913-88F8-6DEDFA00F6E7}"/>
            </c:ext>
          </c:extLst>
        </c:ser>
        <c:ser>
          <c:idx val="1"/>
          <c:order val="1"/>
          <c:tx>
            <c:strRef>
              <c:f>'Trh práce-2b'!$A$33</c:f>
              <c:strCache>
                <c:ptCount val="1"/>
                <c:pt idx="0">
                  <c:v>Míra nezaměstnanosti žen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rgbClr val="BBBBC0"/>
              </a:solidFill>
            </a:ln>
          </c:spPr>
          <c:invertIfNegative val="0"/>
          <c:cat>
            <c:multiLvlStrRef>
              <c:f>'Trh práce-2b'!$N$30:$AU$31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práce-2b'!$N$33:$AU$33</c:f>
              <c:numCache>
                <c:formatCode>0.0</c:formatCode>
                <c:ptCount val="34"/>
                <c:pt idx="0">
                  <c:v>2.9259337645904266</c:v>
                </c:pt>
                <c:pt idx="1">
                  <c:v>2.8207810780933698</c:v>
                </c:pt>
                <c:pt idx="2">
                  <c:v>2.8268987995603556</c:v>
                </c:pt>
                <c:pt idx="3">
                  <c:v>2.6536138780279788</c:v>
                </c:pt>
                <c:pt idx="4">
                  <c:v>2.3636005634859196</c:v>
                </c:pt>
                <c:pt idx="5">
                  <c:v>2.4296670887210792</c:v>
                </c:pt>
                <c:pt idx="6">
                  <c:v>2.5404675868952382</c:v>
                </c:pt>
                <c:pt idx="7">
                  <c:v>2.3960064968863457</c:v>
                </c:pt>
                <c:pt idx="8">
                  <c:v>2.1552600395180952</c:v>
                </c:pt>
                <c:pt idx="9">
                  <c:v>2.851807747713544</c:v>
                </c:pt>
                <c:pt idx="10">
                  <c:v>3.3841630233937363</c:v>
                </c:pt>
                <c:pt idx="11">
                  <c:v>3.8520852361091102</c:v>
                </c:pt>
                <c:pt idx="12">
                  <c:v>4.0861415354717252</c:v>
                </c:pt>
                <c:pt idx="13">
                  <c:v>3.8013874511321801</c:v>
                </c:pt>
                <c:pt idx="14">
                  <c:v>3.2565052251020048</c:v>
                </c:pt>
                <c:pt idx="15">
                  <c:v>2.8634645129339162</c:v>
                </c:pt>
                <c:pt idx="16">
                  <c:v>2.9729730414799409</c:v>
                </c:pt>
                <c:pt idx="17">
                  <c:v>3.1128989831163421</c:v>
                </c:pt>
                <c:pt idx="18">
                  <c:v>2.928356823841316</c:v>
                </c:pt>
                <c:pt idx="19">
                  <c:v>2.8363489858324571</c:v>
                </c:pt>
                <c:pt idx="20">
                  <c:v>3.024985233382838</c:v>
                </c:pt>
                <c:pt idx="21">
                  <c:v>3.1721148747841865</c:v>
                </c:pt>
                <c:pt idx="22">
                  <c:v>3.2212452175964699</c:v>
                </c:pt>
                <c:pt idx="23">
                  <c:v>3.3033468724024324</c:v>
                </c:pt>
                <c:pt idx="24">
                  <c:v>3.4323545832213895</c:v>
                </c:pt>
                <c:pt idx="25">
                  <c:v>3.2757037431597666</c:v>
                </c:pt>
                <c:pt idx="26">
                  <c:v>3.2577444722465585</c:v>
                </c:pt>
                <c:pt idx="27">
                  <c:v>3.276430993041231</c:v>
                </c:pt>
                <c:pt idx="28">
                  <c:v>3.2067483060642474</c:v>
                </c:pt>
                <c:pt idx="29">
                  <c:v>3.2841422926734438</c:v>
                </c:pt>
                <c:pt idx="30">
                  <c:v>3.4437549408341011</c:v>
                </c:pt>
                <c:pt idx="31">
                  <c:v>3.6684596443654427</c:v>
                </c:pt>
                <c:pt idx="32">
                  <c:v>3.781527546675612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9B-4913-88F8-6DEDFA00F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8"/>
        <c:axId val="100654464"/>
        <c:axId val="101647488"/>
      </c:barChart>
      <c:lineChart>
        <c:grouping val="standard"/>
        <c:varyColors val="0"/>
        <c:ser>
          <c:idx val="4"/>
          <c:order val="2"/>
          <c:tx>
            <c:strRef>
              <c:f>'Trh práce-2b'!$A$34</c:f>
              <c:strCache>
                <c:ptCount val="1"/>
                <c:pt idx="0">
                  <c:v>VPM pro vyučené a SŠ bez mat.</c:v>
                </c:pt>
              </c:strCache>
            </c:strRef>
          </c:tx>
          <c:spPr>
            <a:ln w="15875">
              <a:solidFill>
                <a:srgbClr val="BC5B80"/>
              </a:solidFill>
              <a:prstDash val="solid"/>
            </a:ln>
          </c:spPr>
          <c:marker>
            <c:symbol val="none"/>
          </c:marker>
          <c:cat>
            <c:multiLvlStrRef>
              <c:f>'Trh práce-2b'!$N$30:$AU$31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práce-2b'!$N$34:$AU$34</c:f>
              <c:numCache>
                <c:formatCode>0.0</c:formatCode>
                <c:ptCount val="34"/>
                <c:pt idx="0">
                  <c:v>32.848999999999997</c:v>
                </c:pt>
                <c:pt idx="1">
                  <c:v>39.597999999999999</c:v>
                </c:pt>
                <c:pt idx="2">
                  <c:v>36.892000000000003</c:v>
                </c:pt>
                <c:pt idx="3">
                  <c:v>30.317</c:v>
                </c:pt>
                <c:pt idx="4">
                  <c:v>31.245000000000001</c:v>
                </c:pt>
                <c:pt idx="5">
                  <c:v>30.555</c:v>
                </c:pt>
                <c:pt idx="6">
                  <c:v>27.914999999999999</c:v>
                </c:pt>
                <c:pt idx="7">
                  <c:v>22.228000000000002</c:v>
                </c:pt>
                <c:pt idx="8">
                  <c:v>22.292000000000002</c:v>
                </c:pt>
                <c:pt idx="9">
                  <c:v>21.922000000000001</c:v>
                </c:pt>
                <c:pt idx="10">
                  <c:v>23.152999999999999</c:v>
                </c:pt>
                <c:pt idx="11">
                  <c:v>20.832999999999998</c:v>
                </c:pt>
                <c:pt idx="12">
                  <c:v>21.22</c:v>
                </c:pt>
                <c:pt idx="13">
                  <c:v>28</c:v>
                </c:pt>
                <c:pt idx="14">
                  <c:v>28.465</c:v>
                </c:pt>
                <c:pt idx="15">
                  <c:v>22.591000000000001</c:v>
                </c:pt>
                <c:pt idx="16">
                  <c:v>26.402999999999999</c:v>
                </c:pt>
                <c:pt idx="17">
                  <c:v>24.98</c:v>
                </c:pt>
                <c:pt idx="18">
                  <c:v>20.081</c:v>
                </c:pt>
                <c:pt idx="19">
                  <c:v>16.219000000000001</c:v>
                </c:pt>
                <c:pt idx="20">
                  <c:v>18.276</c:v>
                </c:pt>
                <c:pt idx="21">
                  <c:v>19.419</c:v>
                </c:pt>
                <c:pt idx="22">
                  <c:v>17.792000000000002</c:v>
                </c:pt>
                <c:pt idx="23">
                  <c:v>14.455</c:v>
                </c:pt>
                <c:pt idx="24">
                  <c:v>14.478</c:v>
                </c:pt>
                <c:pt idx="25">
                  <c:v>15.478</c:v>
                </c:pt>
                <c:pt idx="26">
                  <c:v>15.435</c:v>
                </c:pt>
                <c:pt idx="27">
                  <c:v>14.093</c:v>
                </c:pt>
                <c:pt idx="28">
                  <c:v>12.814</c:v>
                </c:pt>
                <c:pt idx="29">
                  <c:v>14.827999999999999</c:v>
                </c:pt>
                <c:pt idx="30">
                  <c:v>13.662000000000001</c:v>
                </c:pt>
                <c:pt idx="31">
                  <c:v>11.477</c:v>
                </c:pt>
                <c:pt idx="32">
                  <c:v>12.683999999999999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9B-4913-88F8-6DEDFA00F6E7}"/>
            </c:ext>
          </c:extLst>
        </c:ser>
        <c:ser>
          <c:idx val="5"/>
          <c:order val="3"/>
          <c:tx>
            <c:strRef>
              <c:f>'Trh práce-2b'!$A$35</c:f>
              <c:strCache>
                <c:ptCount val="1"/>
                <c:pt idx="0">
                  <c:v>VPM pro SŠ s mat., VOŠ a VŠ</c:v>
                </c:pt>
              </c:strCache>
            </c:strRef>
          </c:tx>
          <c:spPr>
            <a:ln w="15875">
              <a:solidFill>
                <a:srgbClr val="009CB5"/>
              </a:solidFill>
              <a:prstDash val="solid"/>
            </a:ln>
          </c:spPr>
          <c:marker>
            <c:symbol val="none"/>
          </c:marker>
          <c:cat>
            <c:multiLvlStrRef>
              <c:f>'Trh práce-2b'!$N$30:$AU$31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práce-2b'!$N$35:$AU$35</c:f>
              <c:numCache>
                <c:formatCode>0.0</c:formatCode>
                <c:ptCount val="34"/>
                <c:pt idx="0">
                  <c:v>18.106999999999999</c:v>
                </c:pt>
                <c:pt idx="1">
                  <c:v>20.411000000000001</c:v>
                </c:pt>
                <c:pt idx="2">
                  <c:v>18.263000000000002</c:v>
                </c:pt>
                <c:pt idx="3">
                  <c:v>16.600000000000001</c:v>
                </c:pt>
                <c:pt idx="4">
                  <c:v>17.779</c:v>
                </c:pt>
                <c:pt idx="5">
                  <c:v>19.105</c:v>
                </c:pt>
                <c:pt idx="6">
                  <c:v>18.321000000000002</c:v>
                </c:pt>
                <c:pt idx="7">
                  <c:v>16.137</c:v>
                </c:pt>
                <c:pt idx="8">
                  <c:v>17.05</c:v>
                </c:pt>
                <c:pt idx="9">
                  <c:v>17.387</c:v>
                </c:pt>
                <c:pt idx="10">
                  <c:v>15.683</c:v>
                </c:pt>
                <c:pt idx="11">
                  <c:v>14.997</c:v>
                </c:pt>
                <c:pt idx="12">
                  <c:v>16.512</c:v>
                </c:pt>
                <c:pt idx="13">
                  <c:v>19.815999999999999</c:v>
                </c:pt>
                <c:pt idx="14">
                  <c:v>19.486999999999998</c:v>
                </c:pt>
                <c:pt idx="15">
                  <c:v>18.061</c:v>
                </c:pt>
                <c:pt idx="16">
                  <c:v>21.087</c:v>
                </c:pt>
                <c:pt idx="17">
                  <c:v>21.347999999999999</c:v>
                </c:pt>
                <c:pt idx="18">
                  <c:v>18.567</c:v>
                </c:pt>
                <c:pt idx="19">
                  <c:v>16.672999999999998</c:v>
                </c:pt>
                <c:pt idx="20">
                  <c:v>18.158000000000001</c:v>
                </c:pt>
                <c:pt idx="21">
                  <c:v>18.765000000000001</c:v>
                </c:pt>
                <c:pt idx="22">
                  <c:v>17.125</c:v>
                </c:pt>
                <c:pt idx="23">
                  <c:v>15.332000000000001</c:v>
                </c:pt>
                <c:pt idx="24">
                  <c:v>16.600000000000001</c:v>
                </c:pt>
                <c:pt idx="25">
                  <c:v>15.853999999999999</c:v>
                </c:pt>
                <c:pt idx="26">
                  <c:v>14.837999999999999</c:v>
                </c:pt>
                <c:pt idx="27">
                  <c:v>13.59</c:v>
                </c:pt>
                <c:pt idx="28">
                  <c:v>10.319000000000001</c:v>
                </c:pt>
                <c:pt idx="29">
                  <c:v>11.635</c:v>
                </c:pt>
                <c:pt idx="30">
                  <c:v>11.321999999999999</c:v>
                </c:pt>
                <c:pt idx="31">
                  <c:v>9.5069999999999997</c:v>
                </c:pt>
                <c:pt idx="32">
                  <c:v>10.015000000000001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09B-4913-88F8-6DEDFA00F6E7}"/>
            </c:ext>
          </c:extLst>
        </c:ser>
        <c:ser>
          <c:idx val="6"/>
          <c:order val="4"/>
          <c:tx>
            <c:strRef>
              <c:f>'Trh práce-2b'!$A$36</c:f>
              <c:strCache>
                <c:ptCount val="1"/>
                <c:pt idx="0">
                  <c:v>Pracující cizinci (Ukrajinci)</c:v>
                </c:pt>
              </c:strCache>
            </c:strRef>
          </c:tx>
          <c:spPr>
            <a:ln w="15875">
              <a:solidFill>
                <a:srgbClr val="174F70"/>
              </a:solidFill>
              <a:prstDash val="sysDash"/>
            </a:ln>
          </c:spPr>
          <c:marker>
            <c:symbol val="none"/>
          </c:marker>
          <c:cat>
            <c:multiLvlStrRef>
              <c:f>'Trh práce-2b'!$N$30:$AU$31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práce-2b'!$N$36:$AU$36</c:f>
              <c:numCache>
                <c:formatCode>#,##0</c:formatCode>
                <c:ptCount val="34"/>
                <c:pt idx="0">
                  <c:v>97.317999999999998</c:v>
                </c:pt>
                <c:pt idx="1">
                  <c:v>115.39100000000001</c:v>
                </c:pt>
                <c:pt idx="2">
                  <c:v>134.202</c:v>
                </c:pt>
                <c:pt idx="3">
                  <c:v>121.08499999999999</c:v>
                </c:pt>
                <c:pt idx="4">
                  <c:v>146.08500000000001</c:v>
                </c:pt>
                <c:pt idx="5">
                  <c:v>152.69800000000001</c:v>
                </c:pt>
                <c:pt idx="6">
                  <c:v>164.92400000000001</c:v>
                </c:pt>
                <c:pt idx="7">
                  <c:v>144.114</c:v>
                </c:pt>
                <c:pt idx="8">
                  <c:v>169.14699999999999</c:v>
                </c:pt>
                <c:pt idx="9">
                  <c:v>133.08600000000001</c:v>
                </c:pt>
                <c:pt idx="10">
                  <c:v>173.584</c:v>
                </c:pt>
                <c:pt idx="11">
                  <c:v>159.46799999999999</c:v>
                </c:pt>
                <c:pt idx="12">
                  <c:v>186.35599999999999</c:v>
                </c:pt>
                <c:pt idx="13">
                  <c:v>191.58500000000001</c:v>
                </c:pt>
                <c:pt idx="14">
                  <c:v>214.10599999999999</c:v>
                </c:pt>
                <c:pt idx="15">
                  <c:v>195.11600000000001</c:v>
                </c:pt>
                <c:pt idx="16">
                  <c:v>238.024</c:v>
                </c:pt>
                <c:pt idx="17">
                  <c:v>248.58799999999999</c:v>
                </c:pt>
                <c:pt idx="18">
                  <c:v>262.17899999999997</c:v>
                </c:pt>
                <c:pt idx="19">
                  <c:v>269.911</c:v>
                </c:pt>
                <c:pt idx="20">
                  <c:v>261.31299999999999</c:v>
                </c:pt>
                <c:pt idx="21">
                  <c:v>269.04500000000002</c:v>
                </c:pt>
                <c:pt idx="22">
                  <c:v>282.22300000000001</c:v>
                </c:pt>
                <c:pt idx="23">
                  <c:v>285.54500000000002</c:v>
                </c:pt>
                <c:pt idx="24">
                  <c:v>283.649</c:v>
                </c:pt>
                <c:pt idx="25" formatCode="#\ ##0.000">
                  <c:v>286.25599999999997</c:v>
                </c:pt>
                <c:pt idx="26" formatCode="#\ ##0.000">
                  <c:v>291.79199999999997</c:v>
                </c:pt>
                <c:pt idx="27" formatCode="#\ ##0.000">
                  <c:v>304.68200000000002</c:v>
                </c:pt>
                <c:pt idx="28" formatCode="#\ ##0.000">
                  <c:v>312.71899999999999</c:v>
                </c:pt>
                <c:pt idx="29" formatCode="#\ ##0.000">
                  <c:v>320.50299999999999</c:v>
                </c:pt>
                <c:pt idx="30" formatCode="#\ ##0.000">
                  <c:v>337.762</c:v>
                </c:pt>
                <c:pt idx="31" formatCode="#\ ##0.000">
                  <c:v>357.81099999999998</c:v>
                </c:pt>
                <c:pt idx="32" formatCode="#\ ##0.000">
                  <c:v>374.42099999999999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09B-4913-88F8-6DEDFA00F6E7}"/>
            </c:ext>
          </c:extLst>
        </c:ser>
        <c:ser>
          <c:idx val="7"/>
          <c:order val="5"/>
          <c:tx>
            <c:strRef>
              <c:f>'Trh práce-2b'!$A$37</c:f>
              <c:strCache>
                <c:ptCount val="1"/>
                <c:pt idx="0">
                  <c:v>Pracující cizinci (Slováci)</c:v>
                </c:pt>
              </c:strCache>
            </c:strRef>
          </c:tx>
          <c:spPr>
            <a:ln w="15875">
              <a:solidFill>
                <a:srgbClr val="009CB5"/>
              </a:solidFill>
              <a:prstDash val="sysDash"/>
            </a:ln>
          </c:spPr>
          <c:marker>
            <c:symbol val="none"/>
          </c:marker>
          <c:cat>
            <c:multiLvlStrRef>
              <c:f>'Trh práce-2b'!$N$30:$AU$31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práce-2b'!$N$37:$AU$37</c:f>
              <c:numCache>
                <c:formatCode>#,##0</c:formatCode>
                <c:ptCount val="34"/>
                <c:pt idx="0">
                  <c:v>180.01900000000001</c:v>
                </c:pt>
                <c:pt idx="1">
                  <c:v>187.33799999999999</c:v>
                </c:pt>
                <c:pt idx="2">
                  <c:v>192.66499999999999</c:v>
                </c:pt>
                <c:pt idx="3">
                  <c:v>191.81800000000001</c:v>
                </c:pt>
                <c:pt idx="4">
                  <c:v>187.18299999999999</c:v>
                </c:pt>
                <c:pt idx="5">
                  <c:v>191.41800000000001</c:v>
                </c:pt>
                <c:pt idx="6">
                  <c:v>199.02799999999999</c:v>
                </c:pt>
                <c:pt idx="7">
                  <c:v>201.952</c:v>
                </c:pt>
                <c:pt idx="8">
                  <c:v>198.05799999999999</c:v>
                </c:pt>
                <c:pt idx="9">
                  <c:v>199.249</c:v>
                </c:pt>
                <c:pt idx="10">
                  <c:v>202.91</c:v>
                </c:pt>
                <c:pt idx="11">
                  <c:v>204.29400000000001</c:v>
                </c:pt>
                <c:pt idx="12">
                  <c:v>201.91800000000001</c:v>
                </c:pt>
                <c:pt idx="13">
                  <c:v>204.476</c:v>
                </c:pt>
                <c:pt idx="14">
                  <c:v>208.249</c:v>
                </c:pt>
                <c:pt idx="15">
                  <c:v>209.273</c:v>
                </c:pt>
                <c:pt idx="16">
                  <c:v>207.86</c:v>
                </c:pt>
                <c:pt idx="17">
                  <c:v>211.31700000000001</c:v>
                </c:pt>
                <c:pt idx="18">
                  <c:v>212.55099999999999</c:v>
                </c:pt>
                <c:pt idx="19">
                  <c:v>213.447</c:v>
                </c:pt>
                <c:pt idx="20">
                  <c:v>209.79599999999999</c:v>
                </c:pt>
                <c:pt idx="21">
                  <c:v>212.12299999999999</c:v>
                </c:pt>
                <c:pt idx="22">
                  <c:v>215.20599999999999</c:v>
                </c:pt>
                <c:pt idx="23">
                  <c:v>216.239</c:v>
                </c:pt>
                <c:pt idx="24">
                  <c:v>213.9</c:v>
                </c:pt>
                <c:pt idx="25" formatCode="#\ ##0.000">
                  <c:v>216.68</c:v>
                </c:pt>
                <c:pt idx="26" formatCode="#\ ##0.000">
                  <c:v>212.44300000000001</c:v>
                </c:pt>
                <c:pt idx="27" formatCode="#\ ##0.000">
                  <c:v>215.61099999999999</c:v>
                </c:pt>
                <c:pt idx="28" formatCode="#\ ##0.000">
                  <c:v>216.32300000000001</c:v>
                </c:pt>
                <c:pt idx="29" formatCode="#\ ##0.000">
                  <c:v>220.511</c:v>
                </c:pt>
                <c:pt idx="30" formatCode="#\ ##0.000">
                  <c:v>225.22300000000001</c:v>
                </c:pt>
                <c:pt idx="31" formatCode="#\ ##0.000">
                  <c:v>229.01400000000001</c:v>
                </c:pt>
                <c:pt idx="32" formatCode="#\ ##0.000">
                  <c:v>230.47300000000001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09B-4913-88F8-6DEDFA00F6E7}"/>
            </c:ext>
          </c:extLst>
        </c:ser>
        <c:ser>
          <c:idx val="2"/>
          <c:order val="6"/>
          <c:tx>
            <c:strRef>
              <c:f>'Trh práce-2b'!$A$38</c:f>
              <c:strCache>
                <c:ptCount val="1"/>
                <c:pt idx="0">
                  <c:v>Pracující cizinci (občané ostat. zemí)</c:v>
                </c:pt>
              </c:strCache>
            </c:strRef>
          </c:tx>
          <c:spPr>
            <a:ln w="15875">
              <a:solidFill>
                <a:srgbClr val="85BF5E"/>
              </a:solidFill>
              <a:prstDash val="sysDash"/>
            </a:ln>
          </c:spPr>
          <c:marker>
            <c:symbol val="none"/>
          </c:marker>
          <c:cat>
            <c:multiLvlStrRef>
              <c:f>'Trh práce-2b'!$N$30:$AU$31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práce-2b'!$N$38:$AU$38</c:f>
              <c:numCache>
                <c:formatCode>#,##0</c:formatCode>
                <c:ptCount val="34"/>
                <c:pt idx="0">
                  <c:v>228.61600000000001</c:v>
                </c:pt>
                <c:pt idx="1">
                  <c:v>244.029</c:v>
                </c:pt>
                <c:pt idx="2">
                  <c:v>258.82100000000003</c:v>
                </c:pt>
                <c:pt idx="3">
                  <c:v>255.77199999999999</c:v>
                </c:pt>
                <c:pt idx="4">
                  <c:v>255.12200000000001</c:v>
                </c:pt>
                <c:pt idx="5">
                  <c:v>262.36599999999999</c:v>
                </c:pt>
                <c:pt idx="6">
                  <c:v>277.37400000000002</c:v>
                </c:pt>
                <c:pt idx="7">
                  <c:v>275.80399999999997</c:v>
                </c:pt>
                <c:pt idx="8">
                  <c:v>277.709</c:v>
                </c:pt>
                <c:pt idx="9">
                  <c:v>270.178</c:v>
                </c:pt>
                <c:pt idx="10">
                  <c:v>278.71699999999998</c:v>
                </c:pt>
                <c:pt idx="11">
                  <c:v>280.40199999999999</c:v>
                </c:pt>
                <c:pt idx="12">
                  <c:v>281.459</c:v>
                </c:pt>
                <c:pt idx="13">
                  <c:v>285.55</c:v>
                </c:pt>
                <c:pt idx="14">
                  <c:v>297.53500000000003</c:v>
                </c:pt>
                <c:pt idx="15">
                  <c:v>297.44099999999997</c:v>
                </c:pt>
                <c:pt idx="16">
                  <c:v>300.39299999999997</c:v>
                </c:pt>
                <c:pt idx="17">
                  <c:v>307.61</c:v>
                </c:pt>
                <c:pt idx="18">
                  <c:v>310.33499999999998</c:v>
                </c:pt>
                <c:pt idx="19">
                  <c:v>309.93200000000002</c:v>
                </c:pt>
                <c:pt idx="20">
                  <c:v>308.2</c:v>
                </c:pt>
                <c:pt idx="21">
                  <c:v>314.923</c:v>
                </c:pt>
                <c:pt idx="22">
                  <c:v>320.48399999999998</c:v>
                </c:pt>
                <c:pt idx="23">
                  <c:v>322.161</c:v>
                </c:pt>
                <c:pt idx="24">
                  <c:v>320.39100000000002</c:v>
                </c:pt>
                <c:pt idx="25" formatCode="#\ ##0.000">
                  <c:v>324.68299999999999</c:v>
                </c:pt>
                <c:pt idx="26" formatCode="#\ ##0.000">
                  <c:v>319.55900000000003</c:v>
                </c:pt>
                <c:pt idx="27" formatCode="#\ ##0.000">
                  <c:v>325.17500000000001</c:v>
                </c:pt>
                <c:pt idx="28" formatCode="#\ ##0.000">
                  <c:v>329.69</c:v>
                </c:pt>
                <c:pt idx="29" formatCode="#\ ##0.000">
                  <c:v>336.50700000000001</c:v>
                </c:pt>
                <c:pt idx="30" formatCode="#\ ##0.000">
                  <c:v>342.87900000000002</c:v>
                </c:pt>
                <c:pt idx="31" formatCode="#\ ##0.000">
                  <c:v>348.49700000000001</c:v>
                </c:pt>
                <c:pt idx="32" formatCode="#\ ##0.000">
                  <c:v>352.34100000000001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09B-4913-88F8-6DEDFA00F6E7}"/>
            </c:ext>
          </c:extLst>
        </c:ser>
        <c:ser>
          <c:idx val="3"/>
          <c:order val="7"/>
          <c:tx>
            <c:strRef>
              <c:f>'Trh práce-2b'!$A$39</c:f>
              <c:strCache>
                <c:ptCount val="1"/>
                <c:pt idx="0">
                  <c:v>Očekávání vývoje nezaměstnanosti</c:v>
                </c:pt>
              </c:strCache>
            </c:strRef>
          </c:tx>
          <c:spPr>
            <a:ln w="15875">
              <a:noFill/>
              <a:prstDash val="solid"/>
            </a:ln>
          </c:spPr>
          <c:marker>
            <c:symbol val="diamond"/>
            <c:size val="4"/>
            <c:spPr>
              <a:solidFill>
                <a:srgbClr val="CC9610"/>
              </a:solidFill>
              <a:ln>
                <a:solidFill>
                  <a:srgbClr val="CC9610"/>
                </a:solidFill>
              </a:ln>
            </c:spPr>
          </c:marker>
          <c:cat>
            <c:multiLvlStrRef>
              <c:f>'Trh práce-2b'!$N$30:$AU$31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práce-2b'!$N$39:$AU$39</c:f>
              <c:numCache>
                <c:formatCode>0.0</c:formatCode>
                <c:ptCount val="34"/>
                <c:pt idx="0">
                  <c:v>-1</c:v>
                </c:pt>
                <c:pt idx="1">
                  <c:v>-2</c:v>
                </c:pt>
                <c:pt idx="2">
                  <c:v>-2</c:v>
                </c:pt>
                <c:pt idx="3">
                  <c:v>4</c:v>
                </c:pt>
                <c:pt idx="4">
                  <c:v>8</c:v>
                </c:pt>
                <c:pt idx="5">
                  <c:v>8</c:v>
                </c:pt>
                <c:pt idx="6">
                  <c:v>11</c:v>
                </c:pt>
                <c:pt idx="7">
                  <c:v>12</c:v>
                </c:pt>
                <c:pt idx="8">
                  <c:v>18</c:v>
                </c:pt>
                <c:pt idx="9">
                  <c:v>49</c:v>
                </c:pt>
                <c:pt idx="10">
                  <c:v>46</c:v>
                </c:pt>
                <c:pt idx="11">
                  <c:v>60</c:v>
                </c:pt>
                <c:pt idx="12">
                  <c:v>57</c:v>
                </c:pt>
                <c:pt idx="13">
                  <c:v>24</c:v>
                </c:pt>
                <c:pt idx="14">
                  <c:v>16</c:v>
                </c:pt>
                <c:pt idx="15">
                  <c:v>20</c:v>
                </c:pt>
                <c:pt idx="16">
                  <c:v>14</c:v>
                </c:pt>
                <c:pt idx="17">
                  <c:v>20</c:v>
                </c:pt>
                <c:pt idx="18">
                  <c:v>26</c:v>
                </c:pt>
                <c:pt idx="19">
                  <c:v>40</c:v>
                </c:pt>
                <c:pt idx="20">
                  <c:v>35</c:v>
                </c:pt>
                <c:pt idx="21">
                  <c:v>29</c:v>
                </c:pt>
                <c:pt idx="22">
                  <c:v>25</c:v>
                </c:pt>
                <c:pt idx="23">
                  <c:v>17</c:v>
                </c:pt>
                <c:pt idx="24">
                  <c:v>25</c:v>
                </c:pt>
                <c:pt idx="25">
                  <c:v>22</c:v>
                </c:pt>
                <c:pt idx="26">
                  <c:v>24</c:v>
                </c:pt>
                <c:pt idx="27">
                  <c:v>19</c:v>
                </c:pt>
                <c:pt idx="28">
                  <c:v>30</c:v>
                </c:pt>
                <c:pt idx="29">
                  <c:v>30</c:v>
                </c:pt>
                <c:pt idx="30">
                  <c:v>27</c:v>
                </c:pt>
                <c:pt idx="31">
                  <c:v>15</c:v>
                </c:pt>
                <c:pt idx="32">
                  <c:v>16</c:v>
                </c:pt>
                <c:pt idx="33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09B-4913-88F8-6DEDFA00F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1670576"/>
        <c:axId val="323971328"/>
      </c:lineChart>
      <c:catAx>
        <c:axId val="10065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101647488"/>
        <c:crossesAt val="-50"/>
        <c:auto val="1"/>
        <c:lblAlgn val="ctr"/>
        <c:lblOffset val="0"/>
        <c:noMultiLvlLbl val="0"/>
      </c:catAx>
      <c:valAx>
        <c:axId val="101647488"/>
        <c:scaling>
          <c:orientation val="minMax"/>
          <c:max val="7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Míra nezaměstnanosti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0654464"/>
        <c:crosses val="autoZero"/>
        <c:crossBetween val="between"/>
        <c:majorUnit val="0.5"/>
      </c:valAx>
      <c:valAx>
        <c:axId val="323971328"/>
        <c:scaling>
          <c:orientation val="minMax"/>
          <c:max val="390"/>
          <c:min val="-3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Volná</a:t>
                </a:r>
                <a:r>
                  <a:rPr lang="cs-CZ" sz="700" b="0" i="1" baseline="0"/>
                  <a:t> prac. místa, zaměstnaní cizinci, saldo oček. nezam.</a:t>
                </a:r>
                <a:endParaRPr lang="cs-CZ" sz="700" b="0" i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331670576"/>
        <c:crosses val="max"/>
        <c:crossBetween val="between"/>
        <c:majorUnit val="30"/>
      </c:valAx>
      <c:catAx>
        <c:axId val="331670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3971328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2346890231882358E-2"/>
          <c:y val="0.87065667466923102"/>
          <c:w val="0.85260043993190393"/>
          <c:h val="0.12573975955987693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7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11162452186132E-2"/>
          <c:y val="2.0203894786331125E-2"/>
          <c:w val="0.92649091943205286"/>
          <c:h val="0.78443924621063155"/>
        </c:manualLayout>
      </c:layout>
      <c:barChart>
        <c:barDir val="col"/>
        <c:grouping val="clustered"/>
        <c:varyColors val="0"/>
        <c:ser>
          <c:idx val="4"/>
          <c:order val="1"/>
          <c:tx>
            <c:strRef>
              <c:f>'Trh práce 3'!$D$8</c:f>
              <c:strCache>
                <c:ptCount val="1"/>
                <c:pt idx="0">
                  <c:v>Průměrná mzda celkem (reálně)</c:v>
                </c:pt>
              </c:strCache>
            </c:strRef>
          </c:tx>
          <c:spPr>
            <a:solidFill>
              <a:srgbClr val="D7D9DB"/>
            </a:solidFill>
            <a:ln w="19050">
              <a:noFill/>
            </a:ln>
          </c:spPr>
          <c:invertIfNegative val="0"/>
          <c:cat>
            <c:multiLvlStrRef>
              <c:f>'Trh práce 3'!$A$41:$B$73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3'!$D$41:$D$73</c:f>
              <c:numCache>
                <c:formatCode>#\ ##0.0</c:formatCode>
                <c:ptCount val="33"/>
                <c:pt idx="0">
                  <c:v>6.5</c:v>
                </c:pt>
                <c:pt idx="1">
                  <c:v>6.2999999999999972</c:v>
                </c:pt>
                <c:pt idx="2">
                  <c:v>5.9000000000000057</c:v>
                </c:pt>
                <c:pt idx="3">
                  <c:v>4.9000000000000057</c:v>
                </c:pt>
                <c:pt idx="4">
                  <c:v>5.5</c:v>
                </c:pt>
                <c:pt idx="5">
                  <c:v>5.0999999999999943</c:v>
                </c:pt>
                <c:pt idx="6">
                  <c:v>4.7999999999999972</c:v>
                </c:pt>
                <c:pt idx="7">
                  <c:v>4.5</c:v>
                </c:pt>
                <c:pt idx="8">
                  <c:v>1.7999999999999972</c:v>
                </c:pt>
                <c:pt idx="9">
                  <c:v>-2.0999999999999943</c:v>
                </c:pt>
                <c:pt idx="10">
                  <c:v>2</c:v>
                </c:pt>
                <c:pt idx="11">
                  <c:v>4</c:v>
                </c:pt>
                <c:pt idx="12">
                  <c:v>0.79999999999999716</c:v>
                </c:pt>
                <c:pt idx="13">
                  <c:v>8.0999999999999943</c:v>
                </c:pt>
                <c:pt idx="14">
                  <c:v>1.2000000000000028</c:v>
                </c:pt>
                <c:pt idx="15">
                  <c:v>-2.0999999999999943</c:v>
                </c:pt>
                <c:pt idx="16">
                  <c:v>-5.2999999999999972</c:v>
                </c:pt>
                <c:pt idx="17">
                  <c:v>-11.5</c:v>
                </c:pt>
                <c:pt idx="18">
                  <c:v>-11.599999999999994</c:v>
                </c:pt>
                <c:pt idx="19">
                  <c:v>-8.7000000000000028</c:v>
                </c:pt>
                <c:pt idx="20">
                  <c:v>-7</c:v>
                </c:pt>
                <c:pt idx="21">
                  <c:v>-3.0999999999999943</c:v>
                </c:pt>
                <c:pt idx="22">
                  <c:v>-1.0999999999999943</c:v>
                </c:pt>
                <c:pt idx="23">
                  <c:v>-1.2999999999999972</c:v>
                </c:pt>
                <c:pt idx="24">
                  <c:v>5.0999999999999943</c:v>
                </c:pt>
                <c:pt idx="25">
                  <c:v>4</c:v>
                </c:pt>
                <c:pt idx="26">
                  <c:v>4.0999999999999943</c:v>
                </c:pt>
                <c:pt idx="27">
                  <c:v>3.2000000000000028</c:v>
                </c:pt>
                <c:pt idx="28">
                  <c:v>3.4000000000000057</c:v>
                </c:pt>
                <c:pt idx="29">
                  <c:v>4.7000000000000028</c:v>
                </c:pt>
                <c:pt idx="30">
                  <c:v>3.9000000000000057</c:v>
                </c:pt>
                <c:pt idx="31">
                  <c:v>4.4000000000000057</c:v>
                </c:pt>
                <c:pt idx="32">
                  <c:v>6.4000000000000057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F5-465F-8A6E-78099BF65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0688640"/>
        <c:axId val="100690560"/>
      </c:barChart>
      <c:lineChart>
        <c:grouping val="standard"/>
        <c:varyColors val="0"/>
        <c:ser>
          <c:idx val="0"/>
          <c:order val="0"/>
          <c:tx>
            <c:strRef>
              <c:f>'Trh práce 3'!$C$8</c:f>
              <c:strCache>
                <c:ptCount val="1"/>
                <c:pt idx="0">
                  <c:v>Průměrná mzda celkem (nominálně)</c:v>
                </c:pt>
              </c:strCache>
            </c:strRef>
          </c:tx>
          <c:spPr>
            <a:ln w="19050">
              <a:noFill/>
              <a:prstDash val="solid"/>
            </a:ln>
          </c:spPr>
          <c:marker>
            <c:symbol val="circle"/>
            <c:size val="5"/>
            <c:spPr>
              <a:solidFill>
                <a:srgbClr val="E6C483"/>
              </a:solidFill>
              <a:ln>
                <a:solidFill>
                  <a:srgbClr val="CC9610"/>
                </a:solidFill>
              </a:ln>
            </c:spPr>
          </c:marker>
          <c:cat>
            <c:multiLvlStrRef>
              <c:f>'Trh práce 3'!$A$41:$B$73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3'!$C$41:$C$73</c:f>
              <c:numCache>
                <c:formatCode>#\ ##0.0</c:formatCode>
                <c:ptCount val="33"/>
                <c:pt idx="0">
                  <c:v>8.5360633516444295</c:v>
                </c:pt>
                <c:pt idx="1">
                  <c:v>8.7353900516444725</c:v>
                </c:pt>
                <c:pt idx="2">
                  <c:v>8.3840733392624998</c:v>
                </c:pt>
                <c:pt idx="3">
                  <c:v>7.090749009496264</c:v>
                </c:pt>
                <c:pt idx="4">
                  <c:v>8.2952640746705129</c:v>
                </c:pt>
                <c:pt idx="5">
                  <c:v>8.0398712620691697</c:v>
                </c:pt>
                <c:pt idx="6">
                  <c:v>7.7071169323023554</c:v>
                </c:pt>
                <c:pt idx="7">
                  <c:v>7.5667263704965109</c:v>
                </c:pt>
                <c:pt idx="8">
                  <c:v>5.4930047646505358</c:v>
                </c:pt>
                <c:pt idx="9">
                  <c:v>0.86476168440536583</c:v>
                </c:pt>
                <c:pt idx="10">
                  <c:v>5.4150672488059399</c:v>
                </c:pt>
                <c:pt idx="11">
                  <c:v>6.709614019763066</c:v>
                </c:pt>
                <c:pt idx="12">
                  <c:v>3.0004890538246798</c:v>
                </c:pt>
                <c:pt idx="13">
                  <c:v>11.168458781362006</c:v>
                </c:pt>
                <c:pt idx="14">
                  <c:v>5.3398193189715215</c:v>
                </c:pt>
                <c:pt idx="15">
                  <c:v>3.8601248337255782</c:v>
                </c:pt>
                <c:pt idx="16">
                  <c:v>5.2703608535359194</c:v>
                </c:pt>
                <c:pt idx="17">
                  <c:v>2.4658240907918554</c:v>
                </c:pt>
                <c:pt idx="18">
                  <c:v>3.9318133839983034</c:v>
                </c:pt>
                <c:pt idx="19">
                  <c:v>5.6082362503386634</c:v>
                </c:pt>
                <c:pt idx="20">
                  <c:v>8.2513066779867899</c:v>
                </c:pt>
                <c:pt idx="21">
                  <c:v>7.6725570155565634</c:v>
                </c:pt>
                <c:pt idx="22">
                  <c:v>6.8171431473112278</c:v>
                </c:pt>
                <c:pt idx="23">
                  <c:v>6.1896543682074707</c:v>
                </c:pt>
                <c:pt idx="24">
                  <c:v>7.303742555329535</c:v>
                </c:pt>
                <c:pt idx="25">
                  <c:v>6.5834385374292879</c:v>
                </c:pt>
                <c:pt idx="26">
                  <c:v>6.510422856599547</c:v>
                </c:pt>
                <c:pt idx="27">
                  <c:v>6.1890538522357872</c:v>
                </c:pt>
                <c:pt idx="28">
                  <c:v>6.1944679198739294</c:v>
                </c:pt>
                <c:pt idx="29">
                  <c:v>7.1726255757841528</c:v>
                </c:pt>
                <c:pt idx="30">
                  <c:v>6.4873912073198028</c:v>
                </c:pt>
                <c:pt idx="31">
                  <c:v>6.6804550155118818</c:v>
                </c:pt>
                <c:pt idx="32">
                  <c:v>8.149613920375117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F5-465F-8A6E-78099BF65345}"/>
            </c:ext>
          </c:extLst>
        </c:ser>
        <c:ser>
          <c:idx val="5"/>
          <c:order val="2"/>
          <c:tx>
            <c:strRef>
              <c:f>'Trh práce 3'!$E$8</c:f>
              <c:strCache>
                <c:ptCount val="1"/>
                <c:pt idx="0">
                  <c:v>Prům. mzda v průmyslu (nominálně)</c:v>
                </c:pt>
              </c:strCache>
            </c:strRef>
          </c:tx>
          <c:spPr>
            <a:ln w="12700">
              <a:solidFill>
                <a:srgbClr val="BC5B80"/>
              </a:solidFill>
              <a:prstDash val="solid"/>
            </a:ln>
          </c:spPr>
          <c:marker>
            <c:symbol val="none"/>
          </c:marker>
          <c:cat>
            <c:multiLvlStrRef>
              <c:f>'Trh práce 3'!$A$41:$B$73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3'!$E$41:$E$73</c:f>
              <c:numCache>
                <c:formatCode>#\ ##0.0</c:formatCode>
                <c:ptCount val="33"/>
                <c:pt idx="0">
                  <c:v>7.9018109790605564</c:v>
                </c:pt>
                <c:pt idx="1">
                  <c:v>8.1936869938853221</c:v>
                </c:pt>
                <c:pt idx="2">
                  <c:v>7.3566042242467802</c:v>
                </c:pt>
                <c:pt idx="3">
                  <c:v>7.6170092222467076</c:v>
                </c:pt>
                <c:pt idx="4">
                  <c:v>7.1985838851373387</c:v>
                </c:pt>
                <c:pt idx="5">
                  <c:v>7.0904869554591556</c:v>
                </c:pt>
                <c:pt idx="6">
                  <c:v>6.753964974732213</c:v>
                </c:pt>
                <c:pt idx="7">
                  <c:v>5.6242870930946793</c:v>
                </c:pt>
                <c:pt idx="8">
                  <c:v>4.8529141948504844</c:v>
                </c:pt>
                <c:pt idx="9">
                  <c:v>-3.4830979888746327</c:v>
                </c:pt>
                <c:pt idx="10">
                  <c:v>2.956413004644503</c:v>
                </c:pt>
                <c:pt idx="11">
                  <c:v>4.0067563825663086</c:v>
                </c:pt>
                <c:pt idx="12">
                  <c:v>1.8985680538948344</c:v>
                </c:pt>
                <c:pt idx="13">
                  <c:v>10.170242950877807</c:v>
                </c:pt>
                <c:pt idx="14">
                  <c:v>4.7656227408114233</c:v>
                </c:pt>
                <c:pt idx="15">
                  <c:v>3.7112962913660397</c:v>
                </c:pt>
                <c:pt idx="16">
                  <c:v>4.9627933600457936</c:v>
                </c:pt>
                <c:pt idx="17">
                  <c:v>5.8242790073776121</c:v>
                </c:pt>
                <c:pt idx="18">
                  <c:v>5.6391288746584252</c:v>
                </c:pt>
                <c:pt idx="19">
                  <c:v>7.3649082274419158</c:v>
                </c:pt>
                <c:pt idx="20">
                  <c:v>10.053443856683202</c:v>
                </c:pt>
                <c:pt idx="21">
                  <c:v>9.2759722151802464</c:v>
                </c:pt>
                <c:pt idx="22">
                  <c:v>8.1338837792642096</c:v>
                </c:pt>
                <c:pt idx="23">
                  <c:v>6.9888102524866156</c:v>
                </c:pt>
                <c:pt idx="24">
                  <c:v>8.089492331706353</c:v>
                </c:pt>
                <c:pt idx="25">
                  <c:v>7.5814870664655984</c:v>
                </c:pt>
                <c:pt idx="26">
                  <c:v>7.0267004953485497</c:v>
                </c:pt>
                <c:pt idx="27">
                  <c:v>6.8473864169665006</c:v>
                </c:pt>
                <c:pt idx="28">
                  <c:v>6.4021455095585083</c:v>
                </c:pt>
                <c:pt idx="29">
                  <c:v>7.7458866150561789</c:v>
                </c:pt>
                <c:pt idx="30">
                  <c:v>6.0099790034542764</c:v>
                </c:pt>
                <c:pt idx="31">
                  <c:v>7.1740812783668986</c:v>
                </c:pt>
                <c:pt idx="32">
                  <c:v>6.7493914129989889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DF5-465F-8A6E-78099BF65345}"/>
            </c:ext>
          </c:extLst>
        </c:ser>
        <c:ser>
          <c:idx val="1"/>
          <c:order val="3"/>
          <c:tx>
            <c:strRef>
              <c:f>'Trh práce 3'!$F$8</c:f>
              <c:strCache>
                <c:ptCount val="1"/>
                <c:pt idx="0">
                  <c:v>Prům. mzda v obchodu (nominálně)</c:v>
                </c:pt>
              </c:strCache>
            </c:strRef>
          </c:tx>
          <c:spPr>
            <a:ln w="12700">
              <a:solidFill>
                <a:srgbClr val="009CB5"/>
              </a:solidFill>
              <a:prstDash val="solid"/>
            </a:ln>
          </c:spPr>
          <c:marker>
            <c:symbol val="none"/>
          </c:marker>
          <c:cat>
            <c:multiLvlStrRef>
              <c:f>'Trh práce 3'!$A$41:$B$73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3'!$F$41:$F$73</c:f>
              <c:numCache>
                <c:formatCode>#\ ##0.0</c:formatCode>
                <c:ptCount val="33"/>
                <c:pt idx="0">
                  <c:v>7.2416629280693883</c:v>
                </c:pt>
                <c:pt idx="1">
                  <c:v>7.0392029456356937</c:v>
                </c:pt>
                <c:pt idx="2">
                  <c:v>6.8381903769449082</c:v>
                </c:pt>
                <c:pt idx="3">
                  <c:v>6.6970570490044992</c:v>
                </c:pt>
                <c:pt idx="4">
                  <c:v>9.5345999651385682</c:v>
                </c:pt>
                <c:pt idx="5">
                  <c:v>7.4227708080399282</c:v>
                </c:pt>
                <c:pt idx="6">
                  <c:v>8.1629221041302316</c:v>
                </c:pt>
                <c:pt idx="7">
                  <c:v>6.3018346318170444</c:v>
                </c:pt>
                <c:pt idx="8">
                  <c:v>6.3685550604710528</c:v>
                </c:pt>
                <c:pt idx="9">
                  <c:v>0.91357172008916621</c:v>
                </c:pt>
                <c:pt idx="10">
                  <c:v>4.7389533256631182</c:v>
                </c:pt>
                <c:pt idx="11">
                  <c:v>2.446953129617583</c:v>
                </c:pt>
                <c:pt idx="12">
                  <c:v>2.2321294994165299</c:v>
                </c:pt>
                <c:pt idx="13">
                  <c:v>9.8898705823792881</c:v>
                </c:pt>
                <c:pt idx="14">
                  <c:v>6.6146127126443588</c:v>
                </c:pt>
                <c:pt idx="15">
                  <c:v>8.7059366526279263</c:v>
                </c:pt>
                <c:pt idx="16">
                  <c:v>6.7609096496619543</c:v>
                </c:pt>
                <c:pt idx="17">
                  <c:v>5.6167369702460093</c:v>
                </c:pt>
                <c:pt idx="18">
                  <c:v>3.4585503049205073</c:v>
                </c:pt>
                <c:pt idx="19">
                  <c:v>5.3444432650461664</c:v>
                </c:pt>
                <c:pt idx="20">
                  <c:v>8.2325849165227396</c:v>
                </c:pt>
                <c:pt idx="21">
                  <c:v>6.9557991797785945</c:v>
                </c:pt>
                <c:pt idx="22">
                  <c:v>6.314429521169231</c:v>
                </c:pt>
                <c:pt idx="23">
                  <c:v>5.6073353821351191</c:v>
                </c:pt>
                <c:pt idx="24">
                  <c:v>7.6063829787234027</c:v>
                </c:pt>
                <c:pt idx="25">
                  <c:v>6.302942208410613</c:v>
                </c:pt>
                <c:pt idx="26">
                  <c:v>6.8102989949112498</c:v>
                </c:pt>
                <c:pt idx="27">
                  <c:v>5.5982253601755616</c:v>
                </c:pt>
                <c:pt idx="28">
                  <c:v>3.3872372478403179</c:v>
                </c:pt>
                <c:pt idx="29">
                  <c:v>5.1253035339604338</c:v>
                </c:pt>
                <c:pt idx="30">
                  <c:v>4.4276944227168258</c:v>
                </c:pt>
                <c:pt idx="31">
                  <c:v>5.2178627092227288</c:v>
                </c:pt>
                <c:pt idx="32">
                  <c:v>8.1030007740995273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DF5-465F-8A6E-78099BF65345}"/>
            </c:ext>
          </c:extLst>
        </c:ser>
        <c:ser>
          <c:idx val="2"/>
          <c:order val="4"/>
          <c:tx>
            <c:strRef>
              <c:f>'Trh práce 3'!$G$8</c:f>
              <c:strCache>
                <c:ptCount val="1"/>
                <c:pt idx="0">
                  <c:v>Prům. mzda ve veř. službách (nom.)*</c:v>
                </c:pt>
              </c:strCache>
            </c:strRef>
          </c:tx>
          <c:spPr>
            <a:ln w="15875">
              <a:solidFill>
                <a:srgbClr val="86BF5E"/>
              </a:solidFill>
              <a:prstDash val="solid"/>
            </a:ln>
          </c:spPr>
          <c:marker>
            <c:symbol val="none"/>
          </c:marker>
          <c:dPt>
            <c:idx val="19"/>
            <c:bubble3D val="0"/>
            <c:spPr>
              <a:ln w="12700">
                <a:solidFill>
                  <a:srgbClr val="86BF5E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DF5-465F-8A6E-78099BF65345}"/>
              </c:ext>
            </c:extLst>
          </c:dPt>
          <c:cat>
            <c:multiLvlStrRef>
              <c:f>'Trh práce 3'!$A$41:$B$73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'Trh práce 3'!$G$41:$G$73</c:f>
              <c:numCache>
                <c:formatCode>#\ ##0.0</c:formatCode>
                <c:ptCount val="33"/>
                <c:pt idx="0">
                  <c:v>12.179699393983398</c:v>
                </c:pt>
                <c:pt idx="1">
                  <c:v>11.89217733254111</c:v>
                </c:pt>
                <c:pt idx="2">
                  <c:v>11.361326321628667</c:v>
                </c:pt>
                <c:pt idx="3">
                  <c:v>6.1282038917470629</c:v>
                </c:pt>
                <c:pt idx="4">
                  <c:v>9.4162908795776019</c:v>
                </c:pt>
                <c:pt idx="5">
                  <c:v>9.3022383570098555</c:v>
                </c:pt>
                <c:pt idx="6">
                  <c:v>8.3925247282538464</c:v>
                </c:pt>
                <c:pt idx="7">
                  <c:v>11.041060141001239</c:v>
                </c:pt>
                <c:pt idx="8">
                  <c:v>5.2296117021426483</c:v>
                </c:pt>
                <c:pt idx="9">
                  <c:v>4.9937922145909539</c:v>
                </c:pt>
                <c:pt idx="10">
                  <c:v>8.8109946466096574</c:v>
                </c:pt>
                <c:pt idx="11">
                  <c:v>13.948630451066606</c:v>
                </c:pt>
                <c:pt idx="12">
                  <c:v>4.5485385483402752</c:v>
                </c:pt>
                <c:pt idx="13">
                  <c:v>17.785684079315018</c:v>
                </c:pt>
                <c:pt idx="14">
                  <c:v>5.4643357321226631</c:v>
                </c:pt>
                <c:pt idx="15">
                  <c:v>-0.40508430459891542</c:v>
                </c:pt>
                <c:pt idx="16">
                  <c:v>2.3050985414715655</c:v>
                </c:pt>
                <c:pt idx="17">
                  <c:v>-7.0315803873919265</c:v>
                </c:pt>
                <c:pt idx="18">
                  <c:v>0.30518367768182486</c:v>
                </c:pt>
                <c:pt idx="19">
                  <c:v>3.4014494016982155</c:v>
                </c:pt>
                <c:pt idx="20">
                  <c:v>7.9558858004871666</c:v>
                </c:pt>
                <c:pt idx="21">
                  <c:v>6.6185978338731104</c:v>
                </c:pt>
                <c:pt idx="22">
                  <c:v>6.1956460416074748</c:v>
                </c:pt>
                <c:pt idx="23">
                  <c:v>5.4315381637976827</c:v>
                </c:pt>
                <c:pt idx="24">
                  <c:v>4.9055773020722171</c:v>
                </c:pt>
                <c:pt idx="25">
                  <c:v>5.1422675010122134</c:v>
                </c:pt>
                <c:pt idx="26">
                  <c:v>5.2333623000588148</c:v>
                </c:pt>
                <c:pt idx="27">
                  <c:v>4.088030032660626</c:v>
                </c:pt>
                <c:pt idx="28">
                  <c:v>5.2201477242158774</c:v>
                </c:pt>
                <c:pt idx="29">
                  <c:v>6.0948127472935028</c:v>
                </c:pt>
                <c:pt idx="30">
                  <c:v>5.9730216581103832</c:v>
                </c:pt>
                <c:pt idx="31">
                  <c:v>5.8514536384590912</c:v>
                </c:pt>
                <c:pt idx="32">
                  <c:v>6.1156748653605035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DF5-465F-8A6E-78099BF65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688640"/>
        <c:axId val="100690560"/>
      </c:lineChart>
      <c:catAx>
        <c:axId val="10068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100690560"/>
        <c:crosses val="autoZero"/>
        <c:auto val="1"/>
        <c:lblAlgn val="ctr"/>
        <c:lblOffset val="0"/>
        <c:tickMarkSkip val="4"/>
        <c:noMultiLvlLbl val="0"/>
      </c:catAx>
      <c:valAx>
        <c:axId val="100690560"/>
        <c:scaling>
          <c:orientation val="minMax"/>
          <c:max val="18"/>
          <c:min val="-12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0688640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3376807728216756E-2"/>
          <c:y val="0.88971684337588774"/>
          <c:w val="0.92518201757846419"/>
          <c:h val="0.10639703076762981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3423</Words>
  <Characters>20202</Characters>
  <Application>Microsoft Office Word</Application>
  <DocSecurity>0</DocSecurity>
  <Lines>168</Lines>
  <Paragraphs>47</Paragraphs>
  <ScaleCrop>false</ScaleCrop>
  <Company>CSU</Company>
  <LinksUpToDate>false</LinksUpToDate>
  <CharactersWithSpaces>23578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25</cp:revision>
  <cp:lastPrinted>2014-07-17T14:07:00Z</cp:lastPrinted>
  <dcterms:created xsi:type="dcterms:W3CDTF">2026-06-16T07:48:00Z</dcterms:created>
  <dcterms:modified xsi:type="dcterms:W3CDTF">2026-06-16T10:11:00Z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