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3E" w:rsidRPr="00F4591F" w:rsidRDefault="00576A3E" w:rsidP="00983BAC">
      <w:pPr>
        <w:pStyle w:val="Nadpis1"/>
        <w:numPr>
          <w:ilvl w:val="0"/>
          <w:numId w:val="6"/>
        </w:numPr>
        <w:jc w:val="both"/>
      </w:pPr>
      <w:bookmarkStart w:id="0" w:name="_Toc437874296"/>
      <w:r>
        <w:t>Výkonnost odvětví</w:t>
      </w:r>
      <w:bookmarkEnd w:id="0"/>
    </w:p>
    <w:tbl>
      <w:tblPr>
        <w:tblW w:w="5059" w:type="pct"/>
        <w:tblCellMar>
          <w:left w:w="28" w:type="dxa"/>
          <w:right w:w="28" w:type="dxa"/>
        </w:tblCellMar>
        <w:tblLook w:val="04A0"/>
      </w:tblPr>
      <w:tblGrid>
        <w:gridCol w:w="734"/>
        <w:gridCol w:w="1379"/>
        <w:gridCol w:w="282"/>
        <w:gridCol w:w="2534"/>
        <w:gridCol w:w="761"/>
        <w:gridCol w:w="4002"/>
        <w:gridCol w:w="116"/>
      </w:tblGrid>
      <w:tr w:rsidR="00652CBB" w:rsidTr="00652CBB">
        <w:trPr>
          <w:gridAfter w:val="1"/>
          <w:wAfter w:w="59" w:type="pct"/>
        </w:trPr>
        <w:tc>
          <w:tcPr>
            <w:tcW w:w="1077" w:type="pct"/>
            <w:gridSpan w:val="2"/>
          </w:tcPr>
          <w:p w:rsidR="00652CBB" w:rsidRDefault="00652CBB" w:rsidP="00652CBB">
            <w:pPr>
              <w:spacing w:line="240" w:lineRule="auto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Meziroční růst HPH v průběhu roku 2015 nadále zrychloval, ve 3. čtvrtletí dosáhl nejvyššího tempa od 1. poloviny roku 2008</w:t>
            </w:r>
          </w:p>
          <w:p w:rsidR="00652CBB" w:rsidRDefault="00652CBB" w:rsidP="00652CBB">
            <w:pPr>
              <w:spacing w:line="240" w:lineRule="auto"/>
              <w:rPr>
                <w:color w:val="0D0D0D" w:themeColor="text1" w:themeTint="F2"/>
                <w:sz w:val="16"/>
                <w:szCs w:val="16"/>
              </w:rPr>
            </w:pPr>
          </w:p>
          <w:p w:rsidR="00652CBB" w:rsidRDefault="00652CBB" w:rsidP="00652CBB">
            <w:pPr>
              <w:spacing w:line="240" w:lineRule="auto"/>
              <w:rPr>
                <w:color w:val="0D0D0D" w:themeColor="text1" w:themeTint="F2"/>
                <w:sz w:val="16"/>
                <w:szCs w:val="16"/>
              </w:rPr>
            </w:pPr>
          </w:p>
          <w:p w:rsidR="00652CBB" w:rsidRDefault="00652CBB" w:rsidP="00652CBB">
            <w:pPr>
              <w:spacing w:line="240" w:lineRule="auto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Růst HPH v ČR táhl zpracovatelský průmysl, v celé EU ale tu roli plní seskupení odvětví o</w:t>
            </w:r>
            <w:r w:rsidRPr="00F5731D">
              <w:rPr>
                <w:color w:val="0D0D0D" w:themeColor="text1" w:themeTint="F2"/>
                <w:sz w:val="16"/>
                <w:szCs w:val="16"/>
              </w:rPr>
              <w:t xml:space="preserve">bchod, doprava, ubytování </w:t>
            </w:r>
          </w:p>
          <w:p w:rsidR="00652CBB" w:rsidRDefault="00652CBB" w:rsidP="00652CBB">
            <w:pPr>
              <w:spacing w:line="240" w:lineRule="auto"/>
              <w:rPr>
                <w:color w:val="0D0D0D" w:themeColor="text1" w:themeTint="F2"/>
                <w:sz w:val="16"/>
                <w:szCs w:val="16"/>
              </w:rPr>
            </w:pPr>
            <w:r w:rsidRPr="00F5731D">
              <w:rPr>
                <w:color w:val="0D0D0D" w:themeColor="text1" w:themeTint="F2"/>
                <w:sz w:val="16"/>
                <w:szCs w:val="16"/>
              </w:rPr>
              <w:t>a pohostinství</w:t>
            </w:r>
          </w:p>
          <w:p w:rsidR="00652CBB" w:rsidRPr="00D340F6" w:rsidRDefault="00652CBB" w:rsidP="00652CBB">
            <w:pPr>
              <w:spacing w:line="240" w:lineRule="auto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" w:type="pct"/>
          </w:tcPr>
          <w:p w:rsidR="00652CBB" w:rsidRDefault="00652CBB" w:rsidP="00652CBB">
            <w:pPr>
              <w:pStyle w:val="Textpoznpodarou"/>
              <w:jc w:val="both"/>
            </w:pPr>
          </w:p>
        </w:tc>
        <w:tc>
          <w:tcPr>
            <w:tcW w:w="3720" w:type="pct"/>
            <w:gridSpan w:val="3"/>
          </w:tcPr>
          <w:p w:rsidR="00652CBB" w:rsidRPr="005963D8" w:rsidRDefault="00652CBB" w:rsidP="00652CBB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  <w:r w:rsidRPr="005963D8">
              <w:rPr>
                <w:color w:val="0D0D0D" w:themeColor="text1" w:themeTint="F2"/>
                <w:spacing w:val="-4"/>
              </w:rPr>
              <w:t>Dosavadní vývoj během roku 2015</w:t>
            </w:r>
            <w:r>
              <w:rPr>
                <w:color w:val="0D0D0D" w:themeColor="text1" w:themeTint="F2"/>
                <w:spacing w:val="-4"/>
              </w:rPr>
              <w:t xml:space="preserve"> potvrdil velmi dobrou kondici ekonomiky ČR. Hrubá přidaná hodnota (HPH)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"/>
            </w:r>
            <w:r>
              <w:rPr>
                <w:color w:val="0D0D0D" w:themeColor="text1" w:themeTint="F2"/>
                <w:spacing w:val="-4"/>
              </w:rPr>
              <w:t xml:space="preserve"> pokračovala v</w:t>
            </w:r>
            <w:r>
              <w:rPr>
                <w:spacing w:val="-4"/>
              </w:rPr>
              <w:t> </w:t>
            </w:r>
            <w:r w:rsidR="00C71EC4">
              <w:rPr>
                <w:color w:val="0D0D0D" w:themeColor="text1" w:themeTint="F2"/>
                <w:spacing w:val="-4"/>
              </w:rPr>
              <w:t>mezičtvrtletním</w:t>
            </w:r>
            <w:r>
              <w:rPr>
                <w:color w:val="0D0D0D" w:themeColor="text1" w:themeTint="F2"/>
                <w:spacing w:val="-4"/>
              </w:rPr>
              <w:t xml:space="preserve"> růstu již podesáté v řadě (déle než v období krátkodobého oživení po hluboké recesi v roce 2009). V meziročním vyjádření dynamika HPH nadále zrychlovala až na 4,3 % ve 3.</w:t>
            </w:r>
            <w:r>
              <w:rPr>
                <w:spacing w:val="-4"/>
              </w:rPr>
              <w:t> </w:t>
            </w:r>
            <w:r>
              <w:rPr>
                <w:color w:val="0D0D0D" w:themeColor="text1" w:themeTint="F2"/>
                <w:spacing w:val="-4"/>
              </w:rPr>
              <w:t xml:space="preserve">čtvrtletí, když na přelomu let 2014 a 2015 posílila o skromnějších 3,4 %. Přetrvala dominantní role zpracovatelského průmyslu, který od počátku roku přispěl k růstu HPH v celé ekonomice téměř polovinou, vcelku rovnoměrně dále přidala všechna hlavní uskupení služeb (s mírnou převahou váhově dominantního shluku odvětví obchod, doprava, ubytování a stravování). </w:t>
            </w:r>
            <w:r w:rsidRPr="009545C7">
              <w:rPr>
                <w:color w:val="0D0D0D" w:themeColor="text1" w:themeTint="F2"/>
                <w:spacing w:val="-4"/>
              </w:rPr>
              <w:t>Obnovení důvěry v ekonomiku i nepolevující příliv zakázek v klíčových odvětvích vedly během roku 2015 k nejrychlejšímu meziročnímu růstu počtu pracovníků v celé ekonomice po roce 2008</w:t>
            </w:r>
            <w:r>
              <w:rPr>
                <w:color w:val="0D0D0D" w:themeColor="text1" w:themeTint="F2"/>
                <w:spacing w:val="-4"/>
              </w:rPr>
              <w:t>. Současně se snižovaly stavy sebezaměstnaných (nikoliv však u podnikatelů se zaměstnanci), zřetelně vyšší byly meziročně jen v primárním sektoru a tzv. ostatních službách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2"/>
            </w:r>
            <w:r>
              <w:rPr>
                <w:color w:val="0D0D0D" w:themeColor="text1" w:themeTint="F2"/>
                <w:spacing w:val="-4"/>
              </w:rPr>
              <w:t>.</w:t>
            </w:r>
          </w:p>
          <w:p w:rsidR="00652CBB" w:rsidRPr="00BF7CB8" w:rsidRDefault="00652CBB" w:rsidP="00652CBB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652CBB" w:rsidTr="00652CBB">
        <w:trPr>
          <w:gridAfter w:val="1"/>
          <w:wAfter w:w="59" w:type="pct"/>
        </w:trPr>
        <w:tc>
          <w:tcPr>
            <w:tcW w:w="1077" w:type="pct"/>
            <w:gridSpan w:val="2"/>
          </w:tcPr>
          <w:p w:rsidR="00652CBB" w:rsidRDefault="00652CBB" w:rsidP="00652CBB">
            <w:pPr>
              <w:spacing w:line="240" w:lineRule="auto"/>
              <w:rPr>
                <w:color w:val="0D0D0D" w:themeColor="text1" w:themeTint="F2"/>
                <w:sz w:val="16"/>
                <w:szCs w:val="16"/>
              </w:rPr>
            </w:pPr>
            <w:r w:rsidRPr="009213B7">
              <w:rPr>
                <w:color w:val="0D0D0D" w:themeColor="text1" w:themeTint="F2"/>
                <w:sz w:val="16"/>
                <w:szCs w:val="16"/>
              </w:rPr>
              <w:t>Přidaná hodnota v převážně exportně orientovaném zpracovatelském průmyslu rostla</w:t>
            </w:r>
            <w:r>
              <w:rPr>
                <w:color w:val="0D0D0D" w:themeColor="text1" w:themeTint="F2"/>
                <w:sz w:val="16"/>
                <w:szCs w:val="16"/>
              </w:rPr>
              <w:t xml:space="preserve"> (podobně jako loni</w:t>
            </w:r>
            <w:r w:rsidRPr="009213B7">
              <w:rPr>
                <w:color w:val="0D0D0D" w:themeColor="text1" w:themeTint="F2"/>
                <w:sz w:val="16"/>
                <w:szCs w:val="16"/>
              </w:rPr>
              <w:t>) oproti celé ekonomice téměř dvojnásobným tempem</w:t>
            </w:r>
          </w:p>
          <w:p w:rsidR="00652CBB" w:rsidRPr="000A4ACC" w:rsidRDefault="00652CBB" w:rsidP="00652CBB">
            <w:pPr>
              <w:spacing w:line="240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144" w:type="pct"/>
          </w:tcPr>
          <w:p w:rsidR="00652CBB" w:rsidRDefault="00652CBB" w:rsidP="00652CBB">
            <w:pPr>
              <w:pStyle w:val="Textpoznpodarou"/>
              <w:jc w:val="both"/>
            </w:pPr>
          </w:p>
        </w:tc>
        <w:tc>
          <w:tcPr>
            <w:tcW w:w="3720" w:type="pct"/>
            <w:gridSpan w:val="3"/>
          </w:tcPr>
          <w:p w:rsidR="00652CBB" w:rsidRPr="00907D39" w:rsidRDefault="00652CBB" w:rsidP="00652CBB">
            <w:pPr>
              <w:pStyle w:val="Textpoznpodarou"/>
              <w:jc w:val="both"/>
              <w:rPr>
                <w:spacing w:val="-4"/>
              </w:rPr>
            </w:pPr>
            <w:r>
              <w:rPr>
                <w:spacing w:val="-4"/>
              </w:rPr>
              <w:t>Ve zpracovatelském průmyslu přidaná hodnota v průběhu roku nadále zrychlovala (z</w:t>
            </w:r>
            <w:r>
              <w:rPr>
                <w:color w:val="0D0D0D" w:themeColor="text1" w:themeTint="F2"/>
                <w:spacing w:val="-4"/>
              </w:rPr>
              <w:t> </w:t>
            </w:r>
            <w:r>
              <w:rPr>
                <w:spacing w:val="-4"/>
              </w:rPr>
              <w:t xml:space="preserve">5,8 % v 1. čtvrtletí na téměř 8 % ve 3. čtvrtletí), a to navzdory již relativně vysoké loňské základně. Pokračující růst zahraniční poptávky se zde odráží i v růstu počtu zaměstnanců (v úhrnu za 1. až 3. čtvrtletí meziročně o 2,6 %), zčásti </w:t>
            </w:r>
            <w:r w:rsidR="00C71EC4">
              <w:rPr>
                <w:spacing w:val="-4"/>
              </w:rPr>
              <w:t>realizovaném</w:t>
            </w:r>
            <w:r>
              <w:rPr>
                <w:spacing w:val="-4"/>
              </w:rPr>
              <w:t xml:space="preserve"> přirozeným přelivem agenturních pracovníků do kategorie kmenových zaměstnanců. Ještě dynamičtěji se zvyšovala (podobně jako v předchozím roce) odpracovaná doba zaměstnanců (od počátku roku o 3,6 %, v samotném 3.</w:t>
            </w:r>
            <w:r>
              <w:rPr>
                <w:color w:val="0D0D0D" w:themeColor="text1" w:themeTint="F2"/>
                <w:spacing w:val="-4"/>
              </w:rPr>
              <w:t> </w:t>
            </w:r>
            <w:r>
              <w:rPr>
                <w:spacing w:val="-4"/>
              </w:rPr>
              <w:t>čtvrtletí dokonce o 4,8 %).</w:t>
            </w:r>
          </w:p>
          <w:p w:rsidR="00652CBB" w:rsidRPr="00BF7CB8" w:rsidRDefault="00652CBB" w:rsidP="00652CBB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652CBB" w:rsidTr="00652CBB">
        <w:trPr>
          <w:gridAfter w:val="1"/>
          <w:wAfter w:w="59" w:type="pct"/>
        </w:trPr>
        <w:tc>
          <w:tcPr>
            <w:tcW w:w="1077" w:type="pct"/>
            <w:gridSpan w:val="2"/>
          </w:tcPr>
          <w:p w:rsidR="00652CBB" w:rsidRPr="00DA1318" w:rsidRDefault="00652CBB" w:rsidP="00652CB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Přidanou hodnotou v zemědělství negativně ovlivnilo sucho i klesající produkce vepřového masa</w:t>
            </w:r>
          </w:p>
        </w:tc>
        <w:tc>
          <w:tcPr>
            <w:tcW w:w="144" w:type="pct"/>
          </w:tcPr>
          <w:p w:rsidR="00652CBB" w:rsidRDefault="00652CBB" w:rsidP="00652CBB">
            <w:pPr>
              <w:pStyle w:val="Textpoznpodarou"/>
              <w:jc w:val="both"/>
              <w:rPr>
                <w:spacing w:val="-2"/>
              </w:rPr>
            </w:pPr>
          </w:p>
        </w:tc>
        <w:tc>
          <w:tcPr>
            <w:tcW w:w="3720" w:type="pct"/>
            <w:gridSpan w:val="3"/>
          </w:tcPr>
          <w:p w:rsidR="00652CBB" w:rsidRDefault="00652CBB" w:rsidP="00652CBB">
            <w:pPr>
              <w:pStyle w:val="Textpoznpodarou"/>
              <w:jc w:val="both"/>
              <w:rPr>
                <w:spacing w:val="-4"/>
              </w:rPr>
            </w:pPr>
            <w:r>
              <w:rPr>
                <w:spacing w:val="-4"/>
              </w:rPr>
              <w:t>V odvětví z</w:t>
            </w:r>
            <w:r w:rsidRPr="00787DA7">
              <w:rPr>
                <w:spacing w:val="-4"/>
              </w:rPr>
              <w:t>emědělství, lesnictví a rybářství</w:t>
            </w:r>
            <w:r>
              <w:rPr>
                <w:spacing w:val="-4"/>
              </w:rPr>
              <w:t xml:space="preserve"> rostla přidaná hodnota pouze mírně, za tři čtvrtletí 2015 meziročně o 1,3 %, v samotném 3. čtvrtletí však o 1,1 % oslabila. Dlouhotrvající sucha poznamenala především úrodu pícnin, brambor či zeleniny, u</w:t>
            </w:r>
            <w:r>
              <w:rPr>
                <w:color w:val="0D0D0D" w:themeColor="text1" w:themeTint="F2"/>
                <w:spacing w:val="-4"/>
              </w:rPr>
              <w:t> </w:t>
            </w:r>
            <w:r>
              <w:rPr>
                <w:spacing w:val="-4"/>
              </w:rPr>
              <w:t xml:space="preserve">základních obilovin (váhově dominantní složky produkce) se však letošní úroda přiblížila velmi vysoké loňské úrovni. Výkony agrárního segmentu dlouhodoběji negativně ovlivňuje také nižší produkce vepřového masa. </w:t>
            </w:r>
          </w:p>
          <w:p w:rsidR="00652CBB" w:rsidRPr="00BF7CB8" w:rsidRDefault="00652CBB" w:rsidP="00652CBB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652CBB" w:rsidTr="00652CBB">
        <w:trPr>
          <w:gridAfter w:val="1"/>
          <w:wAfter w:w="59" w:type="pct"/>
        </w:trPr>
        <w:tc>
          <w:tcPr>
            <w:tcW w:w="1077" w:type="pct"/>
            <w:gridSpan w:val="2"/>
          </w:tcPr>
          <w:p w:rsidR="00652CBB" w:rsidRPr="000F401E" w:rsidRDefault="00652CBB" w:rsidP="00652CB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Vleklý pokles počtu zaměstnanců ve stavebnictví </w:t>
            </w:r>
            <w:r w:rsidRPr="006565FD">
              <w:rPr>
                <w:spacing w:val="-2"/>
                <w:sz w:val="16"/>
                <w:szCs w:val="16"/>
              </w:rPr>
              <w:t xml:space="preserve">(dle pojetí národních účtů) </w:t>
            </w:r>
            <w:r>
              <w:rPr>
                <w:spacing w:val="-2"/>
                <w:sz w:val="16"/>
                <w:szCs w:val="16"/>
              </w:rPr>
              <w:t xml:space="preserve">se </w:t>
            </w:r>
            <w:r w:rsidRPr="006565FD">
              <w:rPr>
                <w:spacing w:val="-2"/>
                <w:sz w:val="16"/>
                <w:szCs w:val="16"/>
              </w:rPr>
              <w:t>ve</w:t>
            </w:r>
            <w:r>
              <w:rPr>
                <w:sz w:val="16"/>
                <w:szCs w:val="16"/>
              </w:rPr>
              <w:t xml:space="preserve"> 2. čtvrtletí zastavil, úbytek sebezaměstnaných se však současně prohloubil</w:t>
            </w:r>
          </w:p>
        </w:tc>
        <w:tc>
          <w:tcPr>
            <w:tcW w:w="144" w:type="pct"/>
          </w:tcPr>
          <w:p w:rsidR="00652CBB" w:rsidRDefault="00652CBB" w:rsidP="00652CBB">
            <w:pPr>
              <w:pStyle w:val="Textpoznpodarou"/>
              <w:jc w:val="both"/>
              <w:rPr>
                <w:spacing w:val="-2"/>
              </w:rPr>
            </w:pPr>
          </w:p>
        </w:tc>
        <w:tc>
          <w:tcPr>
            <w:tcW w:w="3720" w:type="pct"/>
            <w:gridSpan w:val="3"/>
          </w:tcPr>
          <w:p w:rsidR="00652CBB" w:rsidRPr="00413E94" w:rsidRDefault="00652CBB" w:rsidP="00652CBB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Na loňské oživení plně navázalo stavebnictví i v roce 2015, když </w:t>
            </w:r>
            <w:r>
              <w:rPr>
                <w:spacing w:val="-4"/>
              </w:rPr>
              <w:t>za tři čtvrtletí se jeho HPH navýšila meziročně o 2,9 %. Gradující tlak na dočerpání zbývajících prostředků z rozpočtu EU určených</w:t>
            </w:r>
            <w:r w:rsidR="008252D7">
              <w:rPr>
                <w:spacing w:val="-4"/>
              </w:rPr>
              <w:t xml:space="preserve"> mimo jiné</w:t>
            </w:r>
            <w:r>
              <w:rPr>
                <w:spacing w:val="-4"/>
              </w:rPr>
              <w:t xml:space="preserve"> na dopravní stavby se projevil i v nebývale vysokém růstu HPH mezi 2. a 3. čtvrtletím (o 4,8 %) a také zastavením více než pět let trvajícího poklesu počtu zaměstnanců (v pojetí národních účtů).</w:t>
            </w:r>
          </w:p>
          <w:p w:rsidR="00652CBB" w:rsidRPr="00BF7CB8" w:rsidRDefault="00652CBB" w:rsidP="00652CBB">
            <w:pPr>
              <w:pStyle w:val="Textpoznpodarou"/>
              <w:jc w:val="both"/>
              <w:rPr>
                <w:color w:val="0D0D0D" w:themeColor="text1" w:themeTint="F2"/>
                <w:spacing w:val="-4"/>
                <w:sz w:val="16"/>
                <w:szCs w:val="16"/>
              </w:rPr>
            </w:pPr>
          </w:p>
        </w:tc>
      </w:tr>
      <w:tr w:rsidR="00652CBB" w:rsidTr="00652CBB">
        <w:trPr>
          <w:gridAfter w:val="1"/>
          <w:wAfter w:w="59" w:type="pct"/>
          <w:cantSplit/>
          <w:trHeight w:val="203"/>
        </w:trPr>
        <w:tc>
          <w:tcPr>
            <w:tcW w:w="1077" w:type="pct"/>
            <w:gridSpan w:val="2"/>
          </w:tcPr>
          <w:p w:rsidR="00652CBB" w:rsidRPr="00903634" w:rsidRDefault="00652CBB" w:rsidP="00652CBB">
            <w:pPr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V seskupení </w:t>
            </w:r>
            <w:r w:rsidRPr="00903634">
              <w:rPr>
                <w:spacing w:val="-2"/>
                <w:sz w:val="16"/>
                <w:szCs w:val="16"/>
              </w:rPr>
              <w:t>odvětví obchod, doprava, ubytov</w:t>
            </w:r>
            <w:r>
              <w:rPr>
                <w:spacing w:val="-2"/>
                <w:sz w:val="16"/>
                <w:szCs w:val="16"/>
              </w:rPr>
              <w:t xml:space="preserve">ání </w:t>
            </w:r>
            <w:r w:rsidRPr="00903634">
              <w:rPr>
                <w:spacing w:val="-2"/>
                <w:sz w:val="16"/>
                <w:szCs w:val="16"/>
              </w:rPr>
              <w:t>a pohostinství</w:t>
            </w:r>
            <w:r>
              <w:rPr>
                <w:spacing w:val="-2"/>
                <w:sz w:val="16"/>
                <w:szCs w:val="16"/>
              </w:rPr>
              <w:t xml:space="preserve"> – nejvyšší růst HPH i zaměstnanosti za posledních pět, resp. šest let</w:t>
            </w:r>
          </w:p>
          <w:p w:rsidR="00652CBB" w:rsidRPr="00F3262E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4" w:type="pct"/>
          </w:tcPr>
          <w:p w:rsidR="00652CBB" w:rsidRPr="00F3262E" w:rsidRDefault="00652CBB" w:rsidP="00652CBB">
            <w:pPr>
              <w:pStyle w:val="Textpoznpodarou"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3720" w:type="pct"/>
            <w:gridSpan w:val="3"/>
          </w:tcPr>
          <w:p w:rsidR="00652CBB" w:rsidRPr="008A68F2" w:rsidRDefault="00652CBB" w:rsidP="00652CBB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Ze služeb se tradičně dařilo </w:t>
            </w:r>
            <w:r w:rsidRPr="007E6983">
              <w:rPr>
                <w:color w:val="0D0D0D" w:themeColor="text1" w:themeTint="F2"/>
                <w:spacing w:val="-4"/>
              </w:rPr>
              <w:t xml:space="preserve">profesním, vědeckým, technickým a administrativním činnostem, </w:t>
            </w:r>
            <w:r>
              <w:rPr>
                <w:color w:val="0D0D0D" w:themeColor="text1" w:themeTint="F2"/>
                <w:spacing w:val="-4"/>
              </w:rPr>
              <w:t xml:space="preserve">jejichž přidaná hodnota se meziročně zvyšovala již dvacet čtvrtletí v řadě (za tři letošní čtvrtletí byla, podobně jako za celý loňský rok, vyšší o 5 %). Přispěl k tomu neustávající zájem </w:t>
            </w:r>
            <w:r w:rsidRPr="007E6983">
              <w:rPr>
                <w:color w:val="0D0D0D" w:themeColor="text1" w:themeTint="F2"/>
                <w:spacing w:val="-4"/>
              </w:rPr>
              <w:t xml:space="preserve">o </w:t>
            </w:r>
            <w:r>
              <w:rPr>
                <w:color w:val="0D0D0D" w:themeColor="text1" w:themeTint="F2"/>
                <w:spacing w:val="-4"/>
              </w:rPr>
              <w:t>agenturní pracovníky, ale i oživení</w:t>
            </w:r>
            <w:r w:rsidRPr="007E6983">
              <w:rPr>
                <w:color w:val="0D0D0D" w:themeColor="text1" w:themeTint="F2"/>
                <w:spacing w:val="-4"/>
              </w:rPr>
              <w:t xml:space="preserve"> </w:t>
            </w:r>
            <w:r>
              <w:rPr>
                <w:color w:val="0D0D0D" w:themeColor="text1" w:themeTint="F2"/>
                <w:spacing w:val="-4"/>
              </w:rPr>
              <w:t xml:space="preserve">poptávky po projektových činnostech spojených </w:t>
            </w:r>
            <w:r w:rsidR="00151B27">
              <w:rPr>
                <w:color w:val="0D0D0D" w:themeColor="text1" w:themeTint="F2"/>
                <w:spacing w:val="-4"/>
              </w:rPr>
              <w:t>s rozvojem stavebnictví. Podobné</w:t>
            </w:r>
            <w:r>
              <w:rPr>
                <w:color w:val="0D0D0D" w:themeColor="text1" w:themeTint="F2"/>
                <w:spacing w:val="-4"/>
              </w:rPr>
              <w:t xml:space="preserve"> tendence lze vysledovat v informačních a komunikačních činnostech. Výše zmíněná dynamická odvětví služeb však vytváří pouze pětinu přidané hodnoty celého terciárního sektoru. V klíčovém seskupení o</w:t>
            </w:r>
            <w:r w:rsidRPr="0061469D">
              <w:rPr>
                <w:color w:val="0D0D0D" w:themeColor="text1" w:themeTint="F2"/>
                <w:spacing w:val="-4"/>
              </w:rPr>
              <w:t>bchod, doprava, ubytování a pohostinství</w:t>
            </w:r>
            <w:r>
              <w:rPr>
                <w:color w:val="0D0D0D" w:themeColor="text1" w:themeTint="F2"/>
                <w:spacing w:val="-4"/>
              </w:rPr>
              <w:t xml:space="preserve"> se HPH ve 3.</w:t>
            </w:r>
            <w:r>
              <w:rPr>
                <w:spacing w:val="-4"/>
              </w:rPr>
              <w:t> </w:t>
            </w:r>
            <w:r w:rsidR="00151B27">
              <w:rPr>
                <w:color w:val="0D0D0D" w:themeColor="text1" w:themeTint="F2"/>
                <w:spacing w:val="-4"/>
              </w:rPr>
              <w:t>čtvrtletí zvýšila</w:t>
            </w:r>
            <w:r>
              <w:rPr>
                <w:color w:val="0D0D0D" w:themeColor="text1" w:themeTint="F2"/>
                <w:spacing w:val="-4"/>
              </w:rPr>
              <w:t xml:space="preserve"> o skromnějších 3,3 %. Odvětví </w:t>
            </w:r>
            <w:r w:rsidR="005F601D">
              <w:rPr>
                <w:color w:val="0D0D0D" w:themeColor="text1" w:themeTint="F2"/>
                <w:spacing w:val="-4"/>
              </w:rPr>
              <w:t>těžilo</w:t>
            </w:r>
            <w:r>
              <w:rPr>
                <w:color w:val="0D0D0D" w:themeColor="text1" w:themeTint="F2"/>
                <w:spacing w:val="-4"/>
              </w:rPr>
              <w:t xml:space="preserve"> </w:t>
            </w:r>
            <w:r w:rsidRPr="0061469D">
              <w:rPr>
                <w:color w:val="0D0D0D" w:themeColor="text1" w:themeTint="F2"/>
                <w:spacing w:val="-4"/>
              </w:rPr>
              <w:t>z pozitivních nálad spotřebitelů</w:t>
            </w:r>
            <w:r>
              <w:rPr>
                <w:color w:val="0D0D0D" w:themeColor="text1" w:themeTint="F2"/>
                <w:spacing w:val="-4"/>
              </w:rPr>
              <w:t xml:space="preserve"> podpořených vysokým růstem zaměstnanosti i reálných mezd, četnějších příjezdů domácích i zahraničních hostů i z vyšší poptávky po nákladní dopravě. </w:t>
            </w:r>
          </w:p>
          <w:p w:rsidR="00652CBB" w:rsidRPr="00BF7CB8" w:rsidRDefault="00652CBB" w:rsidP="00652CBB">
            <w:pPr>
              <w:pStyle w:val="Textpoznpodarou"/>
              <w:jc w:val="both"/>
              <w:rPr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652CBB" w:rsidRPr="00BF7CB8" w:rsidTr="00BF7CB8">
        <w:trPr>
          <w:gridAfter w:val="1"/>
          <w:wAfter w:w="59" w:type="pct"/>
          <w:cantSplit/>
        </w:trPr>
        <w:tc>
          <w:tcPr>
            <w:tcW w:w="1077" w:type="pct"/>
            <w:gridSpan w:val="2"/>
          </w:tcPr>
          <w:p w:rsidR="00652CBB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Významnějšímu růstu nových pracovních míst ve finančním sektoru zřejmě brání nákladové tlaky vlivem silné konkurence </w:t>
            </w:r>
          </w:p>
          <w:p w:rsidR="00652CBB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:rsidR="00652CBB" w:rsidRPr="00BF497A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 nejdynamičtějšímu růstu HPH ve veřejných službách po roce 2002 přispěla vyšší zaměstnanost doplněná růstem platových tarifů</w:t>
            </w:r>
          </w:p>
        </w:tc>
        <w:tc>
          <w:tcPr>
            <w:tcW w:w="144" w:type="pct"/>
          </w:tcPr>
          <w:p w:rsidR="00652CBB" w:rsidRPr="005A16AE" w:rsidRDefault="00652CBB" w:rsidP="00652CBB">
            <w:pPr>
              <w:rPr>
                <w:color w:val="000000" w:themeColor="text1"/>
                <w:szCs w:val="16"/>
              </w:rPr>
            </w:pPr>
          </w:p>
        </w:tc>
        <w:tc>
          <w:tcPr>
            <w:tcW w:w="3720" w:type="pct"/>
            <w:gridSpan w:val="3"/>
          </w:tcPr>
          <w:p w:rsidR="00652CBB" w:rsidRPr="00BF7CB8" w:rsidRDefault="00652CBB" w:rsidP="00463B4B">
            <w:pPr>
              <w:pStyle w:val="Textpoznpodarou"/>
              <w:jc w:val="both"/>
              <w:rPr>
                <w:color w:val="000000" w:themeColor="text1"/>
                <w:sz w:val="16"/>
                <w:szCs w:val="16"/>
              </w:rPr>
            </w:pPr>
            <w:r w:rsidRPr="00BF7CB8">
              <w:rPr>
                <w:color w:val="0D0D0D" w:themeColor="text1" w:themeTint="F2"/>
              </w:rPr>
              <w:t>Téměř 5% růst HPH si v 1.</w:t>
            </w:r>
            <w:r w:rsidR="00BF7CB8" w:rsidRPr="00BF7CB8">
              <w:rPr>
                <w:color w:val="0D0D0D" w:themeColor="text1" w:themeTint="F2"/>
              </w:rPr>
              <w:t xml:space="preserve"> </w:t>
            </w:r>
            <w:r w:rsidRPr="00BF7CB8">
              <w:rPr>
                <w:color w:val="0D0D0D" w:themeColor="text1" w:themeTint="F2"/>
              </w:rPr>
              <w:t>až 3. čtvrtletí připsalo peněžnictví a pojišťovnictví, zároveň zůstalo jako jedno z mála odvětví služeb, které v posledních dvou letech ne</w:t>
            </w:r>
            <w:r w:rsidR="00463B4B">
              <w:rPr>
                <w:color w:val="0D0D0D" w:themeColor="text1" w:themeTint="F2"/>
              </w:rPr>
              <w:t>vytvářelo</w:t>
            </w:r>
            <w:r w:rsidRPr="00BF7CB8">
              <w:rPr>
                <w:color w:val="0D0D0D" w:themeColor="text1" w:themeTint="F2"/>
              </w:rPr>
              <w:t xml:space="preserve"> významnější růst nových pracovních míst (poklesly hlavně počty sebezaměstnaných, např. finančních poradců, u kterých lze předpokládat, že našli nové uplatnění v jiných odvětvích ekonomiky). Veřejné služby</w:t>
            </w:r>
            <w:r w:rsidRPr="00BF7CB8">
              <w:rPr>
                <w:rStyle w:val="Znakapoznpodarou"/>
                <w:color w:val="0D0D0D" w:themeColor="text1" w:themeTint="F2"/>
              </w:rPr>
              <w:footnoteReference w:id="3"/>
            </w:r>
            <w:r w:rsidRPr="00BF7CB8">
              <w:rPr>
                <w:color w:val="0D0D0D" w:themeColor="text1" w:themeTint="F2"/>
              </w:rPr>
              <w:t xml:space="preserve"> vytvořily během tří čtvrtletí 2015 HPH vyšší o mírných 2,3 %, přesto šlo</w:t>
            </w:r>
            <w:r w:rsidR="00CF25D2">
              <w:rPr>
                <w:color w:val="0D0D0D" w:themeColor="text1" w:themeTint="F2"/>
              </w:rPr>
              <w:t xml:space="preserve"> o</w:t>
            </w:r>
            <w:r w:rsidRPr="00BF7CB8">
              <w:rPr>
                <w:color w:val="0D0D0D" w:themeColor="text1" w:themeTint="F2"/>
              </w:rPr>
              <w:t xml:space="preserve"> nejrychlejší meziroční růst za toto období po roce 2002. Přispěly k tomu pozvolna rostoucí zaměstnanost napříč všemi dílčími odvětvími v kombinaci s navýšením platových tarifů na konci roku 2014.</w:t>
            </w:r>
          </w:p>
        </w:tc>
      </w:tr>
      <w:tr w:rsidR="00652CBB" w:rsidTr="00652CBB">
        <w:trPr>
          <w:gridAfter w:val="1"/>
          <w:wAfter w:w="59" w:type="pct"/>
          <w:cantSplit/>
          <w:trHeight w:val="295"/>
        </w:trPr>
        <w:tc>
          <w:tcPr>
            <w:tcW w:w="1077" w:type="pct"/>
            <w:gridSpan w:val="2"/>
          </w:tcPr>
          <w:p w:rsidR="00652CBB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778A9">
              <w:rPr>
                <w:color w:val="000000" w:themeColor="text1"/>
                <w:sz w:val="16"/>
                <w:szCs w:val="16"/>
              </w:rPr>
              <w:lastRenderedPageBreak/>
              <w:t xml:space="preserve">Průmyslová produkce si udržela vysoká růstová tempa zásluhou dominantního zpracovatelského průmyslu profitujícího především z dosud silné domácí </w:t>
            </w:r>
          </w:p>
          <w:p w:rsidR="00652CBB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778A9">
              <w:rPr>
                <w:color w:val="000000" w:themeColor="text1"/>
                <w:sz w:val="16"/>
                <w:szCs w:val="16"/>
              </w:rPr>
              <w:t xml:space="preserve">i zahraniční poptávky po dopravních prostředcích </w:t>
            </w:r>
          </w:p>
          <w:p w:rsidR="00652CBB" w:rsidRPr="00D778A9" w:rsidRDefault="00060F26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 jejich komponentá</w:t>
            </w:r>
            <w:r w:rsidR="00BF7CB8">
              <w:rPr>
                <w:color w:val="000000" w:themeColor="text1"/>
                <w:sz w:val="16"/>
                <w:szCs w:val="16"/>
              </w:rPr>
              <w:t>ch</w:t>
            </w:r>
            <w:r w:rsidR="00652CBB" w:rsidRPr="00D778A9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652CBB" w:rsidRPr="000F401E" w:rsidRDefault="00652CBB" w:rsidP="00652CBB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4" w:type="pct"/>
          </w:tcPr>
          <w:p w:rsidR="00652CBB" w:rsidRPr="005A16AE" w:rsidRDefault="00652CBB" w:rsidP="00652CBB">
            <w:pPr>
              <w:rPr>
                <w:color w:val="000000" w:themeColor="text1"/>
                <w:szCs w:val="16"/>
              </w:rPr>
            </w:pPr>
          </w:p>
        </w:tc>
        <w:tc>
          <w:tcPr>
            <w:tcW w:w="3720" w:type="pct"/>
            <w:gridSpan w:val="3"/>
          </w:tcPr>
          <w:p w:rsidR="00652CBB" w:rsidRDefault="00652CBB" w:rsidP="00652CBB">
            <w:pPr>
              <w:pStyle w:val="Textpoznpodarou"/>
              <w:jc w:val="both"/>
              <w:rPr>
                <w:color w:val="000000" w:themeColor="text1"/>
                <w:spacing w:val="-4"/>
              </w:rPr>
            </w:pPr>
            <w:r w:rsidRPr="000B7158">
              <w:rPr>
                <w:color w:val="000000" w:themeColor="text1"/>
                <w:spacing w:val="-4"/>
              </w:rPr>
              <w:t>Výkon průmyslu</w:t>
            </w:r>
            <w:r w:rsidRPr="00EC76CC">
              <w:rPr>
                <w:color w:val="000000" w:themeColor="text1"/>
                <w:spacing w:val="-4"/>
              </w:rPr>
              <w:t xml:space="preserve"> (dle indexu produkce v reálném vyjádření</w:t>
            </w:r>
            <w:r>
              <w:rPr>
                <w:color w:val="000000" w:themeColor="text1"/>
                <w:spacing w:val="-4"/>
              </w:rPr>
              <w:t>)</w:t>
            </w:r>
            <w:r w:rsidRPr="00EC76CC">
              <w:rPr>
                <w:color w:val="000000" w:themeColor="text1"/>
                <w:vertAlign w:val="superscript"/>
              </w:rPr>
              <w:footnoteReference w:id="4"/>
            </w:r>
            <w:r>
              <w:rPr>
                <w:color w:val="000000" w:themeColor="text1"/>
                <w:spacing w:val="-4"/>
              </w:rPr>
              <w:t xml:space="preserve"> pokračoval v příznivých tendencích, zachovával si silnou růstovou dynamiku. Jeho produkce ve 3. čtvrtletí 2015 posílila (po očištění o počet</w:t>
            </w:r>
            <w:r w:rsidR="00060F26">
              <w:rPr>
                <w:color w:val="000000" w:themeColor="text1"/>
                <w:spacing w:val="-4"/>
              </w:rPr>
              <w:t xml:space="preserve"> pracovních dní) meziročně o 5,8</w:t>
            </w:r>
            <w:r>
              <w:rPr>
                <w:color w:val="000000" w:themeColor="text1"/>
                <w:spacing w:val="-4"/>
              </w:rPr>
              <w:t xml:space="preserve"> %</w:t>
            </w:r>
            <w:r w:rsidR="00060F26">
              <w:rPr>
                <w:color w:val="000000" w:themeColor="text1"/>
                <w:spacing w:val="-4"/>
              </w:rPr>
              <w:t>, v úhrnu za tři čtvrtletí o 5,2</w:t>
            </w:r>
            <w:r>
              <w:rPr>
                <w:color w:val="000000" w:themeColor="text1"/>
                <w:spacing w:val="-4"/>
              </w:rPr>
              <w:t xml:space="preserve"> % (shodným tempem jako ve stejném období loňského roku). Celé odvětví táhl podobně jako v předchozích dvou letech výhradně zpracovatelský průmysl. Produkce v těžbě a dobývání poznamenané dlouhodobým útlumem těžby zejména černého uhlí nadále klesala, byť mírnějšími tempy (za 1.</w:t>
            </w:r>
            <w:r w:rsidR="00060F26">
              <w:rPr>
                <w:color w:val="000000" w:themeColor="text1"/>
                <w:spacing w:val="-4"/>
              </w:rPr>
              <w:t xml:space="preserve"> až 3. čtvrtletí meziročně o 2,5</w:t>
            </w:r>
            <w:r>
              <w:rPr>
                <w:color w:val="000000" w:themeColor="text1"/>
                <w:spacing w:val="-4"/>
              </w:rPr>
              <w:t xml:space="preserve"> %). Neplánované snížení výrobních kapacit v jaderných elektrárnách se pak odrazilo v nižší produkci v energetice (ve 3. čtvrtletí o téměř 5 %). </w:t>
            </w:r>
          </w:p>
          <w:p w:rsidR="00652CBB" w:rsidRPr="00BB1CFD" w:rsidRDefault="00652CBB" w:rsidP="00652CBB">
            <w:pPr>
              <w:pStyle w:val="Textpoznpodarou"/>
              <w:jc w:val="both"/>
              <w:rPr>
                <w:color w:val="000000" w:themeColor="text1"/>
                <w:spacing w:val="-4"/>
                <w:sz w:val="14"/>
                <w:szCs w:val="14"/>
              </w:rPr>
            </w:pPr>
          </w:p>
        </w:tc>
      </w:tr>
      <w:tr w:rsidR="00652CBB" w:rsidTr="00652CBB">
        <w:trPr>
          <w:gridAfter w:val="1"/>
          <w:wAfter w:w="59" w:type="pct"/>
        </w:trPr>
        <w:tc>
          <w:tcPr>
            <w:tcW w:w="1077" w:type="pct"/>
            <w:gridSpan w:val="2"/>
          </w:tcPr>
          <w:p w:rsidR="00652CBB" w:rsidRDefault="00652CBB" w:rsidP="00652CB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přes zmírnění dynamiky rostla v 1.</w:t>
            </w:r>
            <w:r w:rsidR="00BF7C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až 3. čtvrtletí 2015 produkce meziročně stále nejvíce v automobilovém průmyslu, o desetinu vyšší byla tak</w:t>
            </w:r>
            <w:r w:rsidR="00BF7CB8">
              <w:rPr>
                <w:sz w:val="16"/>
                <w:szCs w:val="16"/>
              </w:rPr>
              <w:t>é v gumárenství a plastikářství</w:t>
            </w:r>
          </w:p>
          <w:p w:rsidR="00652CBB" w:rsidRDefault="00652CBB" w:rsidP="00652CBB">
            <w:pPr>
              <w:spacing w:line="240" w:lineRule="auto"/>
              <w:rPr>
                <w:sz w:val="16"/>
                <w:szCs w:val="16"/>
              </w:rPr>
            </w:pPr>
          </w:p>
          <w:p w:rsidR="00652CBB" w:rsidRDefault="00652CBB" w:rsidP="00652CBB">
            <w:pPr>
              <w:spacing w:line="240" w:lineRule="auto"/>
              <w:rPr>
                <w:sz w:val="16"/>
                <w:szCs w:val="16"/>
              </w:rPr>
            </w:pPr>
          </w:p>
          <w:p w:rsidR="00652CBB" w:rsidRDefault="00652CBB" w:rsidP="00652CB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Hlubší meziroční pokles produkce ve 3. čtvrtletí v chemickém průmyslu </w:t>
            </w:r>
          </w:p>
          <w:p w:rsidR="00652CBB" w:rsidRDefault="00652CBB" w:rsidP="00652CB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(i vlivem odstávky výrobních zařízení), a v hutnictví, kde na pokles poptávky působil </w:t>
            </w:r>
          </w:p>
          <w:p w:rsidR="00652CBB" w:rsidRDefault="00652CBB" w:rsidP="00652CB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přebytek oceli v zemích EU vlivem sílících dovozů z Číny</w:t>
            </w:r>
          </w:p>
        </w:tc>
        <w:tc>
          <w:tcPr>
            <w:tcW w:w="144" w:type="pct"/>
          </w:tcPr>
          <w:p w:rsidR="00652CBB" w:rsidRPr="005A16AE" w:rsidRDefault="00652CBB" w:rsidP="00652C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0" w:type="pct"/>
            <w:gridSpan w:val="3"/>
          </w:tcPr>
          <w:p w:rsidR="00652CBB" w:rsidRDefault="00652CBB" w:rsidP="00652CBB">
            <w:pPr>
              <w:pStyle w:val="Textpoznpodarou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K</w:t>
            </w:r>
            <w:r w:rsidRPr="00D82DE9">
              <w:rPr>
                <w:color w:val="000000"/>
                <w:spacing w:val="-4"/>
              </w:rPr>
              <w:t> meziročnímu růstu v celém průmyslu</w:t>
            </w:r>
            <w:r>
              <w:rPr>
                <w:color w:val="000000"/>
                <w:spacing w:val="-4"/>
              </w:rPr>
              <w:t xml:space="preserve"> tradičně nejvíce přispěla výroba motorových vozidel (vč. nákladních vozů či autobusů), když za tři letošní čtvrtletí se na něm podílela zhruba třetinou. Čtvrtinu dále přidaly hlavní subdodavatelské obory - </w:t>
            </w:r>
            <w:r w:rsidRPr="00912419">
              <w:rPr>
                <w:color w:val="000000"/>
                <w:spacing w:val="-4"/>
              </w:rPr>
              <w:t xml:space="preserve">výroba elektrických zařízení </w:t>
            </w:r>
            <w:r>
              <w:rPr>
                <w:color w:val="000000"/>
                <w:spacing w:val="-4"/>
              </w:rPr>
              <w:t xml:space="preserve">a </w:t>
            </w:r>
            <w:r w:rsidRPr="00912419">
              <w:rPr>
                <w:color w:val="000000"/>
                <w:spacing w:val="-4"/>
              </w:rPr>
              <w:t>gumárenství</w:t>
            </w:r>
            <w:r>
              <w:rPr>
                <w:color w:val="000000"/>
                <w:spacing w:val="-4"/>
              </w:rPr>
              <w:t xml:space="preserve"> i</w:t>
            </w:r>
            <w:r w:rsidRPr="00912419">
              <w:rPr>
                <w:color w:val="000000"/>
                <w:spacing w:val="-4"/>
              </w:rPr>
              <w:t xml:space="preserve"> plastikářství</w:t>
            </w:r>
            <w:r>
              <w:rPr>
                <w:color w:val="000000"/>
                <w:spacing w:val="-4"/>
              </w:rPr>
              <w:t>. Zatímco příspěvek samotného automobilového průmyslu oproti stejnému období loňského roku mírně oslabil (samotný růst odvětví zvolnil z 15,8 % na 9,8 %), u hlavních dodavatelů tomu bylo naopak především zásluhou produkce</w:t>
            </w:r>
            <w:r w:rsidRPr="00B538C6">
              <w:rPr>
                <w:color w:val="000000"/>
                <w:spacing w:val="-4"/>
              </w:rPr>
              <w:t xml:space="preserve"> pryžových a plastových výrobků</w:t>
            </w:r>
            <w:r>
              <w:rPr>
                <w:color w:val="000000"/>
                <w:spacing w:val="-4"/>
              </w:rPr>
              <w:t>, která v 1. až 3. čtvrtletí 2015 meziročně posílila o desetinu (nejvíce po roce 2007). Díky silné zásobě loňských zakázek pokračoval nadprůměrný růst silně proexportně orientované produkce</w:t>
            </w:r>
            <w:r w:rsidRPr="008661D0">
              <w:rPr>
                <w:color w:val="000000"/>
                <w:spacing w:val="-4"/>
              </w:rPr>
              <w:t xml:space="preserve"> počítačů, elektr</w:t>
            </w:r>
            <w:r>
              <w:rPr>
                <w:color w:val="000000"/>
                <w:spacing w:val="-4"/>
              </w:rPr>
              <w:t>onických a optických přístrojů, ta za dva roky zrychlila téměř o čtvrtinu. Z vyšší zahraniční poptávky profitovalo i váhově významné strojírenství, které rostlo mírnými (v 1</w:t>
            </w:r>
            <w:r w:rsidR="00990363">
              <w:rPr>
                <w:color w:val="000000"/>
                <w:spacing w:val="-4"/>
              </w:rPr>
              <w:t>.</w:t>
            </w:r>
            <w:r>
              <w:rPr>
                <w:color w:val="000000"/>
                <w:spacing w:val="-4"/>
              </w:rPr>
              <w:t xml:space="preserve"> až 3. čtvrtletí o 3,9 %), ale stabilními tempy. Díky tomu ve 3. čtvrtletí 2015 poprvé překonalo předkrizovou úroveň (3.</w:t>
            </w:r>
            <w:r w:rsidR="00BF7CB8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 xml:space="preserve">q 2008). To se v rámci významnějších zpracovatelských odvětví dosud nepovedlo chemickému průmyslu a zejména hutnictví a výrobě </w:t>
            </w:r>
            <w:r w:rsidRPr="00C851DB">
              <w:rPr>
                <w:color w:val="000000"/>
                <w:spacing w:val="-4"/>
              </w:rPr>
              <w:t>ostatních nekovových minerálních výrobků</w:t>
            </w:r>
            <w:r>
              <w:rPr>
                <w:color w:val="000000"/>
                <w:spacing w:val="-4"/>
              </w:rPr>
              <w:t>.</w:t>
            </w:r>
          </w:p>
          <w:p w:rsidR="00652CBB" w:rsidRPr="006D6354" w:rsidRDefault="00652CBB" w:rsidP="00652CBB">
            <w:pPr>
              <w:pStyle w:val="Textpoznpodarou"/>
              <w:jc w:val="both"/>
              <w:rPr>
                <w:color w:val="000000" w:themeColor="text1"/>
                <w:spacing w:val="-4"/>
                <w:sz w:val="14"/>
                <w:szCs w:val="14"/>
              </w:rPr>
            </w:pPr>
          </w:p>
        </w:tc>
      </w:tr>
      <w:tr w:rsidR="00652CBB" w:rsidTr="00652CBB">
        <w:trPr>
          <w:gridAfter w:val="1"/>
          <w:wAfter w:w="59" w:type="pct"/>
          <w:trHeight w:val="269"/>
        </w:trPr>
        <w:tc>
          <w:tcPr>
            <w:tcW w:w="1077" w:type="pct"/>
            <w:gridSpan w:val="2"/>
          </w:tcPr>
          <w:p w:rsidR="00652CBB" w:rsidRDefault="00652CBB" w:rsidP="00652CB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Oživení i většiny menších zpracovatelských oborů, vyjma tiskárenství a dřevo-zpracujícího průmyslu</w:t>
            </w:r>
          </w:p>
        </w:tc>
        <w:tc>
          <w:tcPr>
            <w:tcW w:w="144" w:type="pct"/>
          </w:tcPr>
          <w:p w:rsidR="00652CBB" w:rsidRPr="00636F97" w:rsidRDefault="00652CBB" w:rsidP="00652CBB">
            <w:pPr>
              <w:rPr>
                <w:spacing w:val="-4"/>
                <w:szCs w:val="20"/>
              </w:rPr>
            </w:pPr>
          </w:p>
        </w:tc>
        <w:tc>
          <w:tcPr>
            <w:tcW w:w="3720" w:type="pct"/>
            <w:gridSpan w:val="3"/>
          </w:tcPr>
          <w:p w:rsidR="00652CBB" w:rsidRPr="00BF7CB8" w:rsidRDefault="00652CBB" w:rsidP="00652CBB">
            <w:pPr>
              <w:pStyle w:val="Textpoznpodarou"/>
              <w:jc w:val="both"/>
              <w:rPr>
                <w:color w:val="000000" w:themeColor="text1"/>
              </w:rPr>
            </w:pPr>
            <w:r w:rsidRPr="00BF7CB8">
              <w:rPr>
                <w:color w:val="000000"/>
              </w:rPr>
              <w:t xml:space="preserve">Meziročně vyšší produkce letos dosáhla i většina menších dlouhodobě spíše útlumových odvětví. Výrobci oděvů podporovaní rozvojem zahraničních zakázek zaznamenali za tři čtvrtletí první růst (+8,3 %) v tomto období roku po deseti letech. </w:t>
            </w:r>
            <w:r w:rsidRPr="00BF7CB8">
              <w:rPr>
                <w:color w:val="000000" w:themeColor="text1"/>
              </w:rPr>
              <w:t>Oživení v textilním, papírenském či nábytkářském průmyslu trvá již více než dva roky. Naopak produkce v tiskárenství a dřevozpracujícím průmyslu se jako u jediných zpracovatelských oborů od doby ukončení poslední recese ekonomiky nezvýšila, proti úrovni dosažené v 1. až 3. čtvrtletí 2013 byla shodně stále o 4 % nižší.</w:t>
            </w:r>
          </w:p>
          <w:p w:rsidR="00652CBB" w:rsidRPr="00BB1CFD" w:rsidRDefault="00652CBB" w:rsidP="00652CBB">
            <w:pPr>
              <w:pStyle w:val="Textpoznpodarou"/>
              <w:jc w:val="both"/>
              <w:rPr>
                <w:spacing w:val="-4"/>
                <w:sz w:val="14"/>
                <w:szCs w:val="14"/>
              </w:rPr>
            </w:pPr>
          </w:p>
        </w:tc>
      </w:tr>
      <w:tr w:rsidR="00652CBB" w:rsidTr="00652CBB">
        <w:trPr>
          <w:gridAfter w:val="1"/>
          <w:wAfter w:w="59" w:type="pct"/>
        </w:trPr>
        <w:tc>
          <w:tcPr>
            <w:tcW w:w="1077" w:type="pct"/>
            <w:gridSpan w:val="2"/>
          </w:tcPr>
          <w:p w:rsidR="00652CBB" w:rsidRDefault="00652CBB" w:rsidP="00652CB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Vysoká meziroční dynamika zahraničních průmyslových zakázek přetrvávala i na sklonku roku, zejména u výrobců motorových vozidel</w:t>
            </w:r>
          </w:p>
          <w:p w:rsidR="00652CBB" w:rsidRDefault="00652CBB" w:rsidP="00652CBB">
            <w:pPr>
              <w:spacing w:line="240" w:lineRule="auto"/>
              <w:rPr>
                <w:sz w:val="16"/>
                <w:szCs w:val="16"/>
              </w:rPr>
            </w:pPr>
          </w:p>
          <w:p w:rsidR="00652CBB" w:rsidRDefault="00652CBB" w:rsidP="00652CBB">
            <w:pPr>
              <w:spacing w:line="240" w:lineRule="auto"/>
              <w:rPr>
                <w:sz w:val="16"/>
                <w:szCs w:val="16"/>
              </w:rPr>
            </w:pPr>
          </w:p>
          <w:p w:rsidR="00652CBB" w:rsidRDefault="00652CBB" w:rsidP="00652CBB">
            <w:pPr>
              <w:spacing w:line="240" w:lineRule="auto"/>
              <w:rPr>
                <w:sz w:val="16"/>
                <w:szCs w:val="16"/>
              </w:rPr>
            </w:pPr>
          </w:p>
          <w:p w:rsidR="00652CBB" w:rsidRDefault="00652CBB" w:rsidP="00652CBB">
            <w:pPr>
              <w:spacing w:line="240" w:lineRule="auto"/>
              <w:rPr>
                <w:sz w:val="16"/>
                <w:szCs w:val="16"/>
              </w:rPr>
            </w:pPr>
          </w:p>
          <w:p w:rsidR="00652CBB" w:rsidRDefault="00652CBB" w:rsidP="00652CBB">
            <w:pPr>
              <w:spacing w:line="240" w:lineRule="auto"/>
              <w:rPr>
                <w:sz w:val="16"/>
                <w:szCs w:val="16"/>
              </w:rPr>
            </w:pPr>
          </w:p>
          <w:p w:rsidR="00652CBB" w:rsidRPr="00FA126C" w:rsidRDefault="00652CBB" w:rsidP="00BF7CB8">
            <w:pPr>
              <w:spacing w:line="240" w:lineRule="auto"/>
              <w:rPr>
                <w:spacing w:val="-2"/>
                <w:sz w:val="16"/>
                <w:szCs w:val="16"/>
              </w:rPr>
            </w:pPr>
            <w:r w:rsidRPr="00FA126C">
              <w:rPr>
                <w:spacing w:val="-2"/>
                <w:sz w:val="16"/>
                <w:szCs w:val="16"/>
              </w:rPr>
              <w:t>Podíl podniků, které uvádí jako bariéru růstu nedostatek zaměstnanců</w:t>
            </w:r>
            <w:r>
              <w:rPr>
                <w:spacing w:val="-2"/>
                <w:sz w:val="16"/>
                <w:szCs w:val="16"/>
              </w:rPr>
              <w:t>,</w:t>
            </w:r>
            <w:r w:rsidRPr="00FA126C">
              <w:rPr>
                <w:spacing w:val="-2"/>
                <w:sz w:val="16"/>
                <w:szCs w:val="16"/>
              </w:rPr>
              <w:t xml:space="preserve"> byl na sklonku roku 2015 nejvyšší za</w:t>
            </w:r>
            <w:r w:rsidR="00BF7CB8">
              <w:rPr>
                <w:spacing w:val="-2"/>
                <w:sz w:val="16"/>
                <w:szCs w:val="16"/>
              </w:rPr>
              <w:t> </w:t>
            </w:r>
            <w:r w:rsidRPr="00FA126C">
              <w:rPr>
                <w:spacing w:val="-2"/>
                <w:sz w:val="16"/>
                <w:szCs w:val="16"/>
              </w:rPr>
              <w:t xml:space="preserve">poslední </w:t>
            </w:r>
            <w:r w:rsidR="00487F81">
              <w:rPr>
                <w:spacing w:val="-2"/>
                <w:sz w:val="16"/>
                <w:szCs w:val="16"/>
              </w:rPr>
              <w:t>čtyři a půl roku</w:t>
            </w:r>
          </w:p>
        </w:tc>
        <w:tc>
          <w:tcPr>
            <w:tcW w:w="144" w:type="pct"/>
          </w:tcPr>
          <w:p w:rsidR="00652CBB" w:rsidRDefault="00652CBB" w:rsidP="00652CBB">
            <w:pPr>
              <w:rPr>
                <w:szCs w:val="16"/>
              </w:rPr>
            </w:pPr>
          </w:p>
        </w:tc>
        <w:tc>
          <w:tcPr>
            <w:tcW w:w="3720" w:type="pct"/>
            <w:gridSpan w:val="3"/>
          </w:tcPr>
          <w:p w:rsidR="00652CBB" w:rsidRDefault="00652CBB" w:rsidP="00652CBB">
            <w:pPr>
              <w:pStyle w:val="Textpoznpodarou"/>
              <w:jc w:val="both"/>
              <w:rPr>
                <w:color w:val="000000" w:themeColor="text1"/>
                <w:spacing w:val="-4"/>
              </w:rPr>
            </w:pPr>
            <w:r>
              <w:rPr>
                <w:spacing w:val="-4"/>
              </w:rPr>
              <w:t>O příznivých</w:t>
            </w:r>
            <w:r w:rsidRPr="00D17187">
              <w:rPr>
                <w:spacing w:val="-4"/>
              </w:rPr>
              <w:t xml:space="preserve"> vyh</w:t>
            </w:r>
            <w:r>
              <w:rPr>
                <w:spacing w:val="-4"/>
              </w:rPr>
              <w:t xml:space="preserve">lídkách průmyslu vypovídá </w:t>
            </w:r>
            <w:r>
              <w:rPr>
                <w:color w:val="000000" w:themeColor="text1"/>
                <w:spacing w:val="-4"/>
              </w:rPr>
              <w:t>meziroční růst</w:t>
            </w:r>
            <w:r w:rsidRPr="00D13397">
              <w:rPr>
                <w:color w:val="000000" w:themeColor="text1"/>
                <w:spacing w:val="-4"/>
              </w:rPr>
              <w:t xml:space="preserve"> </w:t>
            </w:r>
            <w:r>
              <w:rPr>
                <w:color w:val="000000" w:themeColor="text1"/>
                <w:spacing w:val="-4"/>
              </w:rPr>
              <w:t xml:space="preserve">pro většinu oborů klíčových </w:t>
            </w:r>
            <w:r w:rsidRPr="00D17187">
              <w:rPr>
                <w:color w:val="000000" w:themeColor="text1"/>
                <w:spacing w:val="-4"/>
              </w:rPr>
              <w:t>zahraničních zakázek</w:t>
            </w:r>
            <w:r w:rsidRPr="00D13397">
              <w:rPr>
                <w:color w:val="000000" w:themeColor="text1"/>
                <w:spacing w:val="-4"/>
              </w:rPr>
              <w:t xml:space="preserve"> </w:t>
            </w:r>
            <w:r>
              <w:rPr>
                <w:color w:val="000000" w:themeColor="text1"/>
                <w:spacing w:val="-4"/>
              </w:rPr>
              <w:t>(8,1 % ve 3. čtvrtletí, resp. 9,6 % v říjnu 2015), zejména v samotné výrobě motorových vozidel (18,5 %, resp. 26,1 %, srovnatelnou dynamiku přitom vykázali jen výrobci oděvů). Naopak poprvé po 25 měsících se zastavil příznivý vývoj u domácích zakázek (ve 3. čtvrtletí meziročně poklesly o 5 %). Přetrvává</w:t>
            </w:r>
            <w:r w:rsidRPr="00D13397">
              <w:rPr>
                <w:color w:val="000000" w:themeColor="text1"/>
                <w:spacing w:val="-4"/>
              </w:rPr>
              <w:t xml:space="preserve"> mírně poziti</w:t>
            </w:r>
            <w:r>
              <w:rPr>
                <w:color w:val="000000" w:themeColor="text1"/>
                <w:spacing w:val="-4"/>
              </w:rPr>
              <w:t>vní důvěra podnikatelů v průmyslu, salda indikátorů důvěry dosahují stabilních hodnot již dva roky (byť jsou stále</w:t>
            </w:r>
            <w:r w:rsidRPr="00D13397">
              <w:rPr>
                <w:color w:val="000000" w:themeColor="text1"/>
                <w:spacing w:val="-4"/>
              </w:rPr>
              <w:t xml:space="preserve"> pod</w:t>
            </w:r>
            <w:r>
              <w:rPr>
                <w:color w:val="000000" w:themeColor="text1"/>
                <w:spacing w:val="-4"/>
              </w:rPr>
              <w:t xml:space="preserve"> úrovní přelomu let 2010 a</w:t>
            </w:r>
            <w:r w:rsidR="00BF7CB8">
              <w:rPr>
                <w:color w:val="000000" w:themeColor="text1"/>
                <w:spacing w:val="-4"/>
              </w:rPr>
              <w:t> </w:t>
            </w:r>
            <w:r>
              <w:rPr>
                <w:color w:val="000000" w:themeColor="text1"/>
                <w:spacing w:val="-4"/>
              </w:rPr>
              <w:t>2011). Mezi bariérami růstu podniků klesá význam vlivu nedostatečné poptávky, mírně roste role nedostatku materiálu či zařízení a zejména zaměstnanců (na</w:t>
            </w:r>
            <w:r w:rsidR="00BF7CB8">
              <w:rPr>
                <w:color w:val="000000" w:themeColor="text1"/>
                <w:spacing w:val="-4"/>
              </w:rPr>
              <w:t> </w:t>
            </w:r>
            <w:r>
              <w:rPr>
                <w:color w:val="000000" w:themeColor="text1"/>
                <w:spacing w:val="-4"/>
              </w:rPr>
              <w:t>sklonku roku 2015 již u 14 % podniků, o rok dříve jen u 5 %, ale v době vrcholu konjunktury kolem 25 %). V listopadu 2015 přitom očekával v krátkodobém horizontu</w:t>
            </w:r>
            <w:r w:rsidR="00BF7CB8">
              <w:rPr>
                <w:color w:val="000000" w:themeColor="text1"/>
                <w:spacing w:val="-4"/>
              </w:rPr>
              <w:t> </w:t>
            </w:r>
            <w:r>
              <w:rPr>
                <w:color w:val="000000" w:themeColor="text1"/>
                <w:spacing w:val="-4"/>
              </w:rPr>
              <w:t>růst zaměstnanosti jen každý sedmý podnik ve zpracovatelském průmyslu. P</w:t>
            </w:r>
            <w:r w:rsidRPr="00D46F47">
              <w:rPr>
                <w:color w:val="000000" w:themeColor="text1"/>
                <w:spacing w:val="-4"/>
              </w:rPr>
              <w:t>řízn</w:t>
            </w:r>
            <w:r>
              <w:rPr>
                <w:color w:val="000000" w:themeColor="text1"/>
                <w:spacing w:val="-4"/>
              </w:rPr>
              <w:t>ivý vývoj zahraniční poptávky</w:t>
            </w:r>
            <w:r w:rsidRPr="00D46F47">
              <w:rPr>
                <w:color w:val="000000" w:themeColor="text1"/>
                <w:spacing w:val="-4"/>
              </w:rPr>
              <w:t xml:space="preserve"> </w:t>
            </w:r>
            <w:r>
              <w:rPr>
                <w:color w:val="000000" w:themeColor="text1"/>
                <w:spacing w:val="-4"/>
              </w:rPr>
              <w:t>v celém průmyslu přesto postupně prosakuje</w:t>
            </w:r>
            <w:r w:rsidRPr="00D46F47">
              <w:rPr>
                <w:color w:val="000000" w:themeColor="text1"/>
                <w:spacing w:val="-4"/>
              </w:rPr>
              <w:t xml:space="preserve"> do</w:t>
            </w:r>
            <w:r w:rsidR="00BF7CB8">
              <w:rPr>
                <w:color w:val="000000" w:themeColor="text1"/>
                <w:spacing w:val="-4"/>
              </w:rPr>
              <w:t> </w:t>
            </w:r>
            <w:r w:rsidRPr="00D46F47">
              <w:rPr>
                <w:color w:val="000000" w:themeColor="text1"/>
                <w:spacing w:val="-4"/>
              </w:rPr>
              <w:t>sílících růstových temp zaměstnanosti i mezd</w:t>
            </w:r>
            <w:r>
              <w:rPr>
                <w:color w:val="000000" w:themeColor="text1"/>
                <w:spacing w:val="-4"/>
              </w:rPr>
              <w:t xml:space="preserve"> (v 1. pololetí ubylo meziročně pracovníků jen v energetice, těžebním i dřevozpracujícím průmyslu).</w:t>
            </w:r>
          </w:p>
          <w:p w:rsidR="00652CBB" w:rsidRPr="00BF7CB8" w:rsidRDefault="00652CBB" w:rsidP="00652CBB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652CBB" w:rsidTr="00652CBB">
        <w:trPr>
          <w:gridAfter w:val="1"/>
          <w:wAfter w:w="59" w:type="pct"/>
        </w:trPr>
        <w:tc>
          <w:tcPr>
            <w:tcW w:w="1077" w:type="pct"/>
            <w:gridSpan w:val="2"/>
          </w:tcPr>
          <w:p w:rsidR="00652CBB" w:rsidRPr="000F401E" w:rsidRDefault="00652CBB" w:rsidP="00652CB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Těžiště růstu průmyslové produkce v EU je dlouhodobě soustředěno do konvergujících (především středoevropských) ekonomik, a to</w:t>
            </w:r>
            <w:r w:rsidRPr="000630F6">
              <w:rPr>
                <w:color w:val="000000" w:themeColor="text1"/>
                <w:sz w:val="16"/>
                <w:szCs w:val="16"/>
              </w:rPr>
              <w:t xml:space="preserve"> především zásluhou odvětví vyrábějících investiční produkty</w:t>
            </w:r>
          </w:p>
        </w:tc>
        <w:tc>
          <w:tcPr>
            <w:tcW w:w="144" w:type="pct"/>
          </w:tcPr>
          <w:p w:rsidR="00652CBB" w:rsidRDefault="00652CBB" w:rsidP="00652CBB">
            <w:pPr>
              <w:pStyle w:val="Textpoznpodarou"/>
              <w:jc w:val="both"/>
            </w:pPr>
          </w:p>
        </w:tc>
        <w:tc>
          <w:tcPr>
            <w:tcW w:w="3720" w:type="pct"/>
            <w:gridSpan w:val="3"/>
          </w:tcPr>
          <w:p w:rsidR="00652CBB" w:rsidRPr="00BF7CB8" w:rsidRDefault="00652CBB" w:rsidP="00BF7CB8">
            <w:pPr>
              <w:pStyle w:val="Textpoznpodarou"/>
              <w:jc w:val="both"/>
              <w:rPr>
                <w:color w:val="000000" w:themeColor="text1"/>
                <w:sz w:val="14"/>
                <w:szCs w:val="14"/>
              </w:rPr>
            </w:pPr>
            <w:r w:rsidRPr="00BF7CB8">
              <w:rPr>
                <w:color w:val="000000" w:themeColor="text1"/>
              </w:rPr>
              <w:t>Průmyslová produkce v ČR se v 1.</w:t>
            </w:r>
            <w:r w:rsidR="00BF7CB8" w:rsidRPr="00BF7CB8">
              <w:rPr>
                <w:color w:val="000000" w:themeColor="text1"/>
              </w:rPr>
              <w:t xml:space="preserve"> </w:t>
            </w:r>
            <w:r w:rsidRPr="00BF7CB8">
              <w:rPr>
                <w:color w:val="000000" w:themeColor="text1"/>
              </w:rPr>
              <w:t>až 3. čtvrtletí 2015 (stejně jako o rok dříve) zvyšovala čtvrtým nejrychlejším tempem ze všech zemí EU. Ze zemí s významnou rolí průmyslu zaznamenaly obdobnou dynamiku jen Maďarsko, Rumunsko a Slovensko. V EU (2,3 %) podobně jako v ČR (7,2 %) nejvíce posílila odvětví zaměřená na produkci výrobků investiční povahy. Úroveň průmyslové produkce z období vrcholu konjunktury (1.</w:t>
            </w:r>
            <w:r w:rsidR="00BF7CB8" w:rsidRPr="00BF7CB8">
              <w:rPr>
                <w:color w:val="000000" w:themeColor="text1"/>
              </w:rPr>
              <w:t xml:space="preserve"> </w:t>
            </w:r>
            <w:r w:rsidRPr="00BF7CB8">
              <w:rPr>
                <w:color w:val="000000" w:themeColor="text1"/>
              </w:rPr>
              <w:t>až 3.</w:t>
            </w:r>
            <w:r w:rsidR="00BF7CB8" w:rsidRPr="00BF7CB8">
              <w:rPr>
                <w:color w:val="000000" w:themeColor="text1"/>
              </w:rPr>
              <w:t xml:space="preserve"> </w:t>
            </w:r>
            <w:r w:rsidRPr="00BF7CB8">
              <w:rPr>
                <w:color w:val="000000" w:themeColor="text1"/>
              </w:rPr>
              <w:t>q 2008) překonalo dosud dvanáct unijních členů, vedle většiny konvergujících ekonomik (vč. ČR) také Irsko (o</w:t>
            </w:r>
            <w:r w:rsidR="00BF7CB8">
              <w:rPr>
                <w:color w:val="000000" w:themeColor="text1"/>
              </w:rPr>
              <w:t> </w:t>
            </w:r>
            <w:r w:rsidRPr="00BF7CB8">
              <w:rPr>
                <w:color w:val="000000" w:themeColor="text1"/>
              </w:rPr>
              <w:t>40</w:t>
            </w:r>
            <w:r w:rsidR="00BF7CB8">
              <w:rPr>
                <w:color w:val="000000" w:themeColor="text1"/>
              </w:rPr>
              <w:t> </w:t>
            </w:r>
            <w:r w:rsidRPr="00BF7CB8">
              <w:rPr>
                <w:color w:val="000000" w:themeColor="text1"/>
              </w:rPr>
              <w:t>%) a těšně též Rakousko, Německo a</w:t>
            </w:r>
            <w:r w:rsidRPr="00BF7CB8">
              <w:t> </w:t>
            </w:r>
            <w:r w:rsidRPr="00BF7CB8">
              <w:rPr>
                <w:color w:val="000000" w:themeColor="text1"/>
              </w:rPr>
              <w:t>Belgie. Zhruba čtvrtinu pod touto hladinou stále setrvávají Itálie, Řecko, Finsko a navzdory významnějšímu oživení z posledních dvou let rovněž Španělsko.</w:t>
            </w:r>
          </w:p>
        </w:tc>
      </w:tr>
      <w:tr w:rsidR="00652CBB" w:rsidTr="00652CBB">
        <w:trPr>
          <w:gridAfter w:val="1"/>
          <w:wAfter w:w="59" w:type="pct"/>
        </w:trPr>
        <w:tc>
          <w:tcPr>
            <w:tcW w:w="1077" w:type="pct"/>
            <w:gridSpan w:val="2"/>
          </w:tcPr>
          <w:p w:rsidR="00652CBB" w:rsidRDefault="00652CBB" w:rsidP="00652CB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Sílící tlak na dočerpání prostředků z rozpočtu EU alokovaných na rozvoj dopravní infrastruktury vyústil v prudký meziroční růst produkce inženýrského stavebnictví, nejvyšší za posledních dvanáct let </w:t>
            </w:r>
          </w:p>
        </w:tc>
        <w:tc>
          <w:tcPr>
            <w:tcW w:w="144" w:type="pct"/>
          </w:tcPr>
          <w:p w:rsidR="00652CBB" w:rsidRDefault="00652CBB" w:rsidP="00652CBB">
            <w:pPr>
              <w:pStyle w:val="Textpoznpodarou"/>
              <w:jc w:val="both"/>
              <w:rPr>
                <w:spacing w:val="-2"/>
              </w:rPr>
            </w:pPr>
          </w:p>
        </w:tc>
        <w:tc>
          <w:tcPr>
            <w:tcW w:w="3720" w:type="pct"/>
            <w:gridSpan w:val="3"/>
          </w:tcPr>
          <w:p w:rsidR="00652CBB" w:rsidRDefault="00652CBB" w:rsidP="00652CBB">
            <w:pPr>
              <w:pStyle w:val="Textpoznpodarou"/>
              <w:jc w:val="both"/>
              <w:rPr>
                <w:spacing w:val="-4"/>
              </w:rPr>
            </w:pPr>
            <w:r>
              <w:rPr>
                <w:spacing w:val="-4"/>
              </w:rPr>
              <w:t>Stavebnictví pokračovalo pod taktovkou akcelerace veřejných investic do inženýrských staveb také v průběhu roku 2015 a navázalo tak na intenzivní loňské oživení. Dílčí roli sehrálo i opakování teplotně příznivých zimních období, jakož i razantní návrat ekonomiky na růstovou trajektorii, který se patrně významněji promítl také do pozemního stavitelství. Celková s</w:t>
            </w:r>
            <w:r w:rsidRPr="001952FA">
              <w:rPr>
                <w:spacing w:val="-4"/>
              </w:rPr>
              <w:t>tavební produkce</w:t>
            </w:r>
            <w:r>
              <w:rPr>
                <w:spacing w:val="-4"/>
              </w:rPr>
              <w:t xml:space="preserve"> letos v úhrnu za tři čtvrtletí posílila o 7,5 % (po loňských 6,0 %) a rostla nejdynamičtěji za posledních osm let. Přestože k růstu přispělo (podobně jako loni) i váhově dominantní pozemní stavitelství, klíčovou roli si dosud udrželo inženýrské stavitelství, jehož produkc</w:t>
            </w:r>
            <w:r w:rsidR="00487F81">
              <w:rPr>
                <w:spacing w:val="-4"/>
              </w:rPr>
              <w:t>e byla meziročně o celou pětinu</w:t>
            </w:r>
            <w:r>
              <w:rPr>
                <w:spacing w:val="-4"/>
              </w:rPr>
              <w:t xml:space="preserve"> vyšší a dosáhla tak nejrychlejšího tempa po roce 2003.</w:t>
            </w:r>
          </w:p>
          <w:p w:rsidR="00652CBB" w:rsidRPr="004E1984" w:rsidRDefault="00652CBB" w:rsidP="00652CBB">
            <w:pPr>
              <w:pStyle w:val="Textpoznpodarou"/>
              <w:jc w:val="both"/>
              <w:rPr>
                <w:spacing w:val="-4"/>
                <w:sz w:val="14"/>
                <w:szCs w:val="14"/>
              </w:rPr>
            </w:pPr>
          </w:p>
        </w:tc>
      </w:tr>
      <w:tr w:rsidR="00652CBB" w:rsidTr="00652CBB">
        <w:trPr>
          <w:gridAfter w:val="1"/>
          <w:wAfter w:w="59" w:type="pct"/>
        </w:trPr>
        <w:tc>
          <w:tcPr>
            <w:tcW w:w="1077" w:type="pct"/>
            <w:gridSpan w:val="2"/>
          </w:tcPr>
          <w:p w:rsidR="00652CBB" w:rsidRPr="001278E7" w:rsidRDefault="00652CBB" w:rsidP="00652CBB">
            <w:pPr>
              <w:spacing w:line="240" w:lineRule="auto"/>
              <w:rPr>
                <w:color w:val="0D0D0D" w:themeColor="text1" w:themeTint="F2"/>
                <w:sz w:val="16"/>
                <w:szCs w:val="16"/>
              </w:rPr>
            </w:pPr>
            <w:r w:rsidRPr="001278E7">
              <w:rPr>
                <w:color w:val="0D0D0D" w:themeColor="text1" w:themeTint="F2"/>
                <w:sz w:val="16"/>
                <w:szCs w:val="16"/>
              </w:rPr>
              <w:t>Hodnota nových zakázek za tři čtvrtletí meziročně mírně slabší – jak v pozemním, tak i inženýrském stavitelství</w:t>
            </w:r>
          </w:p>
          <w:p w:rsidR="00652CBB" w:rsidRPr="001278E7" w:rsidRDefault="00652CBB" w:rsidP="00652CBB">
            <w:pPr>
              <w:spacing w:line="240" w:lineRule="auto"/>
              <w:rPr>
                <w:color w:val="0D0D0D" w:themeColor="text1" w:themeTint="F2"/>
                <w:sz w:val="16"/>
                <w:szCs w:val="16"/>
              </w:rPr>
            </w:pPr>
          </w:p>
          <w:p w:rsidR="00652CBB" w:rsidRPr="001278E7" w:rsidRDefault="00652CBB" w:rsidP="00652CBB">
            <w:pPr>
              <w:spacing w:line="240" w:lineRule="auto"/>
              <w:rPr>
                <w:color w:val="0D0D0D" w:themeColor="text1" w:themeTint="F2"/>
                <w:sz w:val="16"/>
                <w:szCs w:val="16"/>
              </w:rPr>
            </w:pPr>
          </w:p>
          <w:p w:rsidR="00652CBB" w:rsidRPr="001278E7" w:rsidRDefault="00652CBB" w:rsidP="00652CBB">
            <w:pPr>
              <w:spacing w:line="240" w:lineRule="auto"/>
              <w:rPr>
                <w:color w:val="0D0D0D" w:themeColor="text1" w:themeTint="F2"/>
                <w:sz w:val="16"/>
                <w:szCs w:val="16"/>
              </w:rPr>
            </w:pPr>
          </w:p>
          <w:p w:rsidR="00652CBB" w:rsidRPr="0032604E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1278E7">
              <w:rPr>
                <w:color w:val="0D0D0D" w:themeColor="text1" w:themeTint="F2"/>
                <w:sz w:val="16"/>
                <w:szCs w:val="16"/>
              </w:rPr>
              <w:t>Celková zásoba dosud nerealizovaných zakázek (po šesti čtvrtletích růstu) meziročně ve 2. i 3.</w:t>
            </w:r>
            <w:r w:rsidR="00BF7CB8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color w:val="0D0D0D" w:themeColor="text1" w:themeTint="F2"/>
                <w:sz w:val="16"/>
                <w:szCs w:val="16"/>
              </w:rPr>
              <w:t xml:space="preserve">čtvrtletí </w:t>
            </w:r>
            <w:r w:rsidRPr="001278E7">
              <w:rPr>
                <w:color w:val="0D0D0D" w:themeColor="text1" w:themeTint="F2"/>
                <w:sz w:val="16"/>
                <w:szCs w:val="16"/>
              </w:rPr>
              <w:t>2015 opět nižší</w:t>
            </w:r>
          </w:p>
        </w:tc>
        <w:tc>
          <w:tcPr>
            <w:tcW w:w="144" w:type="pct"/>
          </w:tcPr>
          <w:p w:rsidR="00652CBB" w:rsidRDefault="00652CBB" w:rsidP="00652CBB">
            <w:pPr>
              <w:pStyle w:val="Textpoznpodarou"/>
              <w:jc w:val="both"/>
              <w:rPr>
                <w:spacing w:val="-2"/>
              </w:rPr>
            </w:pPr>
          </w:p>
        </w:tc>
        <w:tc>
          <w:tcPr>
            <w:tcW w:w="3720" w:type="pct"/>
            <w:gridSpan w:val="3"/>
          </w:tcPr>
          <w:p w:rsidR="00652CBB" w:rsidRDefault="00652CBB" w:rsidP="00652CBB">
            <w:pPr>
              <w:pStyle w:val="Textpoznpodarou"/>
              <w:jc w:val="both"/>
              <w:rPr>
                <w:color w:val="000000" w:themeColor="text1"/>
                <w:spacing w:val="-4"/>
              </w:rPr>
            </w:pPr>
            <w:r>
              <w:rPr>
                <w:spacing w:val="-4"/>
              </w:rPr>
              <w:t xml:space="preserve">Stavebnictví v průběhu roku 2015 částečně těžilo z vysoké zásoby </w:t>
            </w:r>
            <w:r w:rsidRPr="007A452E">
              <w:rPr>
                <w:spacing w:val="-4"/>
              </w:rPr>
              <w:t>loňských nových zakázek na inženýrské stavby (v hodnotě 117 mld. korun, nejvyšší</w:t>
            </w:r>
            <w:r w:rsidRPr="00CD1DA0">
              <w:rPr>
                <w:spacing w:val="-4"/>
              </w:rPr>
              <w:t xml:space="preserve"> po roce 2008). Nové zakázky stavebních podniků (s 5</w:t>
            </w:r>
            <w:r>
              <w:rPr>
                <w:spacing w:val="-4"/>
              </w:rPr>
              <w:t>0 a více zaměstnanci) v úhrnu za tři letošní čtvrtletí</w:t>
            </w:r>
            <w:r w:rsidRPr="00CD1DA0">
              <w:rPr>
                <w:spacing w:val="-4"/>
              </w:rPr>
              <w:t xml:space="preserve"> </w:t>
            </w:r>
            <w:r>
              <w:rPr>
                <w:spacing w:val="-4"/>
              </w:rPr>
              <w:t>již meziročně o 2,5 % oslabily, (bez větších rozdílů mezi pozemním a inženýrským stavitelstvím), v samotném 3. čtvrtletí o desetinu. Celková zásoba práce v podobě hodnoty všech dosud nerealizovaných zakázek se na konci 2. čtvrtletí 2015 poprvé po roce a půl opět vrátila k meziročním poklesům, a to jak u veřejných i soukromých zakázek z tuzemska, méně bylo na rozdíl o</w:t>
            </w:r>
            <w:r w:rsidR="00C42D45">
              <w:rPr>
                <w:spacing w:val="-4"/>
              </w:rPr>
              <w:t>d</w:t>
            </w:r>
            <w:r>
              <w:rPr>
                <w:spacing w:val="-4"/>
              </w:rPr>
              <w:t xml:space="preserve"> předchozích dvou let i zásoby práce v zahraničí. Jednotková hodnota nově uzavřené zakázky i stavebního povolení za tři čtvrtletí meziročně mírně poklesla, vyšší ale byla u stavebních povolení na </w:t>
            </w:r>
            <w:r w:rsidRPr="00E13EB4">
              <w:rPr>
                <w:spacing w:val="-4"/>
              </w:rPr>
              <w:t>změny dokončených staveb</w:t>
            </w:r>
            <w:r>
              <w:rPr>
                <w:spacing w:val="-4"/>
              </w:rPr>
              <w:t xml:space="preserve"> (</w:t>
            </w:r>
            <w:r w:rsidRPr="00CD1DA0">
              <w:rPr>
                <w:color w:val="000000" w:themeColor="text1"/>
                <w:spacing w:val="-4"/>
              </w:rPr>
              <w:t>vliv</w:t>
            </w:r>
            <w:r>
              <w:rPr>
                <w:color w:val="000000" w:themeColor="text1"/>
                <w:spacing w:val="-4"/>
              </w:rPr>
              <w:t>em</w:t>
            </w:r>
            <w:r w:rsidRPr="00CD1DA0">
              <w:rPr>
                <w:color w:val="000000" w:themeColor="text1"/>
                <w:spacing w:val="-4"/>
              </w:rPr>
              <w:t xml:space="preserve"> větších projektů financovaných z</w:t>
            </w:r>
            <w:r>
              <w:rPr>
                <w:color w:val="000000" w:themeColor="text1"/>
                <w:spacing w:val="-4"/>
              </w:rPr>
              <w:t> </w:t>
            </w:r>
            <w:r w:rsidRPr="00CD1DA0">
              <w:rPr>
                <w:color w:val="000000" w:themeColor="text1"/>
                <w:spacing w:val="-4"/>
              </w:rPr>
              <w:t>EU</w:t>
            </w:r>
            <w:r>
              <w:rPr>
                <w:color w:val="000000" w:themeColor="text1"/>
                <w:spacing w:val="-4"/>
              </w:rPr>
              <w:t>).</w:t>
            </w:r>
          </w:p>
          <w:p w:rsidR="00652CBB" w:rsidRPr="006D6354" w:rsidRDefault="00652CBB" w:rsidP="00652CBB">
            <w:pPr>
              <w:pStyle w:val="Textpoznpodarou"/>
              <w:jc w:val="both"/>
              <w:rPr>
                <w:spacing w:val="-4"/>
                <w:sz w:val="14"/>
                <w:szCs w:val="14"/>
              </w:rPr>
            </w:pPr>
          </w:p>
        </w:tc>
      </w:tr>
      <w:tr w:rsidR="00652CBB" w:rsidTr="00652CBB">
        <w:trPr>
          <w:gridAfter w:val="1"/>
          <w:wAfter w:w="59" w:type="pct"/>
        </w:trPr>
        <w:tc>
          <w:tcPr>
            <w:tcW w:w="1077" w:type="pct"/>
            <w:gridSpan w:val="2"/>
          </w:tcPr>
          <w:p w:rsidR="00652CBB" w:rsidRPr="00574213" w:rsidRDefault="00652CBB" w:rsidP="00652CBB">
            <w:pPr>
              <w:spacing w:line="240" w:lineRule="auto"/>
              <w:rPr>
                <w:color w:val="000000" w:themeColor="text1"/>
                <w:spacing w:val="-4"/>
                <w:sz w:val="16"/>
                <w:szCs w:val="16"/>
              </w:rPr>
            </w:pPr>
            <w:r w:rsidRPr="00574213">
              <w:rPr>
                <w:color w:val="000000" w:themeColor="text1"/>
                <w:spacing w:val="-4"/>
                <w:sz w:val="16"/>
                <w:szCs w:val="16"/>
              </w:rPr>
              <w:t>Počet zahájených bytů v</w:t>
            </w:r>
            <w:r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574213">
              <w:rPr>
                <w:color w:val="000000" w:themeColor="text1"/>
                <w:spacing w:val="-4"/>
                <w:sz w:val="16"/>
                <w:szCs w:val="16"/>
              </w:rPr>
              <w:t>bytových domech (BD) rostl již tři roky po sobě, proti vrcholu z obdo</w:t>
            </w:r>
            <w:r w:rsidR="0001572B">
              <w:rPr>
                <w:color w:val="000000" w:themeColor="text1"/>
                <w:spacing w:val="-4"/>
                <w:sz w:val="16"/>
                <w:szCs w:val="16"/>
              </w:rPr>
              <w:t xml:space="preserve">bí konjunktury (1. </w:t>
            </w:r>
            <w:r w:rsidR="0001572B" w:rsidRPr="001278E7">
              <w:rPr>
                <w:color w:val="0D0D0D" w:themeColor="text1" w:themeTint="F2"/>
                <w:sz w:val="16"/>
                <w:szCs w:val="16"/>
              </w:rPr>
              <w:t>–</w:t>
            </w:r>
            <w:r w:rsidR="0001572B">
              <w:rPr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  <w:szCs w:val="16"/>
              </w:rPr>
              <w:t>3.</w:t>
            </w:r>
            <w:r w:rsidR="00BF7CB8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  <w:szCs w:val="16"/>
              </w:rPr>
              <w:t>q 2008) byl</w:t>
            </w:r>
            <w:r w:rsidRPr="00574213">
              <w:rPr>
                <w:color w:val="000000" w:themeColor="text1"/>
                <w:spacing w:val="-4"/>
                <w:sz w:val="16"/>
                <w:szCs w:val="16"/>
              </w:rPr>
              <w:t xml:space="preserve"> ale slabší o 54 % </w:t>
            </w:r>
          </w:p>
          <w:p w:rsidR="00652CBB" w:rsidRPr="00574213" w:rsidRDefault="00652CBB" w:rsidP="00652CBB">
            <w:pPr>
              <w:spacing w:line="240" w:lineRule="auto"/>
              <w:rPr>
                <w:color w:val="000000" w:themeColor="text1"/>
                <w:spacing w:val="-4"/>
                <w:sz w:val="16"/>
                <w:szCs w:val="16"/>
              </w:rPr>
            </w:pPr>
          </w:p>
          <w:p w:rsidR="00652CBB" w:rsidRPr="0032604E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574213">
              <w:rPr>
                <w:color w:val="000000" w:themeColor="text1"/>
                <w:spacing w:val="-4"/>
                <w:sz w:val="16"/>
                <w:szCs w:val="16"/>
              </w:rPr>
              <w:t>Téměř dvě třetiny nově zahá</w:t>
            </w:r>
            <w:r>
              <w:rPr>
                <w:color w:val="000000" w:themeColor="text1"/>
                <w:spacing w:val="-4"/>
                <w:sz w:val="16"/>
                <w:szCs w:val="16"/>
              </w:rPr>
              <w:t>-</w:t>
            </w:r>
            <w:r w:rsidRPr="00574213">
              <w:rPr>
                <w:color w:val="000000" w:themeColor="text1"/>
                <w:spacing w:val="-4"/>
                <w:sz w:val="16"/>
                <w:szCs w:val="16"/>
              </w:rPr>
              <w:t>jených bytů v BD připadalo na Prahu a Středočeský kraj</w:t>
            </w:r>
          </w:p>
        </w:tc>
        <w:tc>
          <w:tcPr>
            <w:tcW w:w="144" w:type="pct"/>
          </w:tcPr>
          <w:p w:rsidR="00652CBB" w:rsidRDefault="00652CBB" w:rsidP="00652CBB">
            <w:pPr>
              <w:pStyle w:val="Textpoznpodarou"/>
              <w:jc w:val="both"/>
              <w:rPr>
                <w:spacing w:val="-2"/>
              </w:rPr>
            </w:pPr>
          </w:p>
        </w:tc>
        <w:tc>
          <w:tcPr>
            <w:tcW w:w="3720" w:type="pct"/>
            <w:gridSpan w:val="3"/>
          </w:tcPr>
          <w:p w:rsidR="00652CBB" w:rsidRDefault="00652CBB" w:rsidP="00652CBB">
            <w:pPr>
              <w:pStyle w:val="Textpoznpodarou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Navzdory růstu disponibilních příjmů domácností i přetrvávání historicky nízkých úrokových sazeb a zatím pozvolného růstu cen rezidenčních nemovitostí se bytová výstavba od svého dna (rok 2013) odráží jen zvolna. Počet zahájených bytů v 1. až 3. čtvrtletí 2015 vzrostl meziročně o 6,1 % (za dva roky o 16,2 %). Více bylo jak </w:t>
            </w:r>
            <w:r w:rsidR="00487F81">
              <w:rPr>
                <w:spacing w:val="-4"/>
              </w:rPr>
              <w:t>bytů v rodinných</w:t>
            </w:r>
            <w:r>
              <w:rPr>
                <w:spacing w:val="-4"/>
              </w:rPr>
              <w:t xml:space="preserve"> (proti loňskému historickému minimu o 6,7 %), tak i</w:t>
            </w:r>
            <w:r w:rsidR="00487F81">
              <w:rPr>
                <w:spacing w:val="-4"/>
              </w:rPr>
              <w:t xml:space="preserve"> v bytových domech</w:t>
            </w:r>
            <w:r>
              <w:rPr>
                <w:spacing w:val="-4"/>
              </w:rPr>
              <w:t xml:space="preserve"> (+3,1 %), jejichž produkce byla obdobím recese zasažena intenzivněji. Počet zahájených bytů v domovech pro seniory (326) byl druhý nejnižší v novodobé historii.  </w:t>
            </w:r>
          </w:p>
          <w:p w:rsidR="00652CBB" w:rsidRPr="000240BC" w:rsidRDefault="00652CBB" w:rsidP="00652CBB">
            <w:pPr>
              <w:pStyle w:val="Textpoznpodarou"/>
              <w:jc w:val="both"/>
              <w:rPr>
                <w:spacing w:val="-4"/>
                <w:sz w:val="14"/>
                <w:szCs w:val="14"/>
              </w:rPr>
            </w:pPr>
          </w:p>
        </w:tc>
      </w:tr>
      <w:tr w:rsidR="00652CBB" w:rsidTr="00652CBB">
        <w:trPr>
          <w:gridAfter w:val="1"/>
          <w:wAfter w:w="59" w:type="pct"/>
        </w:trPr>
        <w:tc>
          <w:tcPr>
            <w:tcW w:w="1077" w:type="pct"/>
            <w:gridSpan w:val="2"/>
          </w:tcPr>
          <w:p w:rsidR="00652CBB" w:rsidRPr="00367CB0" w:rsidRDefault="00652CBB" w:rsidP="00652CB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Zlepšení konjunkturálních ukazatelů ve stavebnictví, krátkodobé vyhlídky příznivější zejména u největších firem, na jejichž bedrech ležela rozhodující část odpovědnosti za realizaci investic do dopravní infrastruktury </w:t>
            </w:r>
          </w:p>
        </w:tc>
        <w:tc>
          <w:tcPr>
            <w:tcW w:w="144" w:type="pct"/>
          </w:tcPr>
          <w:p w:rsidR="00652CBB" w:rsidRDefault="00652CBB" w:rsidP="00652CBB">
            <w:pPr>
              <w:pStyle w:val="Textpoznpodarou"/>
              <w:jc w:val="both"/>
              <w:rPr>
                <w:spacing w:val="-2"/>
              </w:rPr>
            </w:pPr>
          </w:p>
        </w:tc>
        <w:tc>
          <w:tcPr>
            <w:tcW w:w="3720" w:type="pct"/>
            <w:gridSpan w:val="3"/>
          </w:tcPr>
          <w:p w:rsidR="00652CBB" w:rsidRPr="00BF7CB8" w:rsidRDefault="00652CBB" w:rsidP="00652CBB">
            <w:pPr>
              <w:pStyle w:val="Textpoznpodarou"/>
              <w:jc w:val="both"/>
              <w:rPr>
                <w:color w:val="000000" w:themeColor="text1"/>
                <w:spacing w:val="-2"/>
              </w:rPr>
            </w:pPr>
            <w:r w:rsidRPr="00BF7CB8">
              <w:rPr>
                <w:color w:val="000000" w:themeColor="text1"/>
                <w:spacing w:val="-2"/>
              </w:rPr>
              <w:t>Souhrnné saldo důvěry podnikatelů ve stavebnictví se v trendu zlepšuje již od počátku roku 2014 a v listopadu 2015 bylo nejvyšší od ledna 2009. Hodnocení krátkodobých vyhlídek poptávky i úmyslu přibírat nové zaměstnance bylo příznivější hlavně u největších stavebních firem. Téměř 60 % podniků však stále považovalo nedostatečnou poptávku za bariéru vyšší produkce. Během první poloviny roku se zvýšil podíl podniků, jimž v růstu brání nedostatek pracovní síly (až na 8,5 % v červnu 2015, což bylo nejvíce od roku 2008). Na vyšší poptávku reagovaly letos stavební firmy intenzivnější</w:t>
            </w:r>
            <w:r w:rsidR="008D13EA">
              <w:rPr>
                <w:color w:val="000000" w:themeColor="text1"/>
                <w:spacing w:val="-2"/>
              </w:rPr>
              <w:t>m</w:t>
            </w:r>
            <w:r w:rsidRPr="00BF7CB8">
              <w:rPr>
                <w:color w:val="000000" w:themeColor="text1"/>
                <w:spacing w:val="-2"/>
              </w:rPr>
              <w:t xml:space="preserve"> využitím stávající pracovní síly (např.</w:t>
            </w:r>
            <w:r w:rsidR="00BF7CB8">
              <w:rPr>
                <w:color w:val="000000" w:themeColor="text1"/>
                <w:spacing w:val="-2"/>
              </w:rPr>
              <w:t> </w:t>
            </w:r>
            <w:r w:rsidRPr="00BF7CB8">
              <w:rPr>
                <w:color w:val="000000" w:themeColor="text1"/>
                <w:spacing w:val="-2"/>
              </w:rPr>
              <w:t>formou přesčasové práce). Při stále nižším evidenčním počtu zaměstnanců tak vzrostla průměrná mzda ve 3. čtvrtletí o vysokých 5,3 %, což bylo podstatně více než ve zpracovatelském průmyslu (3,7 %) či celé ekonomice (3,8 %)</w:t>
            </w:r>
            <w:r w:rsidR="00BF7CB8" w:rsidRPr="00BF7CB8">
              <w:rPr>
                <w:color w:val="000000" w:themeColor="text1"/>
                <w:spacing w:val="-2"/>
              </w:rPr>
              <w:t>.</w:t>
            </w:r>
          </w:p>
          <w:p w:rsidR="00652CBB" w:rsidRPr="000240BC" w:rsidRDefault="00652CBB" w:rsidP="00652CBB">
            <w:pPr>
              <w:pStyle w:val="Textpoznpodarou"/>
              <w:jc w:val="both"/>
              <w:rPr>
                <w:spacing w:val="-4"/>
                <w:sz w:val="14"/>
                <w:szCs w:val="14"/>
              </w:rPr>
            </w:pPr>
          </w:p>
        </w:tc>
      </w:tr>
      <w:tr w:rsidR="00652CBB" w:rsidRPr="001F56A9" w:rsidTr="00652CBB">
        <w:trPr>
          <w:gridAfter w:val="1"/>
          <w:wAfter w:w="59" w:type="pct"/>
        </w:trPr>
        <w:tc>
          <w:tcPr>
            <w:tcW w:w="1077" w:type="pct"/>
            <w:gridSpan w:val="2"/>
          </w:tcPr>
          <w:p w:rsidR="00652CBB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32604E">
              <w:rPr>
                <w:color w:val="000000" w:themeColor="text1"/>
                <w:sz w:val="16"/>
                <w:szCs w:val="16"/>
              </w:rPr>
              <w:t xml:space="preserve">Tržby ve službách zrychlily dynamiku (při současném poklesu cen), meziročně rostly nejvíce </w:t>
            </w:r>
            <w:r>
              <w:rPr>
                <w:color w:val="000000" w:themeColor="text1"/>
                <w:sz w:val="16"/>
                <w:szCs w:val="16"/>
              </w:rPr>
              <w:t>od roku 2007</w:t>
            </w:r>
          </w:p>
          <w:p w:rsidR="00652CBB" w:rsidRPr="009D0B10" w:rsidRDefault="00652CBB" w:rsidP="00652CBB">
            <w:pPr>
              <w:spacing w:line="240" w:lineRule="auto"/>
              <w:rPr>
                <w:color w:val="000000" w:themeColor="text1"/>
                <w:sz w:val="14"/>
                <w:szCs w:val="14"/>
              </w:rPr>
            </w:pPr>
          </w:p>
          <w:p w:rsidR="00652CBB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Vyšší výkony v exportně orientovaném průmyslu pomáhají růstu tržeb v pozemní a potrubní dopravě, který trval již jedenáct čtvrtletí v řadě</w:t>
            </w:r>
          </w:p>
          <w:p w:rsidR="00652CBB" w:rsidRPr="009D0B10" w:rsidRDefault="00652CBB" w:rsidP="00652CBB">
            <w:pPr>
              <w:spacing w:line="240" w:lineRule="auto"/>
              <w:rPr>
                <w:color w:val="000000" w:themeColor="text1"/>
                <w:sz w:val="14"/>
                <w:szCs w:val="14"/>
              </w:rPr>
            </w:pPr>
          </w:p>
          <w:p w:rsidR="00652CBB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Útlum tržeb cestovních kanceláří pokračoval již dvanáct čtvrtletí…</w:t>
            </w:r>
          </w:p>
          <w:p w:rsidR="00652CBB" w:rsidRPr="009D0B10" w:rsidRDefault="00652CBB" w:rsidP="00652CBB">
            <w:pPr>
              <w:spacing w:line="240" w:lineRule="auto"/>
              <w:rPr>
                <w:sz w:val="14"/>
                <w:szCs w:val="14"/>
              </w:rPr>
            </w:pPr>
          </w:p>
          <w:p w:rsidR="00652CBB" w:rsidRPr="00177FCE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Pr="00177FCE">
              <w:rPr>
                <w:color w:val="000000" w:themeColor="text1"/>
                <w:sz w:val="16"/>
                <w:szCs w:val="16"/>
              </w:rPr>
              <w:t>naopak recesí silně poznamenané profesní, vědecké a technické činnosti</w:t>
            </w:r>
            <w:r>
              <w:rPr>
                <w:color w:val="000000" w:themeColor="text1"/>
                <w:sz w:val="16"/>
                <w:szCs w:val="16"/>
              </w:rPr>
              <w:t xml:space="preserve"> na počá</w:t>
            </w:r>
            <w:r w:rsidR="00240773">
              <w:rPr>
                <w:color w:val="000000" w:themeColor="text1"/>
                <w:sz w:val="16"/>
                <w:szCs w:val="16"/>
              </w:rPr>
              <w:t>tku roku 2015 ožily poprvé po 11</w:t>
            </w:r>
            <w:r>
              <w:rPr>
                <w:color w:val="000000" w:themeColor="text1"/>
                <w:sz w:val="16"/>
                <w:szCs w:val="16"/>
              </w:rPr>
              <w:t xml:space="preserve"> čtvrtletích, především díky projektovým činnostem v souvislosti s růstem stavebnictví </w:t>
            </w:r>
          </w:p>
          <w:p w:rsidR="00652CBB" w:rsidRPr="009D0B10" w:rsidRDefault="00652CBB" w:rsidP="00652CBB">
            <w:pPr>
              <w:spacing w:line="240" w:lineRule="auto"/>
              <w:rPr>
                <w:sz w:val="6"/>
                <w:szCs w:val="6"/>
              </w:rPr>
            </w:pPr>
          </w:p>
        </w:tc>
        <w:tc>
          <w:tcPr>
            <w:tcW w:w="144" w:type="pct"/>
          </w:tcPr>
          <w:p w:rsidR="00652CBB" w:rsidRDefault="00652CBB" w:rsidP="00652CBB">
            <w:pPr>
              <w:pStyle w:val="Textpoznpodarou"/>
              <w:jc w:val="both"/>
              <w:rPr>
                <w:spacing w:val="-2"/>
              </w:rPr>
            </w:pPr>
          </w:p>
        </w:tc>
        <w:tc>
          <w:tcPr>
            <w:tcW w:w="3720" w:type="pct"/>
            <w:gridSpan w:val="3"/>
          </w:tcPr>
          <w:p w:rsidR="00652CBB" w:rsidRPr="001F56A9" w:rsidRDefault="00652CBB" w:rsidP="001F56A9">
            <w:pPr>
              <w:pStyle w:val="Textpoznpodarou"/>
              <w:jc w:val="both"/>
              <w:rPr>
                <w:spacing w:val="-2"/>
                <w:sz w:val="6"/>
                <w:szCs w:val="6"/>
              </w:rPr>
            </w:pPr>
            <w:r w:rsidRPr="001F56A9">
              <w:rPr>
                <w:color w:val="000000" w:themeColor="text1"/>
                <w:spacing w:val="-2"/>
              </w:rPr>
              <w:t>Tržby ve vybraných službách</w:t>
            </w:r>
            <w:r w:rsidRPr="001F56A9">
              <w:rPr>
                <w:color w:val="000000" w:themeColor="text1"/>
                <w:spacing w:val="-2"/>
                <w:vertAlign w:val="superscript"/>
              </w:rPr>
              <w:footnoteReference w:id="5"/>
            </w:r>
            <w:r w:rsidRPr="001F56A9">
              <w:rPr>
                <w:color w:val="000000" w:themeColor="text1"/>
                <w:spacing w:val="-2"/>
              </w:rPr>
              <w:t xml:space="preserve"> se v 1. až 3. čtvrtletí 2015 zvýšily o 2,7 %, když zrychlily proti loňskému tempu (+1,6 %). Významné oživení služeb probíhalo letos netradičně při současném poklesu cen, především v pozemní dopravě či skladování (v důsledku prudkého poklesu cen ropy na světových trzích), ale i</w:t>
            </w:r>
            <w:r w:rsidR="001F56A9">
              <w:rPr>
                <w:color w:val="000000" w:themeColor="text1"/>
                <w:spacing w:val="-2"/>
              </w:rPr>
              <w:t> </w:t>
            </w:r>
            <w:r w:rsidRPr="001F56A9">
              <w:rPr>
                <w:color w:val="000000" w:themeColor="text1"/>
                <w:spacing w:val="-2"/>
              </w:rPr>
              <w:t>v telekomunikacích (kde je pokles cen dlouhodobějším jevem) a také u pracovních agentur (zde ovšem ceny v předchozích dvou letech naopak citelně rostly). V</w:t>
            </w:r>
            <w:r w:rsidR="001F56A9">
              <w:rPr>
                <w:color w:val="000000" w:themeColor="text1"/>
                <w:spacing w:val="-2"/>
              </w:rPr>
              <w:t> </w:t>
            </w:r>
            <w:r w:rsidRPr="001F56A9">
              <w:rPr>
                <w:color w:val="000000" w:themeColor="text1"/>
                <w:spacing w:val="-2"/>
              </w:rPr>
              <w:t xml:space="preserve">dopravě a skladování tržby za tři čtvrtletí meziročně stagnovaly, když </w:t>
            </w:r>
            <w:r w:rsidRPr="001F56A9">
              <w:rPr>
                <w:spacing w:val="-2"/>
              </w:rPr>
              <w:t xml:space="preserve">váhově dominantní pozemní a potrubní doprava (+4,2 %) stačila pouze vyrovnat citelný pokles reálných tržeb v letecké dopravě (-4,2 %) a skladování (-5,1 %), jehož vývoj byl významně ovlivněn také vysokou meziroční základnou. Výrazné oživení příjezdového cestovního ruchu se odrazilo v tržbách v ubytování (+8,4 %, nejvyšších po roce 2005). Rekordní byly i tržby ve stravování a pohostinství (+4 %), na rozdíl od ubytování však zatím nepřekonaly úroveň konjunkturního roku 2008. </w:t>
            </w:r>
            <w:r w:rsidRPr="001F56A9">
              <w:rPr>
                <w:color w:val="000000" w:themeColor="text1"/>
                <w:spacing w:val="-2"/>
              </w:rPr>
              <w:t>Tržby administrativních a podpůrných činností (+5,6 %) táhly tradičně pracovní agentury (+20,7 %, proti vrcholu konjunktury vyšší o třetinu),</w:t>
            </w:r>
            <w:r w:rsidR="00E737F6" w:rsidRPr="001F56A9">
              <w:rPr>
                <w:color w:val="000000" w:themeColor="text1"/>
                <w:spacing w:val="-2"/>
              </w:rPr>
              <w:t xml:space="preserve"> v</w:t>
            </w:r>
            <w:r w:rsidRPr="001F56A9">
              <w:rPr>
                <w:color w:val="000000" w:themeColor="text1"/>
                <w:spacing w:val="-2"/>
              </w:rPr>
              <w:t> dlouhodobém útlumu pokračovaly cestovní kanceláře (-6,7</w:t>
            </w:r>
            <w:r w:rsidR="001F56A9" w:rsidRPr="001F56A9">
              <w:rPr>
                <w:color w:val="000000" w:themeColor="text1"/>
                <w:spacing w:val="-2"/>
              </w:rPr>
              <w:t xml:space="preserve"> %)</w:t>
            </w:r>
            <w:r w:rsidRPr="001F56A9">
              <w:rPr>
                <w:color w:val="000000" w:themeColor="text1"/>
                <w:spacing w:val="-2"/>
              </w:rPr>
              <w:t>.</w:t>
            </w:r>
            <w:r w:rsidRPr="001F56A9">
              <w:rPr>
                <w:spacing w:val="-2"/>
              </w:rPr>
              <w:t xml:space="preserve"> Obrat letos zaznamenaly profesní, vědecké a </w:t>
            </w:r>
            <w:r w:rsidRPr="001F56A9">
              <w:rPr>
                <w:color w:val="000000" w:themeColor="text1"/>
                <w:spacing w:val="-2"/>
              </w:rPr>
              <w:t>technické činnosti (+3,4 %, první růst v 1. až 3. čtvrtletí od roku 2008), když na vlně silného růstu stavebnictví akcelerovaly především váhově nejvýznamnější architektonické a inženýrské činnosti (+6,8 %).</w:t>
            </w:r>
          </w:p>
        </w:tc>
      </w:tr>
      <w:tr w:rsidR="00652CBB" w:rsidTr="00652CBB">
        <w:trPr>
          <w:gridAfter w:val="1"/>
          <w:wAfter w:w="59" w:type="pct"/>
          <w:cantSplit/>
          <w:trHeight w:val="203"/>
        </w:trPr>
        <w:tc>
          <w:tcPr>
            <w:tcW w:w="1077" w:type="pct"/>
            <w:gridSpan w:val="2"/>
          </w:tcPr>
          <w:p w:rsidR="00652CBB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Nejvyšší dynamika m</w:t>
            </w:r>
            <w:r w:rsidRPr="00390A05">
              <w:rPr>
                <w:color w:val="000000" w:themeColor="text1"/>
                <w:sz w:val="16"/>
                <w:szCs w:val="16"/>
              </w:rPr>
              <w:t>aloobchodní</w:t>
            </w:r>
            <w:r>
              <w:rPr>
                <w:color w:val="000000" w:themeColor="text1"/>
                <w:sz w:val="16"/>
                <w:szCs w:val="16"/>
              </w:rPr>
              <w:t>ch tržeb</w:t>
            </w:r>
            <w:r w:rsidRPr="00390A05">
              <w:rPr>
                <w:color w:val="000000" w:themeColor="text1"/>
                <w:sz w:val="16"/>
                <w:szCs w:val="16"/>
              </w:rPr>
              <w:t xml:space="preserve"> (bez motoristického segm</w:t>
            </w:r>
            <w:r>
              <w:rPr>
                <w:color w:val="000000" w:themeColor="text1"/>
                <w:sz w:val="16"/>
                <w:szCs w:val="16"/>
              </w:rPr>
              <w:t>entu)</w:t>
            </w:r>
            <w:r w:rsidRPr="00390A05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od roku 2007</w:t>
            </w:r>
          </w:p>
          <w:p w:rsidR="00652CBB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:rsidR="00652CBB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:rsidR="00652CBB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:rsidR="00652CBB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:rsidR="00652CBB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Vyšší disponibilní příjmy domácností mohou přispět také k preferenci nákupu kvalitnějších potravin</w:t>
            </w:r>
          </w:p>
          <w:p w:rsidR="00652CBB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:rsidR="00652CBB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:rsidR="00652CBB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  <w:p w:rsidR="00652CBB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Příznivý cenový vývoj stimuloval poptávku zejména u prodeje </w:t>
            </w:r>
            <w:r w:rsidRPr="00873CE4">
              <w:rPr>
                <w:color w:val="000000" w:themeColor="text1"/>
                <w:sz w:val="16"/>
                <w:szCs w:val="16"/>
              </w:rPr>
              <w:t xml:space="preserve">počítačových </w:t>
            </w:r>
          </w:p>
          <w:p w:rsidR="00652CBB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873CE4">
              <w:rPr>
                <w:color w:val="000000" w:themeColor="text1"/>
                <w:sz w:val="16"/>
                <w:szCs w:val="16"/>
              </w:rPr>
              <w:t xml:space="preserve">a komunikačních zařízení </w:t>
            </w:r>
          </w:p>
          <w:p w:rsidR="00652CBB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873CE4">
              <w:rPr>
                <w:color w:val="000000" w:themeColor="text1"/>
                <w:sz w:val="16"/>
                <w:szCs w:val="16"/>
              </w:rPr>
              <w:t>a také pohonných hmot</w:t>
            </w:r>
          </w:p>
          <w:p w:rsidR="00652CBB" w:rsidRPr="00F3262E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4" w:type="pct"/>
          </w:tcPr>
          <w:p w:rsidR="00652CBB" w:rsidRPr="00F3262E" w:rsidRDefault="00652CBB" w:rsidP="00652CBB">
            <w:pPr>
              <w:pStyle w:val="Textpoznpodarou"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3720" w:type="pct"/>
            <w:gridSpan w:val="3"/>
          </w:tcPr>
          <w:p w:rsidR="00652CBB" w:rsidRPr="009D0B10" w:rsidRDefault="00652CBB" w:rsidP="00652CBB">
            <w:pPr>
              <w:pStyle w:val="Textpoznpodarou"/>
              <w:jc w:val="both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Výrazné zlepšení situace na trhu práce v podobě vysokých temp růstu zaměstnanosti i reálných mezd se odrazil v náladě spotřebitelů i v celém maloobchodu. Důležitý zlom nastal na přelomu let 2014</w:t>
            </w:r>
            <w:r w:rsidR="008E7C55">
              <w:rPr>
                <w:color w:val="000000" w:themeColor="text1"/>
                <w:spacing w:val="-4"/>
              </w:rPr>
              <w:t xml:space="preserve"> a 2015, kdy se saldo indikátoru</w:t>
            </w:r>
            <w:r>
              <w:rPr>
                <w:color w:val="000000" w:themeColor="text1"/>
                <w:spacing w:val="-4"/>
              </w:rPr>
              <w:t xml:space="preserve"> důvěry spotřebitelů po 7,5 letech vrátilo do kladných hodnot a meziroční dynamika celkových maloobchodních tržeb</w:t>
            </w:r>
            <w:r>
              <w:rPr>
                <w:rStyle w:val="Znakapoznpodarou"/>
                <w:color w:val="000000" w:themeColor="text1"/>
                <w:spacing w:val="-4"/>
              </w:rPr>
              <w:footnoteReference w:id="6"/>
            </w:r>
            <w:r>
              <w:rPr>
                <w:color w:val="000000" w:themeColor="text1"/>
                <w:spacing w:val="-4"/>
              </w:rPr>
              <w:t xml:space="preserve"> zrychlila z 3,8 % (4</w:t>
            </w:r>
            <w:r w:rsidR="00E737F6">
              <w:rPr>
                <w:color w:val="000000" w:themeColor="text1"/>
                <w:spacing w:val="-4"/>
              </w:rPr>
              <w:t>.</w:t>
            </w:r>
            <w:r>
              <w:rPr>
                <w:color w:val="000000" w:themeColor="text1"/>
                <w:spacing w:val="-4"/>
              </w:rPr>
              <w:t xml:space="preserve"> q 2014) na 6,3 % (1.</w:t>
            </w:r>
            <w:r w:rsidR="00BF7CB8">
              <w:rPr>
                <w:color w:val="000000" w:themeColor="text1"/>
                <w:spacing w:val="-4"/>
              </w:rPr>
              <w:t xml:space="preserve"> </w:t>
            </w:r>
            <w:r>
              <w:rPr>
                <w:color w:val="000000" w:themeColor="text1"/>
                <w:spacing w:val="-4"/>
              </w:rPr>
              <w:t xml:space="preserve">q 2015). V průběhu roku 2015 dynamika tržeb nedoznala velkých změn (ve 2. i 3. čtvrtletí rostla shodně o 5,7 %), podobně jako důvěra spotřebitelů. V úhrnu za 1. až 3. čtvrtletí táhl maloobchod zejména prodej </w:t>
            </w:r>
            <w:r w:rsidRPr="003B163B">
              <w:rPr>
                <w:color w:val="000000" w:themeColor="text1"/>
                <w:spacing w:val="-4"/>
              </w:rPr>
              <w:t>nepotravinářského</w:t>
            </w:r>
            <w:r>
              <w:rPr>
                <w:color w:val="000000" w:themeColor="text1"/>
                <w:spacing w:val="-4"/>
              </w:rPr>
              <w:t xml:space="preserve"> zboží (+6,6 %), nejvyšší dynamiku reálných tržeb za posledních osm let zaznamenali i prodejci potravin (+3,9 %), a to i ve specializovaných prodejnách (+2,8 %). Z ostatních specializovaných prodejen se i díky slevovým strategiím dařilo zejména </w:t>
            </w:r>
            <w:r w:rsidRPr="003B163B">
              <w:rPr>
                <w:color w:val="000000" w:themeColor="text1"/>
                <w:spacing w:val="-4"/>
              </w:rPr>
              <w:t>prodejům počítačových a</w:t>
            </w:r>
            <w:r>
              <w:rPr>
                <w:color w:val="000000" w:themeColor="text1"/>
                <w:spacing w:val="-4"/>
              </w:rPr>
              <w:t xml:space="preserve"> komunikačních zařízení (+12,3 %) a také výrobkům pro </w:t>
            </w:r>
            <w:r w:rsidRPr="006A3737">
              <w:rPr>
                <w:color w:val="000000" w:themeColor="text1"/>
                <w:spacing w:val="-4"/>
              </w:rPr>
              <w:t>kulturu a rekreaci</w:t>
            </w:r>
            <w:r>
              <w:rPr>
                <w:color w:val="000000" w:themeColor="text1"/>
                <w:spacing w:val="-4"/>
              </w:rPr>
              <w:t xml:space="preserve"> (+9,3 %). Po pěti letech se zastavil růst tržeb za oděvy, obuv a kožené zboží. </w:t>
            </w:r>
            <w:r w:rsidRPr="00A61D24">
              <w:rPr>
                <w:color w:val="000000" w:themeColor="text1"/>
                <w:spacing w:val="-4"/>
              </w:rPr>
              <w:t>Tržby u čerpacích stanic od loňského prosi</w:t>
            </w:r>
            <w:r>
              <w:rPr>
                <w:color w:val="000000" w:themeColor="text1"/>
                <w:spacing w:val="-4"/>
              </w:rPr>
              <w:t>nce akcelerovaly, za tři čtvrtletí meziročně vzrostly o 7,1</w:t>
            </w:r>
            <w:r w:rsidRPr="00A61D24">
              <w:rPr>
                <w:color w:val="000000" w:themeColor="text1"/>
                <w:spacing w:val="-4"/>
              </w:rPr>
              <w:t xml:space="preserve"> %. </w:t>
            </w:r>
            <w:r>
              <w:rPr>
                <w:color w:val="000000" w:themeColor="text1"/>
                <w:spacing w:val="-4"/>
              </w:rPr>
              <w:t>Vysokou loňskou dynamiku tržeb udrželi i letos internetoví prodejci, podobné platilo i pro celý motoristický segment, kde o</w:t>
            </w:r>
            <w:r w:rsidRPr="002F3519">
              <w:rPr>
                <w:color w:val="000000" w:themeColor="text1"/>
                <w:spacing w:val="-4"/>
              </w:rPr>
              <w:t>bchod s motorovými vozidly</w:t>
            </w:r>
            <w:r>
              <w:rPr>
                <w:color w:val="000000" w:themeColor="text1"/>
                <w:spacing w:val="-4"/>
              </w:rPr>
              <w:t xml:space="preserve"> meziročně vzrostl o osminu.</w:t>
            </w:r>
          </w:p>
          <w:p w:rsidR="00652CBB" w:rsidRPr="007E61CB" w:rsidRDefault="00652CBB" w:rsidP="00652CBB">
            <w:pPr>
              <w:pStyle w:val="Textpoznpodarou"/>
              <w:jc w:val="both"/>
              <w:rPr>
                <w:color w:val="000000" w:themeColor="text1"/>
                <w:spacing w:val="-4"/>
                <w:sz w:val="12"/>
                <w:szCs w:val="12"/>
              </w:rPr>
            </w:pPr>
          </w:p>
        </w:tc>
      </w:tr>
      <w:tr w:rsidR="00652CBB" w:rsidTr="00652CBB">
        <w:trPr>
          <w:gridAfter w:val="1"/>
          <w:wAfter w:w="59" w:type="pct"/>
          <w:cantSplit/>
          <w:trHeight w:val="250"/>
        </w:trPr>
        <w:tc>
          <w:tcPr>
            <w:tcW w:w="1077" w:type="pct"/>
            <w:gridSpan w:val="2"/>
          </w:tcPr>
          <w:p w:rsidR="00652CBB" w:rsidRPr="00BF497A" w:rsidRDefault="00652CBB" w:rsidP="00652CB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ČR patří k zemím EU s nejrychlejším růstem maloobchodních tržeb</w:t>
            </w:r>
          </w:p>
        </w:tc>
        <w:tc>
          <w:tcPr>
            <w:tcW w:w="144" w:type="pct"/>
          </w:tcPr>
          <w:p w:rsidR="00652CBB" w:rsidRPr="005A16AE" w:rsidRDefault="00652CBB" w:rsidP="00652CBB">
            <w:pPr>
              <w:rPr>
                <w:color w:val="000000" w:themeColor="text1"/>
                <w:szCs w:val="16"/>
              </w:rPr>
            </w:pPr>
          </w:p>
        </w:tc>
        <w:tc>
          <w:tcPr>
            <w:tcW w:w="3720" w:type="pct"/>
            <w:gridSpan w:val="3"/>
          </w:tcPr>
          <w:p w:rsidR="00652CBB" w:rsidRPr="00E5513F" w:rsidRDefault="00652CBB" w:rsidP="00652CBB">
            <w:pPr>
              <w:spacing w:line="240" w:lineRule="auto"/>
              <w:jc w:val="both"/>
              <w:rPr>
                <w:color w:val="000000" w:themeColor="text1"/>
                <w:spacing w:val="-4"/>
              </w:rPr>
            </w:pPr>
            <w:r w:rsidRPr="00707A42">
              <w:rPr>
                <w:color w:val="000000" w:themeColor="text1"/>
                <w:spacing w:val="-4"/>
                <w:szCs w:val="20"/>
              </w:rPr>
              <w:t>Růst maloobchodních tržeb</w:t>
            </w:r>
            <w:r w:rsidR="001F56A9" w:rsidRPr="001F56A9">
              <w:rPr>
                <w:color w:val="000000" w:themeColor="text1"/>
                <w:spacing w:val="-4"/>
                <w:szCs w:val="20"/>
                <w:vertAlign w:val="superscript"/>
              </w:rPr>
              <w:t>14</w:t>
            </w:r>
            <w:r w:rsidR="001F56A9">
              <w:rPr>
                <w:color w:val="000000" w:themeColor="text1"/>
                <w:spacing w:val="-4"/>
                <w:szCs w:val="20"/>
              </w:rPr>
              <w:t xml:space="preserve"> v</w:t>
            </w:r>
            <w:r w:rsidRPr="00707A42">
              <w:rPr>
                <w:color w:val="000000" w:themeColor="text1"/>
                <w:spacing w:val="-4"/>
                <w:szCs w:val="20"/>
              </w:rPr>
              <w:t xml:space="preserve"> ČR za tři čtvrtletí (5,9 %) byl šestý nejvyšší v EU, </w:t>
            </w:r>
            <w:r>
              <w:rPr>
                <w:color w:val="000000" w:themeColor="text1"/>
                <w:spacing w:val="-4"/>
              </w:rPr>
              <w:t>nejvyšší dynamiky</w:t>
            </w:r>
            <w:r w:rsidRPr="00707A42">
              <w:rPr>
                <w:color w:val="000000" w:themeColor="text1"/>
                <w:spacing w:val="-4"/>
              </w:rPr>
              <w:t xml:space="preserve"> dosáhly Polsko</w:t>
            </w:r>
            <w:r>
              <w:rPr>
                <w:color w:val="000000" w:themeColor="text1"/>
                <w:spacing w:val="-4"/>
              </w:rPr>
              <w:t xml:space="preserve"> a</w:t>
            </w:r>
            <w:r w:rsidRPr="00707A42">
              <w:rPr>
                <w:color w:val="000000" w:themeColor="text1"/>
                <w:spacing w:val="-4"/>
              </w:rPr>
              <w:t xml:space="preserve"> Rumunsko (6,8 %), ze států EU15 Irsko (6,</w:t>
            </w:r>
            <w:r w:rsidR="00BF7CB8">
              <w:rPr>
                <w:color w:val="000000" w:themeColor="text1"/>
                <w:spacing w:val="-4"/>
              </w:rPr>
              <w:t>2 %) a Velká Británie (4,5 %), z</w:t>
            </w:r>
            <w:r w:rsidRPr="00707A42">
              <w:rPr>
                <w:color w:val="000000" w:themeColor="text1"/>
                <w:spacing w:val="-4"/>
              </w:rPr>
              <w:t>e sousedních zemí Německo (2,9 %), Rakousko (1,6 %)</w:t>
            </w:r>
            <w:r>
              <w:rPr>
                <w:color w:val="000000" w:themeColor="text1"/>
                <w:spacing w:val="-4"/>
              </w:rPr>
              <w:t>.</w:t>
            </w:r>
          </w:p>
          <w:p w:rsidR="00652CBB" w:rsidRPr="00A51B62" w:rsidRDefault="00652CBB" w:rsidP="00652CBB">
            <w:pPr>
              <w:pStyle w:val="Textpoznpodarou"/>
              <w:jc w:val="both"/>
              <w:rPr>
                <w:color w:val="000000" w:themeColor="text1"/>
                <w:spacing w:val="-4"/>
                <w:sz w:val="10"/>
                <w:szCs w:val="10"/>
              </w:rPr>
            </w:pPr>
          </w:p>
        </w:tc>
      </w:tr>
      <w:tr w:rsidR="00652CBB" w:rsidTr="00652CBB">
        <w:tc>
          <w:tcPr>
            <w:tcW w:w="374" w:type="pct"/>
          </w:tcPr>
          <w:p w:rsidR="00652CBB" w:rsidRDefault="00652CBB" w:rsidP="00652CBB">
            <w:pPr>
              <w:spacing w:line="240" w:lineRule="auto"/>
            </w:pPr>
            <w:r>
              <w:t>Graf č. 5</w:t>
            </w:r>
          </w:p>
        </w:tc>
        <w:tc>
          <w:tcPr>
            <w:tcW w:w="2139" w:type="pct"/>
            <w:gridSpan w:val="3"/>
          </w:tcPr>
          <w:p w:rsidR="00652CBB" w:rsidRPr="001D04BA" w:rsidRDefault="00652CBB" w:rsidP="00652CBB">
            <w:pPr>
              <w:pStyle w:val="Textpoznpodarou"/>
              <w:rPr>
                <w:b/>
              </w:rPr>
            </w:pPr>
            <w:r w:rsidRPr="001D04BA">
              <w:rPr>
                <w:b/>
              </w:rPr>
              <w:t>Produkce v průmyslu a</w:t>
            </w:r>
            <w:r>
              <w:rPr>
                <w:b/>
              </w:rPr>
              <w:t xml:space="preserve"> ve</w:t>
            </w:r>
            <w:r w:rsidRPr="001D04BA">
              <w:rPr>
                <w:b/>
              </w:rPr>
              <w:t xml:space="preserve"> vyb</w:t>
            </w:r>
            <w:r>
              <w:rPr>
                <w:b/>
              </w:rPr>
              <w:t>raných zpracovatelských odvětvích</w:t>
            </w:r>
          </w:p>
          <w:p w:rsidR="00652CBB" w:rsidRDefault="00652CBB" w:rsidP="00652CBB">
            <w:pPr>
              <w:pStyle w:val="Textpoznpodarou"/>
              <w:rPr>
                <w:b/>
              </w:rPr>
            </w:pPr>
            <w:r w:rsidRPr="001D04BA">
              <w:t>(reálně, y/y, v %)</w:t>
            </w:r>
          </w:p>
        </w:tc>
        <w:tc>
          <w:tcPr>
            <w:tcW w:w="388" w:type="pct"/>
          </w:tcPr>
          <w:p w:rsidR="00652CBB" w:rsidRDefault="00652CBB" w:rsidP="00652CBB">
            <w:pPr>
              <w:spacing w:line="240" w:lineRule="auto"/>
            </w:pPr>
            <w:r>
              <w:t>Graf č. 6</w:t>
            </w:r>
          </w:p>
        </w:tc>
        <w:tc>
          <w:tcPr>
            <w:tcW w:w="2099" w:type="pct"/>
            <w:gridSpan w:val="2"/>
          </w:tcPr>
          <w:p w:rsidR="00652CBB" w:rsidRDefault="00652CBB" w:rsidP="00652CBB">
            <w:pPr>
              <w:spacing w:line="240" w:lineRule="auto"/>
              <w:rPr>
                <w:b/>
              </w:rPr>
            </w:pPr>
            <w:r w:rsidRPr="004B22DA">
              <w:rPr>
                <w:b/>
                <w:spacing w:val="-2"/>
              </w:rPr>
              <w:t>Nové zakázky v automobilovém průmyslu</w:t>
            </w:r>
            <w:r>
              <w:rPr>
                <w:b/>
              </w:rPr>
              <w:t xml:space="preserve">, v průmyslu celkem </w:t>
            </w:r>
            <w:r>
              <w:rPr>
                <w:bCs/>
              </w:rPr>
              <w:t xml:space="preserve">(b.c., y/y, v %) </w:t>
            </w:r>
            <w:r w:rsidRPr="004B22DA">
              <w:t>a</w:t>
            </w:r>
            <w:r>
              <w:rPr>
                <w:b/>
              </w:rPr>
              <w:t xml:space="preserve"> saldo indikátoru důvěry v průmyslu </w:t>
            </w:r>
            <w:r w:rsidRPr="00C1711F">
              <w:t>(pravá osa)</w:t>
            </w:r>
          </w:p>
        </w:tc>
      </w:tr>
      <w:tr w:rsidR="00652CBB" w:rsidTr="00652CBB">
        <w:tc>
          <w:tcPr>
            <w:tcW w:w="2513" w:type="pct"/>
            <w:gridSpan w:val="4"/>
          </w:tcPr>
          <w:p w:rsidR="00652CBB" w:rsidRDefault="00983BAC" w:rsidP="00652CBB">
            <w:pPr>
              <w:pStyle w:val="Textpoznpodarou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41.5pt;height:187.5pt">
                  <v:imagedata r:id="rId8" o:title=""/>
                </v:shape>
              </w:pict>
            </w:r>
          </w:p>
        </w:tc>
        <w:tc>
          <w:tcPr>
            <w:tcW w:w="2487" w:type="pct"/>
            <w:gridSpan w:val="3"/>
          </w:tcPr>
          <w:p w:rsidR="00652CBB" w:rsidRDefault="00983BAC" w:rsidP="00652CBB">
            <w:pPr>
              <w:pStyle w:val="Textpoznpodarou"/>
              <w:jc w:val="both"/>
            </w:pPr>
            <w:r>
              <w:pict>
                <v:shape id="_x0000_i1030" type="#_x0000_t75" style="width:240.75pt;height:187.5pt">
                  <v:imagedata r:id="rId9" o:title=""/>
                </v:shape>
              </w:pict>
            </w:r>
          </w:p>
        </w:tc>
      </w:tr>
    </w:tbl>
    <w:p w:rsidR="00DC3790" w:rsidRPr="00BF7CB8" w:rsidRDefault="00DC3790" w:rsidP="006D142E">
      <w:pPr>
        <w:pStyle w:val="Textpoznpodarou"/>
        <w:jc w:val="both"/>
        <w:rPr>
          <w:sz w:val="10"/>
          <w:szCs w:val="10"/>
        </w:rPr>
      </w:pPr>
    </w:p>
    <w:tbl>
      <w:tblPr>
        <w:tblW w:w="5059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735"/>
        <w:gridCol w:w="4180"/>
        <w:gridCol w:w="45"/>
        <w:gridCol w:w="738"/>
        <w:gridCol w:w="4110"/>
      </w:tblGrid>
      <w:tr w:rsidR="00652CBB" w:rsidTr="00652CBB">
        <w:tc>
          <w:tcPr>
            <w:tcW w:w="375" w:type="pct"/>
          </w:tcPr>
          <w:p w:rsidR="00652CBB" w:rsidRDefault="00652CBB" w:rsidP="00652CBB">
            <w:pPr>
              <w:spacing w:line="240" w:lineRule="auto"/>
            </w:pPr>
            <w:r>
              <w:t>Graf č. 7</w:t>
            </w:r>
          </w:p>
        </w:tc>
        <w:tc>
          <w:tcPr>
            <w:tcW w:w="2131" w:type="pct"/>
          </w:tcPr>
          <w:p w:rsidR="00652CBB" w:rsidRDefault="00652CBB" w:rsidP="00652CB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Stavební produkce, hodnota nových zakázek </w:t>
            </w:r>
            <w:r>
              <w:rPr>
                <w:bCs/>
              </w:rPr>
              <w:t xml:space="preserve">(y/y, v %) </w:t>
            </w:r>
            <w:r w:rsidRPr="004B22DA">
              <w:t>a</w:t>
            </w:r>
            <w:r>
              <w:rPr>
                <w:b/>
              </w:rPr>
              <w:t xml:space="preserve"> saldo indikátoru důvěry ve stavebnictví </w:t>
            </w:r>
            <w:r w:rsidRPr="00C1711F">
              <w:t>(pravá osa)</w:t>
            </w:r>
          </w:p>
        </w:tc>
        <w:tc>
          <w:tcPr>
            <w:tcW w:w="399" w:type="pct"/>
            <w:gridSpan w:val="2"/>
          </w:tcPr>
          <w:p w:rsidR="00652CBB" w:rsidRDefault="00652CBB" w:rsidP="00652CBB">
            <w:pPr>
              <w:spacing w:line="240" w:lineRule="auto"/>
            </w:pPr>
            <w:r>
              <w:t>Graf č. 8</w:t>
            </w:r>
          </w:p>
        </w:tc>
        <w:tc>
          <w:tcPr>
            <w:tcW w:w="2095" w:type="pct"/>
          </w:tcPr>
          <w:p w:rsidR="00652CBB" w:rsidRDefault="00652CBB" w:rsidP="00652CB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Tržby v maloobchodě vč. motoristického segmentu </w:t>
            </w:r>
            <w:r>
              <w:rPr>
                <w:bCs/>
              </w:rPr>
              <w:t xml:space="preserve">(reálně, y/y v %) </w:t>
            </w:r>
            <w:r>
              <w:rPr>
                <w:b/>
              </w:rPr>
              <w:t xml:space="preserve">saldo indikátoru důvěry spotřebitelů </w:t>
            </w:r>
            <w:r w:rsidRPr="00C1711F">
              <w:t>(pravá osa)</w:t>
            </w:r>
          </w:p>
        </w:tc>
      </w:tr>
      <w:tr w:rsidR="00652CBB" w:rsidTr="00652CBB">
        <w:tc>
          <w:tcPr>
            <w:tcW w:w="2506" w:type="pct"/>
            <w:gridSpan w:val="2"/>
          </w:tcPr>
          <w:p w:rsidR="00652CBB" w:rsidRDefault="00983BAC" w:rsidP="00652CBB">
            <w:pPr>
              <w:pStyle w:val="Textpoznpodarou"/>
              <w:jc w:val="both"/>
            </w:pPr>
            <w:r>
              <w:pict>
                <v:shape id="_x0000_i1031" type="#_x0000_t75" style="width:242.25pt;height:175.5pt">
                  <v:imagedata r:id="rId10" o:title=""/>
                </v:shape>
              </w:pict>
            </w:r>
          </w:p>
        </w:tc>
        <w:tc>
          <w:tcPr>
            <w:tcW w:w="2494" w:type="pct"/>
            <w:gridSpan w:val="3"/>
          </w:tcPr>
          <w:p w:rsidR="00652CBB" w:rsidRDefault="00983BAC" w:rsidP="00652CBB">
            <w:pPr>
              <w:pStyle w:val="Textpoznpodarou"/>
              <w:jc w:val="both"/>
            </w:pPr>
            <w:r>
              <w:pict>
                <v:shape id="_x0000_i1032" type="#_x0000_t75" style="width:240pt;height:175.5pt">
                  <v:imagedata r:id="rId11" o:title=""/>
                </v:shape>
              </w:pict>
            </w:r>
          </w:p>
        </w:tc>
      </w:tr>
      <w:tr w:rsidR="00652CBB" w:rsidTr="00652CBB">
        <w:trPr>
          <w:trHeight w:val="58"/>
        </w:trPr>
        <w:tc>
          <w:tcPr>
            <w:tcW w:w="2529" w:type="pct"/>
            <w:gridSpan w:val="3"/>
          </w:tcPr>
          <w:p w:rsidR="00652CBB" w:rsidRDefault="00652CBB" w:rsidP="00652CBB">
            <w:pPr>
              <w:pStyle w:val="Zhlav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71" w:type="pct"/>
            <w:gridSpan w:val="2"/>
          </w:tcPr>
          <w:p w:rsidR="00652CBB" w:rsidRDefault="00652CBB" w:rsidP="00652CBB">
            <w:pPr>
              <w:pStyle w:val="Zhlav"/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F401E">
              <w:rPr>
                <w:rFonts w:ascii="Arial" w:hAnsi="Arial" w:cs="Arial"/>
                <w:sz w:val="18"/>
                <w:szCs w:val="18"/>
                <w:lang w:eastAsia="cs-CZ"/>
              </w:rPr>
              <w:t>Zdroj: ČSÚ</w:t>
            </w:r>
          </w:p>
        </w:tc>
      </w:tr>
    </w:tbl>
    <w:p w:rsidR="00B55BA8" w:rsidRPr="00983BAC" w:rsidRDefault="00B55BA8" w:rsidP="00983BAC">
      <w:pPr>
        <w:pStyle w:val="Nadpis1"/>
        <w:jc w:val="both"/>
        <w:rPr>
          <w:rFonts w:cs="Arial"/>
          <w:color w:val="000000" w:themeColor="text1"/>
          <w:spacing w:val="-2"/>
          <w:sz w:val="2"/>
          <w:szCs w:val="2"/>
        </w:rPr>
      </w:pPr>
    </w:p>
    <w:sectPr w:rsidR="00B55BA8" w:rsidRPr="00983BAC" w:rsidSect="00983BAC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 w:code="9"/>
      <w:pgMar w:top="1134" w:right="1134" w:bottom="1418" w:left="1134" w:header="680" w:footer="680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B4B" w:rsidRDefault="00463B4B" w:rsidP="00E71A58">
      <w:r>
        <w:separator/>
      </w:r>
    </w:p>
  </w:endnote>
  <w:endnote w:type="continuationSeparator" w:id="0">
    <w:p w:rsidR="00463B4B" w:rsidRDefault="00463B4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4B" w:rsidRDefault="00B22EE1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251657728;visibility:visible">
          <v:imagedata r:id="rId1" o:title="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463B4B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983BAC">
      <w:rPr>
        <w:rFonts w:ascii="Arial" w:hAnsi="Arial" w:cs="Arial"/>
        <w:noProof/>
        <w:sz w:val="16"/>
        <w:szCs w:val="16"/>
      </w:rPr>
      <w:t>10</w:t>
    </w:r>
    <w:r w:rsidRPr="005A21E0">
      <w:rPr>
        <w:rFonts w:ascii="Arial" w:hAnsi="Arial" w:cs="Arial"/>
        <w:sz w:val="16"/>
        <w:szCs w:val="16"/>
      </w:rPr>
      <w:fldChar w:fldCharType="end"/>
    </w:r>
    <w:r w:rsidR="00463B4B">
      <w:rPr>
        <w:rFonts w:ascii="Arial" w:hAnsi="Arial" w:cs="Arial"/>
        <w:sz w:val="16"/>
        <w:szCs w:val="16"/>
      </w:rPr>
      <w:tab/>
      <w:t>2015</w:t>
    </w:r>
    <w:r w:rsidR="00463B4B">
      <w:tab/>
    </w:r>
    <w:r w:rsidR="00463B4B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4B" w:rsidRDefault="00B22EE1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Description: 3" style="position:absolute;margin-left:.3pt;margin-top:7.1pt;width:39pt;height:21pt;z-index:251658752;visibility:visible">
          <v:imagedata r:id="rId1" o:title=""/>
        </v:shape>
      </w:pict>
    </w:r>
    <w:r w:rsidR="00463B4B">
      <w:tab/>
    </w:r>
    <w:r w:rsidR="00463B4B">
      <w:tab/>
    </w:r>
    <w:r w:rsidR="00463B4B" w:rsidRPr="00DC5B3B">
      <w:t xml:space="preserve">                              </w:t>
    </w:r>
  </w:p>
  <w:p w:rsidR="00463B4B" w:rsidRPr="00223E00" w:rsidRDefault="00463B4B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2015</w:t>
    </w:r>
    <w:r>
      <w:rPr>
        <w:rFonts w:ascii="Arial" w:hAnsi="Arial" w:cs="Arial"/>
        <w:sz w:val="16"/>
        <w:szCs w:val="16"/>
      </w:rPr>
      <w:tab/>
    </w:r>
    <w:r w:rsidR="00B22EE1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B22EE1" w:rsidRPr="00223E00">
      <w:rPr>
        <w:rFonts w:ascii="Arial" w:hAnsi="Arial" w:cs="Arial"/>
        <w:sz w:val="16"/>
        <w:szCs w:val="16"/>
      </w:rPr>
      <w:fldChar w:fldCharType="separate"/>
    </w:r>
    <w:r w:rsidR="00983BAC">
      <w:rPr>
        <w:rFonts w:ascii="Arial" w:hAnsi="Arial" w:cs="Arial"/>
        <w:noProof/>
        <w:sz w:val="16"/>
        <w:szCs w:val="16"/>
      </w:rPr>
      <w:t>11</w:t>
    </w:r>
    <w:r w:rsidR="00B22EE1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B4B" w:rsidRDefault="00463B4B" w:rsidP="00E71A58">
      <w:r>
        <w:separator/>
      </w:r>
    </w:p>
  </w:footnote>
  <w:footnote w:type="continuationSeparator" w:id="0">
    <w:p w:rsidR="00463B4B" w:rsidRDefault="00463B4B" w:rsidP="00E71A58">
      <w:r>
        <w:continuationSeparator/>
      </w:r>
    </w:p>
  </w:footnote>
  <w:footnote w:id="1">
    <w:p w:rsidR="00463B4B" w:rsidRDefault="00463B4B" w:rsidP="00652C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A1AB7">
        <w:rPr>
          <w:sz w:val="16"/>
          <w:szCs w:val="16"/>
        </w:rPr>
        <w:t xml:space="preserve">Pokud není uvedeno jinak, jedná se o údaje </w:t>
      </w:r>
      <w:r>
        <w:rPr>
          <w:sz w:val="16"/>
          <w:szCs w:val="16"/>
        </w:rPr>
        <w:t>v reálném vyjádření a očištěné</w:t>
      </w:r>
      <w:r w:rsidRPr="00CA1AB7">
        <w:rPr>
          <w:sz w:val="16"/>
          <w:szCs w:val="16"/>
        </w:rPr>
        <w:t xml:space="preserve"> o sezónní vlivy.</w:t>
      </w:r>
    </w:p>
  </w:footnote>
  <w:footnote w:id="2">
    <w:p w:rsidR="00463B4B" w:rsidRDefault="00463B4B" w:rsidP="00652C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Zahrnují</w:t>
      </w:r>
      <w:r w:rsidRPr="00F42762">
        <w:rPr>
          <w:sz w:val="16"/>
          <w:szCs w:val="16"/>
        </w:rPr>
        <w:t xml:space="preserve"> kulturní, zábavní a rekreační činnosti a také poskytování ostatních osobních služeb (např. kadeřnické, kosmetické činnosti)</w:t>
      </w:r>
      <w:r>
        <w:rPr>
          <w:sz w:val="16"/>
          <w:szCs w:val="16"/>
        </w:rPr>
        <w:t>.</w:t>
      </w:r>
    </w:p>
  </w:footnote>
  <w:footnote w:id="3">
    <w:p w:rsidR="00463B4B" w:rsidRDefault="00463B4B" w:rsidP="00652C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Sestávají se z dílčích odvětví: </w:t>
      </w:r>
      <w:r w:rsidRPr="000141B0">
        <w:rPr>
          <w:sz w:val="16"/>
          <w:szCs w:val="16"/>
        </w:rPr>
        <w:t>Veřejná správa a obrana, vzdělávání, zdravotní a sociální péče</w:t>
      </w:r>
      <w:r>
        <w:rPr>
          <w:sz w:val="16"/>
          <w:szCs w:val="16"/>
        </w:rPr>
        <w:t>.</w:t>
      </w:r>
    </w:p>
  </w:footnote>
  <w:footnote w:id="4">
    <w:p w:rsidR="00463B4B" w:rsidRPr="00EF6BE3" w:rsidRDefault="00463B4B" w:rsidP="00652CB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F6BE3">
        <w:rPr>
          <w:sz w:val="16"/>
          <w:szCs w:val="16"/>
        </w:rPr>
        <w:t>Zahrnující odvětví dle CZ-NACE: B (Těžba a dobývání), C (Zpracovatelský průmysl), D (Energetika)</w:t>
      </w:r>
      <w:r>
        <w:rPr>
          <w:sz w:val="16"/>
          <w:szCs w:val="16"/>
        </w:rPr>
        <w:t>.</w:t>
      </w:r>
    </w:p>
  </w:footnote>
  <w:footnote w:id="5">
    <w:p w:rsidR="00463B4B" w:rsidRDefault="00463B4B" w:rsidP="00652CBB">
      <w:pPr>
        <w:pStyle w:val="Textpoznpodarou"/>
        <w:rPr>
          <w:sz w:val="18"/>
        </w:rPr>
      </w:pPr>
      <w:r w:rsidRPr="00BF7CB8">
        <w:rPr>
          <w:rStyle w:val="Znakapoznpodarou"/>
        </w:rPr>
        <w:footnoteRef/>
      </w:r>
      <w:r w:rsidRPr="006D142E">
        <w:rPr>
          <w:sz w:val="16"/>
          <w:szCs w:val="16"/>
        </w:rPr>
        <w:t xml:space="preserve"> Nezahrnují odvětví obchodu, peněžnictví a pojišťovnictví, vědy a výzkumu a také veřejných služeb</w:t>
      </w:r>
      <w:r>
        <w:rPr>
          <w:sz w:val="16"/>
          <w:szCs w:val="16"/>
        </w:rPr>
        <w:t>.</w:t>
      </w:r>
    </w:p>
  </w:footnote>
  <w:footnote w:id="6">
    <w:p w:rsidR="00463B4B" w:rsidRPr="00E65E26" w:rsidRDefault="00463B4B" w:rsidP="00652CB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65E26">
        <w:rPr>
          <w:sz w:val="16"/>
          <w:szCs w:val="16"/>
        </w:rPr>
        <w:t>Maloobchod bez motoristického segment</w:t>
      </w:r>
      <w:r w:rsidR="001F56A9">
        <w:rPr>
          <w:sz w:val="16"/>
          <w:szCs w:val="16"/>
        </w:rPr>
        <w:t>u</w:t>
      </w:r>
      <w:r w:rsidRPr="00E65E26">
        <w:rPr>
          <w:sz w:val="16"/>
          <w:szCs w:val="16"/>
        </w:rPr>
        <w:t xml:space="preserve">, </w:t>
      </w:r>
      <w:r>
        <w:rPr>
          <w:sz w:val="16"/>
          <w:szCs w:val="16"/>
        </w:rPr>
        <w:t>údaj očištěný</w:t>
      </w:r>
      <w:r w:rsidRPr="003F1A48">
        <w:rPr>
          <w:sz w:val="16"/>
          <w:szCs w:val="16"/>
        </w:rPr>
        <w:t xml:space="preserve"> o počet pracovních dní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4B" w:rsidRPr="00D766EF" w:rsidRDefault="00463B4B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až 3. čtvrtletí 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4B" w:rsidRPr="00D766EF" w:rsidRDefault="00463B4B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až 3. čtvrtletí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E42"/>
    <w:multiLevelType w:val="hybridMultilevel"/>
    <w:tmpl w:val="D05AB5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0FE2"/>
    <w:multiLevelType w:val="hybridMultilevel"/>
    <w:tmpl w:val="03541CA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0BD"/>
    <w:rsid w:val="00000FA7"/>
    <w:rsid w:val="00003687"/>
    <w:rsid w:val="00003C43"/>
    <w:rsid w:val="00007498"/>
    <w:rsid w:val="0000767A"/>
    <w:rsid w:val="000101F5"/>
    <w:rsid w:val="000104B9"/>
    <w:rsid w:val="00010702"/>
    <w:rsid w:val="00011191"/>
    <w:rsid w:val="0001159B"/>
    <w:rsid w:val="00012986"/>
    <w:rsid w:val="00015195"/>
    <w:rsid w:val="0001572B"/>
    <w:rsid w:val="0001573E"/>
    <w:rsid w:val="000162DB"/>
    <w:rsid w:val="00017F05"/>
    <w:rsid w:val="000202C6"/>
    <w:rsid w:val="00020946"/>
    <w:rsid w:val="00024887"/>
    <w:rsid w:val="00024CBA"/>
    <w:rsid w:val="00025501"/>
    <w:rsid w:val="00026998"/>
    <w:rsid w:val="000304C4"/>
    <w:rsid w:val="0003066A"/>
    <w:rsid w:val="00030F14"/>
    <w:rsid w:val="000311C5"/>
    <w:rsid w:val="00032838"/>
    <w:rsid w:val="00032C12"/>
    <w:rsid w:val="00035CCF"/>
    <w:rsid w:val="00035FC6"/>
    <w:rsid w:val="00037667"/>
    <w:rsid w:val="000411E1"/>
    <w:rsid w:val="00043E05"/>
    <w:rsid w:val="0004694F"/>
    <w:rsid w:val="000500DC"/>
    <w:rsid w:val="00052172"/>
    <w:rsid w:val="00055059"/>
    <w:rsid w:val="000553E4"/>
    <w:rsid w:val="00060F26"/>
    <w:rsid w:val="00062D43"/>
    <w:rsid w:val="00062EC5"/>
    <w:rsid w:val="00064256"/>
    <w:rsid w:val="000706A4"/>
    <w:rsid w:val="00072118"/>
    <w:rsid w:val="00073173"/>
    <w:rsid w:val="000779AC"/>
    <w:rsid w:val="00083803"/>
    <w:rsid w:val="0008716A"/>
    <w:rsid w:val="00087634"/>
    <w:rsid w:val="00091237"/>
    <w:rsid w:val="0009191B"/>
    <w:rsid w:val="000920EC"/>
    <w:rsid w:val="00092208"/>
    <w:rsid w:val="00092505"/>
    <w:rsid w:val="00097D02"/>
    <w:rsid w:val="000A1183"/>
    <w:rsid w:val="000A2121"/>
    <w:rsid w:val="000A2484"/>
    <w:rsid w:val="000B1CFE"/>
    <w:rsid w:val="000B210A"/>
    <w:rsid w:val="000B249B"/>
    <w:rsid w:val="000B3DB9"/>
    <w:rsid w:val="000B3F02"/>
    <w:rsid w:val="000B48E7"/>
    <w:rsid w:val="000B4F41"/>
    <w:rsid w:val="000B7663"/>
    <w:rsid w:val="000C11D3"/>
    <w:rsid w:val="000C12F5"/>
    <w:rsid w:val="000C3408"/>
    <w:rsid w:val="000C6498"/>
    <w:rsid w:val="000D0D51"/>
    <w:rsid w:val="000D14B3"/>
    <w:rsid w:val="000D208B"/>
    <w:rsid w:val="000D2B8D"/>
    <w:rsid w:val="000D2E41"/>
    <w:rsid w:val="000D342A"/>
    <w:rsid w:val="000D5E7A"/>
    <w:rsid w:val="000D5FAA"/>
    <w:rsid w:val="000D65A4"/>
    <w:rsid w:val="000D6AEF"/>
    <w:rsid w:val="000E025B"/>
    <w:rsid w:val="000E153A"/>
    <w:rsid w:val="000E19A8"/>
    <w:rsid w:val="000E4A42"/>
    <w:rsid w:val="000E6476"/>
    <w:rsid w:val="000E78D2"/>
    <w:rsid w:val="000F3332"/>
    <w:rsid w:val="000F33EE"/>
    <w:rsid w:val="000F401E"/>
    <w:rsid w:val="000F5445"/>
    <w:rsid w:val="000F5673"/>
    <w:rsid w:val="000F67B2"/>
    <w:rsid w:val="000F790F"/>
    <w:rsid w:val="000F7E1B"/>
    <w:rsid w:val="00100014"/>
    <w:rsid w:val="0010039A"/>
    <w:rsid w:val="00101FB2"/>
    <w:rsid w:val="00102F02"/>
    <w:rsid w:val="0010385D"/>
    <w:rsid w:val="001041B6"/>
    <w:rsid w:val="001070EA"/>
    <w:rsid w:val="0011002A"/>
    <w:rsid w:val="001107CE"/>
    <w:rsid w:val="0011110A"/>
    <w:rsid w:val="001118AF"/>
    <w:rsid w:val="0011256E"/>
    <w:rsid w:val="0011352E"/>
    <w:rsid w:val="00116DB9"/>
    <w:rsid w:val="00116F28"/>
    <w:rsid w:val="00121C39"/>
    <w:rsid w:val="00123255"/>
    <w:rsid w:val="00124D2D"/>
    <w:rsid w:val="00125326"/>
    <w:rsid w:val="001307BE"/>
    <w:rsid w:val="00130C8F"/>
    <w:rsid w:val="001314F2"/>
    <w:rsid w:val="001317DA"/>
    <w:rsid w:val="001323BA"/>
    <w:rsid w:val="0013254D"/>
    <w:rsid w:val="00133AAC"/>
    <w:rsid w:val="00136561"/>
    <w:rsid w:val="001400E1"/>
    <w:rsid w:val="001405FA"/>
    <w:rsid w:val="001413B3"/>
    <w:rsid w:val="001425C3"/>
    <w:rsid w:val="00142F16"/>
    <w:rsid w:val="00143E03"/>
    <w:rsid w:val="00143E93"/>
    <w:rsid w:val="00151AC0"/>
    <w:rsid w:val="00151B27"/>
    <w:rsid w:val="00152046"/>
    <w:rsid w:val="00154147"/>
    <w:rsid w:val="00155746"/>
    <w:rsid w:val="00156318"/>
    <w:rsid w:val="0015639A"/>
    <w:rsid w:val="0016081D"/>
    <w:rsid w:val="00160CF3"/>
    <w:rsid w:val="001620FA"/>
    <w:rsid w:val="00162853"/>
    <w:rsid w:val="00163793"/>
    <w:rsid w:val="001707DE"/>
    <w:rsid w:val="00170B04"/>
    <w:rsid w:val="00170F47"/>
    <w:rsid w:val="001714F2"/>
    <w:rsid w:val="00173642"/>
    <w:rsid w:val="00173CB0"/>
    <w:rsid w:val="00174CE8"/>
    <w:rsid w:val="00175351"/>
    <w:rsid w:val="00176050"/>
    <w:rsid w:val="001764D8"/>
    <w:rsid w:val="00176A8F"/>
    <w:rsid w:val="00180D58"/>
    <w:rsid w:val="00182981"/>
    <w:rsid w:val="00184CF9"/>
    <w:rsid w:val="00185010"/>
    <w:rsid w:val="001852EC"/>
    <w:rsid w:val="00186447"/>
    <w:rsid w:val="001874CF"/>
    <w:rsid w:val="00190D9B"/>
    <w:rsid w:val="00191BAE"/>
    <w:rsid w:val="00193432"/>
    <w:rsid w:val="0019346C"/>
    <w:rsid w:val="00195444"/>
    <w:rsid w:val="001A2BDB"/>
    <w:rsid w:val="001A30F4"/>
    <w:rsid w:val="001A552F"/>
    <w:rsid w:val="001A56F3"/>
    <w:rsid w:val="001A750C"/>
    <w:rsid w:val="001B1D89"/>
    <w:rsid w:val="001B3110"/>
    <w:rsid w:val="001B4198"/>
    <w:rsid w:val="001B44BC"/>
    <w:rsid w:val="001B6545"/>
    <w:rsid w:val="001B681B"/>
    <w:rsid w:val="001B6A49"/>
    <w:rsid w:val="001B74FB"/>
    <w:rsid w:val="001B77A1"/>
    <w:rsid w:val="001C0422"/>
    <w:rsid w:val="001C0E0E"/>
    <w:rsid w:val="001C1219"/>
    <w:rsid w:val="001C357A"/>
    <w:rsid w:val="001C3A37"/>
    <w:rsid w:val="001C4384"/>
    <w:rsid w:val="001C65FF"/>
    <w:rsid w:val="001D47E5"/>
    <w:rsid w:val="001D584C"/>
    <w:rsid w:val="001D66C1"/>
    <w:rsid w:val="001E0024"/>
    <w:rsid w:val="001E0C65"/>
    <w:rsid w:val="001E23E3"/>
    <w:rsid w:val="001E387A"/>
    <w:rsid w:val="001E3DA4"/>
    <w:rsid w:val="001E5830"/>
    <w:rsid w:val="001E684C"/>
    <w:rsid w:val="001E701C"/>
    <w:rsid w:val="001E7C03"/>
    <w:rsid w:val="001F02AF"/>
    <w:rsid w:val="001F0649"/>
    <w:rsid w:val="001F28F4"/>
    <w:rsid w:val="001F378E"/>
    <w:rsid w:val="001F3C79"/>
    <w:rsid w:val="001F3E68"/>
    <w:rsid w:val="001F4597"/>
    <w:rsid w:val="001F56A9"/>
    <w:rsid w:val="00200D15"/>
    <w:rsid w:val="00203074"/>
    <w:rsid w:val="00203B46"/>
    <w:rsid w:val="002048E1"/>
    <w:rsid w:val="00207DB6"/>
    <w:rsid w:val="00210278"/>
    <w:rsid w:val="00210CC2"/>
    <w:rsid w:val="00210F5B"/>
    <w:rsid w:val="00211262"/>
    <w:rsid w:val="00211AC9"/>
    <w:rsid w:val="0021355B"/>
    <w:rsid w:val="002205F2"/>
    <w:rsid w:val="0022080E"/>
    <w:rsid w:val="0022139E"/>
    <w:rsid w:val="0022272B"/>
    <w:rsid w:val="00222A99"/>
    <w:rsid w:val="00223678"/>
    <w:rsid w:val="002236F7"/>
    <w:rsid w:val="00223E00"/>
    <w:rsid w:val="002252E0"/>
    <w:rsid w:val="002255F6"/>
    <w:rsid w:val="00226466"/>
    <w:rsid w:val="002266D0"/>
    <w:rsid w:val="00226887"/>
    <w:rsid w:val="00230DAD"/>
    <w:rsid w:val="0023229C"/>
    <w:rsid w:val="00234280"/>
    <w:rsid w:val="00235000"/>
    <w:rsid w:val="002350E3"/>
    <w:rsid w:val="00235330"/>
    <w:rsid w:val="00236443"/>
    <w:rsid w:val="00240773"/>
    <w:rsid w:val="00240A5B"/>
    <w:rsid w:val="002436BA"/>
    <w:rsid w:val="002444ED"/>
    <w:rsid w:val="00244A15"/>
    <w:rsid w:val="00244D40"/>
    <w:rsid w:val="00246AE9"/>
    <w:rsid w:val="0024799E"/>
    <w:rsid w:val="00250C59"/>
    <w:rsid w:val="00251D59"/>
    <w:rsid w:val="00252602"/>
    <w:rsid w:val="00252FDC"/>
    <w:rsid w:val="00257613"/>
    <w:rsid w:val="00261E5B"/>
    <w:rsid w:val="00263470"/>
    <w:rsid w:val="00263733"/>
    <w:rsid w:val="00264676"/>
    <w:rsid w:val="00265536"/>
    <w:rsid w:val="00265E54"/>
    <w:rsid w:val="00266F3E"/>
    <w:rsid w:val="00272464"/>
    <w:rsid w:val="00273DCD"/>
    <w:rsid w:val="00274291"/>
    <w:rsid w:val="00276CFE"/>
    <w:rsid w:val="00277071"/>
    <w:rsid w:val="0027786C"/>
    <w:rsid w:val="00277BF7"/>
    <w:rsid w:val="00281416"/>
    <w:rsid w:val="00285CD3"/>
    <w:rsid w:val="0028686A"/>
    <w:rsid w:val="00286E66"/>
    <w:rsid w:val="002919B5"/>
    <w:rsid w:val="00293441"/>
    <w:rsid w:val="00294238"/>
    <w:rsid w:val="0029493E"/>
    <w:rsid w:val="00296C2E"/>
    <w:rsid w:val="002A1B05"/>
    <w:rsid w:val="002A3354"/>
    <w:rsid w:val="002A35EA"/>
    <w:rsid w:val="002A37B6"/>
    <w:rsid w:val="002A3BD5"/>
    <w:rsid w:val="002A43A2"/>
    <w:rsid w:val="002A4612"/>
    <w:rsid w:val="002A5263"/>
    <w:rsid w:val="002A6821"/>
    <w:rsid w:val="002A74D2"/>
    <w:rsid w:val="002A7CDA"/>
    <w:rsid w:val="002B1544"/>
    <w:rsid w:val="002B36C8"/>
    <w:rsid w:val="002B7240"/>
    <w:rsid w:val="002C2668"/>
    <w:rsid w:val="002C43BD"/>
    <w:rsid w:val="002C5261"/>
    <w:rsid w:val="002C6091"/>
    <w:rsid w:val="002D0562"/>
    <w:rsid w:val="002D1B5A"/>
    <w:rsid w:val="002D3F00"/>
    <w:rsid w:val="002D4D59"/>
    <w:rsid w:val="002D54BF"/>
    <w:rsid w:val="002D5E94"/>
    <w:rsid w:val="002D632D"/>
    <w:rsid w:val="002E02A1"/>
    <w:rsid w:val="002E0982"/>
    <w:rsid w:val="002E0DB9"/>
    <w:rsid w:val="002E2CE4"/>
    <w:rsid w:val="002E73F2"/>
    <w:rsid w:val="002F33FB"/>
    <w:rsid w:val="002F7594"/>
    <w:rsid w:val="00301357"/>
    <w:rsid w:val="00301D04"/>
    <w:rsid w:val="00303DCB"/>
    <w:rsid w:val="00304771"/>
    <w:rsid w:val="00305736"/>
    <w:rsid w:val="00306C5B"/>
    <w:rsid w:val="00306E3B"/>
    <w:rsid w:val="003119B6"/>
    <w:rsid w:val="00312C3D"/>
    <w:rsid w:val="00314331"/>
    <w:rsid w:val="00317E31"/>
    <w:rsid w:val="00320214"/>
    <w:rsid w:val="003209D6"/>
    <w:rsid w:val="0032109A"/>
    <w:rsid w:val="0032214F"/>
    <w:rsid w:val="00322164"/>
    <w:rsid w:val="0032513D"/>
    <w:rsid w:val="00326251"/>
    <w:rsid w:val="0032739C"/>
    <w:rsid w:val="00327DEE"/>
    <w:rsid w:val="003329F3"/>
    <w:rsid w:val="0033352E"/>
    <w:rsid w:val="00333690"/>
    <w:rsid w:val="00333D20"/>
    <w:rsid w:val="003340EF"/>
    <w:rsid w:val="00334A49"/>
    <w:rsid w:val="0033536F"/>
    <w:rsid w:val="00335BB0"/>
    <w:rsid w:val="0033627B"/>
    <w:rsid w:val="003406BD"/>
    <w:rsid w:val="00343F84"/>
    <w:rsid w:val="00344135"/>
    <w:rsid w:val="00351B63"/>
    <w:rsid w:val="00352E57"/>
    <w:rsid w:val="003541B0"/>
    <w:rsid w:val="00355885"/>
    <w:rsid w:val="0035605E"/>
    <w:rsid w:val="00357449"/>
    <w:rsid w:val="0036238B"/>
    <w:rsid w:val="00365680"/>
    <w:rsid w:val="003657F3"/>
    <w:rsid w:val="00367038"/>
    <w:rsid w:val="0037144E"/>
    <w:rsid w:val="003736B5"/>
    <w:rsid w:val="00374F1E"/>
    <w:rsid w:val="00376DEC"/>
    <w:rsid w:val="00380E04"/>
    <w:rsid w:val="00383227"/>
    <w:rsid w:val="00384D8F"/>
    <w:rsid w:val="00385D98"/>
    <w:rsid w:val="00385EC5"/>
    <w:rsid w:val="0039066E"/>
    <w:rsid w:val="00391C95"/>
    <w:rsid w:val="00394D49"/>
    <w:rsid w:val="00396DAC"/>
    <w:rsid w:val="003A0214"/>
    <w:rsid w:val="003A027D"/>
    <w:rsid w:val="003A1D74"/>
    <w:rsid w:val="003A2B4D"/>
    <w:rsid w:val="003A2D2B"/>
    <w:rsid w:val="003A2DD4"/>
    <w:rsid w:val="003A3B1C"/>
    <w:rsid w:val="003A4088"/>
    <w:rsid w:val="003A478C"/>
    <w:rsid w:val="003A4F82"/>
    <w:rsid w:val="003A5525"/>
    <w:rsid w:val="003A6B38"/>
    <w:rsid w:val="003B2E63"/>
    <w:rsid w:val="003B3189"/>
    <w:rsid w:val="003B3A9D"/>
    <w:rsid w:val="003B5031"/>
    <w:rsid w:val="003B5A32"/>
    <w:rsid w:val="003B6105"/>
    <w:rsid w:val="003C04C4"/>
    <w:rsid w:val="003C26F4"/>
    <w:rsid w:val="003C3686"/>
    <w:rsid w:val="003C4852"/>
    <w:rsid w:val="003C601E"/>
    <w:rsid w:val="003D2C4E"/>
    <w:rsid w:val="003D3600"/>
    <w:rsid w:val="003D3825"/>
    <w:rsid w:val="003D3EC4"/>
    <w:rsid w:val="003D4760"/>
    <w:rsid w:val="003D49DC"/>
    <w:rsid w:val="003D5D7A"/>
    <w:rsid w:val="003E0663"/>
    <w:rsid w:val="003E133F"/>
    <w:rsid w:val="003E699C"/>
    <w:rsid w:val="003E69F3"/>
    <w:rsid w:val="003E782E"/>
    <w:rsid w:val="003E7A0B"/>
    <w:rsid w:val="003E7B2B"/>
    <w:rsid w:val="003F1A48"/>
    <w:rsid w:val="003F2B0A"/>
    <w:rsid w:val="003F313C"/>
    <w:rsid w:val="003F37FC"/>
    <w:rsid w:val="003F49A6"/>
    <w:rsid w:val="003F5098"/>
    <w:rsid w:val="003F5568"/>
    <w:rsid w:val="003F5A95"/>
    <w:rsid w:val="003F6D19"/>
    <w:rsid w:val="004000D5"/>
    <w:rsid w:val="004005C1"/>
    <w:rsid w:val="00401716"/>
    <w:rsid w:val="0040273A"/>
    <w:rsid w:val="00402C25"/>
    <w:rsid w:val="004050D7"/>
    <w:rsid w:val="004078BD"/>
    <w:rsid w:val="00410132"/>
    <w:rsid w:val="00410BCD"/>
    <w:rsid w:val="0041175D"/>
    <w:rsid w:val="004123BE"/>
    <w:rsid w:val="00414CE5"/>
    <w:rsid w:val="00416673"/>
    <w:rsid w:val="0042160D"/>
    <w:rsid w:val="00423A3C"/>
    <w:rsid w:val="0042681B"/>
    <w:rsid w:val="0043068A"/>
    <w:rsid w:val="004306E0"/>
    <w:rsid w:val="00431D54"/>
    <w:rsid w:val="004329BE"/>
    <w:rsid w:val="00432C38"/>
    <w:rsid w:val="00437C76"/>
    <w:rsid w:val="0044105C"/>
    <w:rsid w:val="004441A0"/>
    <w:rsid w:val="00444268"/>
    <w:rsid w:val="004443BF"/>
    <w:rsid w:val="00444C19"/>
    <w:rsid w:val="00446892"/>
    <w:rsid w:val="00450C30"/>
    <w:rsid w:val="004540FF"/>
    <w:rsid w:val="004541F1"/>
    <w:rsid w:val="00455ECA"/>
    <w:rsid w:val="00460164"/>
    <w:rsid w:val="0046039A"/>
    <w:rsid w:val="00460A6B"/>
    <w:rsid w:val="00461977"/>
    <w:rsid w:val="004629FD"/>
    <w:rsid w:val="00463B4B"/>
    <w:rsid w:val="00463F4D"/>
    <w:rsid w:val="0046471F"/>
    <w:rsid w:val="00464BE8"/>
    <w:rsid w:val="00465019"/>
    <w:rsid w:val="0046613F"/>
    <w:rsid w:val="0046655D"/>
    <w:rsid w:val="0046765E"/>
    <w:rsid w:val="004676E2"/>
    <w:rsid w:val="00471EDD"/>
    <w:rsid w:val="00473E94"/>
    <w:rsid w:val="0047400C"/>
    <w:rsid w:val="004745D9"/>
    <w:rsid w:val="004762D8"/>
    <w:rsid w:val="004765B3"/>
    <w:rsid w:val="00476D29"/>
    <w:rsid w:val="00477241"/>
    <w:rsid w:val="00477EAF"/>
    <w:rsid w:val="00477EE0"/>
    <w:rsid w:val="0048139F"/>
    <w:rsid w:val="00483053"/>
    <w:rsid w:val="00485230"/>
    <w:rsid w:val="004879E9"/>
    <w:rsid w:val="00487F81"/>
    <w:rsid w:val="00490247"/>
    <w:rsid w:val="0049104F"/>
    <w:rsid w:val="00491218"/>
    <w:rsid w:val="00491CFD"/>
    <w:rsid w:val="00493362"/>
    <w:rsid w:val="00496C2F"/>
    <w:rsid w:val="0049740D"/>
    <w:rsid w:val="004978D3"/>
    <w:rsid w:val="004A11F8"/>
    <w:rsid w:val="004A22FA"/>
    <w:rsid w:val="004A269A"/>
    <w:rsid w:val="004A30FB"/>
    <w:rsid w:val="004A35DD"/>
    <w:rsid w:val="004A37D3"/>
    <w:rsid w:val="004A3AD6"/>
    <w:rsid w:val="004A5865"/>
    <w:rsid w:val="004A77DF"/>
    <w:rsid w:val="004B0295"/>
    <w:rsid w:val="004B10A8"/>
    <w:rsid w:val="004B22DA"/>
    <w:rsid w:val="004B3CB7"/>
    <w:rsid w:val="004B3D55"/>
    <w:rsid w:val="004B55B7"/>
    <w:rsid w:val="004C00A6"/>
    <w:rsid w:val="004C0BBB"/>
    <w:rsid w:val="004C1AD6"/>
    <w:rsid w:val="004C1B86"/>
    <w:rsid w:val="004C3382"/>
    <w:rsid w:val="004C3867"/>
    <w:rsid w:val="004C4AB7"/>
    <w:rsid w:val="004C4CD0"/>
    <w:rsid w:val="004C57B5"/>
    <w:rsid w:val="004C5C25"/>
    <w:rsid w:val="004C6717"/>
    <w:rsid w:val="004C6CFF"/>
    <w:rsid w:val="004C70DC"/>
    <w:rsid w:val="004C7268"/>
    <w:rsid w:val="004D0211"/>
    <w:rsid w:val="004D1C9C"/>
    <w:rsid w:val="004D504B"/>
    <w:rsid w:val="004D536E"/>
    <w:rsid w:val="004E1839"/>
    <w:rsid w:val="004E4A75"/>
    <w:rsid w:val="004E541A"/>
    <w:rsid w:val="004E5A5C"/>
    <w:rsid w:val="004E76D6"/>
    <w:rsid w:val="004F06F5"/>
    <w:rsid w:val="004F191F"/>
    <w:rsid w:val="004F2A73"/>
    <w:rsid w:val="004F33A0"/>
    <w:rsid w:val="004F4353"/>
    <w:rsid w:val="004F447D"/>
    <w:rsid w:val="004F4C28"/>
    <w:rsid w:val="004F5CC5"/>
    <w:rsid w:val="0050692E"/>
    <w:rsid w:val="00507040"/>
    <w:rsid w:val="005079F8"/>
    <w:rsid w:val="00510189"/>
    <w:rsid w:val="005108C0"/>
    <w:rsid w:val="00511873"/>
    <w:rsid w:val="00513B7E"/>
    <w:rsid w:val="00514474"/>
    <w:rsid w:val="005215EF"/>
    <w:rsid w:val="00524637"/>
    <w:rsid w:val="00525137"/>
    <w:rsid w:val="005251DD"/>
    <w:rsid w:val="0053017A"/>
    <w:rsid w:val="00530492"/>
    <w:rsid w:val="00532854"/>
    <w:rsid w:val="005350F2"/>
    <w:rsid w:val="00535152"/>
    <w:rsid w:val="00535359"/>
    <w:rsid w:val="005357A2"/>
    <w:rsid w:val="00535D87"/>
    <w:rsid w:val="00535EF0"/>
    <w:rsid w:val="0053734B"/>
    <w:rsid w:val="005375B1"/>
    <w:rsid w:val="00537AFD"/>
    <w:rsid w:val="00537CB4"/>
    <w:rsid w:val="0054516B"/>
    <w:rsid w:val="0054559E"/>
    <w:rsid w:val="005513D5"/>
    <w:rsid w:val="005523B9"/>
    <w:rsid w:val="005545E0"/>
    <w:rsid w:val="00554865"/>
    <w:rsid w:val="00554E57"/>
    <w:rsid w:val="00562749"/>
    <w:rsid w:val="00562DE9"/>
    <w:rsid w:val="005638A5"/>
    <w:rsid w:val="00566381"/>
    <w:rsid w:val="00566A03"/>
    <w:rsid w:val="00571932"/>
    <w:rsid w:val="00573C97"/>
    <w:rsid w:val="00574240"/>
    <w:rsid w:val="00575CDC"/>
    <w:rsid w:val="005765D5"/>
    <w:rsid w:val="00576A3E"/>
    <w:rsid w:val="0057703D"/>
    <w:rsid w:val="00583D5B"/>
    <w:rsid w:val="00583FFD"/>
    <w:rsid w:val="00587CCD"/>
    <w:rsid w:val="005908AE"/>
    <w:rsid w:val="0059176E"/>
    <w:rsid w:val="00593152"/>
    <w:rsid w:val="00593CA3"/>
    <w:rsid w:val="00594161"/>
    <w:rsid w:val="00594969"/>
    <w:rsid w:val="00596C5E"/>
    <w:rsid w:val="005A2194"/>
    <w:rsid w:val="005A21E0"/>
    <w:rsid w:val="005A33A1"/>
    <w:rsid w:val="005A54EE"/>
    <w:rsid w:val="005A7500"/>
    <w:rsid w:val="005B1BDB"/>
    <w:rsid w:val="005B2BAA"/>
    <w:rsid w:val="005B2D53"/>
    <w:rsid w:val="005B3247"/>
    <w:rsid w:val="005B3409"/>
    <w:rsid w:val="005B7B12"/>
    <w:rsid w:val="005C16CB"/>
    <w:rsid w:val="005C21D6"/>
    <w:rsid w:val="005C3F9F"/>
    <w:rsid w:val="005C4A23"/>
    <w:rsid w:val="005C562C"/>
    <w:rsid w:val="005C5812"/>
    <w:rsid w:val="005C6400"/>
    <w:rsid w:val="005C7F1E"/>
    <w:rsid w:val="005D374F"/>
    <w:rsid w:val="005D5802"/>
    <w:rsid w:val="005D6CFC"/>
    <w:rsid w:val="005D73E2"/>
    <w:rsid w:val="005D757A"/>
    <w:rsid w:val="005E1E4B"/>
    <w:rsid w:val="005E362D"/>
    <w:rsid w:val="005E492C"/>
    <w:rsid w:val="005E4BAA"/>
    <w:rsid w:val="005E52EF"/>
    <w:rsid w:val="005E5B56"/>
    <w:rsid w:val="005E6088"/>
    <w:rsid w:val="005E61DF"/>
    <w:rsid w:val="005E6B78"/>
    <w:rsid w:val="005F4057"/>
    <w:rsid w:val="005F4088"/>
    <w:rsid w:val="005F601D"/>
    <w:rsid w:val="005F6119"/>
    <w:rsid w:val="0060107A"/>
    <w:rsid w:val="00601AFF"/>
    <w:rsid w:val="00602D1D"/>
    <w:rsid w:val="00604307"/>
    <w:rsid w:val="0060487F"/>
    <w:rsid w:val="00605814"/>
    <w:rsid w:val="00606B93"/>
    <w:rsid w:val="00607727"/>
    <w:rsid w:val="006118AA"/>
    <w:rsid w:val="006139C7"/>
    <w:rsid w:val="006153E3"/>
    <w:rsid w:val="006167AB"/>
    <w:rsid w:val="00617D2D"/>
    <w:rsid w:val="00617D83"/>
    <w:rsid w:val="00620AC5"/>
    <w:rsid w:val="00621575"/>
    <w:rsid w:val="006215FC"/>
    <w:rsid w:val="00624093"/>
    <w:rsid w:val="00630F66"/>
    <w:rsid w:val="00631FC2"/>
    <w:rsid w:val="00632171"/>
    <w:rsid w:val="0063332A"/>
    <w:rsid w:val="006347F9"/>
    <w:rsid w:val="0063494E"/>
    <w:rsid w:val="00634C90"/>
    <w:rsid w:val="00635E79"/>
    <w:rsid w:val="00636E5E"/>
    <w:rsid w:val="006404A7"/>
    <w:rsid w:val="006407F3"/>
    <w:rsid w:val="00644DFC"/>
    <w:rsid w:val="006451E4"/>
    <w:rsid w:val="006460B8"/>
    <w:rsid w:val="006504A0"/>
    <w:rsid w:val="006520C7"/>
    <w:rsid w:val="00652CBB"/>
    <w:rsid w:val="006530B8"/>
    <w:rsid w:val="006535D6"/>
    <w:rsid w:val="006572ED"/>
    <w:rsid w:val="00657E87"/>
    <w:rsid w:val="00660457"/>
    <w:rsid w:val="00660E1E"/>
    <w:rsid w:val="006637B1"/>
    <w:rsid w:val="00664B64"/>
    <w:rsid w:val="00665D67"/>
    <w:rsid w:val="00665D77"/>
    <w:rsid w:val="006660CD"/>
    <w:rsid w:val="00666EC8"/>
    <w:rsid w:val="00666F4B"/>
    <w:rsid w:val="006676D0"/>
    <w:rsid w:val="00670FAC"/>
    <w:rsid w:val="006710C9"/>
    <w:rsid w:val="006716A5"/>
    <w:rsid w:val="00675E37"/>
    <w:rsid w:val="00676F11"/>
    <w:rsid w:val="00680079"/>
    <w:rsid w:val="00680F68"/>
    <w:rsid w:val="0068260E"/>
    <w:rsid w:val="0068373D"/>
    <w:rsid w:val="00683BFE"/>
    <w:rsid w:val="006857DF"/>
    <w:rsid w:val="00685E66"/>
    <w:rsid w:val="00686B72"/>
    <w:rsid w:val="00686BF1"/>
    <w:rsid w:val="00690A09"/>
    <w:rsid w:val="00693EA1"/>
    <w:rsid w:val="00693FEA"/>
    <w:rsid w:val="00694930"/>
    <w:rsid w:val="00695170"/>
    <w:rsid w:val="00695BEF"/>
    <w:rsid w:val="006960D6"/>
    <w:rsid w:val="00696AA5"/>
    <w:rsid w:val="006977F6"/>
    <w:rsid w:val="00697A13"/>
    <w:rsid w:val="006A109C"/>
    <w:rsid w:val="006A2EE8"/>
    <w:rsid w:val="006A3CF3"/>
    <w:rsid w:val="006A568F"/>
    <w:rsid w:val="006A672B"/>
    <w:rsid w:val="006B3F8A"/>
    <w:rsid w:val="006B5CA3"/>
    <w:rsid w:val="006B6B3B"/>
    <w:rsid w:val="006B7714"/>
    <w:rsid w:val="006B78D8"/>
    <w:rsid w:val="006C090F"/>
    <w:rsid w:val="006C113F"/>
    <w:rsid w:val="006C2AED"/>
    <w:rsid w:val="006C38DD"/>
    <w:rsid w:val="006C5577"/>
    <w:rsid w:val="006C559A"/>
    <w:rsid w:val="006C58FA"/>
    <w:rsid w:val="006D042D"/>
    <w:rsid w:val="006D06EF"/>
    <w:rsid w:val="006D142E"/>
    <w:rsid w:val="006D4497"/>
    <w:rsid w:val="006D4E6F"/>
    <w:rsid w:val="006D61F6"/>
    <w:rsid w:val="006E1F4C"/>
    <w:rsid w:val="006E279A"/>
    <w:rsid w:val="006E2F3F"/>
    <w:rsid w:val="006E313B"/>
    <w:rsid w:val="006E442A"/>
    <w:rsid w:val="006E4434"/>
    <w:rsid w:val="006E5CFD"/>
    <w:rsid w:val="006F1326"/>
    <w:rsid w:val="006F2BEE"/>
    <w:rsid w:val="006F3708"/>
    <w:rsid w:val="006F3E6B"/>
    <w:rsid w:val="006F4619"/>
    <w:rsid w:val="006F4A59"/>
    <w:rsid w:val="007014C7"/>
    <w:rsid w:val="00702D6F"/>
    <w:rsid w:val="00703B6C"/>
    <w:rsid w:val="007047D5"/>
    <w:rsid w:val="00705D98"/>
    <w:rsid w:val="00707891"/>
    <w:rsid w:val="00707D43"/>
    <w:rsid w:val="00711EF1"/>
    <w:rsid w:val="0071229A"/>
    <w:rsid w:val="00712572"/>
    <w:rsid w:val="00713495"/>
    <w:rsid w:val="00713EEB"/>
    <w:rsid w:val="00720FA2"/>
    <w:rsid w:val="007211F5"/>
    <w:rsid w:val="00724666"/>
    <w:rsid w:val="00726043"/>
    <w:rsid w:val="0072704A"/>
    <w:rsid w:val="00730AE8"/>
    <w:rsid w:val="00731963"/>
    <w:rsid w:val="00734321"/>
    <w:rsid w:val="00740310"/>
    <w:rsid w:val="00740652"/>
    <w:rsid w:val="00740F02"/>
    <w:rsid w:val="00740FEC"/>
    <w:rsid w:val="0074132E"/>
    <w:rsid w:val="00741493"/>
    <w:rsid w:val="007426B3"/>
    <w:rsid w:val="007426FD"/>
    <w:rsid w:val="0074329D"/>
    <w:rsid w:val="00744376"/>
    <w:rsid w:val="007449EA"/>
    <w:rsid w:val="00746DD9"/>
    <w:rsid w:val="0075057A"/>
    <w:rsid w:val="00751771"/>
    <w:rsid w:val="00751C1C"/>
    <w:rsid w:val="00752180"/>
    <w:rsid w:val="007521A1"/>
    <w:rsid w:val="0075315D"/>
    <w:rsid w:val="007538F9"/>
    <w:rsid w:val="00754253"/>
    <w:rsid w:val="007552BB"/>
    <w:rsid w:val="007558D3"/>
    <w:rsid w:val="007559D7"/>
    <w:rsid w:val="00755D3A"/>
    <w:rsid w:val="00760141"/>
    <w:rsid w:val="007609C6"/>
    <w:rsid w:val="007610A0"/>
    <w:rsid w:val="007620F2"/>
    <w:rsid w:val="00762EBA"/>
    <w:rsid w:val="0076359D"/>
    <w:rsid w:val="0077058D"/>
    <w:rsid w:val="00772536"/>
    <w:rsid w:val="00773613"/>
    <w:rsid w:val="00774782"/>
    <w:rsid w:val="00776476"/>
    <w:rsid w:val="00776527"/>
    <w:rsid w:val="007805E1"/>
    <w:rsid w:val="0078113E"/>
    <w:rsid w:val="00781834"/>
    <w:rsid w:val="007821DB"/>
    <w:rsid w:val="00782818"/>
    <w:rsid w:val="007838F1"/>
    <w:rsid w:val="00784C4A"/>
    <w:rsid w:val="00787432"/>
    <w:rsid w:val="00787507"/>
    <w:rsid w:val="007879F2"/>
    <w:rsid w:val="00791CF8"/>
    <w:rsid w:val="00792262"/>
    <w:rsid w:val="00793387"/>
    <w:rsid w:val="00793BAE"/>
    <w:rsid w:val="00794E0A"/>
    <w:rsid w:val="00796642"/>
    <w:rsid w:val="007A11D9"/>
    <w:rsid w:val="007A327B"/>
    <w:rsid w:val="007A4606"/>
    <w:rsid w:val="007B1966"/>
    <w:rsid w:val="007B3DCC"/>
    <w:rsid w:val="007B4518"/>
    <w:rsid w:val="007B5031"/>
    <w:rsid w:val="007B573F"/>
    <w:rsid w:val="007C605B"/>
    <w:rsid w:val="007D2A5A"/>
    <w:rsid w:val="007D2AD8"/>
    <w:rsid w:val="007D2C47"/>
    <w:rsid w:val="007D3167"/>
    <w:rsid w:val="007D4281"/>
    <w:rsid w:val="007D42F5"/>
    <w:rsid w:val="007D44C3"/>
    <w:rsid w:val="007D5947"/>
    <w:rsid w:val="007D65C1"/>
    <w:rsid w:val="007E030F"/>
    <w:rsid w:val="007E0E59"/>
    <w:rsid w:val="007E0F4B"/>
    <w:rsid w:val="007E7E61"/>
    <w:rsid w:val="007F0845"/>
    <w:rsid w:val="007F16F9"/>
    <w:rsid w:val="007F3E3E"/>
    <w:rsid w:val="007F500D"/>
    <w:rsid w:val="007F5F14"/>
    <w:rsid w:val="007F7B54"/>
    <w:rsid w:val="008005D7"/>
    <w:rsid w:val="00801FDD"/>
    <w:rsid w:val="008020C2"/>
    <w:rsid w:val="0080255C"/>
    <w:rsid w:val="0081187C"/>
    <w:rsid w:val="00811E24"/>
    <w:rsid w:val="00812E2B"/>
    <w:rsid w:val="00813A70"/>
    <w:rsid w:val="00813FE6"/>
    <w:rsid w:val="00815C6E"/>
    <w:rsid w:val="0081645F"/>
    <w:rsid w:val="008178C2"/>
    <w:rsid w:val="008178CF"/>
    <w:rsid w:val="00817C98"/>
    <w:rsid w:val="00820C9F"/>
    <w:rsid w:val="00821FF6"/>
    <w:rsid w:val="00823AAF"/>
    <w:rsid w:val="00824081"/>
    <w:rsid w:val="0082409A"/>
    <w:rsid w:val="008252D7"/>
    <w:rsid w:val="00827181"/>
    <w:rsid w:val="0082733C"/>
    <w:rsid w:val="00827746"/>
    <w:rsid w:val="0083143E"/>
    <w:rsid w:val="0083159D"/>
    <w:rsid w:val="008318FF"/>
    <w:rsid w:val="00832187"/>
    <w:rsid w:val="00832493"/>
    <w:rsid w:val="008336D8"/>
    <w:rsid w:val="008339C4"/>
    <w:rsid w:val="00834F0A"/>
    <w:rsid w:val="00834FAA"/>
    <w:rsid w:val="00835181"/>
    <w:rsid w:val="00836086"/>
    <w:rsid w:val="00841D9F"/>
    <w:rsid w:val="00842604"/>
    <w:rsid w:val="00843ECF"/>
    <w:rsid w:val="00846673"/>
    <w:rsid w:val="0085281A"/>
    <w:rsid w:val="008559FE"/>
    <w:rsid w:val="00857339"/>
    <w:rsid w:val="00860706"/>
    <w:rsid w:val="00862A7A"/>
    <w:rsid w:val="00863104"/>
    <w:rsid w:val="00863D9E"/>
    <w:rsid w:val="008642AF"/>
    <w:rsid w:val="00865ED4"/>
    <w:rsid w:val="008669A7"/>
    <w:rsid w:val="00867E29"/>
    <w:rsid w:val="00870F2B"/>
    <w:rsid w:val="008746E6"/>
    <w:rsid w:val="0087594C"/>
    <w:rsid w:val="00876086"/>
    <w:rsid w:val="008768D6"/>
    <w:rsid w:val="008775D1"/>
    <w:rsid w:val="008777BB"/>
    <w:rsid w:val="00877D68"/>
    <w:rsid w:val="00877E5D"/>
    <w:rsid w:val="00880150"/>
    <w:rsid w:val="00884D69"/>
    <w:rsid w:val="00886A8F"/>
    <w:rsid w:val="0088733A"/>
    <w:rsid w:val="00891BE0"/>
    <w:rsid w:val="00893302"/>
    <w:rsid w:val="00893F3C"/>
    <w:rsid w:val="008945A1"/>
    <w:rsid w:val="00894A63"/>
    <w:rsid w:val="00895A54"/>
    <w:rsid w:val="00896916"/>
    <w:rsid w:val="00896B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B190E"/>
    <w:rsid w:val="008B1A8A"/>
    <w:rsid w:val="008B7306"/>
    <w:rsid w:val="008B775F"/>
    <w:rsid w:val="008B7C02"/>
    <w:rsid w:val="008B7D13"/>
    <w:rsid w:val="008B7F9E"/>
    <w:rsid w:val="008C0E88"/>
    <w:rsid w:val="008C1AA8"/>
    <w:rsid w:val="008C22A8"/>
    <w:rsid w:val="008C63FD"/>
    <w:rsid w:val="008C6CB8"/>
    <w:rsid w:val="008C7815"/>
    <w:rsid w:val="008C7A07"/>
    <w:rsid w:val="008D0171"/>
    <w:rsid w:val="008D13EA"/>
    <w:rsid w:val="008D2A16"/>
    <w:rsid w:val="008D2ECF"/>
    <w:rsid w:val="008D3F3D"/>
    <w:rsid w:val="008E308D"/>
    <w:rsid w:val="008E31FF"/>
    <w:rsid w:val="008E5DE6"/>
    <w:rsid w:val="008E6113"/>
    <w:rsid w:val="008E6AB3"/>
    <w:rsid w:val="008E6AD3"/>
    <w:rsid w:val="008E71A6"/>
    <w:rsid w:val="008E77B6"/>
    <w:rsid w:val="008E7C55"/>
    <w:rsid w:val="008F032E"/>
    <w:rsid w:val="008F0F14"/>
    <w:rsid w:val="008F4FCE"/>
    <w:rsid w:val="008F5301"/>
    <w:rsid w:val="008F6A0C"/>
    <w:rsid w:val="008F7D28"/>
    <w:rsid w:val="009003A8"/>
    <w:rsid w:val="00902CBE"/>
    <w:rsid w:val="00902D74"/>
    <w:rsid w:val="00902EFF"/>
    <w:rsid w:val="00903E06"/>
    <w:rsid w:val="00904B9D"/>
    <w:rsid w:val="009066E1"/>
    <w:rsid w:val="00907A41"/>
    <w:rsid w:val="009102BD"/>
    <w:rsid w:val="00910F93"/>
    <w:rsid w:val="0091255A"/>
    <w:rsid w:val="00914426"/>
    <w:rsid w:val="0091675F"/>
    <w:rsid w:val="00917709"/>
    <w:rsid w:val="00917918"/>
    <w:rsid w:val="00920874"/>
    <w:rsid w:val="00921F14"/>
    <w:rsid w:val="00923750"/>
    <w:rsid w:val="009243A5"/>
    <w:rsid w:val="009250D2"/>
    <w:rsid w:val="00926283"/>
    <w:rsid w:val="00937B11"/>
    <w:rsid w:val="00940F1F"/>
    <w:rsid w:val="00941250"/>
    <w:rsid w:val="0094427A"/>
    <w:rsid w:val="009459C5"/>
    <w:rsid w:val="0094626C"/>
    <w:rsid w:val="0095013A"/>
    <w:rsid w:val="00953AEF"/>
    <w:rsid w:val="009551E2"/>
    <w:rsid w:val="00955783"/>
    <w:rsid w:val="00955E5F"/>
    <w:rsid w:val="009560B0"/>
    <w:rsid w:val="00957871"/>
    <w:rsid w:val="00960077"/>
    <w:rsid w:val="00962D2E"/>
    <w:rsid w:val="00964498"/>
    <w:rsid w:val="0096504D"/>
    <w:rsid w:val="00965A2D"/>
    <w:rsid w:val="009663EB"/>
    <w:rsid w:val="0096650F"/>
    <w:rsid w:val="009700DB"/>
    <w:rsid w:val="00972263"/>
    <w:rsid w:val="00972D8D"/>
    <w:rsid w:val="00973AAE"/>
    <w:rsid w:val="0097476C"/>
    <w:rsid w:val="00974923"/>
    <w:rsid w:val="00974D48"/>
    <w:rsid w:val="00974D5F"/>
    <w:rsid w:val="00975017"/>
    <w:rsid w:val="009759DF"/>
    <w:rsid w:val="00980621"/>
    <w:rsid w:val="00982072"/>
    <w:rsid w:val="00983BAC"/>
    <w:rsid w:val="00983DBB"/>
    <w:rsid w:val="00983ECF"/>
    <w:rsid w:val="00986745"/>
    <w:rsid w:val="00987109"/>
    <w:rsid w:val="00987309"/>
    <w:rsid w:val="0099012D"/>
    <w:rsid w:val="00990363"/>
    <w:rsid w:val="009954FF"/>
    <w:rsid w:val="009961BC"/>
    <w:rsid w:val="00996355"/>
    <w:rsid w:val="009A2014"/>
    <w:rsid w:val="009A3A87"/>
    <w:rsid w:val="009A4E12"/>
    <w:rsid w:val="009A5C68"/>
    <w:rsid w:val="009B04D0"/>
    <w:rsid w:val="009B052C"/>
    <w:rsid w:val="009B0EF2"/>
    <w:rsid w:val="009B23A3"/>
    <w:rsid w:val="009B4925"/>
    <w:rsid w:val="009B4B4B"/>
    <w:rsid w:val="009B6FD3"/>
    <w:rsid w:val="009B70BD"/>
    <w:rsid w:val="009C07A5"/>
    <w:rsid w:val="009C7388"/>
    <w:rsid w:val="009D1551"/>
    <w:rsid w:val="009D2859"/>
    <w:rsid w:val="009D4173"/>
    <w:rsid w:val="009D6095"/>
    <w:rsid w:val="009D6306"/>
    <w:rsid w:val="009E048A"/>
    <w:rsid w:val="009E1FBA"/>
    <w:rsid w:val="009E2C54"/>
    <w:rsid w:val="009E3710"/>
    <w:rsid w:val="009E7B1F"/>
    <w:rsid w:val="009F41C4"/>
    <w:rsid w:val="009F5846"/>
    <w:rsid w:val="009F7D77"/>
    <w:rsid w:val="00A10D66"/>
    <w:rsid w:val="00A12BA8"/>
    <w:rsid w:val="00A1420C"/>
    <w:rsid w:val="00A14821"/>
    <w:rsid w:val="00A17754"/>
    <w:rsid w:val="00A2055B"/>
    <w:rsid w:val="00A2253C"/>
    <w:rsid w:val="00A23545"/>
    <w:rsid w:val="00A23A55"/>
    <w:rsid w:val="00A23E43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78F8"/>
    <w:rsid w:val="00A40B19"/>
    <w:rsid w:val="00A424F8"/>
    <w:rsid w:val="00A437B7"/>
    <w:rsid w:val="00A46DE0"/>
    <w:rsid w:val="00A4778A"/>
    <w:rsid w:val="00A5067F"/>
    <w:rsid w:val="00A55301"/>
    <w:rsid w:val="00A57B3C"/>
    <w:rsid w:val="00A57F1B"/>
    <w:rsid w:val="00A6128E"/>
    <w:rsid w:val="00A62CE1"/>
    <w:rsid w:val="00A631FA"/>
    <w:rsid w:val="00A64203"/>
    <w:rsid w:val="00A64348"/>
    <w:rsid w:val="00A721FB"/>
    <w:rsid w:val="00A727BA"/>
    <w:rsid w:val="00A72D4B"/>
    <w:rsid w:val="00A732AE"/>
    <w:rsid w:val="00A75E40"/>
    <w:rsid w:val="00A77EB2"/>
    <w:rsid w:val="00A82B66"/>
    <w:rsid w:val="00A83B58"/>
    <w:rsid w:val="00A851B6"/>
    <w:rsid w:val="00A85729"/>
    <w:rsid w:val="00A8574B"/>
    <w:rsid w:val="00A857C0"/>
    <w:rsid w:val="00A94628"/>
    <w:rsid w:val="00A96463"/>
    <w:rsid w:val="00A97E3F"/>
    <w:rsid w:val="00AA09D3"/>
    <w:rsid w:val="00AA23FB"/>
    <w:rsid w:val="00AA42AB"/>
    <w:rsid w:val="00AA559A"/>
    <w:rsid w:val="00AB104D"/>
    <w:rsid w:val="00AB2AF1"/>
    <w:rsid w:val="00AB440B"/>
    <w:rsid w:val="00AB47E3"/>
    <w:rsid w:val="00AB74C5"/>
    <w:rsid w:val="00AB7DF2"/>
    <w:rsid w:val="00AC1E3F"/>
    <w:rsid w:val="00AC4F18"/>
    <w:rsid w:val="00AD0B46"/>
    <w:rsid w:val="00AD1094"/>
    <w:rsid w:val="00AD2565"/>
    <w:rsid w:val="00AD306C"/>
    <w:rsid w:val="00AD3424"/>
    <w:rsid w:val="00AD50D1"/>
    <w:rsid w:val="00AD59BB"/>
    <w:rsid w:val="00AD5D68"/>
    <w:rsid w:val="00AD6C73"/>
    <w:rsid w:val="00AE06D0"/>
    <w:rsid w:val="00AE1B8A"/>
    <w:rsid w:val="00AE39DC"/>
    <w:rsid w:val="00AE3CDA"/>
    <w:rsid w:val="00AE7968"/>
    <w:rsid w:val="00AF128B"/>
    <w:rsid w:val="00AF1AEA"/>
    <w:rsid w:val="00AF2852"/>
    <w:rsid w:val="00AF3225"/>
    <w:rsid w:val="00AF518B"/>
    <w:rsid w:val="00AF5275"/>
    <w:rsid w:val="00AF6367"/>
    <w:rsid w:val="00AF6A79"/>
    <w:rsid w:val="00AF724E"/>
    <w:rsid w:val="00AF73A9"/>
    <w:rsid w:val="00B01C2C"/>
    <w:rsid w:val="00B0231C"/>
    <w:rsid w:val="00B13681"/>
    <w:rsid w:val="00B15DCD"/>
    <w:rsid w:val="00B17E71"/>
    <w:rsid w:val="00B17FDE"/>
    <w:rsid w:val="00B208FC"/>
    <w:rsid w:val="00B20C65"/>
    <w:rsid w:val="00B22E17"/>
    <w:rsid w:val="00B22EE1"/>
    <w:rsid w:val="00B266C5"/>
    <w:rsid w:val="00B27293"/>
    <w:rsid w:val="00B3229E"/>
    <w:rsid w:val="00B32DDB"/>
    <w:rsid w:val="00B35174"/>
    <w:rsid w:val="00B35BEA"/>
    <w:rsid w:val="00B3793D"/>
    <w:rsid w:val="00B41BE6"/>
    <w:rsid w:val="00B457E7"/>
    <w:rsid w:val="00B45D1B"/>
    <w:rsid w:val="00B46D25"/>
    <w:rsid w:val="00B47430"/>
    <w:rsid w:val="00B52D2D"/>
    <w:rsid w:val="00B55BA8"/>
    <w:rsid w:val="00B55F15"/>
    <w:rsid w:val="00B561A6"/>
    <w:rsid w:val="00B60062"/>
    <w:rsid w:val="00B62960"/>
    <w:rsid w:val="00B63A11"/>
    <w:rsid w:val="00B63FD0"/>
    <w:rsid w:val="00B65C84"/>
    <w:rsid w:val="00B6608F"/>
    <w:rsid w:val="00B74317"/>
    <w:rsid w:val="00B76D1E"/>
    <w:rsid w:val="00B800EB"/>
    <w:rsid w:val="00B822D2"/>
    <w:rsid w:val="00B848B8"/>
    <w:rsid w:val="00B84A41"/>
    <w:rsid w:val="00B84D57"/>
    <w:rsid w:val="00B85689"/>
    <w:rsid w:val="00B86748"/>
    <w:rsid w:val="00B907EA"/>
    <w:rsid w:val="00B91EC9"/>
    <w:rsid w:val="00B924CA"/>
    <w:rsid w:val="00B93384"/>
    <w:rsid w:val="00B94417"/>
    <w:rsid w:val="00B95940"/>
    <w:rsid w:val="00B95EF8"/>
    <w:rsid w:val="00B95F50"/>
    <w:rsid w:val="00B96BD9"/>
    <w:rsid w:val="00BB0274"/>
    <w:rsid w:val="00BB1CFD"/>
    <w:rsid w:val="00BB2C53"/>
    <w:rsid w:val="00BB32DA"/>
    <w:rsid w:val="00BB3A54"/>
    <w:rsid w:val="00BB4E21"/>
    <w:rsid w:val="00BB7746"/>
    <w:rsid w:val="00BC22EB"/>
    <w:rsid w:val="00BC682B"/>
    <w:rsid w:val="00BC6B04"/>
    <w:rsid w:val="00BD186B"/>
    <w:rsid w:val="00BD1EAC"/>
    <w:rsid w:val="00BD3428"/>
    <w:rsid w:val="00BD366B"/>
    <w:rsid w:val="00BD534C"/>
    <w:rsid w:val="00BD56BC"/>
    <w:rsid w:val="00BD5D91"/>
    <w:rsid w:val="00BD6615"/>
    <w:rsid w:val="00BD6D50"/>
    <w:rsid w:val="00BE0D79"/>
    <w:rsid w:val="00BE0DB0"/>
    <w:rsid w:val="00BE3381"/>
    <w:rsid w:val="00BE3F09"/>
    <w:rsid w:val="00BE670A"/>
    <w:rsid w:val="00BE6906"/>
    <w:rsid w:val="00BF18F4"/>
    <w:rsid w:val="00BF1A69"/>
    <w:rsid w:val="00BF3BC8"/>
    <w:rsid w:val="00BF3DF1"/>
    <w:rsid w:val="00BF4C31"/>
    <w:rsid w:val="00BF4E57"/>
    <w:rsid w:val="00BF7CB8"/>
    <w:rsid w:val="00C00F20"/>
    <w:rsid w:val="00C01700"/>
    <w:rsid w:val="00C034E6"/>
    <w:rsid w:val="00C05715"/>
    <w:rsid w:val="00C05926"/>
    <w:rsid w:val="00C0784A"/>
    <w:rsid w:val="00C10B28"/>
    <w:rsid w:val="00C10FAE"/>
    <w:rsid w:val="00C12A69"/>
    <w:rsid w:val="00C150BE"/>
    <w:rsid w:val="00C15A0C"/>
    <w:rsid w:val="00C15DCB"/>
    <w:rsid w:val="00C1711F"/>
    <w:rsid w:val="00C20744"/>
    <w:rsid w:val="00C20C4D"/>
    <w:rsid w:val="00C21D46"/>
    <w:rsid w:val="00C21F94"/>
    <w:rsid w:val="00C222A1"/>
    <w:rsid w:val="00C23371"/>
    <w:rsid w:val="00C23CBD"/>
    <w:rsid w:val="00C23D22"/>
    <w:rsid w:val="00C2463B"/>
    <w:rsid w:val="00C24E77"/>
    <w:rsid w:val="00C2732D"/>
    <w:rsid w:val="00C273C6"/>
    <w:rsid w:val="00C27913"/>
    <w:rsid w:val="00C300C6"/>
    <w:rsid w:val="00C30828"/>
    <w:rsid w:val="00C31DD8"/>
    <w:rsid w:val="00C3271C"/>
    <w:rsid w:val="00C34FDE"/>
    <w:rsid w:val="00C35C16"/>
    <w:rsid w:val="00C40F81"/>
    <w:rsid w:val="00C41463"/>
    <w:rsid w:val="00C41A72"/>
    <w:rsid w:val="00C42D45"/>
    <w:rsid w:val="00C476C5"/>
    <w:rsid w:val="00C503B0"/>
    <w:rsid w:val="00C511C2"/>
    <w:rsid w:val="00C53D82"/>
    <w:rsid w:val="00C60696"/>
    <w:rsid w:val="00C60EEF"/>
    <w:rsid w:val="00C615F1"/>
    <w:rsid w:val="00C61627"/>
    <w:rsid w:val="00C64E60"/>
    <w:rsid w:val="00C657A4"/>
    <w:rsid w:val="00C6736C"/>
    <w:rsid w:val="00C71A1D"/>
    <w:rsid w:val="00C71EC4"/>
    <w:rsid w:val="00C7591E"/>
    <w:rsid w:val="00C75C7E"/>
    <w:rsid w:val="00C75C9B"/>
    <w:rsid w:val="00C76D8E"/>
    <w:rsid w:val="00C77833"/>
    <w:rsid w:val="00C80C9B"/>
    <w:rsid w:val="00C8335E"/>
    <w:rsid w:val="00C83F9C"/>
    <w:rsid w:val="00C84CE3"/>
    <w:rsid w:val="00C85614"/>
    <w:rsid w:val="00C90CF4"/>
    <w:rsid w:val="00C91C19"/>
    <w:rsid w:val="00C929A0"/>
    <w:rsid w:val="00C93389"/>
    <w:rsid w:val="00C937DB"/>
    <w:rsid w:val="00C94519"/>
    <w:rsid w:val="00C94E83"/>
    <w:rsid w:val="00CA140F"/>
    <w:rsid w:val="00CA25C2"/>
    <w:rsid w:val="00CA37BB"/>
    <w:rsid w:val="00CA37CA"/>
    <w:rsid w:val="00CA5724"/>
    <w:rsid w:val="00CA6508"/>
    <w:rsid w:val="00CA6BA1"/>
    <w:rsid w:val="00CA6CD5"/>
    <w:rsid w:val="00CB1910"/>
    <w:rsid w:val="00CB2150"/>
    <w:rsid w:val="00CB28EE"/>
    <w:rsid w:val="00CB43A7"/>
    <w:rsid w:val="00CB5996"/>
    <w:rsid w:val="00CB7452"/>
    <w:rsid w:val="00CC0E10"/>
    <w:rsid w:val="00CC1DAF"/>
    <w:rsid w:val="00CC2642"/>
    <w:rsid w:val="00CC2A36"/>
    <w:rsid w:val="00CC2E15"/>
    <w:rsid w:val="00CC3908"/>
    <w:rsid w:val="00CC62AD"/>
    <w:rsid w:val="00CC7B80"/>
    <w:rsid w:val="00CD2B3C"/>
    <w:rsid w:val="00CD30F6"/>
    <w:rsid w:val="00CD4B29"/>
    <w:rsid w:val="00CD6954"/>
    <w:rsid w:val="00CD6EF1"/>
    <w:rsid w:val="00CE21C7"/>
    <w:rsid w:val="00CE57D8"/>
    <w:rsid w:val="00CE617A"/>
    <w:rsid w:val="00CF25D2"/>
    <w:rsid w:val="00CF28C2"/>
    <w:rsid w:val="00CF42BD"/>
    <w:rsid w:val="00CF51EC"/>
    <w:rsid w:val="00CF6CD7"/>
    <w:rsid w:val="00D0037A"/>
    <w:rsid w:val="00D00DAF"/>
    <w:rsid w:val="00D017EC"/>
    <w:rsid w:val="00D01CDA"/>
    <w:rsid w:val="00D040DD"/>
    <w:rsid w:val="00D04E1B"/>
    <w:rsid w:val="00D076DB"/>
    <w:rsid w:val="00D1067C"/>
    <w:rsid w:val="00D136D4"/>
    <w:rsid w:val="00D13830"/>
    <w:rsid w:val="00D13ECF"/>
    <w:rsid w:val="00D142E5"/>
    <w:rsid w:val="00D148CD"/>
    <w:rsid w:val="00D1611E"/>
    <w:rsid w:val="00D16E69"/>
    <w:rsid w:val="00D205A9"/>
    <w:rsid w:val="00D217EE"/>
    <w:rsid w:val="00D245BA"/>
    <w:rsid w:val="00D26923"/>
    <w:rsid w:val="00D27856"/>
    <w:rsid w:val="00D301CA"/>
    <w:rsid w:val="00D30740"/>
    <w:rsid w:val="00D31075"/>
    <w:rsid w:val="00D31445"/>
    <w:rsid w:val="00D31932"/>
    <w:rsid w:val="00D378CC"/>
    <w:rsid w:val="00D4042C"/>
    <w:rsid w:val="00D42312"/>
    <w:rsid w:val="00D43998"/>
    <w:rsid w:val="00D4615E"/>
    <w:rsid w:val="00D478E2"/>
    <w:rsid w:val="00D5264C"/>
    <w:rsid w:val="00D547BA"/>
    <w:rsid w:val="00D55626"/>
    <w:rsid w:val="00D556BC"/>
    <w:rsid w:val="00D5626D"/>
    <w:rsid w:val="00D60277"/>
    <w:rsid w:val="00D60336"/>
    <w:rsid w:val="00D61F88"/>
    <w:rsid w:val="00D62901"/>
    <w:rsid w:val="00D6470C"/>
    <w:rsid w:val="00D64853"/>
    <w:rsid w:val="00D64CB5"/>
    <w:rsid w:val="00D66D48"/>
    <w:rsid w:val="00D73256"/>
    <w:rsid w:val="00D73A30"/>
    <w:rsid w:val="00D74C65"/>
    <w:rsid w:val="00D75DC2"/>
    <w:rsid w:val="00D766EF"/>
    <w:rsid w:val="00D76C03"/>
    <w:rsid w:val="00D82462"/>
    <w:rsid w:val="00D868CE"/>
    <w:rsid w:val="00D86DAE"/>
    <w:rsid w:val="00D90C1E"/>
    <w:rsid w:val="00D91BDF"/>
    <w:rsid w:val="00D93F09"/>
    <w:rsid w:val="00D954C2"/>
    <w:rsid w:val="00D97BB8"/>
    <w:rsid w:val="00DA1318"/>
    <w:rsid w:val="00DA1382"/>
    <w:rsid w:val="00DA28B7"/>
    <w:rsid w:val="00DA2FE8"/>
    <w:rsid w:val="00DA4AF6"/>
    <w:rsid w:val="00DB016E"/>
    <w:rsid w:val="00DB06E9"/>
    <w:rsid w:val="00DB378E"/>
    <w:rsid w:val="00DB3E9D"/>
    <w:rsid w:val="00DB47B9"/>
    <w:rsid w:val="00DB4FB8"/>
    <w:rsid w:val="00DB53CE"/>
    <w:rsid w:val="00DB549D"/>
    <w:rsid w:val="00DC226A"/>
    <w:rsid w:val="00DC257F"/>
    <w:rsid w:val="00DC350B"/>
    <w:rsid w:val="00DC3790"/>
    <w:rsid w:val="00DC408A"/>
    <w:rsid w:val="00DC5B3B"/>
    <w:rsid w:val="00DC6796"/>
    <w:rsid w:val="00DC78DF"/>
    <w:rsid w:val="00DD0821"/>
    <w:rsid w:val="00DD0E32"/>
    <w:rsid w:val="00DD2BFE"/>
    <w:rsid w:val="00DD373E"/>
    <w:rsid w:val="00DD57AD"/>
    <w:rsid w:val="00DE009B"/>
    <w:rsid w:val="00DE0C31"/>
    <w:rsid w:val="00DE2ED9"/>
    <w:rsid w:val="00DE319A"/>
    <w:rsid w:val="00DF0DC3"/>
    <w:rsid w:val="00DF21FD"/>
    <w:rsid w:val="00DF2873"/>
    <w:rsid w:val="00DF5578"/>
    <w:rsid w:val="00DF78DD"/>
    <w:rsid w:val="00DF7FEC"/>
    <w:rsid w:val="00E01C0E"/>
    <w:rsid w:val="00E03B27"/>
    <w:rsid w:val="00E04694"/>
    <w:rsid w:val="00E049F6"/>
    <w:rsid w:val="00E05B2B"/>
    <w:rsid w:val="00E06A2A"/>
    <w:rsid w:val="00E07F05"/>
    <w:rsid w:val="00E127E1"/>
    <w:rsid w:val="00E144D2"/>
    <w:rsid w:val="00E15346"/>
    <w:rsid w:val="00E15B7D"/>
    <w:rsid w:val="00E2097E"/>
    <w:rsid w:val="00E215EA"/>
    <w:rsid w:val="00E24619"/>
    <w:rsid w:val="00E25223"/>
    <w:rsid w:val="00E30BEA"/>
    <w:rsid w:val="00E31764"/>
    <w:rsid w:val="00E34985"/>
    <w:rsid w:val="00E34E4A"/>
    <w:rsid w:val="00E365B3"/>
    <w:rsid w:val="00E366BB"/>
    <w:rsid w:val="00E37C45"/>
    <w:rsid w:val="00E40AAA"/>
    <w:rsid w:val="00E42444"/>
    <w:rsid w:val="00E438CF"/>
    <w:rsid w:val="00E43C41"/>
    <w:rsid w:val="00E4500E"/>
    <w:rsid w:val="00E450CE"/>
    <w:rsid w:val="00E45A00"/>
    <w:rsid w:val="00E45CE7"/>
    <w:rsid w:val="00E4631F"/>
    <w:rsid w:val="00E522BB"/>
    <w:rsid w:val="00E539E4"/>
    <w:rsid w:val="00E569C7"/>
    <w:rsid w:val="00E571F2"/>
    <w:rsid w:val="00E57429"/>
    <w:rsid w:val="00E61EA8"/>
    <w:rsid w:val="00E70510"/>
    <w:rsid w:val="00E71262"/>
    <w:rsid w:val="00E71A58"/>
    <w:rsid w:val="00E737F6"/>
    <w:rsid w:val="00E7568F"/>
    <w:rsid w:val="00E7724B"/>
    <w:rsid w:val="00E84F21"/>
    <w:rsid w:val="00E90F73"/>
    <w:rsid w:val="00E910A7"/>
    <w:rsid w:val="00E91607"/>
    <w:rsid w:val="00E921C7"/>
    <w:rsid w:val="00E92995"/>
    <w:rsid w:val="00E94612"/>
    <w:rsid w:val="00E95797"/>
    <w:rsid w:val="00E9682F"/>
    <w:rsid w:val="00E96A8D"/>
    <w:rsid w:val="00E972BA"/>
    <w:rsid w:val="00E97FA2"/>
    <w:rsid w:val="00EA06CB"/>
    <w:rsid w:val="00EA0C68"/>
    <w:rsid w:val="00EA3EBE"/>
    <w:rsid w:val="00EA3FAC"/>
    <w:rsid w:val="00EA4153"/>
    <w:rsid w:val="00EA5CD6"/>
    <w:rsid w:val="00EA76FD"/>
    <w:rsid w:val="00EB0555"/>
    <w:rsid w:val="00EB20A0"/>
    <w:rsid w:val="00EB30B6"/>
    <w:rsid w:val="00EB4FA4"/>
    <w:rsid w:val="00EB5146"/>
    <w:rsid w:val="00EB55E9"/>
    <w:rsid w:val="00EB5641"/>
    <w:rsid w:val="00EB5CA9"/>
    <w:rsid w:val="00EB5ED4"/>
    <w:rsid w:val="00EB6537"/>
    <w:rsid w:val="00EB70E1"/>
    <w:rsid w:val="00EB7EB5"/>
    <w:rsid w:val="00EC454B"/>
    <w:rsid w:val="00EC6153"/>
    <w:rsid w:val="00EC7F92"/>
    <w:rsid w:val="00ED00A8"/>
    <w:rsid w:val="00ED0A79"/>
    <w:rsid w:val="00ED2989"/>
    <w:rsid w:val="00ED2CA5"/>
    <w:rsid w:val="00ED336F"/>
    <w:rsid w:val="00ED54D6"/>
    <w:rsid w:val="00ED5726"/>
    <w:rsid w:val="00EE0298"/>
    <w:rsid w:val="00EE0384"/>
    <w:rsid w:val="00EE10AA"/>
    <w:rsid w:val="00EE1637"/>
    <w:rsid w:val="00EE3B7A"/>
    <w:rsid w:val="00EE3E78"/>
    <w:rsid w:val="00EE495A"/>
    <w:rsid w:val="00EE5E02"/>
    <w:rsid w:val="00EE617D"/>
    <w:rsid w:val="00EE61BF"/>
    <w:rsid w:val="00EE6748"/>
    <w:rsid w:val="00EE6C6B"/>
    <w:rsid w:val="00EF0E75"/>
    <w:rsid w:val="00EF1F5A"/>
    <w:rsid w:val="00EF4685"/>
    <w:rsid w:val="00EF5397"/>
    <w:rsid w:val="00EF6BE3"/>
    <w:rsid w:val="00F00D0E"/>
    <w:rsid w:val="00F00D3C"/>
    <w:rsid w:val="00F04811"/>
    <w:rsid w:val="00F0488C"/>
    <w:rsid w:val="00F0496E"/>
    <w:rsid w:val="00F04D10"/>
    <w:rsid w:val="00F0625B"/>
    <w:rsid w:val="00F101FF"/>
    <w:rsid w:val="00F10A33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FFF"/>
    <w:rsid w:val="00F2441D"/>
    <w:rsid w:val="00F24FAA"/>
    <w:rsid w:val="00F26197"/>
    <w:rsid w:val="00F307DD"/>
    <w:rsid w:val="00F318FC"/>
    <w:rsid w:val="00F31F76"/>
    <w:rsid w:val="00F3364D"/>
    <w:rsid w:val="00F35ACD"/>
    <w:rsid w:val="00F365BF"/>
    <w:rsid w:val="00F36BF8"/>
    <w:rsid w:val="00F375BA"/>
    <w:rsid w:val="00F37760"/>
    <w:rsid w:val="00F403D1"/>
    <w:rsid w:val="00F43921"/>
    <w:rsid w:val="00F4591F"/>
    <w:rsid w:val="00F4736B"/>
    <w:rsid w:val="00F47D05"/>
    <w:rsid w:val="00F50030"/>
    <w:rsid w:val="00F50B9D"/>
    <w:rsid w:val="00F51FC9"/>
    <w:rsid w:val="00F541ED"/>
    <w:rsid w:val="00F54B31"/>
    <w:rsid w:val="00F54FD3"/>
    <w:rsid w:val="00F55605"/>
    <w:rsid w:val="00F57CD7"/>
    <w:rsid w:val="00F62F02"/>
    <w:rsid w:val="00F63DDE"/>
    <w:rsid w:val="00F63FB7"/>
    <w:rsid w:val="00F64726"/>
    <w:rsid w:val="00F6561A"/>
    <w:rsid w:val="00F70309"/>
    <w:rsid w:val="00F727D5"/>
    <w:rsid w:val="00F72F44"/>
    <w:rsid w:val="00F73A0C"/>
    <w:rsid w:val="00F759DC"/>
    <w:rsid w:val="00F771A5"/>
    <w:rsid w:val="00F817A4"/>
    <w:rsid w:val="00F81C3A"/>
    <w:rsid w:val="00F835FC"/>
    <w:rsid w:val="00F8373A"/>
    <w:rsid w:val="00F83E21"/>
    <w:rsid w:val="00F83FA4"/>
    <w:rsid w:val="00F84E18"/>
    <w:rsid w:val="00F852E5"/>
    <w:rsid w:val="00F95117"/>
    <w:rsid w:val="00FA05D7"/>
    <w:rsid w:val="00FA1C6C"/>
    <w:rsid w:val="00FA2447"/>
    <w:rsid w:val="00FA2C2A"/>
    <w:rsid w:val="00FA309A"/>
    <w:rsid w:val="00FA7644"/>
    <w:rsid w:val="00FB0A9A"/>
    <w:rsid w:val="00FB483B"/>
    <w:rsid w:val="00FB56F1"/>
    <w:rsid w:val="00FB5FD4"/>
    <w:rsid w:val="00FB67F3"/>
    <w:rsid w:val="00FC0D8A"/>
    <w:rsid w:val="00FC0E5F"/>
    <w:rsid w:val="00FC135D"/>
    <w:rsid w:val="00FC3C84"/>
    <w:rsid w:val="00FC4660"/>
    <w:rsid w:val="00FC56DE"/>
    <w:rsid w:val="00FC5E01"/>
    <w:rsid w:val="00FD1261"/>
    <w:rsid w:val="00FD1627"/>
    <w:rsid w:val="00FD1BBD"/>
    <w:rsid w:val="00FD473D"/>
    <w:rsid w:val="00FD61C8"/>
    <w:rsid w:val="00FD63CE"/>
    <w:rsid w:val="00FD7D49"/>
    <w:rsid w:val="00FE1251"/>
    <w:rsid w:val="00FE2F78"/>
    <w:rsid w:val="00FE3510"/>
    <w:rsid w:val="00FE371D"/>
    <w:rsid w:val="00FE375F"/>
    <w:rsid w:val="00FE4FCB"/>
    <w:rsid w:val="00FE705E"/>
    <w:rsid w:val="00FF28E0"/>
    <w:rsid w:val="00FF2FB4"/>
    <w:rsid w:val="00FF30B3"/>
    <w:rsid w:val="00FF3DF3"/>
    <w:rsid w:val="00FF4027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E921C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qFormat/>
    <w:rsid w:val="007D4281"/>
    <w:pPr>
      <w:jc w:val="both"/>
    </w:pPr>
    <w:rPr>
      <w:rFonts w:ascii="Arial" w:eastAsia="Times New Roman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665F0-906E-4E26-AD55-8D15AC98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bar_vicetematicke.dot</Template>
  <TotalTime>199</TotalTime>
  <Pages>4</Pages>
  <Words>2805</Words>
  <Characters>16204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kucera4376</cp:lastModifiedBy>
  <cp:revision>67</cp:revision>
  <cp:lastPrinted>2015-06-19T06:21:00Z</cp:lastPrinted>
  <dcterms:created xsi:type="dcterms:W3CDTF">2015-12-16T13:30:00Z</dcterms:created>
  <dcterms:modified xsi:type="dcterms:W3CDTF">2015-12-18T12:36:00Z</dcterms:modified>
</cp:coreProperties>
</file>