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4FDC9B" w14:textId="6AAAEC01" w:rsidR="006B1AFC" w:rsidRPr="00B131B0" w:rsidRDefault="006B1AFC" w:rsidP="009324EF">
      <w:pPr>
        <w:pStyle w:val="Nadpis1"/>
        <w:rPr>
          <w:lang w:val="en-GB"/>
        </w:rPr>
      </w:pPr>
      <w:bookmarkStart w:id="0" w:name="_Toc239947454"/>
      <w:bookmarkStart w:id="1" w:name="_Toc242958695"/>
      <w:r w:rsidRPr="00B131B0">
        <w:rPr>
          <w:lang w:val="en-GB"/>
        </w:rPr>
        <w:t>7. M</w:t>
      </w:r>
      <w:r w:rsidR="001A1FFB">
        <w:rPr>
          <w:lang w:val="en-GB"/>
        </w:rPr>
        <w:t>onetary Conditions</w:t>
      </w:r>
      <w:bookmarkEnd w:id="0"/>
      <w:bookmarkEnd w:id="1"/>
    </w:p>
    <w:tbl>
      <w:tblPr>
        <w:tblW w:w="9641" w:type="dxa"/>
        <w:tblInd w:w="-15" w:type="dxa"/>
        <w:tblCellMar>
          <w:left w:w="0" w:type="dxa"/>
          <w:right w:w="0" w:type="dxa"/>
        </w:tblCellMar>
        <w:tblLook w:val="00A0" w:firstRow="1" w:lastRow="0" w:firstColumn="1" w:lastColumn="0" w:noHBand="0" w:noVBand="0"/>
      </w:tblPr>
      <w:tblGrid>
        <w:gridCol w:w="1802"/>
        <w:gridCol w:w="229"/>
        <w:gridCol w:w="7610"/>
      </w:tblGrid>
      <w:tr w:rsidR="006B1AFC" w:rsidRPr="00B131B0" w14:paraId="504A48B1" w14:textId="77777777" w:rsidTr="003C4A79">
        <w:trPr>
          <w:trHeight w:val="145"/>
        </w:trPr>
        <w:tc>
          <w:tcPr>
            <w:tcW w:w="1802" w:type="dxa"/>
          </w:tcPr>
          <w:p w14:paraId="6ACEFECC" w14:textId="7C2874E7" w:rsidR="006B1AFC" w:rsidRPr="00B131B0" w:rsidRDefault="008B4316" w:rsidP="008B4316">
            <w:pPr>
              <w:pStyle w:val="Marginlie"/>
              <w:rPr>
                <w:lang w:eastAsia="en-US"/>
              </w:rPr>
            </w:pPr>
            <w:r w:rsidRPr="008B4316">
              <w:rPr>
                <w:lang w:eastAsia="en-US"/>
              </w:rPr>
              <w:t>Key monetary policy</w:t>
            </w:r>
            <w:r>
              <w:rPr>
                <w:lang w:eastAsia="en-US"/>
              </w:rPr>
              <w:t>-relevant</w:t>
            </w:r>
            <w:r w:rsidRPr="008B4316">
              <w:rPr>
                <w:lang w:eastAsia="en-US"/>
              </w:rPr>
              <w:t xml:space="preserve"> interest rates increased.</w:t>
            </w:r>
          </w:p>
        </w:tc>
        <w:tc>
          <w:tcPr>
            <w:tcW w:w="229" w:type="dxa"/>
          </w:tcPr>
          <w:p w14:paraId="2211C5CE" w14:textId="77777777" w:rsidR="006B1AFC" w:rsidRPr="00B131B0" w:rsidRDefault="006B1AFC" w:rsidP="003C4A79">
            <w:pPr>
              <w:pStyle w:val="Textpoznpodarou"/>
              <w:jc w:val="both"/>
              <w:rPr>
                <w:spacing w:val="-4"/>
                <w:lang w:eastAsia="en-US"/>
              </w:rPr>
            </w:pPr>
          </w:p>
        </w:tc>
        <w:tc>
          <w:tcPr>
            <w:tcW w:w="7610" w:type="dxa"/>
          </w:tcPr>
          <w:p w14:paraId="1EDE46AE" w14:textId="2FF140C9" w:rsidR="006B1AFC" w:rsidRPr="00B131B0" w:rsidRDefault="008B4316" w:rsidP="008B4316">
            <w:pPr>
              <w:rPr>
                <w:spacing w:val="-2"/>
                <w:lang w:eastAsia="en-US"/>
              </w:rPr>
            </w:pPr>
            <w:r w:rsidRPr="008B4316">
              <w:rPr>
                <w:spacing w:val="-2"/>
                <w:lang w:eastAsia="en-US"/>
              </w:rPr>
              <w:t>After more than a year of stable key monetary policy</w:t>
            </w:r>
            <w:r>
              <w:rPr>
                <w:spacing w:val="-2"/>
                <w:lang w:eastAsia="en-US"/>
              </w:rPr>
              <w:t>-relevant</w:t>
            </w:r>
            <w:r w:rsidRPr="008B4316">
              <w:rPr>
                <w:spacing w:val="-2"/>
                <w:lang w:eastAsia="en-US"/>
              </w:rPr>
              <w:t xml:space="preserve"> rates, monetary policy was tightened in June 2026. Persistent inflationary pressures in services prices </w:t>
            </w:r>
            <w:r w:rsidR="007B583C">
              <w:rPr>
                <w:spacing w:val="-2"/>
                <w:lang w:eastAsia="en-US"/>
              </w:rPr>
              <w:t xml:space="preserve">together </w:t>
            </w:r>
            <w:r w:rsidRPr="008B4316">
              <w:rPr>
                <w:spacing w:val="-2"/>
                <w:lang w:eastAsia="en-US"/>
              </w:rPr>
              <w:t xml:space="preserve">with the cost shock led to an increase </w:t>
            </w:r>
            <w:r>
              <w:rPr>
                <w:spacing w:val="-2"/>
                <w:lang w:eastAsia="en-US"/>
              </w:rPr>
              <w:t>of</w:t>
            </w:r>
            <w:r w:rsidRPr="008B4316">
              <w:rPr>
                <w:spacing w:val="-2"/>
                <w:lang w:eastAsia="en-US"/>
              </w:rPr>
              <w:t xml:space="preserve"> all key rates by 0.25 p</w:t>
            </w:r>
            <w:r>
              <w:rPr>
                <w:spacing w:val="-2"/>
                <w:lang w:eastAsia="en-US"/>
              </w:rPr>
              <w:t>. p.</w:t>
            </w:r>
            <w:r w:rsidRPr="008B4316">
              <w:rPr>
                <w:spacing w:val="-2"/>
                <w:lang w:eastAsia="en-US"/>
              </w:rPr>
              <w:t xml:space="preserve"> The two-week repo rate thus reached 3.75%</w:t>
            </w:r>
            <w:r w:rsidRPr="00B131B0">
              <w:rPr>
                <w:rStyle w:val="Znakapoznpodarou"/>
                <w:spacing w:val="-2"/>
                <w:lang w:eastAsia="en-US"/>
              </w:rPr>
              <w:footnoteReference w:id="1"/>
            </w:r>
            <w:r w:rsidRPr="00B131B0">
              <w:rPr>
                <w:spacing w:val="-2"/>
                <w:lang w:eastAsia="en-US"/>
              </w:rPr>
              <w:t>,</w:t>
            </w:r>
            <w:r w:rsidRPr="008B4316">
              <w:rPr>
                <w:spacing w:val="-2"/>
                <w:lang w:eastAsia="en-US"/>
              </w:rPr>
              <w:t xml:space="preserve"> the discount rate 2.75% and the Lombard rate 4.75%. The </w:t>
            </w:r>
            <w:r w:rsidR="000435E2">
              <w:rPr>
                <w:spacing w:val="-2"/>
                <w:lang w:eastAsia="en-US"/>
              </w:rPr>
              <w:t xml:space="preserve">koruna </w:t>
            </w:r>
            <w:r w:rsidRPr="008B4316">
              <w:rPr>
                <w:spacing w:val="-2"/>
                <w:lang w:eastAsia="en-US"/>
              </w:rPr>
              <w:t xml:space="preserve">exchange rate against the euro had a slightly strengthening tendency during </w:t>
            </w:r>
            <w:r w:rsidR="000435E2">
              <w:rPr>
                <w:spacing w:val="-2"/>
                <w:lang w:eastAsia="en-US"/>
              </w:rPr>
              <w:t xml:space="preserve">Q2 </w:t>
            </w:r>
            <w:r w:rsidRPr="008B4316">
              <w:rPr>
                <w:spacing w:val="-2"/>
                <w:lang w:eastAsia="en-US"/>
              </w:rPr>
              <w:t xml:space="preserve">(from 24.50 at the beginning of April to below 24.20 in mid-June). </w:t>
            </w:r>
            <w:r w:rsidR="000435E2">
              <w:rPr>
                <w:spacing w:val="-2"/>
                <w:lang w:eastAsia="en-US"/>
              </w:rPr>
              <w:t>In total</w:t>
            </w:r>
            <w:r w:rsidRPr="008B4316">
              <w:rPr>
                <w:spacing w:val="-2"/>
                <w:lang w:eastAsia="en-US"/>
              </w:rPr>
              <w:t>, the exchange rate reached 24.30</w:t>
            </w:r>
            <w:r w:rsidR="000435E2">
              <w:rPr>
                <w:spacing w:val="-2"/>
                <w:lang w:eastAsia="en-US"/>
              </w:rPr>
              <w:t xml:space="preserve"> CZK against </w:t>
            </w:r>
            <w:r w:rsidRPr="008B4316">
              <w:rPr>
                <w:spacing w:val="-2"/>
                <w:lang w:eastAsia="en-US"/>
              </w:rPr>
              <w:t xml:space="preserve">euro on average for the whole quarter, rising by </w:t>
            </w:r>
            <w:r w:rsidR="00152B0C">
              <w:rPr>
                <w:spacing w:val="-2"/>
                <w:lang w:eastAsia="en-US"/>
              </w:rPr>
              <w:t>0</w:t>
            </w:r>
            <w:r w:rsidR="005036D2">
              <w:rPr>
                <w:spacing w:val="-2"/>
                <w:lang w:eastAsia="en-US"/>
              </w:rPr>
              <w:t>.</w:t>
            </w:r>
            <w:r w:rsidR="00152B0C">
              <w:rPr>
                <w:spacing w:val="-2"/>
                <w:lang w:eastAsia="en-US"/>
              </w:rPr>
              <w:t>03 CZK</w:t>
            </w:r>
            <w:r w:rsidR="000435E2">
              <w:rPr>
                <w:spacing w:val="-2"/>
                <w:lang w:eastAsia="en-US"/>
              </w:rPr>
              <w:t>,</w:t>
            </w:r>
            <w:r w:rsidRPr="008B4316">
              <w:rPr>
                <w:spacing w:val="-2"/>
                <w:lang w:eastAsia="en-US"/>
              </w:rPr>
              <w:t xml:space="preserve"> quarter-on-quarter</w:t>
            </w:r>
            <w:r w:rsidR="000435E2">
              <w:rPr>
                <w:spacing w:val="-2"/>
                <w:lang w:eastAsia="en-US"/>
              </w:rPr>
              <w:t>,</w:t>
            </w:r>
            <w:r w:rsidRPr="008B4316">
              <w:rPr>
                <w:spacing w:val="-2"/>
                <w:lang w:eastAsia="en-US"/>
              </w:rPr>
              <w:t xml:space="preserve"> and by </w:t>
            </w:r>
            <w:r w:rsidR="005036D2">
              <w:rPr>
                <w:spacing w:val="-2"/>
                <w:lang w:eastAsia="en-US"/>
              </w:rPr>
              <w:t>0.</w:t>
            </w:r>
            <w:r w:rsidRPr="008B4316">
              <w:rPr>
                <w:spacing w:val="-2"/>
                <w:lang w:eastAsia="en-US"/>
              </w:rPr>
              <w:t xml:space="preserve">62 </w:t>
            </w:r>
            <w:r w:rsidR="005036D2">
              <w:rPr>
                <w:spacing w:val="-2"/>
                <w:lang w:eastAsia="en-US"/>
              </w:rPr>
              <w:t>CZK</w:t>
            </w:r>
            <w:r w:rsidR="000435E2">
              <w:rPr>
                <w:spacing w:val="-2"/>
                <w:lang w:eastAsia="en-US"/>
              </w:rPr>
              <w:t>,</w:t>
            </w:r>
            <w:r w:rsidRPr="008B4316">
              <w:rPr>
                <w:spacing w:val="-2"/>
                <w:lang w:eastAsia="en-US"/>
              </w:rPr>
              <w:t xml:space="preserve"> year-on-year. </w:t>
            </w:r>
            <w:r w:rsidR="000435E2">
              <w:rPr>
                <w:spacing w:val="-2"/>
                <w:lang w:eastAsia="en-US"/>
              </w:rPr>
              <w:t>T</w:t>
            </w:r>
            <w:r w:rsidRPr="008B4316">
              <w:rPr>
                <w:spacing w:val="-2"/>
                <w:lang w:eastAsia="en-US"/>
              </w:rPr>
              <w:t xml:space="preserve">he </w:t>
            </w:r>
            <w:r w:rsidR="000435E2">
              <w:rPr>
                <w:spacing w:val="-2"/>
                <w:lang w:eastAsia="en-US"/>
              </w:rPr>
              <w:t xml:space="preserve">koruna </w:t>
            </w:r>
            <w:r w:rsidRPr="008B4316">
              <w:rPr>
                <w:spacing w:val="-2"/>
                <w:lang w:eastAsia="en-US"/>
              </w:rPr>
              <w:t>exchange rate against the dollar strengthened back close to the level of 20.50 CZK/USD</w:t>
            </w:r>
            <w:r w:rsidR="000435E2">
              <w:rPr>
                <w:spacing w:val="-2"/>
                <w:lang w:eastAsia="en-US"/>
              </w:rPr>
              <w:t xml:space="preserve"> in April</w:t>
            </w:r>
            <w:r w:rsidRPr="008B4316">
              <w:rPr>
                <w:spacing w:val="-2"/>
                <w:lang w:eastAsia="en-US"/>
              </w:rPr>
              <w:t xml:space="preserve">, which it had before the escalation of the conflict in the Middle East. However, the exchange rate fluctuated during the quarter and then weakened again in mid-June to just below 21.50 CZK/USD. On average for the entire quarter, the dollar exchange rate reached 20.90 CZK/USD and weakened by </w:t>
            </w:r>
            <w:r w:rsidR="00622254">
              <w:rPr>
                <w:spacing w:val="-2"/>
                <w:lang w:eastAsia="en-US"/>
              </w:rPr>
              <w:t>0.</w:t>
            </w:r>
            <w:r w:rsidRPr="008B4316">
              <w:rPr>
                <w:spacing w:val="-2"/>
                <w:lang w:eastAsia="en-US"/>
              </w:rPr>
              <w:t xml:space="preserve">11 </w:t>
            </w:r>
            <w:r w:rsidR="00622254">
              <w:rPr>
                <w:spacing w:val="-2"/>
                <w:lang w:eastAsia="en-US"/>
              </w:rPr>
              <w:t>CZK</w:t>
            </w:r>
            <w:r w:rsidR="000435E2">
              <w:rPr>
                <w:spacing w:val="-2"/>
                <w:lang w:eastAsia="en-US"/>
              </w:rPr>
              <w:t>,</w:t>
            </w:r>
            <w:r w:rsidRPr="008B4316">
              <w:rPr>
                <w:spacing w:val="-2"/>
                <w:lang w:eastAsia="en-US"/>
              </w:rPr>
              <w:t xml:space="preserve"> quarter-on-quarter, but was still stronger by 1</w:t>
            </w:r>
            <w:r w:rsidR="00622254">
              <w:rPr>
                <w:spacing w:val="-2"/>
                <w:lang w:eastAsia="en-US"/>
              </w:rPr>
              <w:t>.09 CZK</w:t>
            </w:r>
            <w:r w:rsidR="000435E2">
              <w:rPr>
                <w:spacing w:val="-2"/>
                <w:lang w:eastAsia="en-US"/>
              </w:rPr>
              <w:t>,</w:t>
            </w:r>
            <w:r w:rsidRPr="008B4316">
              <w:rPr>
                <w:spacing w:val="-2"/>
                <w:lang w:eastAsia="en-US"/>
              </w:rPr>
              <w:t xml:space="preserve"> year-on-year.</w:t>
            </w:r>
            <w:r w:rsidR="000435E2">
              <w:rPr>
                <w:spacing w:val="-2"/>
                <w:lang w:eastAsia="en-US"/>
              </w:rPr>
              <w:t xml:space="preserve"> </w:t>
            </w:r>
          </w:p>
        </w:tc>
      </w:tr>
      <w:tr w:rsidR="006B1AFC" w:rsidRPr="00B131B0" w14:paraId="5FDCC1FB" w14:textId="77777777" w:rsidTr="003C4A79">
        <w:trPr>
          <w:trHeight w:val="145"/>
        </w:trPr>
        <w:tc>
          <w:tcPr>
            <w:tcW w:w="1802" w:type="dxa"/>
          </w:tcPr>
          <w:p w14:paraId="4CD39314" w14:textId="3FFCD9CD" w:rsidR="006B1AFC" w:rsidRPr="00B131B0" w:rsidRDefault="000435E2" w:rsidP="000435E2">
            <w:pPr>
              <w:pStyle w:val="Marginlie"/>
              <w:rPr>
                <w:lang w:eastAsia="en-US"/>
              </w:rPr>
            </w:pPr>
            <w:r w:rsidRPr="000435E2">
              <w:rPr>
                <w:lang w:eastAsia="en-US"/>
              </w:rPr>
              <w:t>The change in monetary policy settings had an impact on interbank interest rates.</w:t>
            </w:r>
          </w:p>
        </w:tc>
        <w:tc>
          <w:tcPr>
            <w:tcW w:w="229" w:type="dxa"/>
          </w:tcPr>
          <w:p w14:paraId="6BBE4BDE" w14:textId="77777777" w:rsidR="006B1AFC" w:rsidRPr="00B131B0" w:rsidRDefault="006B1AFC" w:rsidP="003C4A79">
            <w:pPr>
              <w:pStyle w:val="Textpoznpodarou"/>
              <w:jc w:val="both"/>
              <w:rPr>
                <w:spacing w:val="-4"/>
                <w:lang w:eastAsia="en-US"/>
              </w:rPr>
            </w:pPr>
          </w:p>
        </w:tc>
        <w:tc>
          <w:tcPr>
            <w:tcW w:w="7610" w:type="dxa"/>
          </w:tcPr>
          <w:p w14:paraId="7E71692C" w14:textId="4BB86059" w:rsidR="006B1AFC" w:rsidRPr="00B131B0" w:rsidRDefault="000435E2" w:rsidP="000435E2">
            <w:pPr>
              <w:rPr>
                <w:spacing w:val="-1"/>
                <w:lang w:eastAsia="en-US"/>
              </w:rPr>
            </w:pPr>
            <w:r w:rsidRPr="000435E2">
              <w:rPr>
                <w:spacing w:val="-1"/>
                <w:lang w:eastAsia="en-US"/>
              </w:rPr>
              <w:t xml:space="preserve">The change </w:t>
            </w:r>
            <w:r>
              <w:rPr>
                <w:spacing w:val="-1"/>
                <w:lang w:eastAsia="en-US"/>
              </w:rPr>
              <w:t>of</w:t>
            </w:r>
            <w:r w:rsidRPr="000435E2">
              <w:rPr>
                <w:spacing w:val="-1"/>
                <w:lang w:eastAsia="en-US"/>
              </w:rPr>
              <w:t xml:space="preserve"> the monetary conditions affected interbank market rates. The impact of the changes increased with maturity, so the annual PRIBOR rate increased the most</w:t>
            </w:r>
            <w:r w:rsidRPr="00B131B0">
              <w:rPr>
                <w:rStyle w:val="Znakapoznpodarou"/>
                <w:spacing w:val="-1"/>
                <w:lang w:eastAsia="en-US"/>
              </w:rPr>
              <w:footnoteReference w:id="2"/>
            </w:r>
            <w:r w:rsidRPr="000435E2">
              <w:rPr>
                <w:spacing w:val="-1"/>
                <w:lang w:eastAsia="en-US"/>
              </w:rPr>
              <w:t xml:space="preserve"> (by 0.32 p.</w:t>
            </w:r>
            <w:r>
              <w:rPr>
                <w:spacing w:val="-1"/>
                <w:lang w:eastAsia="en-US"/>
              </w:rPr>
              <w:t xml:space="preserve"> </w:t>
            </w:r>
            <w:r w:rsidRPr="000435E2">
              <w:rPr>
                <w:spacing w:val="-1"/>
                <w:lang w:eastAsia="en-US"/>
              </w:rPr>
              <w:t xml:space="preserve">p. to 3.93% at the end of June), while the increase </w:t>
            </w:r>
            <w:r>
              <w:rPr>
                <w:spacing w:val="-1"/>
                <w:lang w:eastAsia="en-US"/>
              </w:rPr>
              <w:t>of</w:t>
            </w:r>
            <w:r w:rsidRPr="000435E2">
              <w:rPr>
                <w:spacing w:val="-1"/>
                <w:lang w:eastAsia="en-US"/>
              </w:rPr>
              <w:t xml:space="preserve"> interest rates with a one-month or three-month maturity was moderate (by 0.13 p.</w:t>
            </w:r>
            <w:r>
              <w:rPr>
                <w:spacing w:val="-1"/>
                <w:lang w:eastAsia="en-US"/>
              </w:rPr>
              <w:t xml:space="preserve"> </w:t>
            </w:r>
            <w:r w:rsidRPr="000435E2">
              <w:rPr>
                <w:spacing w:val="-1"/>
                <w:lang w:eastAsia="en-US"/>
              </w:rPr>
              <w:t>p. to 3.68% for the three-month PRIBOR rate). Government bond yields have shown an upward trend over the past two years. There was a partial downward correction in June. This had the greatest impact on medium-maturity bonds, which averaged 4.16% (−0.10 p.</w:t>
            </w:r>
            <w:r>
              <w:rPr>
                <w:spacing w:val="-1"/>
                <w:lang w:eastAsia="en-US"/>
              </w:rPr>
              <w:t xml:space="preserve"> </w:t>
            </w:r>
            <w:r w:rsidRPr="000435E2">
              <w:rPr>
                <w:spacing w:val="-1"/>
                <w:lang w:eastAsia="en-US"/>
              </w:rPr>
              <w:t>p.) at the end of the quarter. For long-term (4.70% at the end of June) and short-term bonds (3.92%), the June decline led only to a rematch to the value of the previous quarter</w:t>
            </w:r>
            <w:r>
              <w:rPr>
                <w:spacing w:val="-1"/>
                <w:lang w:eastAsia="en-US"/>
              </w:rPr>
              <w:t xml:space="preserve">. </w:t>
            </w:r>
          </w:p>
        </w:tc>
      </w:tr>
      <w:tr w:rsidR="006B1AFC" w:rsidRPr="00B131B0" w14:paraId="1D2B3AB5" w14:textId="77777777" w:rsidTr="003C4A79">
        <w:trPr>
          <w:trHeight w:val="145"/>
        </w:trPr>
        <w:tc>
          <w:tcPr>
            <w:tcW w:w="1802" w:type="dxa"/>
          </w:tcPr>
          <w:p w14:paraId="330AA3E9" w14:textId="606D4D68" w:rsidR="006B1AFC" w:rsidRPr="00B131B0" w:rsidRDefault="000435E2" w:rsidP="000435E2">
            <w:pPr>
              <w:pStyle w:val="Marginlie"/>
              <w:rPr>
                <w:lang w:eastAsia="en-US"/>
              </w:rPr>
            </w:pPr>
            <w:r w:rsidRPr="000435E2">
              <w:rPr>
                <w:lang w:eastAsia="en-US"/>
              </w:rPr>
              <w:t xml:space="preserve">Growth </w:t>
            </w:r>
            <w:r>
              <w:rPr>
                <w:lang w:eastAsia="en-US"/>
              </w:rPr>
              <w:t>of</w:t>
            </w:r>
            <w:r w:rsidRPr="000435E2">
              <w:rPr>
                <w:lang w:eastAsia="en-US"/>
              </w:rPr>
              <w:t xml:space="preserve"> the volume of deposits slowed down.</w:t>
            </w:r>
          </w:p>
        </w:tc>
        <w:tc>
          <w:tcPr>
            <w:tcW w:w="229" w:type="dxa"/>
          </w:tcPr>
          <w:p w14:paraId="3A3EE06F" w14:textId="77777777" w:rsidR="006B1AFC" w:rsidRPr="00B131B0" w:rsidRDefault="006B1AFC" w:rsidP="003C4A79">
            <w:pPr>
              <w:pStyle w:val="Textpoznpodarou"/>
              <w:jc w:val="both"/>
              <w:rPr>
                <w:spacing w:val="-4"/>
                <w:lang w:eastAsia="en-US"/>
              </w:rPr>
            </w:pPr>
          </w:p>
        </w:tc>
        <w:tc>
          <w:tcPr>
            <w:tcW w:w="7610" w:type="dxa"/>
          </w:tcPr>
          <w:p w14:paraId="1934E468" w14:textId="6105D9F2" w:rsidR="006B1AFC" w:rsidRPr="00B131B0" w:rsidRDefault="000435E2" w:rsidP="000435E2">
            <w:pPr>
              <w:rPr>
                <w:spacing w:val="-3"/>
                <w:lang w:eastAsia="en-US"/>
              </w:rPr>
            </w:pPr>
            <w:r w:rsidRPr="000435E2">
              <w:rPr>
                <w:spacing w:val="-3"/>
                <w:lang w:eastAsia="en-US"/>
              </w:rPr>
              <w:t>Interest rates on client deposits also increased slightly in Q2. The exception was current accounts, for which the interest rate was practically zero. Overnight deposits received an average interest rate of 1.52% (+0.06 p.</w:t>
            </w:r>
            <w:r w:rsidR="002B3535">
              <w:rPr>
                <w:spacing w:val="-3"/>
                <w:lang w:eastAsia="en-US"/>
              </w:rPr>
              <w:t xml:space="preserve"> </w:t>
            </w:r>
            <w:r w:rsidRPr="000435E2">
              <w:rPr>
                <w:spacing w:val="-3"/>
                <w:lang w:eastAsia="en-US"/>
              </w:rPr>
              <w:t xml:space="preserve">p.) at the end of the quarter. For deposits with an agreed maturity, the increase </w:t>
            </w:r>
            <w:r w:rsidR="006C0340">
              <w:rPr>
                <w:spacing w:val="-3"/>
                <w:lang w:eastAsia="en-US"/>
              </w:rPr>
              <w:t>of</w:t>
            </w:r>
            <w:r w:rsidRPr="000435E2">
              <w:rPr>
                <w:spacing w:val="-3"/>
                <w:lang w:eastAsia="en-US"/>
              </w:rPr>
              <w:t xml:space="preserve"> interest rates was more pronounced (+0.16 p.</w:t>
            </w:r>
            <w:r w:rsidR="006C0340">
              <w:rPr>
                <w:spacing w:val="-3"/>
                <w:lang w:eastAsia="en-US"/>
              </w:rPr>
              <w:t xml:space="preserve"> </w:t>
            </w:r>
            <w:r w:rsidRPr="000435E2">
              <w:rPr>
                <w:spacing w:val="-3"/>
                <w:lang w:eastAsia="en-US"/>
              </w:rPr>
              <w:t xml:space="preserve">p. to 3.11%). The situation was very similar for non-financial </w:t>
            </w:r>
            <w:r w:rsidR="006C0340">
              <w:rPr>
                <w:spacing w:val="-3"/>
                <w:lang w:eastAsia="en-US"/>
              </w:rPr>
              <w:t>businesses</w:t>
            </w:r>
            <w:r w:rsidRPr="000435E2">
              <w:rPr>
                <w:spacing w:val="-3"/>
                <w:lang w:eastAsia="en-US"/>
              </w:rPr>
              <w:t>. Their current accounts received an average interest rate of 1.23% (+0.10 p.</w:t>
            </w:r>
            <w:r w:rsidR="00192232">
              <w:rPr>
                <w:spacing w:val="-3"/>
                <w:lang w:eastAsia="en-US"/>
              </w:rPr>
              <w:t xml:space="preserve"> </w:t>
            </w:r>
            <w:r w:rsidRPr="000435E2">
              <w:rPr>
                <w:spacing w:val="-3"/>
                <w:lang w:eastAsia="en-US"/>
              </w:rPr>
              <w:t>p.) at the end of the quarter and deposits with an agreed maturity of 3.12% (+0.16 p.</w:t>
            </w:r>
            <w:r w:rsidR="006C0340">
              <w:rPr>
                <w:spacing w:val="-3"/>
                <w:lang w:eastAsia="en-US"/>
              </w:rPr>
              <w:t xml:space="preserve"> </w:t>
            </w:r>
            <w:r w:rsidRPr="000435E2">
              <w:rPr>
                <w:spacing w:val="-3"/>
                <w:lang w:eastAsia="en-US"/>
              </w:rPr>
              <w:t>p.). The volume of client deposits in Czech banks was higher by 367.7 billion</w:t>
            </w:r>
            <w:r w:rsidR="006C0340">
              <w:rPr>
                <w:spacing w:val="-3"/>
                <w:lang w:eastAsia="en-US"/>
              </w:rPr>
              <w:t xml:space="preserve"> CZK</w:t>
            </w:r>
            <w:r w:rsidRPr="000435E2">
              <w:rPr>
                <w:spacing w:val="-3"/>
                <w:lang w:eastAsia="en-US"/>
              </w:rPr>
              <w:t xml:space="preserve"> (4.8%)</w:t>
            </w:r>
            <w:r w:rsidR="006C0340">
              <w:rPr>
                <w:spacing w:val="-3"/>
                <w:lang w:eastAsia="en-US"/>
              </w:rPr>
              <w:t>,</w:t>
            </w:r>
            <w:r w:rsidRPr="000435E2">
              <w:rPr>
                <w:spacing w:val="-3"/>
                <w:lang w:eastAsia="en-US"/>
              </w:rPr>
              <w:t xml:space="preserve"> year-on-year</w:t>
            </w:r>
            <w:r w:rsidR="006C0340">
              <w:rPr>
                <w:spacing w:val="-3"/>
                <w:lang w:eastAsia="en-US"/>
              </w:rPr>
              <w:t>,</w:t>
            </w:r>
            <w:r w:rsidRPr="000435E2">
              <w:rPr>
                <w:spacing w:val="-3"/>
                <w:lang w:eastAsia="en-US"/>
              </w:rPr>
              <w:t xml:space="preserve"> at the end of June. The pace moderated for the second quarter in a row, mainly under the influence of term deposits (+42.2 b</w:t>
            </w:r>
            <w:r w:rsidR="006C0340">
              <w:rPr>
                <w:spacing w:val="-3"/>
                <w:lang w:eastAsia="en-US"/>
              </w:rPr>
              <w:t>n CZK</w:t>
            </w:r>
            <w:r w:rsidRPr="000435E2">
              <w:rPr>
                <w:spacing w:val="-3"/>
                <w:lang w:eastAsia="en-US"/>
              </w:rPr>
              <w:t>, 1.5%). Non-term deposits were higher by 325.5 b</w:t>
            </w:r>
            <w:r w:rsidR="006C0340">
              <w:rPr>
                <w:spacing w:val="-3"/>
                <w:lang w:eastAsia="en-US"/>
              </w:rPr>
              <w:t xml:space="preserve">n CZK </w:t>
            </w:r>
            <w:r w:rsidRPr="000435E2">
              <w:rPr>
                <w:spacing w:val="-3"/>
                <w:lang w:eastAsia="en-US"/>
              </w:rPr>
              <w:t>(6.7%). As usual, household deposits</w:t>
            </w:r>
            <w:r w:rsidR="006C0340" w:rsidRPr="00B131B0">
              <w:rPr>
                <w:rStyle w:val="Znakapoznpodarou"/>
                <w:spacing w:val="-3"/>
                <w:lang w:eastAsia="en-US"/>
              </w:rPr>
              <w:footnoteReference w:id="3"/>
            </w:r>
            <w:r w:rsidRPr="000435E2">
              <w:rPr>
                <w:spacing w:val="-3"/>
                <w:lang w:eastAsia="en-US"/>
              </w:rPr>
              <w:t xml:space="preserve"> increased the most</w:t>
            </w:r>
            <w:r w:rsidR="006C0340">
              <w:rPr>
                <w:spacing w:val="-3"/>
                <w:lang w:eastAsia="en-US"/>
              </w:rPr>
              <w:t>,</w:t>
            </w:r>
            <w:r w:rsidRPr="000435E2">
              <w:rPr>
                <w:spacing w:val="-3"/>
                <w:lang w:eastAsia="en-US"/>
              </w:rPr>
              <w:t xml:space="preserve"> year-on-year (+214.6 b</w:t>
            </w:r>
            <w:r w:rsidR="006C0340">
              <w:rPr>
                <w:spacing w:val="-3"/>
                <w:lang w:eastAsia="en-US"/>
              </w:rPr>
              <w:t>n CZK</w:t>
            </w:r>
            <w:r w:rsidRPr="000435E2">
              <w:rPr>
                <w:spacing w:val="-3"/>
                <w:lang w:eastAsia="en-US"/>
              </w:rPr>
              <w:t xml:space="preserve">). Compared to the previous year and a half, the increase </w:t>
            </w:r>
            <w:r w:rsidR="006C0340">
              <w:rPr>
                <w:spacing w:val="-3"/>
                <w:lang w:eastAsia="en-US"/>
              </w:rPr>
              <w:t>of</w:t>
            </w:r>
            <w:r w:rsidRPr="000435E2">
              <w:rPr>
                <w:spacing w:val="-3"/>
                <w:lang w:eastAsia="en-US"/>
              </w:rPr>
              <w:t xml:space="preserve"> deposits by non-financial </w:t>
            </w:r>
            <w:r w:rsidR="006C0340">
              <w:rPr>
                <w:spacing w:val="-3"/>
                <w:lang w:eastAsia="en-US"/>
              </w:rPr>
              <w:t xml:space="preserve">businesses </w:t>
            </w:r>
            <w:r w:rsidRPr="000435E2">
              <w:rPr>
                <w:spacing w:val="-3"/>
                <w:lang w:eastAsia="en-US"/>
              </w:rPr>
              <w:t>(+116.5 b</w:t>
            </w:r>
            <w:r w:rsidR="006C0340">
              <w:rPr>
                <w:spacing w:val="-3"/>
                <w:lang w:eastAsia="en-US"/>
              </w:rPr>
              <w:t>n</w:t>
            </w:r>
            <w:r w:rsidRPr="000435E2">
              <w:rPr>
                <w:spacing w:val="-3"/>
                <w:lang w:eastAsia="en-US"/>
              </w:rPr>
              <w:t>) and financial institutions (+66.3 b</w:t>
            </w:r>
            <w:r w:rsidR="006C0340">
              <w:rPr>
                <w:spacing w:val="-3"/>
                <w:lang w:eastAsia="en-US"/>
              </w:rPr>
              <w:t>n</w:t>
            </w:r>
            <w:r w:rsidRPr="000435E2">
              <w:rPr>
                <w:spacing w:val="-3"/>
                <w:lang w:eastAsia="en-US"/>
              </w:rPr>
              <w:t>, the highest since the end of 2023) accelerated significantly. Deposits of general government institutions were lower</w:t>
            </w:r>
            <w:r w:rsidR="006C0340">
              <w:rPr>
                <w:spacing w:val="-3"/>
                <w:lang w:eastAsia="en-US"/>
              </w:rPr>
              <w:t>,</w:t>
            </w:r>
            <w:r w:rsidRPr="000435E2">
              <w:rPr>
                <w:spacing w:val="-3"/>
                <w:lang w:eastAsia="en-US"/>
              </w:rPr>
              <w:t xml:space="preserve"> year-on-year (−24.4 b</w:t>
            </w:r>
            <w:r w:rsidR="006C0340">
              <w:rPr>
                <w:spacing w:val="-3"/>
                <w:lang w:eastAsia="en-US"/>
              </w:rPr>
              <w:t>n CZK</w:t>
            </w:r>
            <w:r w:rsidRPr="000435E2">
              <w:rPr>
                <w:spacing w:val="-3"/>
                <w:lang w:eastAsia="en-US"/>
              </w:rPr>
              <w:t>).</w:t>
            </w:r>
            <w:r w:rsidR="006B1AFC" w:rsidRPr="00B131B0">
              <w:rPr>
                <w:spacing w:val="-3"/>
                <w:lang w:eastAsia="en-US"/>
              </w:rPr>
              <w:t xml:space="preserve"> </w:t>
            </w:r>
          </w:p>
        </w:tc>
      </w:tr>
      <w:tr w:rsidR="006B1AFC" w:rsidRPr="00B131B0" w14:paraId="6F775FAB" w14:textId="77777777" w:rsidTr="003C4A79">
        <w:trPr>
          <w:trHeight w:val="145"/>
        </w:trPr>
        <w:tc>
          <w:tcPr>
            <w:tcW w:w="1802" w:type="dxa"/>
          </w:tcPr>
          <w:p w14:paraId="1E77EBD3" w14:textId="417704DF" w:rsidR="006B1AFC" w:rsidRPr="00B131B0" w:rsidRDefault="006C0340" w:rsidP="006C0340">
            <w:pPr>
              <w:pStyle w:val="Marginlie"/>
              <w:rPr>
                <w:lang w:eastAsia="en-US"/>
              </w:rPr>
            </w:pPr>
            <w:r w:rsidRPr="006C0340">
              <w:rPr>
                <w:lang w:eastAsia="en-US"/>
              </w:rPr>
              <w:t xml:space="preserve">Interest in </w:t>
            </w:r>
            <w:r>
              <w:rPr>
                <w:lang w:eastAsia="en-US"/>
              </w:rPr>
              <w:t xml:space="preserve">consumer credit </w:t>
            </w:r>
            <w:r w:rsidRPr="006C0340">
              <w:rPr>
                <w:lang w:eastAsia="en-US"/>
              </w:rPr>
              <w:t>was growing.</w:t>
            </w:r>
          </w:p>
        </w:tc>
        <w:tc>
          <w:tcPr>
            <w:tcW w:w="229" w:type="dxa"/>
          </w:tcPr>
          <w:p w14:paraId="799ECEB9" w14:textId="77777777" w:rsidR="006B1AFC" w:rsidRPr="00B131B0" w:rsidRDefault="006B1AFC" w:rsidP="003C4A79">
            <w:pPr>
              <w:pStyle w:val="Textpoznpodarou"/>
              <w:jc w:val="both"/>
              <w:rPr>
                <w:spacing w:val="-4"/>
                <w:lang w:eastAsia="en-US"/>
              </w:rPr>
            </w:pPr>
          </w:p>
        </w:tc>
        <w:tc>
          <w:tcPr>
            <w:tcW w:w="7610" w:type="dxa"/>
          </w:tcPr>
          <w:p w14:paraId="5C6D7D93" w14:textId="01F1DF6F" w:rsidR="006B1AFC" w:rsidRPr="00B131B0" w:rsidRDefault="006C0340" w:rsidP="006C0340">
            <w:pPr>
              <w:rPr>
                <w:lang w:eastAsia="en-US"/>
              </w:rPr>
            </w:pPr>
            <w:r w:rsidRPr="006C0340">
              <w:rPr>
                <w:lang w:eastAsia="en-US"/>
              </w:rPr>
              <w:t xml:space="preserve">The average interest rate on loans for household consumption fell to the lowest value in the last five years (7.11%) in </w:t>
            </w:r>
            <w:r>
              <w:rPr>
                <w:lang w:eastAsia="en-US"/>
              </w:rPr>
              <w:t>Q1</w:t>
            </w:r>
            <w:r w:rsidRPr="006C0340">
              <w:rPr>
                <w:lang w:eastAsia="en-US"/>
              </w:rPr>
              <w:t xml:space="preserve">, </w:t>
            </w:r>
            <w:r>
              <w:rPr>
                <w:lang w:eastAsia="en-US"/>
              </w:rPr>
              <w:t xml:space="preserve">however </w:t>
            </w:r>
            <w:r w:rsidRPr="006C0340">
              <w:rPr>
                <w:lang w:eastAsia="en-US"/>
              </w:rPr>
              <w:t>there was a noticeable increase back to 8%</w:t>
            </w:r>
            <w:r>
              <w:rPr>
                <w:lang w:eastAsia="en-US"/>
              </w:rPr>
              <w:t xml:space="preserve"> in Q2</w:t>
            </w:r>
            <w:r w:rsidRPr="006C0340">
              <w:rPr>
                <w:lang w:eastAsia="en-US"/>
              </w:rPr>
              <w:t xml:space="preserve"> (+0.80 p.</w:t>
            </w:r>
            <w:r>
              <w:rPr>
                <w:lang w:eastAsia="en-US"/>
              </w:rPr>
              <w:t xml:space="preserve"> </w:t>
            </w:r>
            <w:r w:rsidRPr="006C0340">
              <w:rPr>
                <w:lang w:eastAsia="en-US"/>
              </w:rPr>
              <w:t xml:space="preserve">p. to 7.91%). The volume of </w:t>
            </w:r>
            <w:r>
              <w:rPr>
                <w:lang w:eastAsia="en-US"/>
              </w:rPr>
              <w:t xml:space="preserve">credit </w:t>
            </w:r>
            <w:r w:rsidRPr="006C0340">
              <w:rPr>
                <w:lang w:eastAsia="en-US"/>
              </w:rPr>
              <w:t>granted for consumption was 15.2% higher</w:t>
            </w:r>
            <w:r>
              <w:rPr>
                <w:lang w:eastAsia="en-US"/>
              </w:rPr>
              <w:t>,</w:t>
            </w:r>
            <w:r w:rsidRPr="006C0340">
              <w:rPr>
                <w:lang w:eastAsia="en-US"/>
              </w:rPr>
              <w:t xml:space="preserve"> year-on-year (+52.9 b</w:t>
            </w:r>
            <w:r>
              <w:rPr>
                <w:lang w:eastAsia="en-US"/>
              </w:rPr>
              <w:t>n CZK</w:t>
            </w:r>
            <w:r w:rsidRPr="006C0340">
              <w:rPr>
                <w:lang w:eastAsia="en-US"/>
              </w:rPr>
              <w:t xml:space="preserve">) at the end of June. Despite the increase </w:t>
            </w:r>
            <w:r>
              <w:rPr>
                <w:lang w:eastAsia="en-US"/>
              </w:rPr>
              <w:t>of</w:t>
            </w:r>
            <w:r w:rsidRPr="006C0340">
              <w:rPr>
                <w:lang w:eastAsia="en-US"/>
              </w:rPr>
              <w:t xml:space="preserve"> the price of </w:t>
            </w:r>
            <w:r>
              <w:rPr>
                <w:lang w:eastAsia="en-US"/>
              </w:rPr>
              <w:t>credit f</w:t>
            </w:r>
            <w:r w:rsidRPr="006C0340">
              <w:rPr>
                <w:lang w:eastAsia="en-US"/>
              </w:rPr>
              <w:t xml:space="preserve">inancing, the pace accelerated again and has remained above 10% for a year. Interest rates on </w:t>
            </w:r>
            <w:r>
              <w:rPr>
                <w:lang w:eastAsia="en-US"/>
              </w:rPr>
              <w:t xml:space="preserve">mortgages </w:t>
            </w:r>
            <w:r w:rsidRPr="006C0340">
              <w:rPr>
                <w:lang w:eastAsia="en-US"/>
              </w:rPr>
              <w:t>were also higher (+0.22 p.</w:t>
            </w:r>
            <w:r>
              <w:rPr>
                <w:lang w:eastAsia="en-US"/>
              </w:rPr>
              <w:t xml:space="preserve"> </w:t>
            </w:r>
            <w:r w:rsidRPr="006C0340">
              <w:rPr>
                <w:lang w:eastAsia="en-US"/>
              </w:rPr>
              <w:t xml:space="preserve">p. to 4.73%). In particular, the interest rate on loans in the most used fixation category over 1 year and </w:t>
            </w:r>
            <w:r w:rsidRPr="006C0340">
              <w:rPr>
                <w:lang w:eastAsia="en-US"/>
              </w:rPr>
              <w:lastRenderedPageBreak/>
              <w:t xml:space="preserve">up to and including 5 years increased significantly in </w:t>
            </w:r>
            <w:r w:rsidR="001261F1">
              <w:rPr>
                <w:lang w:eastAsia="en-US"/>
              </w:rPr>
              <w:t>Q</w:t>
            </w:r>
            <w:r w:rsidRPr="006C0340">
              <w:rPr>
                <w:lang w:eastAsia="en-US"/>
              </w:rPr>
              <w:t>2</w:t>
            </w:r>
            <w:r w:rsidR="001261F1">
              <w:rPr>
                <w:lang w:eastAsia="en-US"/>
              </w:rPr>
              <w:t xml:space="preserve"> </w:t>
            </w:r>
            <w:r w:rsidRPr="006C0340">
              <w:rPr>
                <w:lang w:eastAsia="en-US"/>
              </w:rPr>
              <w:t>(+0.22 p.</w:t>
            </w:r>
            <w:r w:rsidR="001261F1">
              <w:rPr>
                <w:lang w:eastAsia="en-US"/>
              </w:rPr>
              <w:t xml:space="preserve"> </w:t>
            </w:r>
            <w:r w:rsidRPr="006C0340">
              <w:rPr>
                <w:lang w:eastAsia="en-US"/>
              </w:rPr>
              <w:t>p. to 4.73%), while in the range over 5 years up to and including 10 years the change was milder (+0.08 p.</w:t>
            </w:r>
            <w:r w:rsidR="001261F1">
              <w:rPr>
                <w:lang w:eastAsia="en-US"/>
              </w:rPr>
              <w:t xml:space="preserve"> </w:t>
            </w:r>
            <w:r w:rsidRPr="006C0340">
              <w:rPr>
                <w:lang w:eastAsia="en-US"/>
              </w:rPr>
              <w:t>p. to 4.30%).</w:t>
            </w:r>
            <w:r w:rsidR="001261F1">
              <w:rPr>
                <w:lang w:eastAsia="en-US"/>
              </w:rPr>
              <w:t xml:space="preserve"> T</w:t>
            </w:r>
            <w:r w:rsidRPr="006C0340">
              <w:rPr>
                <w:lang w:eastAsia="en-US"/>
              </w:rPr>
              <w:t xml:space="preserve">he volume of </w:t>
            </w:r>
            <w:r w:rsidR="001261F1">
              <w:rPr>
                <w:lang w:eastAsia="en-US"/>
              </w:rPr>
              <w:t xml:space="preserve">housing loans </w:t>
            </w:r>
            <w:r w:rsidRPr="006C0340">
              <w:rPr>
                <w:lang w:eastAsia="en-US"/>
              </w:rPr>
              <w:t>provided was 9.6% higher</w:t>
            </w:r>
            <w:r w:rsidR="001261F1">
              <w:rPr>
                <w:lang w:eastAsia="en-US"/>
              </w:rPr>
              <w:t>,</w:t>
            </w:r>
            <w:r w:rsidRPr="006C0340">
              <w:rPr>
                <w:lang w:eastAsia="en-US"/>
              </w:rPr>
              <w:t xml:space="preserve"> year-on-year, </w:t>
            </w:r>
            <w:r w:rsidR="001261F1">
              <w:rPr>
                <w:lang w:eastAsia="en-US"/>
              </w:rPr>
              <w:t>a</w:t>
            </w:r>
            <w:r w:rsidR="001261F1" w:rsidRPr="006C0340">
              <w:rPr>
                <w:lang w:eastAsia="en-US"/>
              </w:rPr>
              <w:t>t the end of June</w:t>
            </w:r>
            <w:r w:rsidR="001261F1">
              <w:rPr>
                <w:lang w:eastAsia="en-US"/>
              </w:rPr>
              <w:t>,</w:t>
            </w:r>
            <w:r w:rsidR="001261F1" w:rsidRPr="006C0340">
              <w:rPr>
                <w:lang w:eastAsia="en-US"/>
              </w:rPr>
              <w:t xml:space="preserve"> </w:t>
            </w:r>
            <w:r w:rsidRPr="006C0340">
              <w:rPr>
                <w:lang w:eastAsia="en-US"/>
              </w:rPr>
              <w:t>of which mortgage</w:t>
            </w:r>
            <w:r w:rsidR="001261F1">
              <w:rPr>
                <w:lang w:eastAsia="en-US"/>
              </w:rPr>
              <w:t xml:space="preserve">s </w:t>
            </w:r>
            <w:r w:rsidRPr="006C0340">
              <w:rPr>
                <w:lang w:eastAsia="en-US"/>
              </w:rPr>
              <w:t>were 8.8% higher (+182.4 b</w:t>
            </w:r>
            <w:r w:rsidR="001261F1">
              <w:rPr>
                <w:lang w:eastAsia="en-US"/>
              </w:rPr>
              <w:t>n CZK</w:t>
            </w:r>
            <w:r w:rsidRPr="006C0340">
              <w:rPr>
                <w:lang w:eastAsia="en-US"/>
              </w:rPr>
              <w:t xml:space="preserve">). The sharp growth of bridging loans from </w:t>
            </w:r>
            <w:r w:rsidR="001261F1">
              <w:rPr>
                <w:lang w:eastAsia="en-US"/>
              </w:rPr>
              <w:t xml:space="preserve">the </w:t>
            </w:r>
            <w:r w:rsidRPr="006C0340">
              <w:rPr>
                <w:lang w:eastAsia="en-US"/>
              </w:rPr>
              <w:t xml:space="preserve">building </w:t>
            </w:r>
            <w:r w:rsidR="001261F1">
              <w:rPr>
                <w:lang w:eastAsia="en-US"/>
              </w:rPr>
              <w:t xml:space="preserve">society </w:t>
            </w:r>
            <w:r w:rsidRPr="006C0340">
              <w:rPr>
                <w:lang w:eastAsia="en-US"/>
              </w:rPr>
              <w:t>savings (26.4%, +17.8 b</w:t>
            </w:r>
            <w:r w:rsidR="001261F1">
              <w:rPr>
                <w:lang w:eastAsia="en-US"/>
              </w:rPr>
              <w:t>n</w:t>
            </w:r>
            <w:r w:rsidRPr="006C0340">
              <w:rPr>
                <w:lang w:eastAsia="en-US"/>
              </w:rPr>
              <w:t>) did not cease either. The volume of new mortgage contracts</w:t>
            </w:r>
            <w:r w:rsidR="001261F1" w:rsidRPr="00B131B0">
              <w:rPr>
                <w:rStyle w:val="Znakapoznpodarou"/>
                <w:lang w:eastAsia="en-US"/>
              </w:rPr>
              <w:footnoteReference w:id="4"/>
            </w:r>
            <w:r w:rsidR="001261F1" w:rsidRPr="00B131B0">
              <w:rPr>
                <w:lang w:eastAsia="en-US"/>
              </w:rPr>
              <w:t xml:space="preserve"> </w:t>
            </w:r>
            <w:r w:rsidRPr="006C0340">
              <w:rPr>
                <w:lang w:eastAsia="en-US"/>
              </w:rPr>
              <w:t>reached 270.5 b</w:t>
            </w:r>
            <w:r w:rsidR="001261F1">
              <w:rPr>
                <w:lang w:eastAsia="en-US"/>
              </w:rPr>
              <w:t xml:space="preserve">n CZK for Q2 </w:t>
            </w:r>
            <w:r w:rsidRPr="006C0340">
              <w:rPr>
                <w:lang w:eastAsia="en-US"/>
              </w:rPr>
              <w:t>(+93.3 b</w:t>
            </w:r>
            <w:r w:rsidR="001261F1">
              <w:rPr>
                <w:lang w:eastAsia="en-US"/>
              </w:rPr>
              <w:t xml:space="preserve">n, </w:t>
            </w:r>
            <w:r w:rsidRPr="006C0340">
              <w:rPr>
                <w:lang w:eastAsia="en-US"/>
              </w:rPr>
              <w:t>year-on-year). Despite the significant increase, net new loans again accounted for less than half of new contracts (118.1 b</w:t>
            </w:r>
            <w:r w:rsidR="001261F1">
              <w:rPr>
                <w:lang w:eastAsia="en-US"/>
              </w:rPr>
              <w:t>n CZK</w:t>
            </w:r>
            <w:r w:rsidRPr="006C0340">
              <w:rPr>
                <w:lang w:eastAsia="en-US"/>
              </w:rPr>
              <w:t>, +35.2 b</w:t>
            </w:r>
            <w:r w:rsidR="001261F1">
              <w:rPr>
                <w:lang w:eastAsia="en-US"/>
              </w:rPr>
              <w:t>n</w:t>
            </w:r>
            <w:r w:rsidRPr="006C0340">
              <w:rPr>
                <w:lang w:eastAsia="en-US"/>
              </w:rPr>
              <w:t xml:space="preserve">). </w:t>
            </w:r>
            <w:r w:rsidR="001261F1">
              <w:rPr>
                <w:lang w:eastAsia="en-US"/>
              </w:rPr>
              <w:t xml:space="preserve">Other new arrangements </w:t>
            </w:r>
            <w:r w:rsidRPr="006C0340">
              <w:rPr>
                <w:lang w:eastAsia="en-US"/>
              </w:rPr>
              <w:t>(124.3 b</w:t>
            </w:r>
            <w:r w:rsidR="001261F1">
              <w:rPr>
                <w:lang w:eastAsia="en-US"/>
              </w:rPr>
              <w:t>n</w:t>
            </w:r>
            <w:r w:rsidRPr="006C0340">
              <w:rPr>
                <w:lang w:eastAsia="en-US"/>
              </w:rPr>
              <w:t>, +43.4 b</w:t>
            </w:r>
            <w:r w:rsidR="001261F1">
              <w:rPr>
                <w:lang w:eastAsia="en-US"/>
              </w:rPr>
              <w:t>n</w:t>
            </w:r>
            <w:r w:rsidRPr="006C0340">
              <w:rPr>
                <w:lang w:eastAsia="en-US"/>
              </w:rPr>
              <w:t>)</w:t>
            </w:r>
            <w:r w:rsidR="001261F1">
              <w:rPr>
                <w:lang w:eastAsia="en-US"/>
              </w:rPr>
              <w:t xml:space="preserve"> formed t</w:t>
            </w:r>
            <w:r w:rsidR="001261F1" w:rsidRPr="006C0340">
              <w:rPr>
                <w:lang w:eastAsia="en-US"/>
              </w:rPr>
              <w:t>he largest part of the new contracts</w:t>
            </w:r>
            <w:r w:rsidR="001261F1">
              <w:rPr>
                <w:lang w:eastAsia="en-US"/>
              </w:rPr>
              <w:t xml:space="preserve">. </w:t>
            </w:r>
            <w:r w:rsidRPr="006C0340">
              <w:rPr>
                <w:lang w:eastAsia="en-US"/>
              </w:rPr>
              <w:t xml:space="preserve">Together with the increase </w:t>
            </w:r>
            <w:r w:rsidR="001261F1">
              <w:rPr>
                <w:lang w:eastAsia="en-US"/>
              </w:rPr>
              <w:t>of</w:t>
            </w:r>
            <w:r w:rsidRPr="006C0340">
              <w:rPr>
                <w:lang w:eastAsia="en-US"/>
              </w:rPr>
              <w:t xml:space="preserve"> refinanced loans (+14.7 b</w:t>
            </w:r>
            <w:r w:rsidR="001261F1">
              <w:rPr>
                <w:lang w:eastAsia="en-US"/>
              </w:rPr>
              <w:t xml:space="preserve">n </w:t>
            </w:r>
            <w:r w:rsidRPr="006C0340">
              <w:rPr>
                <w:lang w:eastAsia="en-US"/>
              </w:rPr>
              <w:t>to 28.0 b</w:t>
            </w:r>
            <w:r w:rsidR="001261F1">
              <w:rPr>
                <w:lang w:eastAsia="en-US"/>
              </w:rPr>
              <w:t>n CZK</w:t>
            </w:r>
            <w:r w:rsidRPr="006C0340">
              <w:rPr>
                <w:lang w:eastAsia="en-US"/>
              </w:rPr>
              <w:t>), this was evidence of an intensification of the process of refixing loans concluded during the period of low rates in 2020–2021.</w:t>
            </w:r>
            <w:r>
              <w:rPr>
                <w:lang w:eastAsia="en-US"/>
              </w:rPr>
              <w:t xml:space="preserve"> </w:t>
            </w:r>
            <w:r w:rsidR="006B1AFC" w:rsidRPr="00B131B0">
              <w:rPr>
                <w:lang w:eastAsia="en-US"/>
              </w:rPr>
              <w:t xml:space="preserve"> </w:t>
            </w:r>
          </w:p>
        </w:tc>
      </w:tr>
      <w:tr w:rsidR="006B1AFC" w:rsidRPr="00B131B0" w14:paraId="3E0778D9" w14:textId="77777777" w:rsidTr="003C4A79">
        <w:trPr>
          <w:trHeight w:val="145"/>
        </w:trPr>
        <w:tc>
          <w:tcPr>
            <w:tcW w:w="1802" w:type="dxa"/>
          </w:tcPr>
          <w:p w14:paraId="519E1935" w14:textId="371567A3" w:rsidR="006B1AFC" w:rsidRPr="00B131B0" w:rsidRDefault="001261F1" w:rsidP="001261F1">
            <w:pPr>
              <w:pStyle w:val="Marginlie"/>
              <w:rPr>
                <w:lang w:eastAsia="en-US"/>
              </w:rPr>
            </w:pPr>
            <w:r w:rsidRPr="001261F1">
              <w:rPr>
                <w:lang w:eastAsia="en-US"/>
              </w:rPr>
              <w:lastRenderedPageBreak/>
              <w:t>Companies mainly took loans in koruna.</w:t>
            </w:r>
          </w:p>
        </w:tc>
        <w:tc>
          <w:tcPr>
            <w:tcW w:w="229" w:type="dxa"/>
          </w:tcPr>
          <w:p w14:paraId="3939EA49" w14:textId="77777777" w:rsidR="006B1AFC" w:rsidRPr="00B131B0" w:rsidRDefault="006B1AFC" w:rsidP="003C4A79">
            <w:pPr>
              <w:pStyle w:val="Textpoznpodarou"/>
              <w:jc w:val="both"/>
              <w:rPr>
                <w:spacing w:val="-4"/>
                <w:lang w:eastAsia="en-US"/>
              </w:rPr>
            </w:pPr>
          </w:p>
        </w:tc>
        <w:tc>
          <w:tcPr>
            <w:tcW w:w="7610" w:type="dxa"/>
          </w:tcPr>
          <w:p w14:paraId="7DDDB8CC" w14:textId="5A93EA4D" w:rsidR="006B1AFC" w:rsidRPr="00B131B0" w:rsidRDefault="001261F1" w:rsidP="001261F1">
            <w:pPr>
              <w:rPr>
                <w:lang w:eastAsia="en-US"/>
              </w:rPr>
            </w:pPr>
            <w:r w:rsidRPr="001261F1">
              <w:rPr>
                <w:lang w:eastAsia="en-US"/>
              </w:rPr>
              <w:t xml:space="preserve">Interest rates on loans to non-financial </w:t>
            </w:r>
            <w:r>
              <w:rPr>
                <w:lang w:eastAsia="en-US"/>
              </w:rPr>
              <w:t xml:space="preserve">businesses </w:t>
            </w:r>
            <w:r w:rsidRPr="001261F1">
              <w:rPr>
                <w:lang w:eastAsia="en-US"/>
              </w:rPr>
              <w:t xml:space="preserve">rose again in </w:t>
            </w:r>
            <w:r>
              <w:rPr>
                <w:lang w:eastAsia="en-US"/>
              </w:rPr>
              <w:t xml:space="preserve">Q2 </w:t>
            </w:r>
            <w:r w:rsidRPr="001261F1">
              <w:rPr>
                <w:lang w:eastAsia="en-US"/>
              </w:rPr>
              <w:t>after the previous six months of decline. The average interest rate on loans up to 7.5 m</w:t>
            </w:r>
            <w:r>
              <w:rPr>
                <w:lang w:eastAsia="en-US"/>
              </w:rPr>
              <w:t xml:space="preserve">il CZK </w:t>
            </w:r>
            <w:r w:rsidRPr="001261F1">
              <w:rPr>
                <w:lang w:eastAsia="en-US"/>
              </w:rPr>
              <w:t>reached 6.25% (+0.20 p.</w:t>
            </w:r>
            <w:r>
              <w:rPr>
                <w:lang w:eastAsia="en-US"/>
              </w:rPr>
              <w:t xml:space="preserve"> </w:t>
            </w:r>
            <w:r w:rsidRPr="001261F1">
              <w:rPr>
                <w:lang w:eastAsia="en-US"/>
              </w:rPr>
              <w:t>p.) at the end of June, 5.71% (+0.28 p.</w:t>
            </w:r>
            <w:r>
              <w:rPr>
                <w:lang w:eastAsia="en-US"/>
              </w:rPr>
              <w:t xml:space="preserve"> </w:t>
            </w:r>
            <w:r w:rsidRPr="001261F1">
              <w:rPr>
                <w:lang w:eastAsia="en-US"/>
              </w:rPr>
              <w:t>p.) between 7.5 mil</w:t>
            </w:r>
            <w:r>
              <w:rPr>
                <w:lang w:eastAsia="en-US"/>
              </w:rPr>
              <w:t xml:space="preserve"> CZK </w:t>
            </w:r>
            <w:r w:rsidRPr="001261F1">
              <w:rPr>
                <w:lang w:eastAsia="en-US"/>
              </w:rPr>
              <w:t>and 30 m</w:t>
            </w:r>
            <w:r>
              <w:rPr>
                <w:lang w:eastAsia="en-US"/>
              </w:rPr>
              <w:t>il CZK</w:t>
            </w:r>
            <w:r w:rsidRPr="001261F1">
              <w:rPr>
                <w:lang w:eastAsia="en-US"/>
              </w:rPr>
              <w:t>, and 5.36% (+0.20 p.</w:t>
            </w:r>
            <w:r>
              <w:rPr>
                <w:lang w:eastAsia="en-US"/>
              </w:rPr>
              <w:t xml:space="preserve"> </w:t>
            </w:r>
            <w:r w:rsidRPr="001261F1">
              <w:rPr>
                <w:lang w:eastAsia="en-US"/>
              </w:rPr>
              <w:t>p.) for the largest loans over 30 m</w:t>
            </w:r>
            <w:r>
              <w:rPr>
                <w:lang w:eastAsia="en-US"/>
              </w:rPr>
              <w:t>il</w:t>
            </w:r>
            <w:r w:rsidRPr="001261F1">
              <w:rPr>
                <w:lang w:eastAsia="en-US"/>
              </w:rPr>
              <w:t xml:space="preserve">. The total volume of </w:t>
            </w:r>
            <w:r w:rsidR="00C976FB">
              <w:rPr>
                <w:lang w:eastAsia="en-US"/>
              </w:rPr>
              <w:t xml:space="preserve">credit and claims </w:t>
            </w:r>
            <w:r w:rsidRPr="001261F1">
              <w:rPr>
                <w:lang w:eastAsia="en-US"/>
              </w:rPr>
              <w:t xml:space="preserve">of non-financial </w:t>
            </w:r>
            <w:r w:rsidR="00C976FB">
              <w:rPr>
                <w:lang w:eastAsia="en-US"/>
              </w:rPr>
              <w:t xml:space="preserve">businesses </w:t>
            </w:r>
            <w:r w:rsidRPr="001261F1">
              <w:rPr>
                <w:lang w:eastAsia="en-US"/>
              </w:rPr>
              <w:t>was 9.6% higher</w:t>
            </w:r>
            <w:r w:rsidR="00C976FB">
              <w:rPr>
                <w:lang w:eastAsia="en-US"/>
              </w:rPr>
              <w:t>,</w:t>
            </w:r>
            <w:r w:rsidRPr="001261F1">
              <w:rPr>
                <w:lang w:eastAsia="en-US"/>
              </w:rPr>
              <w:t xml:space="preserve"> year-on-year</w:t>
            </w:r>
            <w:r w:rsidR="00C976FB">
              <w:rPr>
                <w:lang w:eastAsia="en-US"/>
              </w:rPr>
              <w:t>,</w:t>
            </w:r>
            <w:r w:rsidRPr="001261F1">
              <w:rPr>
                <w:lang w:eastAsia="en-US"/>
              </w:rPr>
              <w:t xml:space="preserve"> at the end of </w:t>
            </w:r>
            <w:r w:rsidR="00C976FB">
              <w:rPr>
                <w:lang w:eastAsia="en-US"/>
              </w:rPr>
              <w:t>Q</w:t>
            </w:r>
            <w:r w:rsidRPr="001261F1">
              <w:rPr>
                <w:lang w:eastAsia="en-US"/>
              </w:rPr>
              <w:t>2</w:t>
            </w:r>
            <w:r w:rsidR="00C976FB">
              <w:rPr>
                <w:lang w:eastAsia="en-US"/>
              </w:rPr>
              <w:t xml:space="preserve"> </w:t>
            </w:r>
            <w:r w:rsidRPr="001261F1">
              <w:rPr>
                <w:lang w:eastAsia="en-US"/>
              </w:rPr>
              <w:t xml:space="preserve">and the pace accelerated. </w:t>
            </w:r>
            <w:r w:rsidR="00C976FB">
              <w:rPr>
                <w:lang w:eastAsia="en-US"/>
              </w:rPr>
              <w:t xml:space="preserve">Credit </w:t>
            </w:r>
            <w:r w:rsidRPr="001261F1">
              <w:rPr>
                <w:lang w:eastAsia="en-US"/>
              </w:rPr>
              <w:t xml:space="preserve">denominated </w:t>
            </w:r>
            <w:r w:rsidR="00C52271">
              <w:rPr>
                <w:lang w:eastAsia="en-US"/>
              </w:rPr>
              <w:t xml:space="preserve">both </w:t>
            </w:r>
            <w:r w:rsidRPr="001261F1">
              <w:rPr>
                <w:lang w:eastAsia="en-US"/>
              </w:rPr>
              <w:t xml:space="preserve">in </w:t>
            </w:r>
            <w:r w:rsidR="009D1237">
              <w:rPr>
                <w:lang w:eastAsia="en-US"/>
              </w:rPr>
              <w:t>CZK</w:t>
            </w:r>
            <w:r w:rsidRPr="001261F1">
              <w:rPr>
                <w:lang w:eastAsia="en-US"/>
              </w:rPr>
              <w:t xml:space="preserve"> (15.4%) and foreign currenc</w:t>
            </w:r>
            <w:r w:rsidR="00C52271">
              <w:rPr>
                <w:lang w:eastAsia="en-US"/>
              </w:rPr>
              <w:t>ies</w:t>
            </w:r>
            <w:r w:rsidRPr="001261F1">
              <w:rPr>
                <w:lang w:eastAsia="en-US"/>
              </w:rPr>
              <w:t xml:space="preserve"> (3.8%) grew stronger, but the share of loans denominated in foreign currenc</w:t>
            </w:r>
            <w:r w:rsidR="00C52271">
              <w:rPr>
                <w:lang w:eastAsia="en-US"/>
              </w:rPr>
              <w:t>ies</w:t>
            </w:r>
            <w:r w:rsidRPr="001261F1">
              <w:rPr>
                <w:lang w:eastAsia="en-US"/>
              </w:rPr>
              <w:t xml:space="preserve"> </w:t>
            </w:r>
            <w:r w:rsidR="00C976FB">
              <w:rPr>
                <w:lang w:eastAsia="en-US"/>
              </w:rPr>
              <w:t>o</w:t>
            </w:r>
            <w:r w:rsidRPr="001261F1">
              <w:rPr>
                <w:lang w:eastAsia="en-US"/>
              </w:rPr>
              <w:t xml:space="preserve">n the total volume of </w:t>
            </w:r>
            <w:r w:rsidR="00C976FB">
              <w:rPr>
                <w:lang w:eastAsia="en-US"/>
              </w:rPr>
              <w:t xml:space="preserve">credit and claims </w:t>
            </w:r>
            <w:r w:rsidRPr="001261F1">
              <w:rPr>
                <w:lang w:eastAsia="en-US"/>
              </w:rPr>
              <w:t xml:space="preserve">continued to decline and reached 47.5% at the end of the quarter. The year-on-year increase </w:t>
            </w:r>
            <w:r w:rsidR="00C976FB">
              <w:rPr>
                <w:lang w:eastAsia="en-US"/>
              </w:rPr>
              <w:t>of</w:t>
            </w:r>
            <w:r w:rsidRPr="001261F1">
              <w:rPr>
                <w:lang w:eastAsia="en-US"/>
              </w:rPr>
              <w:t xml:space="preserve"> the volume of loans granted strengthened in the production and distribution of electricity, gas, heat, air, water and waste (16.2%), accommodation and food </w:t>
            </w:r>
            <w:r w:rsidR="00C976FB">
              <w:rPr>
                <w:lang w:eastAsia="en-US"/>
              </w:rPr>
              <w:t xml:space="preserve">service </w:t>
            </w:r>
            <w:r w:rsidRPr="001261F1">
              <w:rPr>
                <w:lang w:eastAsia="en-US"/>
              </w:rPr>
              <w:t xml:space="preserve">activities (15.5%), real estate activities (11.2%) and public administration and defence, </w:t>
            </w:r>
            <w:r w:rsidR="00C976FB">
              <w:rPr>
                <w:lang w:eastAsia="en-US"/>
              </w:rPr>
              <w:t xml:space="preserve">mandatory </w:t>
            </w:r>
            <w:r w:rsidRPr="001261F1">
              <w:rPr>
                <w:lang w:eastAsia="en-US"/>
              </w:rPr>
              <w:t>social security, education and human health and social work activities (10.5%). In addition to the declining mining and quarrying, the volume of loans decreased only in construction (−7.8%).</w:t>
            </w:r>
            <w:r w:rsidR="006B1AFC" w:rsidRPr="00B131B0">
              <w:rPr>
                <w:lang w:eastAsia="en-US"/>
              </w:rPr>
              <w:t xml:space="preserve"> </w:t>
            </w:r>
          </w:p>
        </w:tc>
      </w:tr>
      <w:tr w:rsidR="006B1AFC" w:rsidRPr="00B131B0" w14:paraId="3B57CFE0" w14:textId="77777777" w:rsidTr="003C4A79">
        <w:trPr>
          <w:trHeight w:val="304"/>
        </w:trPr>
        <w:tc>
          <w:tcPr>
            <w:tcW w:w="1802" w:type="dxa"/>
            <w:vMerge w:val="restart"/>
          </w:tcPr>
          <w:p w14:paraId="3FB3F7B8" w14:textId="77777777" w:rsidR="006B1AFC" w:rsidRPr="00B131B0" w:rsidRDefault="006B1AFC" w:rsidP="003C4A79">
            <w:pPr>
              <w:pStyle w:val="Marginlie"/>
              <w:rPr>
                <w:lang w:eastAsia="en-US"/>
              </w:rPr>
            </w:pPr>
          </w:p>
        </w:tc>
        <w:tc>
          <w:tcPr>
            <w:tcW w:w="229" w:type="dxa"/>
            <w:vMerge w:val="restart"/>
          </w:tcPr>
          <w:p w14:paraId="76333458" w14:textId="77777777" w:rsidR="006B1AFC" w:rsidRPr="00B131B0" w:rsidRDefault="006B1AFC" w:rsidP="003C4A79">
            <w:pPr>
              <w:pStyle w:val="Textpoznpodarou"/>
              <w:jc w:val="both"/>
              <w:rPr>
                <w:spacing w:val="-4"/>
                <w:lang w:eastAsia="en-US"/>
              </w:rPr>
            </w:pPr>
          </w:p>
        </w:tc>
        <w:tc>
          <w:tcPr>
            <w:tcW w:w="7610" w:type="dxa"/>
            <w:hideMark/>
          </w:tcPr>
          <w:p w14:paraId="256C0064" w14:textId="1592B241" w:rsidR="006B1AFC" w:rsidRPr="00B131B0" w:rsidRDefault="001A1FFB" w:rsidP="003C4A79">
            <w:pPr>
              <w:spacing w:after="0"/>
              <w:rPr>
                <w:szCs w:val="20"/>
                <w:lang w:eastAsia="en-US"/>
              </w:rPr>
            </w:pPr>
            <w:r>
              <w:rPr>
                <w:rFonts w:cs="Arial"/>
                <w:b/>
                <w:bCs/>
                <w:color w:val="000000"/>
                <w:szCs w:val="20"/>
                <w:lang w:eastAsia="en-US"/>
              </w:rPr>
              <w:t>Chart</w:t>
            </w:r>
            <w:r w:rsidR="006B1AFC" w:rsidRPr="00B131B0">
              <w:rPr>
                <w:rFonts w:cs="Arial"/>
                <w:b/>
                <w:bCs/>
                <w:color w:val="000000"/>
                <w:szCs w:val="20"/>
                <w:lang w:eastAsia="en-US"/>
              </w:rPr>
              <w:t> 1</w:t>
            </w:r>
            <w:r w:rsidR="00FB4369">
              <w:rPr>
                <w:rFonts w:cs="Arial"/>
                <w:b/>
                <w:bCs/>
                <w:color w:val="000000"/>
                <w:szCs w:val="20"/>
                <w:lang w:eastAsia="en-US"/>
              </w:rPr>
              <w:t>5</w:t>
            </w:r>
            <w:r w:rsidR="006B1AFC" w:rsidRPr="00B131B0">
              <w:rPr>
                <w:rFonts w:cs="Arial"/>
                <w:b/>
                <w:bCs/>
                <w:color w:val="000000"/>
                <w:szCs w:val="20"/>
                <w:lang w:eastAsia="en-US"/>
              </w:rPr>
              <w:t xml:space="preserve"> </w:t>
            </w:r>
            <w:r>
              <w:rPr>
                <w:rFonts w:cs="Arial"/>
                <w:b/>
                <w:bCs/>
                <w:color w:val="000000"/>
                <w:szCs w:val="20"/>
                <w:lang w:eastAsia="en-US"/>
              </w:rPr>
              <w:t>Market interest rates</w:t>
            </w:r>
            <w:r w:rsidR="006B1AFC" w:rsidRPr="00B131B0">
              <w:rPr>
                <w:b/>
                <w:spacing w:val="-4"/>
                <w:szCs w:val="20"/>
                <w:lang w:eastAsia="en-US"/>
              </w:rPr>
              <w:t xml:space="preserve"> </w:t>
            </w:r>
            <w:r w:rsidR="006B1AFC" w:rsidRPr="00B131B0">
              <w:rPr>
                <w:bCs/>
                <w:spacing w:val="-4"/>
                <w:szCs w:val="20"/>
                <w:lang w:eastAsia="en-US"/>
              </w:rPr>
              <w:t>(</w:t>
            </w:r>
            <w:r>
              <w:rPr>
                <w:bCs/>
                <w:spacing w:val="-4"/>
                <w:szCs w:val="20"/>
                <w:lang w:eastAsia="en-US"/>
              </w:rPr>
              <w:t>in</w:t>
            </w:r>
            <w:r w:rsidR="006B1AFC" w:rsidRPr="00B131B0">
              <w:rPr>
                <w:bCs/>
                <w:spacing w:val="-4"/>
                <w:szCs w:val="20"/>
                <w:lang w:eastAsia="en-US"/>
              </w:rPr>
              <w:t> %)</w:t>
            </w:r>
          </w:p>
        </w:tc>
      </w:tr>
      <w:tr w:rsidR="006B1AFC" w:rsidRPr="00B131B0" w14:paraId="204EC9CF" w14:textId="77777777" w:rsidTr="0019271F">
        <w:tblPrEx>
          <w:tblCellMar>
            <w:left w:w="70" w:type="dxa"/>
            <w:right w:w="70" w:type="dxa"/>
          </w:tblCellMar>
        </w:tblPrEx>
        <w:trPr>
          <w:trHeight w:val="170"/>
        </w:trPr>
        <w:tc>
          <w:tcPr>
            <w:tcW w:w="1802" w:type="dxa"/>
            <w:vMerge/>
            <w:vAlign w:val="center"/>
            <w:hideMark/>
          </w:tcPr>
          <w:p w14:paraId="32CE8C28" w14:textId="77777777" w:rsidR="006B1AFC" w:rsidRPr="00B131B0" w:rsidRDefault="006B1AFC" w:rsidP="003C4A79">
            <w:pPr>
              <w:spacing w:after="0" w:line="240" w:lineRule="auto"/>
              <w:jc w:val="left"/>
              <w:rPr>
                <w:spacing w:val="-2"/>
                <w:sz w:val="16"/>
                <w:szCs w:val="16"/>
                <w:lang w:eastAsia="en-US"/>
              </w:rPr>
            </w:pPr>
          </w:p>
        </w:tc>
        <w:tc>
          <w:tcPr>
            <w:tcW w:w="229" w:type="dxa"/>
            <w:vMerge/>
            <w:vAlign w:val="center"/>
            <w:hideMark/>
          </w:tcPr>
          <w:p w14:paraId="38E3B4D2" w14:textId="77777777" w:rsidR="006B1AFC" w:rsidRPr="00B131B0" w:rsidRDefault="006B1AFC" w:rsidP="003C4A79">
            <w:pPr>
              <w:spacing w:after="0" w:line="240" w:lineRule="auto"/>
              <w:jc w:val="left"/>
              <w:rPr>
                <w:rFonts w:eastAsia="Calibri"/>
                <w:spacing w:val="-4"/>
                <w:szCs w:val="20"/>
                <w:lang w:eastAsia="en-US"/>
              </w:rPr>
            </w:pPr>
          </w:p>
        </w:tc>
        <w:tc>
          <w:tcPr>
            <w:tcW w:w="7610" w:type="dxa"/>
            <w:hideMark/>
          </w:tcPr>
          <w:p w14:paraId="129CB169" w14:textId="52E5D009" w:rsidR="006B1AFC" w:rsidRPr="00B131B0" w:rsidRDefault="0019271F" w:rsidP="003C4A79">
            <w:pPr>
              <w:spacing w:after="0"/>
              <w:rPr>
                <w:sz w:val="14"/>
                <w:szCs w:val="14"/>
                <w:lang w:eastAsia="en-US"/>
              </w:rPr>
            </w:pPr>
            <w:r>
              <w:rPr>
                <w:noProof/>
              </w:rPr>
              <w:drawing>
                <wp:inline distT="0" distB="0" distL="0" distR="0" wp14:anchorId="556AC847" wp14:editId="1C73B90A">
                  <wp:extent cx="4734425" cy="3348000"/>
                  <wp:effectExtent l="0" t="0" r="0" b="5080"/>
                  <wp:docPr id="1398175962" name="Graf 1">
                    <a:extLst xmlns:a="http://schemas.openxmlformats.org/drawingml/2006/main">
                      <a:ext uri="{FF2B5EF4-FFF2-40B4-BE49-F238E27FC236}">
                        <a16:creationId xmlns:a16="http://schemas.microsoft.com/office/drawing/2014/main" id="{00000000-0008-0000-09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tc>
      </w:tr>
      <w:tr w:rsidR="006B1AFC" w:rsidRPr="00B131B0" w14:paraId="08745674" w14:textId="77777777" w:rsidTr="003C4A79">
        <w:trPr>
          <w:trHeight w:val="170"/>
        </w:trPr>
        <w:tc>
          <w:tcPr>
            <w:tcW w:w="0" w:type="auto"/>
            <w:vMerge/>
            <w:vAlign w:val="center"/>
            <w:hideMark/>
          </w:tcPr>
          <w:p w14:paraId="09A0DAAD" w14:textId="77777777" w:rsidR="006B1AFC" w:rsidRPr="00B131B0" w:rsidRDefault="006B1AFC" w:rsidP="003C4A79">
            <w:pPr>
              <w:spacing w:after="0" w:line="240" w:lineRule="auto"/>
              <w:jc w:val="left"/>
              <w:rPr>
                <w:spacing w:val="-2"/>
                <w:sz w:val="16"/>
                <w:szCs w:val="16"/>
                <w:lang w:eastAsia="en-US"/>
              </w:rPr>
            </w:pPr>
          </w:p>
        </w:tc>
        <w:tc>
          <w:tcPr>
            <w:tcW w:w="0" w:type="auto"/>
            <w:vMerge/>
            <w:vAlign w:val="center"/>
            <w:hideMark/>
          </w:tcPr>
          <w:p w14:paraId="7AF1D578" w14:textId="77777777" w:rsidR="006B1AFC" w:rsidRPr="00B131B0" w:rsidRDefault="006B1AFC" w:rsidP="003C4A79">
            <w:pPr>
              <w:spacing w:after="0" w:line="240" w:lineRule="auto"/>
              <w:jc w:val="left"/>
              <w:rPr>
                <w:rFonts w:eastAsia="Calibri"/>
                <w:spacing w:val="-4"/>
                <w:szCs w:val="20"/>
                <w:lang w:eastAsia="en-US"/>
              </w:rPr>
            </w:pPr>
          </w:p>
        </w:tc>
        <w:tc>
          <w:tcPr>
            <w:tcW w:w="7610" w:type="dxa"/>
            <w:hideMark/>
          </w:tcPr>
          <w:p w14:paraId="2A974665" w14:textId="1A9DAFF4" w:rsidR="00C976FB" w:rsidRPr="00C976FB" w:rsidRDefault="001A1FFB" w:rsidP="0019271F">
            <w:pPr>
              <w:spacing w:after="0"/>
              <w:rPr>
                <w:b/>
                <w:bCs/>
                <w:sz w:val="16"/>
                <w:szCs w:val="16"/>
                <w:lang w:val="cs-CZ" w:eastAsia="en-US"/>
              </w:rPr>
            </w:pPr>
            <w:r>
              <w:rPr>
                <w:sz w:val="14"/>
                <w:szCs w:val="14"/>
                <w:lang w:eastAsia="en-US"/>
              </w:rPr>
              <w:t>Source</w:t>
            </w:r>
            <w:r w:rsidR="006B1AFC" w:rsidRPr="00B131B0">
              <w:rPr>
                <w:sz w:val="14"/>
                <w:szCs w:val="14"/>
                <w:lang w:eastAsia="en-US"/>
              </w:rPr>
              <w:t xml:space="preserve">: ARAD, </w:t>
            </w:r>
            <w:r>
              <w:rPr>
                <w:sz w:val="14"/>
                <w:szCs w:val="14"/>
                <w:lang w:eastAsia="en-US"/>
              </w:rPr>
              <w:t>C</w:t>
            </w:r>
            <w:r w:rsidR="006B1AFC" w:rsidRPr="00B131B0">
              <w:rPr>
                <w:sz w:val="14"/>
                <w:szCs w:val="14"/>
                <w:lang w:eastAsia="en-US"/>
              </w:rPr>
              <w:t>NB</w:t>
            </w:r>
          </w:p>
        </w:tc>
      </w:tr>
    </w:tbl>
    <w:p w14:paraId="66911CC6" w14:textId="021FCF45" w:rsidR="00A50D73" w:rsidRPr="001D0546" w:rsidRDefault="00A50D73" w:rsidP="001D0546">
      <w:pPr>
        <w:rPr>
          <w:sz w:val="2"/>
          <w:szCs w:val="2"/>
        </w:rPr>
      </w:pPr>
    </w:p>
    <w:sectPr w:rsidR="00A50D73" w:rsidRPr="001D0546" w:rsidSect="00491BB8">
      <w:headerReference w:type="even" r:id="rId12"/>
      <w:headerReference w:type="default" r:id="rId13"/>
      <w:footerReference w:type="even" r:id="rId14"/>
      <w:footerReference w:type="default" r:id="rId15"/>
      <w:pgSz w:w="11906" w:h="16838" w:code="9"/>
      <w:pgMar w:top="1134" w:right="1134" w:bottom="1418" w:left="1134" w:header="680" w:footer="680" w:gutter="0"/>
      <w:pgNumType w:start="45"/>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43D641" w14:textId="77777777" w:rsidR="00C02D5C" w:rsidRPr="00B131B0" w:rsidRDefault="00C02D5C" w:rsidP="00E71A58">
      <w:r w:rsidRPr="00B131B0">
        <w:separator/>
      </w:r>
    </w:p>
  </w:endnote>
  <w:endnote w:type="continuationSeparator" w:id="0">
    <w:p w14:paraId="04DC18E6" w14:textId="77777777" w:rsidR="00C02D5C" w:rsidRPr="00B131B0" w:rsidRDefault="00C02D5C" w:rsidP="00E71A58">
      <w:r w:rsidRPr="00B131B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Minion Pro">
    <w:altName w:val="Times New Roman"/>
    <w:panose1 w:val="00000000000000000000"/>
    <w:charset w:val="00"/>
    <w:family w:val="roman"/>
    <w:notTrueType/>
    <w:pitch w:val="variable"/>
    <w:sig w:usb0="60000287" w:usb1="00000001" w:usb2="00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536754" w14:textId="600D31C7" w:rsidR="00763B85" w:rsidRPr="00B131B0" w:rsidRDefault="00763B85" w:rsidP="00A418BC">
    <w:pPr>
      <w:pStyle w:val="Zpat"/>
      <w:rPr>
        <w:noProof w:val="0"/>
        <w:szCs w:val="16"/>
        <w:lang w:val="en-GB"/>
      </w:rPr>
    </w:pPr>
    <w:r w:rsidRPr="00B131B0">
      <w:rPr>
        <w:noProof w:val="0"/>
        <w:szCs w:val="16"/>
        <w:lang w:val="en-GB"/>
      </w:rPr>
      <w:fldChar w:fldCharType="begin"/>
    </w:r>
    <w:r w:rsidRPr="00B131B0">
      <w:rPr>
        <w:noProof w:val="0"/>
        <w:szCs w:val="16"/>
        <w:lang w:val="en-GB"/>
      </w:rPr>
      <w:instrText>PAGE   \* MERGEFORMAT</w:instrText>
    </w:r>
    <w:r w:rsidRPr="00B131B0">
      <w:rPr>
        <w:noProof w:val="0"/>
        <w:szCs w:val="16"/>
        <w:lang w:val="en-GB"/>
      </w:rPr>
      <w:fldChar w:fldCharType="separate"/>
    </w:r>
    <w:r w:rsidR="00C35666" w:rsidRPr="00B131B0">
      <w:rPr>
        <w:noProof w:val="0"/>
        <w:szCs w:val="16"/>
        <w:lang w:val="en-GB"/>
      </w:rPr>
      <w:t>8</w:t>
    </w:r>
    <w:r w:rsidRPr="00B131B0">
      <w:rPr>
        <w:noProof w:val="0"/>
        <w:szCs w:val="16"/>
        <w:lang w:val="en-GB"/>
      </w:rPr>
      <w:fldChar w:fldCharType="end"/>
    </w:r>
    <w:r w:rsidRPr="00B131B0">
      <w:rPr>
        <w:noProof w:val="0"/>
        <w:szCs w:val="16"/>
        <w:lang w:val="en-GB"/>
      </w:rPr>
      <w:tab/>
    </w:r>
    <w:r w:rsidR="00E92DFE" w:rsidRPr="00B131B0">
      <w:rPr>
        <w:noProof w:val="0"/>
        <w:szCs w:val="16"/>
        <w:lang w:val="en-GB"/>
      </w:rPr>
      <w:t xml:space="preserve">First half of </w:t>
    </w:r>
    <w:r w:rsidR="009203C8" w:rsidRPr="00B131B0">
      <w:rPr>
        <w:noProof w:val="0"/>
        <w:szCs w:val="16"/>
        <w:lang w:val="en-GB"/>
      </w:rPr>
      <w:t>2026</w:t>
    </w:r>
    <w:r w:rsidR="002B4121" w:rsidRPr="00B131B0">
      <w:rPr>
        <w:noProof w:val="0"/>
        <w:szCs w:val="16"/>
        <w:lang w:val="en-GB"/>
      </w:rPr>
      <w:tab/>
    </w:r>
    <w:r w:rsidR="00966AEE" w:rsidRPr="00B131B0">
      <w:rPr>
        <w:noProof w:val="0"/>
        <w:szCs w:val="16"/>
        <w:lang w:val="en-GB"/>
      </w:rPr>
      <w:t>CZSO</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C1FA4F" w14:textId="23B79C87" w:rsidR="00763B85" w:rsidRPr="00B131B0" w:rsidRDefault="00964F1A" w:rsidP="00A418BC">
    <w:pPr>
      <w:pStyle w:val="Zpat"/>
      <w:rPr>
        <w:noProof w:val="0"/>
        <w:szCs w:val="16"/>
        <w:lang w:val="en-GB"/>
      </w:rPr>
    </w:pPr>
    <w:r w:rsidRPr="00B131B0">
      <w:rPr>
        <w:noProof w:val="0"/>
        <w:szCs w:val="16"/>
        <w:lang w:val="en-GB"/>
      </w:rPr>
      <w:t>CZSO</w:t>
    </w:r>
    <w:r w:rsidR="00763B85" w:rsidRPr="00B131B0">
      <w:rPr>
        <w:noProof w:val="0"/>
        <w:szCs w:val="16"/>
        <w:lang w:val="en-GB"/>
      </w:rPr>
      <w:tab/>
    </w:r>
    <w:r w:rsidRPr="00B131B0">
      <w:rPr>
        <w:noProof w:val="0"/>
        <w:szCs w:val="16"/>
        <w:lang w:val="en-GB"/>
      </w:rPr>
      <w:t xml:space="preserve">First half of </w:t>
    </w:r>
    <w:r w:rsidR="009203C8" w:rsidRPr="00B131B0">
      <w:rPr>
        <w:noProof w:val="0"/>
        <w:szCs w:val="16"/>
        <w:lang w:val="en-GB"/>
      </w:rPr>
      <w:t>2026</w:t>
    </w:r>
    <w:r w:rsidR="00763B85" w:rsidRPr="00B131B0">
      <w:rPr>
        <w:noProof w:val="0"/>
        <w:szCs w:val="16"/>
        <w:lang w:val="en-GB"/>
      </w:rPr>
      <w:tab/>
    </w:r>
    <w:r w:rsidR="00763B85" w:rsidRPr="00B131B0">
      <w:rPr>
        <w:rStyle w:val="ZpatChar"/>
        <w:noProof w:val="0"/>
        <w:szCs w:val="16"/>
        <w:lang w:val="en-GB"/>
      </w:rPr>
      <w:fldChar w:fldCharType="begin"/>
    </w:r>
    <w:r w:rsidR="00763B85" w:rsidRPr="00B131B0">
      <w:rPr>
        <w:rStyle w:val="ZpatChar"/>
        <w:noProof w:val="0"/>
        <w:szCs w:val="16"/>
        <w:lang w:val="en-GB"/>
      </w:rPr>
      <w:instrText>PAGE   \* MERGEFORMAT</w:instrText>
    </w:r>
    <w:r w:rsidR="00763B85" w:rsidRPr="00B131B0">
      <w:rPr>
        <w:rStyle w:val="ZpatChar"/>
        <w:noProof w:val="0"/>
        <w:szCs w:val="16"/>
        <w:lang w:val="en-GB"/>
      </w:rPr>
      <w:fldChar w:fldCharType="separate"/>
    </w:r>
    <w:r w:rsidR="00C35666" w:rsidRPr="00B131B0">
      <w:rPr>
        <w:rStyle w:val="ZpatChar"/>
        <w:noProof w:val="0"/>
        <w:szCs w:val="16"/>
        <w:lang w:val="en-GB"/>
      </w:rPr>
      <w:t>3</w:t>
    </w:r>
    <w:r w:rsidR="00763B85" w:rsidRPr="00B131B0">
      <w:rPr>
        <w:rStyle w:val="ZpatChar"/>
        <w:noProof w:val="0"/>
        <w:szCs w:val="16"/>
        <w:lang w:val="en-GB"/>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374446" w14:textId="77777777" w:rsidR="00C02D5C" w:rsidRPr="00B131B0" w:rsidRDefault="00C02D5C" w:rsidP="00BB2F43">
      <w:pPr>
        <w:pStyle w:val="Zpat"/>
        <w:rPr>
          <w:noProof w:val="0"/>
          <w:lang w:val="en-GB"/>
        </w:rPr>
      </w:pPr>
      <w:r w:rsidRPr="00B131B0">
        <w:rPr>
          <w:noProof w:val="0"/>
          <w:lang w:val="en-GB"/>
        </w:rPr>
        <w:separator/>
      </w:r>
    </w:p>
  </w:footnote>
  <w:footnote w:type="continuationSeparator" w:id="0">
    <w:p w14:paraId="47E09593" w14:textId="77777777" w:rsidR="00C02D5C" w:rsidRPr="00B131B0" w:rsidRDefault="00C02D5C" w:rsidP="00E71A58">
      <w:r w:rsidRPr="00B131B0">
        <w:continuationSeparator/>
      </w:r>
    </w:p>
  </w:footnote>
  <w:footnote w:id="1">
    <w:p w14:paraId="24B38180" w14:textId="64AED2CA" w:rsidR="008B4316" w:rsidRPr="00D633D2" w:rsidRDefault="008B4316" w:rsidP="006C0340">
      <w:pPr>
        <w:pStyle w:val="Textpoznpodarou"/>
        <w:rPr>
          <w:sz w:val="16"/>
          <w:szCs w:val="16"/>
        </w:rPr>
      </w:pPr>
      <w:r w:rsidRPr="00B131B0">
        <w:rPr>
          <w:rStyle w:val="Znakapoznpodarou"/>
          <w:sz w:val="16"/>
          <w:szCs w:val="16"/>
        </w:rPr>
        <w:footnoteRef/>
      </w:r>
      <w:r w:rsidRPr="00D633D2">
        <w:rPr>
          <w:sz w:val="16"/>
          <w:szCs w:val="16"/>
        </w:rPr>
        <w:t xml:space="preserve"> </w:t>
      </w:r>
      <w:r w:rsidR="000435E2" w:rsidRPr="000435E2">
        <w:rPr>
          <w:sz w:val="16"/>
          <w:szCs w:val="16"/>
        </w:rPr>
        <w:t xml:space="preserve">The </w:t>
      </w:r>
      <w:r w:rsidR="000435E2" w:rsidRPr="000435E2">
        <w:rPr>
          <w:i/>
          <w:sz w:val="16"/>
          <w:szCs w:val="16"/>
        </w:rPr>
        <w:t>ARAD</w:t>
      </w:r>
      <w:r w:rsidR="000435E2" w:rsidRPr="000435E2">
        <w:rPr>
          <w:sz w:val="16"/>
          <w:szCs w:val="16"/>
        </w:rPr>
        <w:t xml:space="preserve"> database of the Czech National Bank (CNB) is the data source in this chapter. Values of exchange rates are also </w:t>
      </w:r>
      <w:r w:rsidR="006C0340">
        <w:rPr>
          <w:sz w:val="16"/>
          <w:szCs w:val="16"/>
        </w:rPr>
        <w:t>sourced f</w:t>
      </w:r>
      <w:r w:rsidR="000435E2" w:rsidRPr="000435E2">
        <w:rPr>
          <w:sz w:val="16"/>
          <w:szCs w:val="16"/>
        </w:rPr>
        <w:t>rom the CNB.</w:t>
      </w:r>
    </w:p>
  </w:footnote>
  <w:footnote w:id="2">
    <w:p w14:paraId="1829A68E" w14:textId="226BB8EE" w:rsidR="000435E2" w:rsidRPr="0027788C" w:rsidRDefault="000435E2" w:rsidP="006C0340">
      <w:pPr>
        <w:pStyle w:val="Textpoznpodarou"/>
        <w:rPr>
          <w:sz w:val="16"/>
          <w:szCs w:val="16"/>
          <w:lang w:val="en-US"/>
        </w:rPr>
      </w:pPr>
      <w:r w:rsidRPr="00B131B0">
        <w:rPr>
          <w:rStyle w:val="Znakapoznpodarou"/>
          <w:sz w:val="16"/>
          <w:szCs w:val="16"/>
        </w:rPr>
        <w:footnoteRef/>
      </w:r>
      <w:r w:rsidRPr="00D633D2">
        <w:rPr>
          <w:sz w:val="16"/>
          <w:szCs w:val="16"/>
        </w:rPr>
        <w:t xml:space="preserve"> </w:t>
      </w:r>
      <w:r w:rsidRPr="000435E2">
        <w:rPr>
          <w:sz w:val="16"/>
          <w:szCs w:val="16"/>
        </w:rPr>
        <w:t xml:space="preserve">Unless </w:t>
      </w:r>
      <w:r w:rsidR="00210453">
        <w:rPr>
          <w:sz w:val="16"/>
          <w:szCs w:val="16"/>
        </w:rPr>
        <w:t xml:space="preserve">stated </w:t>
      </w:r>
      <w:r w:rsidR="00A6148D">
        <w:rPr>
          <w:sz w:val="16"/>
          <w:szCs w:val="16"/>
        </w:rPr>
        <w:t>o</w:t>
      </w:r>
      <w:r w:rsidRPr="000435E2">
        <w:rPr>
          <w:sz w:val="16"/>
          <w:szCs w:val="16"/>
        </w:rPr>
        <w:t>therwise, the difference between the value as of 31 March 202</w:t>
      </w:r>
      <w:r w:rsidR="006C0340">
        <w:rPr>
          <w:sz w:val="16"/>
          <w:szCs w:val="16"/>
        </w:rPr>
        <w:t>6</w:t>
      </w:r>
      <w:r w:rsidRPr="000435E2">
        <w:rPr>
          <w:sz w:val="16"/>
          <w:szCs w:val="16"/>
        </w:rPr>
        <w:t xml:space="preserve"> and 31 December 202</w:t>
      </w:r>
      <w:r w:rsidR="006C0340">
        <w:rPr>
          <w:sz w:val="16"/>
          <w:szCs w:val="16"/>
        </w:rPr>
        <w:t>5</w:t>
      </w:r>
      <w:r w:rsidRPr="000435E2">
        <w:rPr>
          <w:sz w:val="16"/>
          <w:szCs w:val="16"/>
        </w:rPr>
        <w:t xml:space="preserve"> is understood as the change of interest rates.  </w:t>
      </w:r>
    </w:p>
  </w:footnote>
  <w:footnote w:id="3">
    <w:p w14:paraId="72D83450" w14:textId="77777777" w:rsidR="006C0340" w:rsidRPr="0027788C" w:rsidRDefault="006C0340" w:rsidP="006C0340">
      <w:pPr>
        <w:pStyle w:val="Textpoznpodarou"/>
        <w:rPr>
          <w:sz w:val="16"/>
          <w:szCs w:val="16"/>
          <w:lang w:val="en-US"/>
        </w:rPr>
      </w:pPr>
      <w:r w:rsidRPr="00B131B0">
        <w:rPr>
          <w:rStyle w:val="Znakapoznpodarou"/>
          <w:sz w:val="16"/>
          <w:szCs w:val="16"/>
        </w:rPr>
        <w:footnoteRef/>
      </w:r>
      <w:r w:rsidRPr="0027788C">
        <w:rPr>
          <w:sz w:val="16"/>
          <w:szCs w:val="16"/>
          <w:lang w:val="en-US"/>
        </w:rPr>
        <w:t xml:space="preserve"> </w:t>
      </w:r>
      <w:r w:rsidRPr="006C0340">
        <w:rPr>
          <w:sz w:val="16"/>
          <w:szCs w:val="16"/>
        </w:rPr>
        <w:t>Population including self-employed persons.</w:t>
      </w:r>
    </w:p>
  </w:footnote>
  <w:footnote w:id="4">
    <w:p w14:paraId="61BF3D84" w14:textId="77777777" w:rsidR="001261F1" w:rsidRPr="0027788C" w:rsidRDefault="001261F1" w:rsidP="001261F1">
      <w:pPr>
        <w:pStyle w:val="Textpoznpodarou"/>
        <w:jc w:val="both"/>
        <w:rPr>
          <w:sz w:val="16"/>
          <w:szCs w:val="16"/>
          <w:lang w:val="en-US"/>
        </w:rPr>
      </w:pPr>
      <w:r w:rsidRPr="00B131B0">
        <w:rPr>
          <w:rStyle w:val="Znakapoznpodarou"/>
          <w:sz w:val="16"/>
          <w:szCs w:val="16"/>
        </w:rPr>
        <w:footnoteRef/>
      </w:r>
      <w:r w:rsidRPr="001A1FFB">
        <w:rPr>
          <w:sz w:val="16"/>
          <w:szCs w:val="16"/>
          <w:lang w:val="en-US"/>
        </w:rPr>
        <w:t xml:space="preserve"> </w:t>
      </w:r>
      <w:r w:rsidRPr="00995C95">
        <w:rPr>
          <w:sz w:val="16"/>
          <w:szCs w:val="16"/>
        </w:rPr>
        <w:t xml:space="preserve">New contracts also include the refinanced credit and other renegotiated loans. Refinanced credit includes current contracts concluded newly at other bank, while other renegotiated loans are current contracts concluded with new conditions at the same bank.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899EBB" w14:textId="379149F3" w:rsidR="00763B85" w:rsidRPr="00B131B0" w:rsidRDefault="00E92DFE" w:rsidP="00937AE2">
    <w:pPr>
      <w:pStyle w:val="Zhlav"/>
      <w:rPr>
        <w:lang w:val="en-GB"/>
      </w:rPr>
    </w:pPr>
    <w:r w:rsidRPr="00B131B0">
      <w:rPr>
        <w:lang w:val="en-GB"/>
      </w:rPr>
      <w:t>The Czech Economy Development</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4BA682" w14:textId="6C803F4A" w:rsidR="00763B85" w:rsidRPr="00B131B0" w:rsidRDefault="007A7100" w:rsidP="00937AE2">
    <w:pPr>
      <w:pStyle w:val="Zhlav"/>
      <w:rPr>
        <w:lang w:val="en-GB"/>
      </w:rPr>
    </w:pPr>
    <w:r w:rsidRPr="00B131B0">
      <w:rPr>
        <w:lang w:val="en-GB"/>
      </w:rPr>
      <w:t>The Czech Economy Development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1pt;height:11.1pt" o:bullet="t">
        <v:imagedata r:id="rId1" o:title="msoFAAF"/>
      </v:shape>
    </w:pict>
  </w:numPicBullet>
  <w:abstractNum w:abstractNumId="0" w15:restartNumberingAfterBreak="0">
    <w:nsid w:val="FFFFFF7C"/>
    <w:multiLevelType w:val="singleLevel"/>
    <w:tmpl w:val="49CEEC4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FEC69A9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37A1C9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5B76230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6965B5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0DE276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7AED3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68C5BA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7C8EEA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18AD8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AC5946"/>
    <w:multiLevelType w:val="hybridMultilevel"/>
    <w:tmpl w:val="4C1C2D78"/>
    <w:lvl w:ilvl="0" w:tplc="B01A563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0895764B"/>
    <w:multiLevelType w:val="hybridMultilevel"/>
    <w:tmpl w:val="84788BC8"/>
    <w:lvl w:ilvl="0" w:tplc="1B96A2C2">
      <w:numFmt w:val="bullet"/>
      <w:lvlText w:val="-"/>
      <w:lvlJc w:val="left"/>
      <w:pPr>
        <w:ind w:left="720" w:hanging="360"/>
      </w:pPr>
      <w:rPr>
        <w:rFonts w:ascii="Arial" w:eastAsia="Times New Roman" w:hAnsi="Arial" w:cs="Aria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2" w15:restartNumberingAfterBreak="0">
    <w:nsid w:val="09D55121"/>
    <w:multiLevelType w:val="hybridMultilevel"/>
    <w:tmpl w:val="338E27CE"/>
    <w:lvl w:ilvl="0" w:tplc="04050001">
      <w:start w:val="1"/>
      <w:numFmt w:val="bullet"/>
      <w:lvlText w:val=""/>
      <w:lvlJc w:val="left"/>
      <w:pPr>
        <w:ind w:left="360" w:hanging="360"/>
      </w:pPr>
      <w:rPr>
        <w:rFonts w:ascii="Symbol" w:hAnsi="Symbol" w:hint="default"/>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13" w15:restartNumberingAfterBreak="0">
    <w:nsid w:val="0D361065"/>
    <w:multiLevelType w:val="hybridMultilevel"/>
    <w:tmpl w:val="991072CE"/>
    <w:lvl w:ilvl="0" w:tplc="0405000F">
      <w:start w:val="1"/>
      <w:numFmt w:val="decimal"/>
      <w:lvlText w:val="%1."/>
      <w:lvlJc w:val="left"/>
      <w:pPr>
        <w:ind w:left="1080" w:hanging="360"/>
      </w:pPr>
    </w:lvl>
    <w:lvl w:ilvl="1" w:tplc="04050019" w:tentative="1">
      <w:start w:val="1"/>
      <w:numFmt w:val="lowerLetter"/>
      <w:lvlText w:val="%2."/>
      <w:lvlJc w:val="left"/>
      <w:pPr>
        <w:ind w:left="1800" w:hanging="360"/>
      </w:pPr>
    </w:lvl>
    <w:lvl w:ilvl="2" w:tplc="0405001B" w:tentative="1">
      <w:start w:val="1"/>
      <w:numFmt w:val="lowerRoman"/>
      <w:lvlText w:val="%3."/>
      <w:lvlJc w:val="right"/>
      <w:pPr>
        <w:ind w:left="2520" w:hanging="180"/>
      </w:pPr>
    </w:lvl>
    <w:lvl w:ilvl="3" w:tplc="0405000F" w:tentative="1">
      <w:start w:val="1"/>
      <w:numFmt w:val="decimal"/>
      <w:lvlText w:val="%4."/>
      <w:lvlJc w:val="left"/>
      <w:pPr>
        <w:ind w:left="3240" w:hanging="360"/>
      </w:pPr>
    </w:lvl>
    <w:lvl w:ilvl="4" w:tplc="04050019" w:tentative="1">
      <w:start w:val="1"/>
      <w:numFmt w:val="lowerLetter"/>
      <w:lvlText w:val="%5."/>
      <w:lvlJc w:val="left"/>
      <w:pPr>
        <w:ind w:left="3960" w:hanging="360"/>
      </w:pPr>
    </w:lvl>
    <w:lvl w:ilvl="5" w:tplc="0405001B" w:tentative="1">
      <w:start w:val="1"/>
      <w:numFmt w:val="lowerRoman"/>
      <w:lvlText w:val="%6."/>
      <w:lvlJc w:val="right"/>
      <w:pPr>
        <w:ind w:left="4680" w:hanging="180"/>
      </w:pPr>
    </w:lvl>
    <w:lvl w:ilvl="6" w:tplc="0405000F" w:tentative="1">
      <w:start w:val="1"/>
      <w:numFmt w:val="decimal"/>
      <w:lvlText w:val="%7."/>
      <w:lvlJc w:val="left"/>
      <w:pPr>
        <w:ind w:left="5400" w:hanging="360"/>
      </w:pPr>
    </w:lvl>
    <w:lvl w:ilvl="7" w:tplc="04050019" w:tentative="1">
      <w:start w:val="1"/>
      <w:numFmt w:val="lowerLetter"/>
      <w:lvlText w:val="%8."/>
      <w:lvlJc w:val="left"/>
      <w:pPr>
        <w:ind w:left="6120" w:hanging="360"/>
      </w:pPr>
    </w:lvl>
    <w:lvl w:ilvl="8" w:tplc="0405001B" w:tentative="1">
      <w:start w:val="1"/>
      <w:numFmt w:val="lowerRoman"/>
      <w:lvlText w:val="%9."/>
      <w:lvlJc w:val="right"/>
      <w:pPr>
        <w:ind w:left="6840" w:hanging="180"/>
      </w:pPr>
    </w:lvl>
  </w:abstractNum>
  <w:abstractNum w:abstractNumId="14" w15:restartNumberingAfterBreak="0">
    <w:nsid w:val="0E145AAD"/>
    <w:multiLevelType w:val="hybridMultilevel"/>
    <w:tmpl w:val="963044AA"/>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5" w15:restartNumberingAfterBreak="0">
    <w:nsid w:val="18B35353"/>
    <w:multiLevelType w:val="multilevel"/>
    <w:tmpl w:val="1C0E9EAE"/>
    <w:name w:val="Analyza"/>
    <w:lvl w:ilvl="0">
      <w:start w:val="1"/>
      <w:numFmt w:val="decimal"/>
      <w:suff w:val="space"/>
      <w:lvlText w:val="%1"/>
      <w:lvlJc w:val="left"/>
      <w:pPr>
        <w:ind w:left="432" w:hanging="432"/>
      </w:pPr>
      <w:rPr>
        <w:rFonts w:hint="default"/>
      </w:rPr>
    </w:lvl>
    <w:lvl w:ilvl="1">
      <w:start w:val="1"/>
      <w:numFmt w:val="decimal"/>
      <w:suff w:val="space"/>
      <w:lvlText w:val="%1.%2"/>
      <w:lvlJc w:val="left"/>
      <w:pPr>
        <w:ind w:left="576" w:hanging="576"/>
      </w:pPr>
      <w:rPr>
        <w:rFonts w:hint="default"/>
        <w:i w:val="0"/>
      </w:rPr>
    </w:lvl>
    <w:lvl w:ilvl="2">
      <w:start w:val="1"/>
      <w:numFmt w:val="decimal"/>
      <w:suff w:val="space"/>
      <w:lvlText w:val="%1.%2.%3"/>
      <w:lvlJc w:val="left"/>
      <w:pPr>
        <w:ind w:left="720" w:hanging="720"/>
      </w:pPr>
      <w:rPr>
        <w:rFonts w:hint="default"/>
      </w:rPr>
    </w:lvl>
    <w:lvl w:ilvl="3">
      <w:start w:val="1"/>
      <w:numFmt w:val="decimal"/>
      <w:suff w:val="space"/>
      <w:lvlText w:val="%1.%2.%3.%4"/>
      <w:lvlJc w:val="left"/>
      <w:pPr>
        <w:ind w:left="864" w:hanging="864"/>
      </w:pPr>
      <w:rPr>
        <w:rFonts w:hint="default"/>
      </w:rPr>
    </w:lvl>
    <w:lvl w:ilvl="4">
      <w:start w:val="1"/>
      <w:numFmt w:val="decimal"/>
      <w:pStyle w:val="Nadpis5"/>
      <w:suff w:val="space"/>
      <w:lvlText w:val="%1.%2.%3.%4.%5"/>
      <w:lvlJc w:val="left"/>
      <w:pPr>
        <w:ind w:left="1008" w:hanging="1008"/>
      </w:pPr>
      <w:rPr>
        <w:rFonts w:hint="default"/>
      </w:rPr>
    </w:lvl>
    <w:lvl w:ilvl="5">
      <w:start w:val="1"/>
      <w:numFmt w:val="decimal"/>
      <w:pStyle w:val="Nadpis6"/>
      <w:suff w:val="space"/>
      <w:lvlText w:val="%1.%2.%3.%4.%5.%6"/>
      <w:lvlJc w:val="left"/>
      <w:pPr>
        <w:ind w:left="1152" w:hanging="1152"/>
      </w:pPr>
      <w:rPr>
        <w:rFonts w:hint="default"/>
      </w:rPr>
    </w:lvl>
    <w:lvl w:ilvl="6">
      <w:start w:val="1"/>
      <w:numFmt w:val="decimal"/>
      <w:pStyle w:val="Nadpis7"/>
      <w:suff w:val="space"/>
      <w:lvlText w:val="%1.%2.%3.%4.%5.%6.%7"/>
      <w:lvlJc w:val="left"/>
      <w:pPr>
        <w:ind w:left="1296" w:hanging="1296"/>
      </w:pPr>
      <w:rPr>
        <w:rFonts w:hint="default"/>
      </w:rPr>
    </w:lvl>
    <w:lvl w:ilvl="7">
      <w:start w:val="1"/>
      <w:numFmt w:val="decimal"/>
      <w:pStyle w:val="Nadpis8"/>
      <w:suff w:val="space"/>
      <w:lvlText w:val="%1.%2.%3.%4.%5.%6.%7.%8"/>
      <w:lvlJc w:val="left"/>
      <w:pPr>
        <w:ind w:left="1440" w:hanging="1440"/>
      </w:pPr>
      <w:rPr>
        <w:rFonts w:hint="default"/>
      </w:rPr>
    </w:lvl>
    <w:lvl w:ilvl="8">
      <w:start w:val="1"/>
      <w:numFmt w:val="decimal"/>
      <w:pStyle w:val="Nadpis9"/>
      <w:suff w:val="space"/>
      <w:lvlText w:val="%1.%2.%3.%4.%5.%6.%7.%8.%9"/>
      <w:lvlJc w:val="left"/>
      <w:pPr>
        <w:ind w:left="1584" w:hanging="1584"/>
      </w:pPr>
      <w:rPr>
        <w:rFonts w:hint="default"/>
      </w:rPr>
    </w:lvl>
  </w:abstractNum>
  <w:abstractNum w:abstractNumId="16" w15:restartNumberingAfterBreak="0">
    <w:nsid w:val="1E462C8E"/>
    <w:multiLevelType w:val="hybridMultilevel"/>
    <w:tmpl w:val="84B46412"/>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7" w15:restartNumberingAfterBreak="0">
    <w:nsid w:val="22C64F20"/>
    <w:multiLevelType w:val="hybridMultilevel"/>
    <w:tmpl w:val="ADE25A6C"/>
    <w:lvl w:ilvl="0" w:tplc="04050001">
      <w:start w:val="1"/>
      <w:numFmt w:val="bullet"/>
      <w:lvlText w:val=""/>
      <w:lvlJc w:val="left"/>
      <w:pPr>
        <w:ind w:left="363" w:hanging="363"/>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258473A1"/>
    <w:multiLevelType w:val="hybridMultilevel"/>
    <w:tmpl w:val="7984410C"/>
    <w:lvl w:ilvl="0" w:tplc="3712003C">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9" w15:restartNumberingAfterBreak="0">
    <w:nsid w:val="28352333"/>
    <w:multiLevelType w:val="multilevel"/>
    <w:tmpl w:val="D0ACFA48"/>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i w:val="0"/>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0" w15:restartNumberingAfterBreak="0">
    <w:nsid w:val="28DA62F8"/>
    <w:multiLevelType w:val="hybridMultilevel"/>
    <w:tmpl w:val="419C87DC"/>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1" w15:restartNumberingAfterBreak="0">
    <w:nsid w:val="2A5A7A87"/>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2" w15:restartNumberingAfterBreak="0">
    <w:nsid w:val="2C242037"/>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3" w15:restartNumberingAfterBreak="0">
    <w:nsid w:val="2D106EA9"/>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4" w15:restartNumberingAfterBreak="0">
    <w:nsid w:val="311355C0"/>
    <w:multiLevelType w:val="multilevel"/>
    <w:tmpl w:val="697E8BEA"/>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5" w15:restartNumberingAfterBreak="0">
    <w:nsid w:val="39914012"/>
    <w:multiLevelType w:val="multilevel"/>
    <w:tmpl w:val="F380FB8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6" w15:restartNumberingAfterBreak="0">
    <w:nsid w:val="3C7C1667"/>
    <w:multiLevelType w:val="hybridMultilevel"/>
    <w:tmpl w:val="735E7570"/>
    <w:lvl w:ilvl="0" w:tplc="5588AF8E">
      <w:start w:val="1"/>
      <w:numFmt w:val="decimal"/>
      <w:lvlText w:val="%1."/>
      <w:lvlJc w:val="left"/>
      <w:pPr>
        <w:ind w:left="4800" w:hanging="360"/>
      </w:pPr>
      <w:rPr>
        <w:rFonts w:hint="default"/>
      </w:rPr>
    </w:lvl>
    <w:lvl w:ilvl="1" w:tplc="04050019" w:tentative="1">
      <w:start w:val="1"/>
      <w:numFmt w:val="lowerLetter"/>
      <w:lvlText w:val="%2."/>
      <w:lvlJc w:val="left"/>
      <w:pPr>
        <w:ind w:left="5520" w:hanging="360"/>
      </w:pPr>
    </w:lvl>
    <w:lvl w:ilvl="2" w:tplc="0405001B" w:tentative="1">
      <w:start w:val="1"/>
      <w:numFmt w:val="lowerRoman"/>
      <w:lvlText w:val="%3."/>
      <w:lvlJc w:val="right"/>
      <w:pPr>
        <w:ind w:left="6240" w:hanging="180"/>
      </w:pPr>
    </w:lvl>
    <w:lvl w:ilvl="3" w:tplc="0405000F" w:tentative="1">
      <w:start w:val="1"/>
      <w:numFmt w:val="decimal"/>
      <w:lvlText w:val="%4."/>
      <w:lvlJc w:val="left"/>
      <w:pPr>
        <w:ind w:left="6960" w:hanging="360"/>
      </w:pPr>
    </w:lvl>
    <w:lvl w:ilvl="4" w:tplc="04050019" w:tentative="1">
      <w:start w:val="1"/>
      <w:numFmt w:val="lowerLetter"/>
      <w:lvlText w:val="%5."/>
      <w:lvlJc w:val="left"/>
      <w:pPr>
        <w:ind w:left="7680" w:hanging="360"/>
      </w:pPr>
    </w:lvl>
    <w:lvl w:ilvl="5" w:tplc="0405001B" w:tentative="1">
      <w:start w:val="1"/>
      <w:numFmt w:val="lowerRoman"/>
      <w:lvlText w:val="%6."/>
      <w:lvlJc w:val="right"/>
      <w:pPr>
        <w:ind w:left="8400" w:hanging="180"/>
      </w:pPr>
    </w:lvl>
    <w:lvl w:ilvl="6" w:tplc="0405000F" w:tentative="1">
      <w:start w:val="1"/>
      <w:numFmt w:val="decimal"/>
      <w:lvlText w:val="%7."/>
      <w:lvlJc w:val="left"/>
      <w:pPr>
        <w:ind w:left="9120" w:hanging="360"/>
      </w:pPr>
    </w:lvl>
    <w:lvl w:ilvl="7" w:tplc="04050019" w:tentative="1">
      <w:start w:val="1"/>
      <w:numFmt w:val="lowerLetter"/>
      <w:lvlText w:val="%8."/>
      <w:lvlJc w:val="left"/>
      <w:pPr>
        <w:ind w:left="9840" w:hanging="360"/>
      </w:pPr>
    </w:lvl>
    <w:lvl w:ilvl="8" w:tplc="0405001B" w:tentative="1">
      <w:start w:val="1"/>
      <w:numFmt w:val="lowerRoman"/>
      <w:lvlText w:val="%9."/>
      <w:lvlJc w:val="right"/>
      <w:pPr>
        <w:ind w:left="10560" w:hanging="180"/>
      </w:pPr>
    </w:lvl>
  </w:abstractNum>
  <w:abstractNum w:abstractNumId="27" w15:restartNumberingAfterBreak="0">
    <w:nsid w:val="3D4D0562"/>
    <w:multiLevelType w:val="hybridMultilevel"/>
    <w:tmpl w:val="E8A8F28C"/>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8" w15:restartNumberingAfterBreak="0">
    <w:nsid w:val="43BB1D16"/>
    <w:multiLevelType w:val="hybridMultilevel"/>
    <w:tmpl w:val="CA44090C"/>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9" w15:restartNumberingAfterBreak="0">
    <w:nsid w:val="444558D6"/>
    <w:multiLevelType w:val="hybridMultilevel"/>
    <w:tmpl w:val="1B90B8E0"/>
    <w:lvl w:ilvl="0" w:tplc="4B66ED1E">
      <w:start w:val="1"/>
      <w:numFmt w:val="decimal"/>
      <w:lvlText w:val="%1."/>
      <w:lvlJc w:val="left"/>
      <w:pPr>
        <w:ind w:left="4905" w:hanging="360"/>
      </w:pPr>
      <w:rPr>
        <w:rFonts w:hint="default"/>
      </w:rPr>
    </w:lvl>
    <w:lvl w:ilvl="1" w:tplc="04050019" w:tentative="1">
      <w:start w:val="1"/>
      <w:numFmt w:val="lowerLetter"/>
      <w:lvlText w:val="%2."/>
      <w:lvlJc w:val="left"/>
      <w:pPr>
        <w:ind w:left="5625" w:hanging="360"/>
      </w:pPr>
    </w:lvl>
    <w:lvl w:ilvl="2" w:tplc="0405001B" w:tentative="1">
      <w:start w:val="1"/>
      <w:numFmt w:val="lowerRoman"/>
      <w:lvlText w:val="%3."/>
      <w:lvlJc w:val="right"/>
      <w:pPr>
        <w:ind w:left="6345" w:hanging="180"/>
      </w:pPr>
    </w:lvl>
    <w:lvl w:ilvl="3" w:tplc="0405000F" w:tentative="1">
      <w:start w:val="1"/>
      <w:numFmt w:val="decimal"/>
      <w:lvlText w:val="%4."/>
      <w:lvlJc w:val="left"/>
      <w:pPr>
        <w:ind w:left="7065" w:hanging="360"/>
      </w:pPr>
    </w:lvl>
    <w:lvl w:ilvl="4" w:tplc="04050019" w:tentative="1">
      <w:start w:val="1"/>
      <w:numFmt w:val="lowerLetter"/>
      <w:lvlText w:val="%5."/>
      <w:lvlJc w:val="left"/>
      <w:pPr>
        <w:ind w:left="7785" w:hanging="360"/>
      </w:pPr>
    </w:lvl>
    <w:lvl w:ilvl="5" w:tplc="0405001B" w:tentative="1">
      <w:start w:val="1"/>
      <w:numFmt w:val="lowerRoman"/>
      <w:lvlText w:val="%6."/>
      <w:lvlJc w:val="right"/>
      <w:pPr>
        <w:ind w:left="8505" w:hanging="180"/>
      </w:pPr>
    </w:lvl>
    <w:lvl w:ilvl="6" w:tplc="0405000F" w:tentative="1">
      <w:start w:val="1"/>
      <w:numFmt w:val="decimal"/>
      <w:lvlText w:val="%7."/>
      <w:lvlJc w:val="left"/>
      <w:pPr>
        <w:ind w:left="9225" w:hanging="360"/>
      </w:pPr>
    </w:lvl>
    <w:lvl w:ilvl="7" w:tplc="04050019" w:tentative="1">
      <w:start w:val="1"/>
      <w:numFmt w:val="lowerLetter"/>
      <w:lvlText w:val="%8."/>
      <w:lvlJc w:val="left"/>
      <w:pPr>
        <w:ind w:left="9945" w:hanging="360"/>
      </w:pPr>
    </w:lvl>
    <w:lvl w:ilvl="8" w:tplc="0405001B" w:tentative="1">
      <w:start w:val="1"/>
      <w:numFmt w:val="lowerRoman"/>
      <w:lvlText w:val="%9."/>
      <w:lvlJc w:val="right"/>
      <w:pPr>
        <w:ind w:left="10665" w:hanging="180"/>
      </w:pPr>
    </w:lvl>
  </w:abstractNum>
  <w:abstractNum w:abstractNumId="30" w15:restartNumberingAfterBreak="0">
    <w:nsid w:val="479678F7"/>
    <w:multiLevelType w:val="hybridMultilevel"/>
    <w:tmpl w:val="A4DE7132"/>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1" w15:restartNumberingAfterBreak="0">
    <w:nsid w:val="48384A27"/>
    <w:multiLevelType w:val="hybridMultilevel"/>
    <w:tmpl w:val="1050503C"/>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2" w15:restartNumberingAfterBreak="0">
    <w:nsid w:val="495051A8"/>
    <w:multiLevelType w:val="hybridMultilevel"/>
    <w:tmpl w:val="DEACEA06"/>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3" w15:restartNumberingAfterBreak="0">
    <w:nsid w:val="4ADA4287"/>
    <w:multiLevelType w:val="multilevel"/>
    <w:tmpl w:val="1C0E9EAE"/>
    <w:lvl w:ilvl="0">
      <w:start w:val="1"/>
      <w:numFmt w:val="decimal"/>
      <w:suff w:val="space"/>
      <w:lvlText w:val="%1"/>
      <w:lvlJc w:val="left"/>
      <w:pPr>
        <w:ind w:left="432" w:hanging="432"/>
      </w:pPr>
      <w:rPr>
        <w:rFonts w:hint="default"/>
      </w:rPr>
    </w:lvl>
    <w:lvl w:ilvl="1">
      <w:start w:val="1"/>
      <w:numFmt w:val="decimal"/>
      <w:suff w:val="space"/>
      <w:lvlText w:val="%1.%2"/>
      <w:lvlJc w:val="left"/>
      <w:pPr>
        <w:ind w:left="576" w:hanging="576"/>
      </w:pPr>
      <w:rPr>
        <w:rFonts w:hint="default"/>
        <w:i w:val="0"/>
      </w:rPr>
    </w:lvl>
    <w:lvl w:ilvl="2">
      <w:start w:val="1"/>
      <w:numFmt w:val="decimal"/>
      <w:suff w:val="space"/>
      <w:lvlText w:val="%1.%2.%3"/>
      <w:lvlJc w:val="left"/>
      <w:pPr>
        <w:ind w:left="720" w:hanging="720"/>
      </w:pPr>
      <w:rPr>
        <w:rFonts w:hint="default"/>
      </w:rPr>
    </w:lvl>
    <w:lvl w:ilvl="3">
      <w:start w:val="1"/>
      <w:numFmt w:val="decimal"/>
      <w:suff w:val="space"/>
      <w:lvlText w:val="%1.%2.%3.%4"/>
      <w:lvlJc w:val="left"/>
      <w:pPr>
        <w:ind w:left="864" w:hanging="864"/>
      </w:pPr>
      <w:rPr>
        <w:rFonts w:hint="default"/>
      </w:rPr>
    </w:lvl>
    <w:lvl w:ilvl="4">
      <w:start w:val="1"/>
      <w:numFmt w:val="decimal"/>
      <w:suff w:val="space"/>
      <w:lvlText w:val="%1.%2.%3.%4.%5"/>
      <w:lvlJc w:val="left"/>
      <w:pPr>
        <w:ind w:left="1008" w:hanging="1008"/>
      </w:pPr>
      <w:rPr>
        <w:rFonts w:hint="default"/>
      </w:rPr>
    </w:lvl>
    <w:lvl w:ilvl="5">
      <w:start w:val="1"/>
      <w:numFmt w:val="decimal"/>
      <w:suff w:val="space"/>
      <w:lvlText w:val="%1.%2.%3.%4.%5.%6"/>
      <w:lvlJc w:val="left"/>
      <w:pPr>
        <w:ind w:left="1152" w:hanging="1152"/>
      </w:pPr>
      <w:rPr>
        <w:rFonts w:hint="default"/>
      </w:rPr>
    </w:lvl>
    <w:lvl w:ilvl="6">
      <w:start w:val="1"/>
      <w:numFmt w:val="decimal"/>
      <w:suff w:val="space"/>
      <w:lvlText w:val="%1.%2.%3.%4.%5.%6.%7"/>
      <w:lvlJc w:val="left"/>
      <w:pPr>
        <w:ind w:left="1296" w:hanging="1296"/>
      </w:pPr>
      <w:rPr>
        <w:rFonts w:hint="default"/>
      </w:rPr>
    </w:lvl>
    <w:lvl w:ilvl="7">
      <w:start w:val="1"/>
      <w:numFmt w:val="decimal"/>
      <w:suff w:val="space"/>
      <w:lvlText w:val="%1.%2.%3.%4.%5.%6.%7.%8"/>
      <w:lvlJc w:val="left"/>
      <w:pPr>
        <w:ind w:left="1440" w:hanging="1440"/>
      </w:pPr>
      <w:rPr>
        <w:rFonts w:hint="default"/>
      </w:rPr>
    </w:lvl>
    <w:lvl w:ilvl="8">
      <w:start w:val="1"/>
      <w:numFmt w:val="decimal"/>
      <w:suff w:val="space"/>
      <w:lvlText w:val="%1.%2.%3.%4.%5.%6.%7.%8.%9"/>
      <w:lvlJc w:val="left"/>
      <w:pPr>
        <w:ind w:left="1584" w:hanging="1584"/>
      </w:pPr>
      <w:rPr>
        <w:rFonts w:hint="default"/>
      </w:rPr>
    </w:lvl>
  </w:abstractNum>
  <w:abstractNum w:abstractNumId="34" w15:restartNumberingAfterBreak="0">
    <w:nsid w:val="4C581760"/>
    <w:multiLevelType w:val="hybridMultilevel"/>
    <w:tmpl w:val="CFEE9722"/>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5" w15:restartNumberingAfterBreak="0">
    <w:nsid w:val="4E490F3B"/>
    <w:multiLevelType w:val="hybridMultilevel"/>
    <w:tmpl w:val="D64CB604"/>
    <w:lvl w:ilvl="0" w:tplc="67AC8A1C">
      <w:start w:val="1"/>
      <w:numFmt w:val="bullet"/>
      <w:lvlText w:val=""/>
      <w:lvlJc w:val="left"/>
      <w:pPr>
        <w:ind w:left="357" w:hanging="357"/>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51655F88"/>
    <w:multiLevelType w:val="hybridMultilevel"/>
    <w:tmpl w:val="70283F0A"/>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7" w15:restartNumberingAfterBreak="0">
    <w:nsid w:val="538567A6"/>
    <w:multiLevelType w:val="hybridMultilevel"/>
    <w:tmpl w:val="50E0FCA4"/>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8" w15:restartNumberingAfterBreak="0">
    <w:nsid w:val="58CB210F"/>
    <w:multiLevelType w:val="multilevel"/>
    <w:tmpl w:val="D64CB604"/>
    <w:lvl w:ilvl="0">
      <w:start w:val="1"/>
      <w:numFmt w:val="bullet"/>
      <w:lvlText w:val=""/>
      <w:lvlJc w:val="left"/>
      <w:pPr>
        <w:ind w:left="357" w:hanging="357"/>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39" w15:restartNumberingAfterBreak="0">
    <w:nsid w:val="5CD405E1"/>
    <w:multiLevelType w:val="multilevel"/>
    <w:tmpl w:val="5FCA5B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66EF3AA7"/>
    <w:multiLevelType w:val="multilevel"/>
    <w:tmpl w:val="9092D1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69B048D2"/>
    <w:multiLevelType w:val="hybridMultilevel"/>
    <w:tmpl w:val="D2A0FC6A"/>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2" w15:restartNumberingAfterBreak="0">
    <w:nsid w:val="6B235D04"/>
    <w:multiLevelType w:val="hybridMultilevel"/>
    <w:tmpl w:val="26840EAA"/>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3" w15:restartNumberingAfterBreak="0">
    <w:nsid w:val="787747AF"/>
    <w:multiLevelType w:val="hybridMultilevel"/>
    <w:tmpl w:val="76204D18"/>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4" w15:restartNumberingAfterBreak="0">
    <w:nsid w:val="7B651B2D"/>
    <w:multiLevelType w:val="hybridMultilevel"/>
    <w:tmpl w:val="4C1C2D78"/>
    <w:lvl w:ilvl="0" w:tplc="B01A5632">
      <w:start w:val="1"/>
      <w:numFmt w:val="bullet"/>
      <w:pStyle w:val="Normalodrka"/>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7DDA7946"/>
    <w:multiLevelType w:val="multilevel"/>
    <w:tmpl w:val="6F3E3D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7F8E301A"/>
    <w:multiLevelType w:val="hybridMultilevel"/>
    <w:tmpl w:val="1A92D798"/>
    <w:lvl w:ilvl="0" w:tplc="04050001">
      <w:start w:val="1"/>
      <w:numFmt w:val="bullet"/>
      <w:lvlText w:val=""/>
      <w:lvlJc w:val="left"/>
      <w:pPr>
        <w:ind w:left="360" w:hanging="360"/>
      </w:pPr>
      <w:rPr>
        <w:rFonts w:ascii="Symbol" w:hAnsi="Symbol" w:hint="default"/>
      </w:rPr>
    </w:lvl>
    <w:lvl w:ilvl="1" w:tplc="04050003">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num w:numId="1" w16cid:durableId="2000647203">
    <w:abstractNumId w:val="31"/>
  </w:num>
  <w:num w:numId="2" w16cid:durableId="2108306025">
    <w:abstractNumId w:val="8"/>
  </w:num>
  <w:num w:numId="3" w16cid:durableId="1851791032">
    <w:abstractNumId w:val="3"/>
  </w:num>
  <w:num w:numId="4" w16cid:durableId="1418281433">
    <w:abstractNumId w:val="2"/>
  </w:num>
  <w:num w:numId="5" w16cid:durableId="1057360773">
    <w:abstractNumId w:val="1"/>
  </w:num>
  <w:num w:numId="6" w16cid:durableId="917859753">
    <w:abstractNumId w:val="0"/>
  </w:num>
  <w:num w:numId="7" w16cid:durableId="1884097028">
    <w:abstractNumId w:val="9"/>
  </w:num>
  <w:num w:numId="8" w16cid:durableId="824902319">
    <w:abstractNumId w:val="7"/>
  </w:num>
  <w:num w:numId="9" w16cid:durableId="1803766138">
    <w:abstractNumId w:val="6"/>
  </w:num>
  <w:num w:numId="10" w16cid:durableId="566259340">
    <w:abstractNumId w:val="5"/>
  </w:num>
  <w:num w:numId="11" w16cid:durableId="52774508">
    <w:abstractNumId w:val="4"/>
  </w:num>
  <w:num w:numId="12" w16cid:durableId="1533685237">
    <w:abstractNumId w:val="18"/>
  </w:num>
  <w:num w:numId="13" w16cid:durableId="195428688">
    <w:abstractNumId w:val="34"/>
  </w:num>
  <w:num w:numId="14" w16cid:durableId="1684941278">
    <w:abstractNumId w:val="15"/>
  </w:num>
  <w:num w:numId="15" w16cid:durableId="1238784906">
    <w:abstractNumId w:val="24"/>
  </w:num>
  <w:num w:numId="16" w16cid:durableId="2045134713">
    <w:abstractNumId w:val="19"/>
  </w:num>
  <w:num w:numId="17" w16cid:durableId="1458451516">
    <w:abstractNumId w:val="35"/>
  </w:num>
  <w:num w:numId="18" w16cid:durableId="849877926">
    <w:abstractNumId w:val="25"/>
  </w:num>
  <w:num w:numId="19" w16cid:durableId="1118066606">
    <w:abstractNumId w:val="38"/>
  </w:num>
  <w:num w:numId="20" w16cid:durableId="508564300">
    <w:abstractNumId w:val="44"/>
  </w:num>
  <w:num w:numId="21" w16cid:durableId="316148911">
    <w:abstractNumId w:val="33"/>
  </w:num>
  <w:num w:numId="22" w16cid:durableId="360010707">
    <w:abstractNumId w:val="23"/>
  </w:num>
  <w:num w:numId="23" w16cid:durableId="999309269">
    <w:abstractNumId w:val="21"/>
  </w:num>
  <w:num w:numId="24" w16cid:durableId="1194266313">
    <w:abstractNumId w:val="22"/>
  </w:num>
  <w:num w:numId="25" w16cid:durableId="1815366340">
    <w:abstractNumId w:val="41"/>
  </w:num>
  <w:num w:numId="26" w16cid:durableId="1577863405">
    <w:abstractNumId w:val="43"/>
  </w:num>
  <w:num w:numId="27" w16cid:durableId="1207061094">
    <w:abstractNumId w:val="13"/>
  </w:num>
  <w:num w:numId="28" w16cid:durableId="1693920833">
    <w:abstractNumId w:val="27"/>
  </w:num>
  <w:num w:numId="29" w16cid:durableId="1876775477">
    <w:abstractNumId w:val="26"/>
  </w:num>
  <w:num w:numId="30" w16cid:durableId="179972127">
    <w:abstractNumId w:val="10"/>
  </w:num>
  <w:num w:numId="31" w16cid:durableId="970136012">
    <w:abstractNumId w:val="28"/>
  </w:num>
  <w:num w:numId="32" w16cid:durableId="1617836376">
    <w:abstractNumId w:val="12"/>
  </w:num>
  <w:num w:numId="33" w16cid:durableId="357007340">
    <w:abstractNumId w:val="46"/>
  </w:num>
  <w:num w:numId="34" w16cid:durableId="2131776467">
    <w:abstractNumId w:val="11"/>
  </w:num>
  <w:num w:numId="35" w16cid:durableId="1776095800">
    <w:abstractNumId w:val="37"/>
  </w:num>
  <w:num w:numId="36" w16cid:durableId="862209000">
    <w:abstractNumId w:val="30"/>
  </w:num>
  <w:num w:numId="37" w16cid:durableId="322010878">
    <w:abstractNumId w:val="29"/>
  </w:num>
  <w:num w:numId="38" w16cid:durableId="1458373311">
    <w:abstractNumId w:val="39"/>
  </w:num>
  <w:num w:numId="39" w16cid:durableId="288441997">
    <w:abstractNumId w:val="45"/>
  </w:num>
  <w:num w:numId="40" w16cid:durableId="952595072">
    <w:abstractNumId w:val="40"/>
  </w:num>
  <w:num w:numId="41" w16cid:durableId="1427652868">
    <w:abstractNumId w:val="32"/>
  </w:num>
  <w:num w:numId="42" w16cid:durableId="1024401835">
    <w:abstractNumId w:val="20"/>
  </w:num>
  <w:num w:numId="43" w16cid:durableId="428089243">
    <w:abstractNumId w:val="14"/>
  </w:num>
  <w:num w:numId="44" w16cid:durableId="82647767">
    <w:abstractNumId w:val="36"/>
  </w:num>
  <w:num w:numId="45" w16cid:durableId="215163427">
    <w:abstractNumId w:val="16"/>
  </w:num>
  <w:num w:numId="46" w16cid:durableId="1639922006">
    <w:abstractNumId w:val="44"/>
    <w:lvlOverride w:ilvl="0">
      <w:startOverride w:val="1"/>
    </w:lvlOverride>
  </w:num>
  <w:num w:numId="47" w16cid:durableId="1509101590">
    <w:abstractNumId w:val="17"/>
  </w:num>
  <w:num w:numId="48" w16cid:durableId="1481652047">
    <w:abstractNumId w:val="4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5"/>
  <w:attachedTemplate r:id="rId1"/>
  <w:stylePaneFormatFilter w:val="1001" w:allStyles="1" w:customStyles="0" w:latentStyles="0" w:stylesInUse="0" w:headingStyles="0" w:numberingStyles="0" w:tableStyles="0" w:directFormattingOnRuns="0" w:directFormattingOnParagraphs="0" w:directFormattingOnNumbering="0" w:directFormattingOnTables="0" w:clearFormatting="1" w:top3HeadingStyles="0" w:visibleStyles="0" w:alternateStyleNames="0"/>
  <w:stylePaneSortMethod w:val="0004"/>
  <w:defaultTabStop w:val="708"/>
  <w:hyphenationZone w:val="425"/>
  <w:evenAndOddHeaders/>
  <w:drawingGridHorizontalSpacing w:val="110"/>
  <w:displayHorizontalDrawingGridEvery w:val="2"/>
  <w:characterSpacingControl w:val="doNotCompress"/>
  <w:hdrShapeDefaults>
    <o:shapedefaults v:ext="edit" spidmax="2050">
      <o:colormru v:ext="edit" colors="#ecf4dd,#eaecee,#fcec0a,#fcecdb,#f1daf5"/>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7443"/>
    <w:rsid w:val="000001F2"/>
    <w:rsid w:val="00000B00"/>
    <w:rsid w:val="00001128"/>
    <w:rsid w:val="0000209D"/>
    <w:rsid w:val="000022E1"/>
    <w:rsid w:val="00002724"/>
    <w:rsid w:val="00002D96"/>
    <w:rsid w:val="00003DD9"/>
    <w:rsid w:val="0000484B"/>
    <w:rsid w:val="00004B10"/>
    <w:rsid w:val="00004D5A"/>
    <w:rsid w:val="000056D5"/>
    <w:rsid w:val="00005B8C"/>
    <w:rsid w:val="00005C79"/>
    <w:rsid w:val="00006ABD"/>
    <w:rsid w:val="0000767A"/>
    <w:rsid w:val="00010256"/>
    <w:rsid w:val="00010596"/>
    <w:rsid w:val="00010702"/>
    <w:rsid w:val="00011630"/>
    <w:rsid w:val="00011912"/>
    <w:rsid w:val="00014E27"/>
    <w:rsid w:val="00015E7C"/>
    <w:rsid w:val="00017678"/>
    <w:rsid w:val="00017AA1"/>
    <w:rsid w:val="00020384"/>
    <w:rsid w:val="0002195D"/>
    <w:rsid w:val="000234D6"/>
    <w:rsid w:val="00023D29"/>
    <w:rsid w:val="00025C47"/>
    <w:rsid w:val="00025CDB"/>
    <w:rsid w:val="00026031"/>
    <w:rsid w:val="000262C7"/>
    <w:rsid w:val="00026389"/>
    <w:rsid w:val="00026E93"/>
    <w:rsid w:val="00027CCB"/>
    <w:rsid w:val="00031AE0"/>
    <w:rsid w:val="00031D22"/>
    <w:rsid w:val="00031F70"/>
    <w:rsid w:val="000322EF"/>
    <w:rsid w:val="00032837"/>
    <w:rsid w:val="00033FCD"/>
    <w:rsid w:val="000354C7"/>
    <w:rsid w:val="0003581C"/>
    <w:rsid w:val="0003646D"/>
    <w:rsid w:val="00036AE8"/>
    <w:rsid w:val="00036F4B"/>
    <w:rsid w:val="0003723F"/>
    <w:rsid w:val="000409D9"/>
    <w:rsid w:val="00040D10"/>
    <w:rsid w:val="00041CEC"/>
    <w:rsid w:val="000435E2"/>
    <w:rsid w:val="00043819"/>
    <w:rsid w:val="00043AB6"/>
    <w:rsid w:val="000447F9"/>
    <w:rsid w:val="00045433"/>
    <w:rsid w:val="000460C2"/>
    <w:rsid w:val="0004694F"/>
    <w:rsid w:val="00046B0C"/>
    <w:rsid w:val="00047081"/>
    <w:rsid w:val="00050267"/>
    <w:rsid w:val="000522E4"/>
    <w:rsid w:val="00053503"/>
    <w:rsid w:val="000537E7"/>
    <w:rsid w:val="00053ADA"/>
    <w:rsid w:val="000557DB"/>
    <w:rsid w:val="0005689E"/>
    <w:rsid w:val="0005692B"/>
    <w:rsid w:val="00056EE3"/>
    <w:rsid w:val="00060C1D"/>
    <w:rsid w:val="000610E1"/>
    <w:rsid w:val="0006181C"/>
    <w:rsid w:val="00061936"/>
    <w:rsid w:val="00062EC5"/>
    <w:rsid w:val="00062F22"/>
    <w:rsid w:val="0006472D"/>
    <w:rsid w:val="00064C3D"/>
    <w:rsid w:val="00064D4F"/>
    <w:rsid w:val="000664E1"/>
    <w:rsid w:val="00066A92"/>
    <w:rsid w:val="0007020E"/>
    <w:rsid w:val="000712B3"/>
    <w:rsid w:val="000744F1"/>
    <w:rsid w:val="0007704E"/>
    <w:rsid w:val="00080F3C"/>
    <w:rsid w:val="000819EA"/>
    <w:rsid w:val="000824B7"/>
    <w:rsid w:val="0008263E"/>
    <w:rsid w:val="00082C19"/>
    <w:rsid w:val="00085395"/>
    <w:rsid w:val="000860FB"/>
    <w:rsid w:val="00086700"/>
    <w:rsid w:val="00086DF8"/>
    <w:rsid w:val="00087634"/>
    <w:rsid w:val="00087F2B"/>
    <w:rsid w:val="00090F62"/>
    <w:rsid w:val="0009134C"/>
    <w:rsid w:val="00092231"/>
    <w:rsid w:val="00092F8C"/>
    <w:rsid w:val="00093912"/>
    <w:rsid w:val="0009395E"/>
    <w:rsid w:val="0009438F"/>
    <w:rsid w:val="00095135"/>
    <w:rsid w:val="000951C7"/>
    <w:rsid w:val="00095D97"/>
    <w:rsid w:val="000968FA"/>
    <w:rsid w:val="00097361"/>
    <w:rsid w:val="000974D1"/>
    <w:rsid w:val="0009799E"/>
    <w:rsid w:val="000A0692"/>
    <w:rsid w:val="000A1183"/>
    <w:rsid w:val="000A2122"/>
    <w:rsid w:val="000A256D"/>
    <w:rsid w:val="000A3536"/>
    <w:rsid w:val="000A3957"/>
    <w:rsid w:val="000A3A2C"/>
    <w:rsid w:val="000A3C98"/>
    <w:rsid w:val="000A4CFF"/>
    <w:rsid w:val="000A565C"/>
    <w:rsid w:val="000A57D4"/>
    <w:rsid w:val="000A5A08"/>
    <w:rsid w:val="000A6BDB"/>
    <w:rsid w:val="000A7E10"/>
    <w:rsid w:val="000B0C26"/>
    <w:rsid w:val="000B2E84"/>
    <w:rsid w:val="000B3277"/>
    <w:rsid w:val="000B3D9C"/>
    <w:rsid w:val="000B4EFA"/>
    <w:rsid w:val="000B5132"/>
    <w:rsid w:val="000B5F58"/>
    <w:rsid w:val="000B613B"/>
    <w:rsid w:val="000B7FD1"/>
    <w:rsid w:val="000C0A4B"/>
    <w:rsid w:val="000C1805"/>
    <w:rsid w:val="000C1C67"/>
    <w:rsid w:val="000C207E"/>
    <w:rsid w:val="000C303B"/>
    <w:rsid w:val="000C3408"/>
    <w:rsid w:val="000C4A3F"/>
    <w:rsid w:val="000C4DF2"/>
    <w:rsid w:val="000C6AFD"/>
    <w:rsid w:val="000C6D60"/>
    <w:rsid w:val="000C6F50"/>
    <w:rsid w:val="000C726A"/>
    <w:rsid w:val="000C7ADD"/>
    <w:rsid w:val="000D3ACB"/>
    <w:rsid w:val="000D3FF0"/>
    <w:rsid w:val="000D48D5"/>
    <w:rsid w:val="000D4A24"/>
    <w:rsid w:val="000D50DE"/>
    <w:rsid w:val="000D5637"/>
    <w:rsid w:val="000E3B90"/>
    <w:rsid w:val="000E3F61"/>
    <w:rsid w:val="000E4376"/>
    <w:rsid w:val="000E45EF"/>
    <w:rsid w:val="000E6FBD"/>
    <w:rsid w:val="000F0B68"/>
    <w:rsid w:val="000F13D0"/>
    <w:rsid w:val="000F5116"/>
    <w:rsid w:val="000F5227"/>
    <w:rsid w:val="00100F5C"/>
    <w:rsid w:val="00101CDA"/>
    <w:rsid w:val="00101DD7"/>
    <w:rsid w:val="00102391"/>
    <w:rsid w:val="0010309C"/>
    <w:rsid w:val="00104C4C"/>
    <w:rsid w:val="001056D3"/>
    <w:rsid w:val="001062D9"/>
    <w:rsid w:val="001075D1"/>
    <w:rsid w:val="0011034F"/>
    <w:rsid w:val="0011243F"/>
    <w:rsid w:val="00112479"/>
    <w:rsid w:val="00113466"/>
    <w:rsid w:val="00115A8D"/>
    <w:rsid w:val="00117623"/>
    <w:rsid w:val="0012011F"/>
    <w:rsid w:val="0012192F"/>
    <w:rsid w:val="00121AEA"/>
    <w:rsid w:val="001221E1"/>
    <w:rsid w:val="00122AD9"/>
    <w:rsid w:val="00123742"/>
    <w:rsid w:val="0012390C"/>
    <w:rsid w:val="00123BA2"/>
    <w:rsid w:val="00123EA3"/>
    <w:rsid w:val="0012513F"/>
    <w:rsid w:val="00125609"/>
    <w:rsid w:val="00125D69"/>
    <w:rsid w:val="001261F1"/>
    <w:rsid w:val="001318C4"/>
    <w:rsid w:val="00131915"/>
    <w:rsid w:val="00131BDF"/>
    <w:rsid w:val="00132276"/>
    <w:rsid w:val="0013332E"/>
    <w:rsid w:val="00134A27"/>
    <w:rsid w:val="001405FA"/>
    <w:rsid w:val="00140A87"/>
    <w:rsid w:val="00140C22"/>
    <w:rsid w:val="001425C3"/>
    <w:rsid w:val="00142E49"/>
    <w:rsid w:val="001441CF"/>
    <w:rsid w:val="00144525"/>
    <w:rsid w:val="00145802"/>
    <w:rsid w:val="00145E07"/>
    <w:rsid w:val="0014755F"/>
    <w:rsid w:val="001476BD"/>
    <w:rsid w:val="00147B49"/>
    <w:rsid w:val="00147E0D"/>
    <w:rsid w:val="00147F51"/>
    <w:rsid w:val="001507EC"/>
    <w:rsid w:val="001514B1"/>
    <w:rsid w:val="00151510"/>
    <w:rsid w:val="001529DB"/>
    <w:rsid w:val="00152B0C"/>
    <w:rsid w:val="00152C5B"/>
    <w:rsid w:val="00152E68"/>
    <w:rsid w:val="00154A8F"/>
    <w:rsid w:val="00155004"/>
    <w:rsid w:val="00156004"/>
    <w:rsid w:val="0015693C"/>
    <w:rsid w:val="001612F4"/>
    <w:rsid w:val="00161801"/>
    <w:rsid w:val="00161D7B"/>
    <w:rsid w:val="0016256B"/>
    <w:rsid w:val="001630CA"/>
    <w:rsid w:val="001635B9"/>
    <w:rsid w:val="00163793"/>
    <w:rsid w:val="0016420F"/>
    <w:rsid w:val="00165C94"/>
    <w:rsid w:val="00165D64"/>
    <w:rsid w:val="00166B9A"/>
    <w:rsid w:val="001706D6"/>
    <w:rsid w:val="001714F2"/>
    <w:rsid w:val="00171C40"/>
    <w:rsid w:val="0017287E"/>
    <w:rsid w:val="001737B3"/>
    <w:rsid w:val="00173E87"/>
    <w:rsid w:val="00174334"/>
    <w:rsid w:val="00174DC0"/>
    <w:rsid w:val="00175063"/>
    <w:rsid w:val="00175B9F"/>
    <w:rsid w:val="001769F3"/>
    <w:rsid w:val="00177087"/>
    <w:rsid w:val="001806A2"/>
    <w:rsid w:val="00180E26"/>
    <w:rsid w:val="00180FC4"/>
    <w:rsid w:val="00181BBC"/>
    <w:rsid w:val="001820F2"/>
    <w:rsid w:val="00182FAC"/>
    <w:rsid w:val="00184212"/>
    <w:rsid w:val="001842AC"/>
    <w:rsid w:val="00184B08"/>
    <w:rsid w:val="00185010"/>
    <w:rsid w:val="00185A34"/>
    <w:rsid w:val="0018654A"/>
    <w:rsid w:val="001865C5"/>
    <w:rsid w:val="0019143B"/>
    <w:rsid w:val="00192232"/>
    <w:rsid w:val="0019271F"/>
    <w:rsid w:val="00193CDC"/>
    <w:rsid w:val="00195620"/>
    <w:rsid w:val="00196F3D"/>
    <w:rsid w:val="001A0347"/>
    <w:rsid w:val="001A0487"/>
    <w:rsid w:val="001A09BF"/>
    <w:rsid w:val="001A1D37"/>
    <w:rsid w:val="001A1FFB"/>
    <w:rsid w:val="001A26EA"/>
    <w:rsid w:val="001A42E4"/>
    <w:rsid w:val="001A528C"/>
    <w:rsid w:val="001A5438"/>
    <w:rsid w:val="001A552F"/>
    <w:rsid w:val="001A5FED"/>
    <w:rsid w:val="001A6DE1"/>
    <w:rsid w:val="001B14BC"/>
    <w:rsid w:val="001B1B92"/>
    <w:rsid w:val="001B246F"/>
    <w:rsid w:val="001B2CA9"/>
    <w:rsid w:val="001B3110"/>
    <w:rsid w:val="001B4729"/>
    <w:rsid w:val="001B59C2"/>
    <w:rsid w:val="001B6180"/>
    <w:rsid w:val="001B62E1"/>
    <w:rsid w:val="001B6310"/>
    <w:rsid w:val="001B6C09"/>
    <w:rsid w:val="001B6CC9"/>
    <w:rsid w:val="001B7B54"/>
    <w:rsid w:val="001C04A7"/>
    <w:rsid w:val="001C05CD"/>
    <w:rsid w:val="001C1B5E"/>
    <w:rsid w:val="001C1F96"/>
    <w:rsid w:val="001C2DF4"/>
    <w:rsid w:val="001C6497"/>
    <w:rsid w:val="001C7114"/>
    <w:rsid w:val="001D0146"/>
    <w:rsid w:val="001D0546"/>
    <w:rsid w:val="001D07CA"/>
    <w:rsid w:val="001D16A8"/>
    <w:rsid w:val="001D35D0"/>
    <w:rsid w:val="001D3E75"/>
    <w:rsid w:val="001D48B3"/>
    <w:rsid w:val="001D48D4"/>
    <w:rsid w:val="001D5A2A"/>
    <w:rsid w:val="001D5E38"/>
    <w:rsid w:val="001D68B2"/>
    <w:rsid w:val="001D7B29"/>
    <w:rsid w:val="001E0542"/>
    <w:rsid w:val="001E0E69"/>
    <w:rsid w:val="001E2362"/>
    <w:rsid w:val="001E2605"/>
    <w:rsid w:val="001E353A"/>
    <w:rsid w:val="001E3FD2"/>
    <w:rsid w:val="001E4382"/>
    <w:rsid w:val="001E504C"/>
    <w:rsid w:val="001E5085"/>
    <w:rsid w:val="001E54C6"/>
    <w:rsid w:val="001E563B"/>
    <w:rsid w:val="001E5803"/>
    <w:rsid w:val="001E5D41"/>
    <w:rsid w:val="001E6062"/>
    <w:rsid w:val="001E7360"/>
    <w:rsid w:val="001F22A0"/>
    <w:rsid w:val="001F3EDB"/>
    <w:rsid w:val="001F4597"/>
    <w:rsid w:val="001F5B15"/>
    <w:rsid w:val="001F67A0"/>
    <w:rsid w:val="001F67E9"/>
    <w:rsid w:val="001F7DD4"/>
    <w:rsid w:val="00200875"/>
    <w:rsid w:val="00200EFB"/>
    <w:rsid w:val="002013BA"/>
    <w:rsid w:val="00201ABB"/>
    <w:rsid w:val="00202E51"/>
    <w:rsid w:val="00203629"/>
    <w:rsid w:val="00203DA4"/>
    <w:rsid w:val="00204A14"/>
    <w:rsid w:val="0021031A"/>
    <w:rsid w:val="00210453"/>
    <w:rsid w:val="00211350"/>
    <w:rsid w:val="002118B9"/>
    <w:rsid w:val="00211E86"/>
    <w:rsid w:val="002144D9"/>
    <w:rsid w:val="002147C5"/>
    <w:rsid w:val="00214CF7"/>
    <w:rsid w:val="00216139"/>
    <w:rsid w:val="00216425"/>
    <w:rsid w:val="00217C5B"/>
    <w:rsid w:val="00217CAD"/>
    <w:rsid w:val="00220412"/>
    <w:rsid w:val="0022084F"/>
    <w:rsid w:val="00220F08"/>
    <w:rsid w:val="002210EF"/>
    <w:rsid w:val="002211EE"/>
    <w:rsid w:val="0022139E"/>
    <w:rsid w:val="00221763"/>
    <w:rsid w:val="00221B37"/>
    <w:rsid w:val="00222729"/>
    <w:rsid w:val="002234F2"/>
    <w:rsid w:val="0022400B"/>
    <w:rsid w:val="0022515D"/>
    <w:rsid w:val="0022526B"/>
    <w:rsid w:val="002252E0"/>
    <w:rsid w:val="002255F6"/>
    <w:rsid w:val="00225B14"/>
    <w:rsid w:val="00225FE1"/>
    <w:rsid w:val="00226932"/>
    <w:rsid w:val="002269CF"/>
    <w:rsid w:val="00226C8D"/>
    <w:rsid w:val="00226CEB"/>
    <w:rsid w:val="00226FF4"/>
    <w:rsid w:val="00227850"/>
    <w:rsid w:val="00227A53"/>
    <w:rsid w:val="00230C6E"/>
    <w:rsid w:val="00230FF6"/>
    <w:rsid w:val="002313F4"/>
    <w:rsid w:val="0023423D"/>
    <w:rsid w:val="00234285"/>
    <w:rsid w:val="00235DF4"/>
    <w:rsid w:val="00236029"/>
    <w:rsid w:val="00236443"/>
    <w:rsid w:val="0023672F"/>
    <w:rsid w:val="00241B06"/>
    <w:rsid w:val="002436BA"/>
    <w:rsid w:val="00244A15"/>
    <w:rsid w:val="0024577B"/>
    <w:rsid w:val="00246B57"/>
    <w:rsid w:val="00247319"/>
    <w:rsid w:val="002477F5"/>
    <w:rsid w:val="0024799E"/>
    <w:rsid w:val="0025314E"/>
    <w:rsid w:val="00253C0F"/>
    <w:rsid w:val="002548EA"/>
    <w:rsid w:val="002558C1"/>
    <w:rsid w:val="0025596D"/>
    <w:rsid w:val="00255E0A"/>
    <w:rsid w:val="0026041B"/>
    <w:rsid w:val="0026273F"/>
    <w:rsid w:val="002629D1"/>
    <w:rsid w:val="00264588"/>
    <w:rsid w:val="00264FF1"/>
    <w:rsid w:val="0026505B"/>
    <w:rsid w:val="00265D04"/>
    <w:rsid w:val="00265D9E"/>
    <w:rsid w:val="00267252"/>
    <w:rsid w:val="0027004A"/>
    <w:rsid w:val="00271465"/>
    <w:rsid w:val="00271D6A"/>
    <w:rsid w:val="00271F7E"/>
    <w:rsid w:val="00273548"/>
    <w:rsid w:val="0027435A"/>
    <w:rsid w:val="00275A69"/>
    <w:rsid w:val="00276221"/>
    <w:rsid w:val="0027788C"/>
    <w:rsid w:val="00280348"/>
    <w:rsid w:val="002809EE"/>
    <w:rsid w:val="002813FB"/>
    <w:rsid w:val="00283497"/>
    <w:rsid w:val="00283F2E"/>
    <w:rsid w:val="00285412"/>
    <w:rsid w:val="00285DBC"/>
    <w:rsid w:val="002876DC"/>
    <w:rsid w:val="002914B8"/>
    <w:rsid w:val="00291640"/>
    <w:rsid w:val="002922FC"/>
    <w:rsid w:val="00294911"/>
    <w:rsid w:val="0029592F"/>
    <w:rsid w:val="00296A55"/>
    <w:rsid w:val="002A01A6"/>
    <w:rsid w:val="002A16D4"/>
    <w:rsid w:val="002A1D63"/>
    <w:rsid w:val="002A230C"/>
    <w:rsid w:val="002A2B09"/>
    <w:rsid w:val="002A2FD4"/>
    <w:rsid w:val="002A4755"/>
    <w:rsid w:val="002B2299"/>
    <w:rsid w:val="002B3535"/>
    <w:rsid w:val="002B4121"/>
    <w:rsid w:val="002B4845"/>
    <w:rsid w:val="002B4D75"/>
    <w:rsid w:val="002C02CF"/>
    <w:rsid w:val="002C02EB"/>
    <w:rsid w:val="002C12F5"/>
    <w:rsid w:val="002C1377"/>
    <w:rsid w:val="002C1BB3"/>
    <w:rsid w:val="002C2803"/>
    <w:rsid w:val="002C2ECB"/>
    <w:rsid w:val="002C43BD"/>
    <w:rsid w:val="002C5FE0"/>
    <w:rsid w:val="002C60B2"/>
    <w:rsid w:val="002D0576"/>
    <w:rsid w:val="002D0E59"/>
    <w:rsid w:val="002D12DC"/>
    <w:rsid w:val="002D19F2"/>
    <w:rsid w:val="002D1DEA"/>
    <w:rsid w:val="002D2069"/>
    <w:rsid w:val="002D3023"/>
    <w:rsid w:val="002D3F57"/>
    <w:rsid w:val="002D4F48"/>
    <w:rsid w:val="002D6876"/>
    <w:rsid w:val="002D783C"/>
    <w:rsid w:val="002E02A1"/>
    <w:rsid w:val="002E05FC"/>
    <w:rsid w:val="002E182F"/>
    <w:rsid w:val="002E3BF0"/>
    <w:rsid w:val="002E42AC"/>
    <w:rsid w:val="002E4E4C"/>
    <w:rsid w:val="002E54B5"/>
    <w:rsid w:val="002E5531"/>
    <w:rsid w:val="002E559F"/>
    <w:rsid w:val="002E6113"/>
    <w:rsid w:val="002E6AB3"/>
    <w:rsid w:val="002E6CE0"/>
    <w:rsid w:val="002E6E34"/>
    <w:rsid w:val="002F0C93"/>
    <w:rsid w:val="002F1363"/>
    <w:rsid w:val="002F2227"/>
    <w:rsid w:val="002F3C21"/>
    <w:rsid w:val="002F3DA7"/>
    <w:rsid w:val="002F64C0"/>
    <w:rsid w:val="002F6F94"/>
    <w:rsid w:val="002F6FFF"/>
    <w:rsid w:val="00300650"/>
    <w:rsid w:val="003027B5"/>
    <w:rsid w:val="00302ADD"/>
    <w:rsid w:val="00304771"/>
    <w:rsid w:val="00304872"/>
    <w:rsid w:val="003052D4"/>
    <w:rsid w:val="00305E92"/>
    <w:rsid w:val="00306C5B"/>
    <w:rsid w:val="003076DD"/>
    <w:rsid w:val="00310073"/>
    <w:rsid w:val="00310351"/>
    <w:rsid w:val="00310819"/>
    <w:rsid w:val="00311100"/>
    <w:rsid w:val="00311901"/>
    <w:rsid w:val="003121C1"/>
    <w:rsid w:val="003129DA"/>
    <w:rsid w:val="00312E9C"/>
    <w:rsid w:val="00315C99"/>
    <w:rsid w:val="003166B7"/>
    <w:rsid w:val="00317908"/>
    <w:rsid w:val="00320393"/>
    <w:rsid w:val="003209D6"/>
    <w:rsid w:val="00320C1A"/>
    <w:rsid w:val="00321247"/>
    <w:rsid w:val="00321924"/>
    <w:rsid w:val="00321FF9"/>
    <w:rsid w:val="003221F3"/>
    <w:rsid w:val="003222B8"/>
    <w:rsid w:val="00323605"/>
    <w:rsid w:val="00323797"/>
    <w:rsid w:val="00325F8D"/>
    <w:rsid w:val="00326029"/>
    <w:rsid w:val="0032656E"/>
    <w:rsid w:val="003306E3"/>
    <w:rsid w:val="00331CDB"/>
    <w:rsid w:val="00332190"/>
    <w:rsid w:val="00333E16"/>
    <w:rsid w:val="00334998"/>
    <w:rsid w:val="00335A1E"/>
    <w:rsid w:val="003368F5"/>
    <w:rsid w:val="00337AC5"/>
    <w:rsid w:val="0034181E"/>
    <w:rsid w:val="0034335E"/>
    <w:rsid w:val="003445EF"/>
    <w:rsid w:val="00344668"/>
    <w:rsid w:val="003451F4"/>
    <w:rsid w:val="00345216"/>
    <w:rsid w:val="003457D6"/>
    <w:rsid w:val="003458C3"/>
    <w:rsid w:val="003462D9"/>
    <w:rsid w:val="0035030A"/>
    <w:rsid w:val="00350517"/>
    <w:rsid w:val="00351684"/>
    <w:rsid w:val="00352E3D"/>
    <w:rsid w:val="00353918"/>
    <w:rsid w:val="00355510"/>
    <w:rsid w:val="00355624"/>
    <w:rsid w:val="00355AD6"/>
    <w:rsid w:val="0035782C"/>
    <w:rsid w:val="0036026A"/>
    <w:rsid w:val="0036039D"/>
    <w:rsid w:val="0036073B"/>
    <w:rsid w:val="00360C86"/>
    <w:rsid w:val="00360FBC"/>
    <w:rsid w:val="003612D3"/>
    <w:rsid w:val="00361E3A"/>
    <w:rsid w:val="00361F0F"/>
    <w:rsid w:val="00362E90"/>
    <w:rsid w:val="0036331C"/>
    <w:rsid w:val="003634E5"/>
    <w:rsid w:val="00364FA0"/>
    <w:rsid w:val="003657F3"/>
    <w:rsid w:val="00366728"/>
    <w:rsid w:val="00366A26"/>
    <w:rsid w:val="00366F38"/>
    <w:rsid w:val="00366FAF"/>
    <w:rsid w:val="0036772A"/>
    <w:rsid w:val="00367CB3"/>
    <w:rsid w:val="00370B5C"/>
    <w:rsid w:val="00374B06"/>
    <w:rsid w:val="00374BD4"/>
    <w:rsid w:val="003750D1"/>
    <w:rsid w:val="00375A2B"/>
    <w:rsid w:val="003818DC"/>
    <w:rsid w:val="0038313A"/>
    <w:rsid w:val="00384327"/>
    <w:rsid w:val="00384A52"/>
    <w:rsid w:val="00384A54"/>
    <w:rsid w:val="003859D7"/>
    <w:rsid w:val="00385D98"/>
    <w:rsid w:val="00387AD2"/>
    <w:rsid w:val="0039192B"/>
    <w:rsid w:val="00395B42"/>
    <w:rsid w:val="00396E54"/>
    <w:rsid w:val="003A017C"/>
    <w:rsid w:val="003A023D"/>
    <w:rsid w:val="003A2472"/>
    <w:rsid w:val="003A2B4D"/>
    <w:rsid w:val="003A2D12"/>
    <w:rsid w:val="003A478C"/>
    <w:rsid w:val="003A526B"/>
    <w:rsid w:val="003A5525"/>
    <w:rsid w:val="003A6058"/>
    <w:rsid w:val="003A6B38"/>
    <w:rsid w:val="003A6E8E"/>
    <w:rsid w:val="003B0235"/>
    <w:rsid w:val="003B0859"/>
    <w:rsid w:val="003B1855"/>
    <w:rsid w:val="003B2D3D"/>
    <w:rsid w:val="003B461F"/>
    <w:rsid w:val="003B4BB5"/>
    <w:rsid w:val="003B524C"/>
    <w:rsid w:val="003B5A32"/>
    <w:rsid w:val="003B7535"/>
    <w:rsid w:val="003C11F1"/>
    <w:rsid w:val="003C308F"/>
    <w:rsid w:val="003C3490"/>
    <w:rsid w:val="003C3E52"/>
    <w:rsid w:val="003C4C2B"/>
    <w:rsid w:val="003C687F"/>
    <w:rsid w:val="003C7E62"/>
    <w:rsid w:val="003D021F"/>
    <w:rsid w:val="003D1135"/>
    <w:rsid w:val="003D1702"/>
    <w:rsid w:val="003D4412"/>
    <w:rsid w:val="003D6074"/>
    <w:rsid w:val="003D6920"/>
    <w:rsid w:val="003E2FF1"/>
    <w:rsid w:val="003E3DB8"/>
    <w:rsid w:val="003E40FE"/>
    <w:rsid w:val="003E42F4"/>
    <w:rsid w:val="003E4C91"/>
    <w:rsid w:val="003E58A7"/>
    <w:rsid w:val="003E6A39"/>
    <w:rsid w:val="003F11D9"/>
    <w:rsid w:val="003F1491"/>
    <w:rsid w:val="003F313C"/>
    <w:rsid w:val="003F37FC"/>
    <w:rsid w:val="003F4B2C"/>
    <w:rsid w:val="003F551C"/>
    <w:rsid w:val="003F5CBE"/>
    <w:rsid w:val="003F72ED"/>
    <w:rsid w:val="003F7D23"/>
    <w:rsid w:val="00400A19"/>
    <w:rsid w:val="0040101B"/>
    <w:rsid w:val="004010B3"/>
    <w:rsid w:val="0040361C"/>
    <w:rsid w:val="00404F7F"/>
    <w:rsid w:val="00405480"/>
    <w:rsid w:val="004058D9"/>
    <w:rsid w:val="00407458"/>
    <w:rsid w:val="0040782B"/>
    <w:rsid w:val="00407C13"/>
    <w:rsid w:val="0041041D"/>
    <w:rsid w:val="00410638"/>
    <w:rsid w:val="00410754"/>
    <w:rsid w:val="00411C8A"/>
    <w:rsid w:val="00412D98"/>
    <w:rsid w:val="00412EDC"/>
    <w:rsid w:val="0041327E"/>
    <w:rsid w:val="0041501E"/>
    <w:rsid w:val="004150B9"/>
    <w:rsid w:val="00415467"/>
    <w:rsid w:val="004159C3"/>
    <w:rsid w:val="00416579"/>
    <w:rsid w:val="004204A7"/>
    <w:rsid w:val="00420850"/>
    <w:rsid w:val="00424AF2"/>
    <w:rsid w:val="00425371"/>
    <w:rsid w:val="00425E09"/>
    <w:rsid w:val="00426A0A"/>
    <w:rsid w:val="00431955"/>
    <w:rsid w:val="00432973"/>
    <w:rsid w:val="00432A58"/>
    <w:rsid w:val="00432C06"/>
    <w:rsid w:val="00432F4B"/>
    <w:rsid w:val="0043379F"/>
    <w:rsid w:val="00433E51"/>
    <w:rsid w:val="00434617"/>
    <w:rsid w:val="00434970"/>
    <w:rsid w:val="004354AF"/>
    <w:rsid w:val="0043582E"/>
    <w:rsid w:val="004372DC"/>
    <w:rsid w:val="00440802"/>
    <w:rsid w:val="00440900"/>
    <w:rsid w:val="0044104A"/>
    <w:rsid w:val="004414FA"/>
    <w:rsid w:val="00441BF6"/>
    <w:rsid w:val="00442055"/>
    <w:rsid w:val="00443A3C"/>
    <w:rsid w:val="00443BDD"/>
    <w:rsid w:val="004441A0"/>
    <w:rsid w:val="00444CC9"/>
    <w:rsid w:val="00444D89"/>
    <w:rsid w:val="004455BA"/>
    <w:rsid w:val="00447D51"/>
    <w:rsid w:val="004500B9"/>
    <w:rsid w:val="0045078A"/>
    <w:rsid w:val="0045086D"/>
    <w:rsid w:val="00451504"/>
    <w:rsid w:val="004517D9"/>
    <w:rsid w:val="00451BDE"/>
    <w:rsid w:val="00452746"/>
    <w:rsid w:val="00453F88"/>
    <w:rsid w:val="004545ED"/>
    <w:rsid w:val="00454F11"/>
    <w:rsid w:val="00457047"/>
    <w:rsid w:val="0045727E"/>
    <w:rsid w:val="00460FB3"/>
    <w:rsid w:val="00461115"/>
    <w:rsid w:val="004615B2"/>
    <w:rsid w:val="0046167C"/>
    <w:rsid w:val="00462A13"/>
    <w:rsid w:val="00463463"/>
    <w:rsid w:val="00463661"/>
    <w:rsid w:val="00464621"/>
    <w:rsid w:val="00464BF4"/>
    <w:rsid w:val="0046588D"/>
    <w:rsid w:val="00466519"/>
    <w:rsid w:val="00470F34"/>
    <w:rsid w:val="00472C42"/>
    <w:rsid w:val="00472CBB"/>
    <w:rsid w:val="00472D76"/>
    <w:rsid w:val="00473240"/>
    <w:rsid w:val="00474C10"/>
    <w:rsid w:val="00476240"/>
    <w:rsid w:val="00476439"/>
    <w:rsid w:val="0047735C"/>
    <w:rsid w:val="004776BC"/>
    <w:rsid w:val="00480239"/>
    <w:rsid w:val="00481390"/>
    <w:rsid w:val="0048139F"/>
    <w:rsid w:val="00481E40"/>
    <w:rsid w:val="0048297A"/>
    <w:rsid w:val="00484BA3"/>
    <w:rsid w:val="00484E60"/>
    <w:rsid w:val="00484ECE"/>
    <w:rsid w:val="00485B5A"/>
    <w:rsid w:val="00487CB4"/>
    <w:rsid w:val="00490D16"/>
    <w:rsid w:val="004915CB"/>
    <w:rsid w:val="00491B47"/>
    <w:rsid w:val="00491BB8"/>
    <w:rsid w:val="004924DC"/>
    <w:rsid w:val="00492A59"/>
    <w:rsid w:val="00494317"/>
    <w:rsid w:val="0049733B"/>
    <w:rsid w:val="004A03CF"/>
    <w:rsid w:val="004A14E4"/>
    <w:rsid w:val="004A3212"/>
    <w:rsid w:val="004A3285"/>
    <w:rsid w:val="004A4158"/>
    <w:rsid w:val="004A4643"/>
    <w:rsid w:val="004A4A88"/>
    <w:rsid w:val="004A5494"/>
    <w:rsid w:val="004A61C5"/>
    <w:rsid w:val="004A69F2"/>
    <w:rsid w:val="004A77DF"/>
    <w:rsid w:val="004B1417"/>
    <w:rsid w:val="004B17B5"/>
    <w:rsid w:val="004B2390"/>
    <w:rsid w:val="004B2835"/>
    <w:rsid w:val="004B55B7"/>
    <w:rsid w:val="004B6119"/>
    <w:rsid w:val="004B6468"/>
    <w:rsid w:val="004B711E"/>
    <w:rsid w:val="004B7125"/>
    <w:rsid w:val="004B7213"/>
    <w:rsid w:val="004C14E8"/>
    <w:rsid w:val="004C1E8B"/>
    <w:rsid w:val="004C32B6"/>
    <w:rsid w:val="004C34F2"/>
    <w:rsid w:val="004C384C"/>
    <w:rsid w:val="004C3867"/>
    <w:rsid w:val="004C4CD0"/>
    <w:rsid w:val="004C70DC"/>
    <w:rsid w:val="004D0211"/>
    <w:rsid w:val="004D0794"/>
    <w:rsid w:val="004D2529"/>
    <w:rsid w:val="004D365C"/>
    <w:rsid w:val="004D3967"/>
    <w:rsid w:val="004D626B"/>
    <w:rsid w:val="004E071D"/>
    <w:rsid w:val="004E2CE1"/>
    <w:rsid w:val="004E51EB"/>
    <w:rsid w:val="004E5A97"/>
    <w:rsid w:val="004E672F"/>
    <w:rsid w:val="004E6BFC"/>
    <w:rsid w:val="004E6EED"/>
    <w:rsid w:val="004F06F5"/>
    <w:rsid w:val="004F33A0"/>
    <w:rsid w:val="004F3E4C"/>
    <w:rsid w:val="004F3F33"/>
    <w:rsid w:val="004F4587"/>
    <w:rsid w:val="004F4B2E"/>
    <w:rsid w:val="004F4B78"/>
    <w:rsid w:val="004F4EB8"/>
    <w:rsid w:val="00502009"/>
    <w:rsid w:val="005036D2"/>
    <w:rsid w:val="005042B1"/>
    <w:rsid w:val="00504404"/>
    <w:rsid w:val="0050440D"/>
    <w:rsid w:val="005058B3"/>
    <w:rsid w:val="00505FE3"/>
    <w:rsid w:val="0050689D"/>
    <w:rsid w:val="00510084"/>
    <w:rsid w:val="0051059A"/>
    <w:rsid w:val="005108C0"/>
    <w:rsid w:val="005111FA"/>
    <w:rsid w:val="00511735"/>
    <w:rsid w:val="00511873"/>
    <w:rsid w:val="00511AFF"/>
    <w:rsid w:val="00512A2F"/>
    <w:rsid w:val="00512E34"/>
    <w:rsid w:val="00513844"/>
    <w:rsid w:val="00513B7E"/>
    <w:rsid w:val="00515349"/>
    <w:rsid w:val="00515C74"/>
    <w:rsid w:val="005174DD"/>
    <w:rsid w:val="0052007E"/>
    <w:rsid w:val="00520B53"/>
    <w:rsid w:val="00522EEA"/>
    <w:rsid w:val="0052337A"/>
    <w:rsid w:val="005235C8"/>
    <w:rsid w:val="00523FCE"/>
    <w:rsid w:val="00524FBF"/>
    <w:rsid w:val="00525137"/>
    <w:rsid w:val="005251DD"/>
    <w:rsid w:val="00526E55"/>
    <w:rsid w:val="00527F94"/>
    <w:rsid w:val="00530B89"/>
    <w:rsid w:val="0053135D"/>
    <w:rsid w:val="00532CE7"/>
    <w:rsid w:val="0053324C"/>
    <w:rsid w:val="00534210"/>
    <w:rsid w:val="00534A28"/>
    <w:rsid w:val="0054014B"/>
    <w:rsid w:val="00540B19"/>
    <w:rsid w:val="0054130E"/>
    <w:rsid w:val="00541508"/>
    <w:rsid w:val="005433DC"/>
    <w:rsid w:val="00543498"/>
    <w:rsid w:val="00543C8F"/>
    <w:rsid w:val="0054585F"/>
    <w:rsid w:val="005500AF"/>
    <w:rsid w:val="00550752"/>
    <w:rsid w:val="0055599F"/>
    <w:rsid w:val="00555C3C"/>
    <w:rsid w:val="00556D68"/>
    <w:rsid w:val="00556EF1"/>
    <w:rsid w:val="00557294"/>
    <w:rsid w:val="00557755"/>
    <w:rsid w:val="00560FF3"/>
    <w:rsid w:val="00562964"/>
    <w:rsid w:val="00563EB8"/>
    <w:rsid w:val="00564059"/>
    <w:rsid w:val="005647BF"/>
    <w:rsid w:val="00564AF1"/>
    <w:rsid w:val="00564FAC"/>
    <w:rsid w:val="005653B3"/>
    <w:rsid w:val="0056569C"/>
    <w:rsid w:val="00565C32"/>
    <w:rsid w:val="00566404"/>
    <w:rsid w:val="00566CAE"/>
    <w:rsid w:val="005705DD"/>
    <w:rsid w:val="00570DC6"/>
    <w:rsid w:val="0057157C"/>
    <w:rsid w:val="00572A4E"/>
    <w:rsid w:val="00572FB1"/>
    <w:rsid w:val="0057327E"/>
    <w:rsid w:val="0057364B"/>
    <w:rsid w:val="00574589"/>
    <w:rsid w:val="00574773"/>
    <w:rsid w:val="00575218"/>
    <w:rsid w:val="00575F5F"/>
    <w:rsid w:val="005774D7"/>
    <w:rsid w:val="005777D4"/>
    <w:rsid w:val="00577C25"/>
    <w:rsid w:val="00580606"/>
    <w:rsid w:val="005820B6"/>
    <w:rsid w:val="00582D01"/>
    <w:rsid w:val="00583FFD"/>
    <w:rsid w:val="00590017"/>
    <w:rsid w:val="005911BE"/>
    <w:rsid w:val="00591EC6"/>
    <w:rsid w:val="005923B1"/>
    <w:rsid w:val="00592603"/>
    <w:rsid w:val="00593152"/>
    <w:rsid w:val="00595676"/>
    <w:rsid w:val="00597817"/>
    <w:rsid w:val="00597D54"/>
    <w:rsid w:val="005A10F2"/>
    <w:rsid w:val="005A1C6C"/>
    <w:rsid w:val="005A21E0"/>
    <w:rsid w:val="005A2372"/>
    <w:rsid w:val="005A25CD"/>
    <w:rsid w:val="005A262D"/>
    <w:rsid w:val="005A28FF"/>
    <w:rsid w:val="005A3738"/>
    <w:rsid w:val="005A3DF8"/>
    <w:rsid w:val="005A425E"/>
    <w:rsid w:val="005A5549"/>
    <w:rsid w:val="005A5A30"/>
    <w:rsid w:val="005A74A4"/>
    <w:rsid w:val="005A7626"/>
    <w:rsid w:val="005B0E6C"/>
    <w:rsid w:val="005B121D"/>
    <w:rsid w:val="005B16F4"/>
    <w:rsid w:val="005B1D39"/>
    <w:rsid w:val="005B4A98"/>
    <w:rsid w:val="005B4C46"/>
    <w:rsid w:val="005B53F9"/>
    <w:rsid w:val="005B5DEF"/>
    <w:rsid w:val="005B6459"/>
    <w:rsid w:val="005B7AF7"/>
    <w:rsid w:val="005C06ED"/>
    <w:rsid w:val="005C0924"/>
    <w:rsid w:val="005C143E"/>
    <w:rsid w:val="005C2609"/>
    <w:rsid w:val="005C26FE"/>
    <w:rsid w:val="005C299F"/>
    <w:rsid w:val="005C4E7C"/>
    <w:rsid w:val="005C746A"/>
    <w:rsid w:val="005D03ED"/>
    <w:rsid w:val="005D34B1"/>
    <w:rsid w:val="005D5308"/>
    <w:rsid w:val="005D565E"/>
    <w:rsid w:val="005D5802"/>
    <w:rsid w:val="005D5D54"/>
    <w:rsid w:val="005D7119"/>
    <w:rsid w:val="005D7890"/>
    <w:rsid w:val="005E1BDA"/>
    <w:rsid w:val="005E313D"/>
    <w:rsid w:val="005E376E"/>
    <w:rsid w:val="005E565F"/>
    <w:rsid w:val="005E7019"/>
    <w:rsid w:val="005E7C78"/>
    <w:rsid w:val="005F0514"/>
    <w:rsid w:val="005F1858"/>
    <w:rsid w:val="005F18C5"/>
    <w:rsid w:val="005F3EB1"/>
    <w:rsid w:val="005F41C4"/>
    <w:rsid w:val="005F46D8"/>
    <w:rsid w:val="005F5469"/>
    <w:rsid w:val="005F7AAB"/>
    <w:rsid w:val="00600BE1"/>
    <w:rsid w:val="006030F6"/>
    <w:rsid w:val="0060408A"/>
    <w:rsid w:val="00604307"/>
    <w:rsid w:val="006044DA"/>
    <w:rsid w:val="006045F0"/>
    <w:rsid w:val="0060487F"/>
    <w:rsid w:val="00604CDA"/>
    <w:rsid w:val="00604EAD"/>
    <w:rsid w:val="00606408"/>
    <w:rsid w:val="00606E6F"/>
    <w:rsid w:val="00606F15"/>
    <w:rsid w:val="006104FB"/>
    <w:rsid w:val="006124C5"/>
    <w:rsid w:val="00612A2F"/>
    <w:rsid w:val="0061482A"/>
    <w:rsid w:val="006166D8"/>
    <w:rsid w:val="00616E05"/>
    <w:rsid w:val="0062054C"/>
    <w:rsid w:val="00622254"/>
    <w:rsid w:val="00622363"/>
    <w:rsid w:val="00624093"/>
    <w:rsid w:val="0062503F"/>
    <w:rsid w:val="0062588C"/>
    <w:rsid w:val="00627BA2"/>
    <w:rsid w:val="00630E1F"/>
    <w:rsid w:val="00630F20"/>
    <w:rsid w:val="00631BC9"/>
    <w:rsid w:val="006350D5"/>
    <w:rsid w:val="00635191"/>
    <w:rsid w:val="00635B43"/>
    <w:rsid w:val="00637B2C"/>
    <w:rsid w:val="006404A7"/>
    <w:rsid w:val="00641F0B"/>
    <w:rsid w:val="0064287A"/>
    <w:rsid w:val="0064335A"/>
    <w:rsid w:val="00643FC3"/>
    <w:rsid w:val="00643FD3"/>
    <w:rsid w:val="006448DE"/>
    <w:rsid w:val="00644B90"/>
    <w:rsid w:val="00645133"/>
    <w:rsid w:val="006451E4"/>
    <w:rsid w:val="0064553D"/>
    <w:rsid w:val="00645B33"/>
    <w:rsid w:val="00645D1E"/>
    <w:rsid w:val="00650942"/>
    <w:rsid w:val="00650E0D"/>
    <w:rsid w:val="0065105B"/>
    <w:rsid w:val="006516CB"/>
    <w:rsid w:val="006517A7"/>
    <w:rsid w:val="00652F37"/>
    <w:rsid w:val="006533EC"/>
    <w:rsid w:val="00654154"/>
    <w:rsid w:val="0065479A"/>
    <w:rsid w:val="00655088"/>
    <w:rsid w:val="00656141"/>
    <w:rsid w:val="006567A9"/>
    <w:rsid w:val="00656B23"/>
    <w:rsid w:val="00656FC8"/>
    <w:rsid w:val="00657057"/>
    <w:rsid w:val="006574CC"/>
    <w:rsid w:val="00657D66"/>
    <w:rsid w:val="00657E87"/>
    <w:rsid w:val="00660910"/>
    <w:rsid w:val="00660F6A"/>
    <w:rsid w:val="00661EE7"/>
    <w:rsid w:val="006620C5"/>
    <w:rsid w:val="006645DB"/>
    <w:rsid w:val="00664803"/>
    <w:rsid w:val="00664BC8"/>
    <w:rsid w:val="00665BA4"/>
    <w:rsid w:val="00666348"/>
    <w:rsid w:val="006663A1"/>
    <w:rsid w:val="006679C7"/>
    <w:rsid w:val="00667AF2"/>
    <w:rsid w:val="00670242"/>
    <w:rsid w:val="006710C9"/>
    <w:rsid w:val="00671F5F"/>
    <w:rsid w:val="00673CDD"/>
    <w:rsid w:val="006740E4"/>
    <w:rsid w:val="006741AC"/>
    <w:rsid w:val="006745CB"/>
    <w:rsid w:val="006747BA"/>
    <w:rsid w:val="00674D89"/>
    <w:rsid w:val="006759FA"/>
    <w:rsid w:val="00675E37"/>
    <w:rsid w:val="00675F55"/>
    <w:rsid w:val="00680054"/>
    <w:rsid w:val="0068174E"/>
    <w:rsid w:val="00681DCE"/>
    <w:rsid w:val="00682216"/>
    <w:rsid w:val="0068260E"/>
    <w:rsid w:val="006827F0"/>
    <w:rsid w:val="00683398"/>
    <w:rsid w:val="00683C47"/>
    <w:rsid w:val="00683D7F"/>
    <w:rsid w:val="00683E1E"/>
    <w:rsid w:val="0068471C"/>
    <w:rsid w:val="00685F86"/>
    <w:rsid w:val="006864A6"/>
    <w:rsid w:val="00686E0A"/>
    <w:rsid w:val="0068704B"/>
    <w:rsid w:val="00691BCC"/>
    <w:rsid w:val="0069316A"/>
    <w:rsid w:val="00693CA2"/>
    <w:rsid w:val="00693F4A"/>
    <w:rsid w:val="00694375"/>
    <w:rsid w:val="006943B9"/>
    <w:rsid w:val="006952B0"/>
    <w:rsid w:val="006953FB"/>
    <w:rsid w:val="00695A1C"/>
    <w:rsid w:val="00695BEF"/>
    <w:rsid w:val="006977F6"/>
    <w:rsid w:val="00697A13"/>
    <w:rsid w:val="006A109C"/>
    <w:rsid w:val="006A10F4"/>
    <w:rsid w:val="006A190E"/>
    <w:rsid w:val="006A2410"/>
    <w:rsid w:val="006A3561"/>
    <w:rsid w:val="006A3F9B"/>
    <w:rsid w:val="006A46F7"/>
    <w:rsid w:val="006A4CFF"/>
    <w:rsid w:val="006A726E"/>
    <w:rsid w:val="006A7ED6"/>
    <w:rsid w:val="006B0083"/>
    <w:rsid w:val="006B0F92"/>
    <w:rsid w:val="006B18CD"/>
    <w:rsid w:val="006B1AFC"/>
    <w:rsid w:val="006B1CAA"/>
    <w:rsid w:val="006B1E28"/>
    <w:rsid w:val="006B1FE2"/>
    <w:rsid w:val="006B2799"/>
    <w:rsid w:val="006B344A"/>
    <w:rsid w:val="006B3C13"/>
    <w:rsid w:val="006B4100"/>
    <w:rsid w:val="006B424F"/>
    <w:rsid w:val="006B78D8"/>
    <w:rsid w:val="006C0340"/>
    <w:rsid w:val="006C0C0D"/>
    <w:rsid w:val="006C113F"/>
    <w:rsid w:val="006C123E"/>
    <w:rsid w:val="006C1750"/>
    <w:rsid w:val="006C1752"/>
    <w:rsid w:val="006C2D41"/>
    <w:rsid w:val="006C4905"/>
    <w:rsid w:val="006C5547"/>
    <w:rsid w:val="006C56D4"/>
    <w:rsid w:val="006C5F30"/>
    <w:rsid w:val="006C6924"/>
    <w:rsid w:val="006C6BA8"/>
    <w:rsid w:val="006C7CA6"/>
    <w:rsid w:val="006D208B"/>
    <w:rsid w:val="006D3E8A"/>
    <w:rsid w:val="006D47A4"/>
    <w:rsid w:val="006D49FF"/>
    <w:rsid w:val="006D5247"/>
    <w:rsid w:val="006D592D"/>
    <w:rsid w:val="006D61F6"/>
    <w:rsid w:val="006D6781"/>
    <w:rsid w:val="006D6B9A"/>
    <w:rsid w:val="006D75BB"/>
    <w:rsid w:val="006E1CF2"/>
    <w:rsid w:val="006E279A"/>
    <w:rsid w:val="006E27B1"/>
    <w:rsid w:val="006E2B04"/>
    <w:rsid w:val="006E313B"/>
    <w:rsid w:val="006E489E"/>
    <w:rsid w:val="006E54AC"/>
    <w:rsid w:val="006E58F2"/>
    <w:rsid w:val="006E7227"/>
    <w:rsid w:val="006E7B31"/>
    <w:rsid w:val="006F0120"/>
    <w:rsid w:val="006F09CB"/>
    <w:rsid w:val="006F0B6A"/>
    <w:rsid w:val="006F0DC7"/>
    <w:rsid w:val="006F398D"/>
    <w:rsid w:val="006F438E"/>
    <w:rsid w:val="006F5416"/>
    <w:rsid w:val="00700059"/>
    <w:rsid w:val="00700E03"/>
    <w:rsid w:val="00700F27"/>
    <w:rsid w:val="0070119D"/>
    <w:rsid w:val="00701A28"/>
    <w:rsid w:val="00701BEB"/>
    <w:rsid w:val="00704818"/>
    <w:rsid w:val="00705242"/>
    <w:rsid w:val="00706AD4"/>
    <w:rsid w:val="00707150"/>
    <w:rsid w:val="00707AC1"/>
    <w:rsid w:val="00707AE9"/>
    <w:rsid w:val="00710CE5"/>
    <w:rsid w:val="00711224"/>
    <w:rsid w:val="007112BD"/>
    <w:rsid w:val="0071159D"/>
    <w:rsid w:val="007122B1"/>
    <w:rsid w:val="007129B5"/>
    <w:rsid w:val="007140BE"/>
    <w:rsid w:val="0071505D"/>
    <w:rsid w:val="007157A4"/>
    <w:rsid w:val="007178A8"/>
    <w:rsid w:val="007208B8"/>
    <w:rsid w:val="007211F5"/>
    <w:rsid w:val="00721757"/>
    <w:rsid w:val="007225A9"/>
    <w:rsid w:val="0072283D"/>
    <w:rsid w:val="007232CB"/>
    <w:rsid w:val="00723946"/>
    <w:rsid w:val="007240E2"/>
    <w:rsid w:val="007248BA"/>
    <w:rsid w:val="007250FE"/>
    <w:rsid w:val="007256B5"/>
    <w:rsid w:val="00725BB5"/>
    <w:rsid w:val="007270F2"/>
    <w:rsid w:val="00727828"/>
    <w:rsid w:val="00730030"/>
    <w:rsid w:val="007302A5"/>
    <w:rsid w:val="00730711"/>
    <w:rsid w:val="00730AE8"/>
    <w:rsid w:val="00730F1B"/>
    <w:rsid w:val="007316A3"/>
    <w:rsid w:val="007317FA"/>
    <w:rsid w:val="00732CDD"/>
    <w:rsid w:val="007339BF"/>
    <w:rsid w:val="00735591"/>
    <w:rsid w:val="00736AFB"/>
    <w:rsid w:val="00737F89"/>
    <w:rsid w:val="00740EA1"/>
    <w:rsid w:val="00741493"/>
    <w:rsid w:val="00741A3D"/>
    <w:rsid w:val="0074220B"/>
    <w:rsid w:val="007427E1"/>
    <w:rsid w:val="00742EC2"/>
    <w:rsid w:val="00745508"/>
    <w:rsid w:val="007467FF"/>
    <w:rsid w:val="0075027A"/>
    <w:rsid w:val="00750971"/>
    <w:rsid w:val="00750BFF"/>
    <w:rsid w:val="00750C64"/>
    <w:rsid w:val="00752180"/>
    <w:rsid w:val="00753454"/>
    <w:rsid w:val="007534DF"/>
    <w:rsid w:val="00753CAB"/>
    <w:rsid w:val="00755202"/>
    <w:rsid w:val="007554BD"/>
    <w:rsid w:val="00755B99"/>
    <w:rsid w:val="00755D3A"/>
    <w:rsid w:val="007578D3"/>
    <w:rsid w:val="007609C6"/>
    <w:rsid w:val="00760EA4"/>
    <w:rsid w:val="00761600"/>
    <w:rsid w:val="0076175D"/>
    <w:rsid w:val="007617CE"/>
    <w:rsid w:val="00762F7C"/>
    <w:rsid w:val="00763B85"/>
    <w:rsid w:val="00764FD3"/>
    <w:rsid w:val="0076521E"/>
    <w:rsid w:val="007655D2"/>
    <w:rsid w:val="00765629"/>
    <w:rsid w:val="00765BF6"/>
    <w:rsid w:val="007661E9"/>
    <w:rsid w:val="007672C6"/>
    <w:rsid w:val="00767AD0"/>
    <w:rsid w:val="00771FF6"/>
    <w:rsid w:val="007732E9"/>
    <w:rsid w:val="00773605"/>
    <w:rsid w:val="00774E36"/>
    <w:rsid w:val="00775480"/>
    <w:rsid w:val="00776169"/>
    <w:rsid w:val="00776527"/>
    <w:rsid w:val="00776C89"/>
    <w:rsid w:val="0077762A"/>
    <w:rsid w:val="00780EF1"/>
    <w:rsid w:val="0078132B"/>
    <w:rsid w:val="00781398"/>
    <w:rsid w:val="00781C0F"/>
    <w:rsid w:val="00781F7A"/>
    <w:rsid w:val="00782B78"/>
    <w:rsid w:val="00782F4F"/>
    <w:rsid w:val="00783CCB"/>
    <w:rsid w:val="00783F57"/>
    <w:rsid w:val="0078437D"/>
    <w:rsid w:val="00785A69"/>
    <w:rsid w:val="007871C9"/>
    <w:rsid w:val="00787903"/>
    <w:rsid w:val="00787B25"/>
    <w:rsid w:val="00787F15"/>
    <w:rsid w:val="00790764"/>
    <w:rsid w:val="0079095D"/>
    <w:rsid w:val="00791B5A"/>
    <w:rsid w:val="00794183"/>
    <w:rsid w:val="0079453C"/>
    <w:rsid w:val="00794677"/>
    <w:rsid w:val="007948ED"/>
    <w:rsid w:val="007968D2"/>
    <w:rsid w:val="007970DC"/>
    <w:rsid w:val="00797445"/>
    <w:rsid w:val="007A17E3"/>
    <w:rsid w:val="007A2610"/>
    <w:rsid w:val="007A317C"/>
    <w:rsid w:val="007A516D"/>
    <w:rsid w:val="007A5250"/>
    <w:rsid w:val="007A7100"/>
    <w:rsid w:val="007B188F"/>
    <w:rsid w:val="007B356F"/>
    <w:rsid w:val="007B3A96"/>
    <w:rsid w:val="007B4059"/>
    <w:rsid w:val="007B4322"/>
    <w:rsid w:val="007B4428"/>
    <w:rsid w:val="007B583C"/>
    <w:rsid w:val="007B5A8A"/>
    <w:rsid w:val="007B6689"/>
    <w:rsid w:val="007B6F5E"/>
    <w:rsid w:val="007B71C6"/>
    <w:rsid w:val="007B7F13"/>
    <w:rsid w:val="007C174A"/>
    <w:rsid w:val="007C29D1"/>
    <w:rsid w:val="007C2E6E"/>
    <w:rsid w:val="007C443D"/>
    <w:rsid w:val="007C4E0E"/>
    <w:rsid w:val="007C5E1F"/>
    <w:rsid w:val="007C65E8"/>
    <w:rsid w:val="007C6BBD"/>
    <w:rsid w:val="007C7443"/>
    <w:rsid w:val="007C7F29"/>
    <w:rsid w:val="007D0553"/>
    <w:rsid w:val="007D15F4"/>
    <w:rsid w:val="007D2975"/>
    <w:rsid w:val="007D2DA7"/>
    <w:rsid w:val="007D342C"/>
    <w:rsid w:val="007D40DF"/>
    <w:rsid w:val="007D5B74"/>
    <w:rsid w:val="007D7139"/>
    <w:rsid w:val="007D7F01"/>
    <w:rsid w:val="007E1365"/>
    <w:rsid w:val="007E25C8"/>
    <w:rsid w:val="007E29B4"/>
    <w:rsid w:val="007E3625"/>
    <w:rsid w:val="007E435A"/>
    <w:rsid w:val="007E5D94"/>
    <w:rsid w:val="007E7E61"/>
    <w:rsid w:val="007F0845"/>
    <w:rsid w:val="007F24F4"/>
    <w:rsid w:val="007F307A"/>
    <w:rsid w:val="007F6620"/>
    <w:rsid w:val="007F708D"/>
    <w:rsid w:val="00801BFB"/>
    <w:rsid w:val="00801E13"/>
    <w:rsid w:val="00806686"/>
    <w:rsid w:val="00807B7B"/>
    <w:rsid w:val="00807C82"/>
    <w:rsid w:val="00811590"/>
    <w:rsid w:val="0081237C"/>
    <w:rsid w:val="008124FC"/>
    <w:rsid w:val="00813E3C"/>
    <w:rsid w:val="00814B15"/>
    <w:rsid w:val="0081562A"/>
    <w:rsid w:val="0081565E"/>
    <w:rsid w:val="008161DB"/>
    <w:rsid w:val="00816905"/>
    <w:rsid w:val="00817343"/>
    <w:rsid w:val="008207EF"/>
    <w:rsid w:val="00820A4A"/>
    <w:rsid w:val="00821277"/>
    <w:rsid w:val="00821777"/>
    <w:rsid w:val="008217F0"/>
    <w:rsid w:val="00821FF6"/>
    <w:rsid w:val="00822574"/>
    <w:rsid w:val="00823182"/>
    <w:rsid w:val="008241CD"/>
    <w:rsid w:val="00825C4D"/>
    <w:rsid w:val="00827DE6"/>
    <w:rsid w:val="00827EA6"/>
    <w:rsid w:val="0083143E"/>
    <w:rsid w:val="00831CDE"/>
    <w:rsid w:val="00832105"/>
    <w:rsid w:val="00833895"/>
    <w:rsid w:val="00833B3D"/>
    <w:rsid w:val="00833FF1"/>
    <w:rsid w:val="00834304"/>
    <w:rsid w:val="008343A4"/>
    <w:rsid w:val="00834710"/>
    <w:rsid w:val="00834FAA"/>
    <w:rsid w:val="00835C7A"/>
    <w:rsid w:val="00836086"/>
    <w:rsid w:val="0084234E"/>
    <w:rsid w:val="00844B49"/>
    <w:rsid w:val="00845975"/>
    <w:rsid w:val="008459FF"/>
    <w:rsid w:val="00846121"/>
    <w:rsid w:val="00846366"/>
    <w:rsid w:val="0084708F"/>
    <w:rsid w:val="008477C8"/>
    <w:rsid w:val="00847BA0"/>
    <w:rsid w:val="00850DE0"/>
    <w:rsid w:val="0085114D"/>
    <w:rsid w:val="00851BB5"/>
    <w:rsid w:val="00852217"/>
    <w:rsid w:val="0085343F"/>
    <w:rsid w:val="008539D1"/>
    <w:rsid w:val="00854AD0"/>
    <w:rsid w:val="00855408"/>
    <w:rsid w:val="00855A1F"/>
    <w:rsid w:val="00856069"/>
    <w:rsid w:val="00856D65"/>
    <w:rsid w:val="00857DDE"/>
    <w:rsid w:val="00860BA9"/>
    <w:rsid w:val="00861B41"/>
    <w:rsid w:val="00861BE3"/>
    <w:rsid w:val="00863434"/>
    <w:rsid w:val="00863B2B"/>
    <w:rsid w:val="00865C90"/>
    <w:rsid w:val="00865E4C"/>
    <w:rsid w:val="008701E4"/>
    <w:rsid w:val="0087040B"/>
    <w:rsid w:val="00871069"/>
    <w:rsid w:val="0087121C"/>
    <w:rsid w:val="00872C61"/>
    <w:rsid w:val="00875A32"/>
    <w:rsid w:val="00875E9E"/>
    <w:rsid w:val="00876086"/>
    <w:rsid w:val="008774DC"/>
    <w:rsid w:val="00877817"/>
    <w:rsid w:val="008804E9"/>
    <w:rsid w:val="00880D2A"/>
    <w:rsid w:val="0088128D"/>
    <w:rsid w:val="008815BC"/>
    <w:rsid w:val="0088160C"/>
    <w:rsid w:val="008819A3"/>
    <w:rsid w:val="008825B0"/>
    <w:rsid w:val="00883762"/>
    <w:rsid w:val="00883991"/>
    <w:rsid w:val="00884124"/>
    <w:rsid w:val="00884AD6"/>
    <w:rsid w:val="0088582F"/>
    <w:rsid w:val="00886EB0"/>
    <w:rsid w:val="008873D4"/>
    <w:rsid w:val="00887FC8"/>
    <w:rsid w:val="00891049"/>
    <w:rsid w:val="0089126C"/>
    <w:rsid w:val="008917FE"/>
    <w:rsid w:val="0089296D"/>
    <w:rsid w:val="00893E85"/>
    <w:rsid w:val="00894031"/>
    <w:rsid w:val="00895508"/>
    <w:rsid w:val="0089685F"/>
    <w:rsid w:val="0089721E"/>
    <w:rsid w:val="00897506"/>
    <w:rsid w:val="00897C11"/>
    <w:rsid w:val="008A0C81"/>
    <w:rsid w:val="008A60E8"/>
    <w:rsid w:val="008A64A6"/>
    <w:rsid w:val="008A6745"/>
    <w:rsid w:val="008A73F2"/>
    <w:rsid w:val="008A7557"/>
    <w:rsid w:val="008B1171"/>
    <w:rsid w:val="008B167B"/>
    <w:rsid w:val="008B2F54"/>
    <w:rsid w:val="008B2FE5"/>
    <w:rsid w:val="008B4316"/>
    <w:rsid w:val="008B4333"/>
    <w:rsid w:val="008B483B"/>
    <w:rsid w:val="008B4FDA"/>
    <w:rsid w:val="008B5523"/>
    <w:rsid w:val="008B7C02"/>
    <w:rsid w:val="008B7D2B"/>
    <w:rsid w:val="008C0049"/>
    <w:rsid w:val="008C0445"/>
    <w:rsid w:val="008C08D8"/>
    <w:rsid w:val="008C0E88"/>
    <w:rsid w:val="008C285F"/>
    <w:rsid w:val="008C53CB"/>
    <w:rsid w:val="008C7E99"/>
    <w:rsid w:val="008C7F67"/>
    <w:rsid w:val="008D12F1"/>
    <w:rsid w:val="008D13C5"/>
    <w:rsid w:val="008D17C7"/>
    <w:rsid w:val="008D1B4D"/>
    <w:rsid w:val="008D1E6A"/>
    <w:rsid w:val="008D27D2"/>
    <w:rsid w:val="008D2A16"/>
    <w:rsid w:val="008D34AF"/>
    <w:rsid w:val="008D5DC6"/>
    <w:rsid w:val="008D7813"/>
    <w:rsid w:val="008E1880"/>
    <w:rsid w:val="008E1A36"/>
    <w:rsid w:val="008E2C57"/>
    <w:rsid w:val="008E31FF"/>
    <w:rsid w:val="008E49ED"/>
    <w:rsid w:val="008E4A1C"/>
    <w:rsid w:val="008E5AE8"/>
    <w:rsid w:val="008E6BB0"/>
    <w:rsid w:val="008E6F06"/>
    <w:rsid w:val="008E7FC9"/>
    <w:rsid w:val="008F0128"/>
    <w:rsid w:val="008F029B"/>
    <w:rsid w:val="008F069A"/>
    <w:rsid w:val="008F2791"/>
    <w:rsid w:val="008F375E"/>
    <w:rsid w:val="008F3FC9"/>
    <w:rsid w:val="008F4385"/>
    <w:rsid w:val="008F4D23"/>
    <w:rsid w:val="008F585B"/>
    <w:rsid w:val="008F5994"/>
    <w:rsid w:val="008F7B77"/>
    <w:rsid w:val="009003A8"/>
    <w:rsid w:val="00900C93"/>
    <w:rsid w:val="00902233"/>
    <w:rsid w:val="00902500"/>
    <w:rsid w:val="00902DC8"/>
    <w:rsid w:val="00902EFF"/>
    <w:rsid w:val="00904752"/>
    <w:rsid w:val="00906401"/>
    <w:rsid w:val="0090670F"/>
    <w:rsid w:val="0091155E"/>
    <w:rsid w:val="00912634"/>
    <w:rsid w:val="00912A92"/>
    <w:rsid w:val="00915AAA"/>
    <w:rsid w:val="0091728D"/>
    <w:rsid w:val="009174FA"/>
    <w:rsid w:val="00917A40"/>
    <w:rsid w:val="009203C8"/>
    <w:rsid w:val="0092042D"/>
    <w:rsid w:val="00920A97"/>
    <w:rsid w:val="0092180B"/>
    <w:rsid w:val="00921F14"/>
    <w:rsid w:val="009231A3"/>
    <w:rsid w:val="00923F80"/>
    <w:rsid w:val="009240B9"/>
    <w:rsid w:val="00924AC8"/>
    <w:rsid w:val="0092597A"/>
    <w:rsid w:val="009272A4"/>
    <w:rsid w:val="00927BC1"/>
    <w:rsid w:val="00930FB1"/>
    <w:rsid w:val="009312E4"/>
    <w:rsid w:val="0093139F"/>
    <w:rsid w:val="00932443"/>
    <w:rsid w:val="009324EF"/>
    <w:rsid w:val="009328A9"/>
    <w:rsid w:val="00932E8F"/>
    <w:rsid w:val="00932F35"/>
    <w:rsid w:val="00933121"/>
    <w:rsid w:val="00934EB8"/>
    <w:rsid w:val="00935432"/>
    <w:rsid w:val="0093776B"/>
    <w:rsid w:val="00937AE2"/>
    <w:rsid w:val="00941670"/>
    <w:rsid w:val="0094207A"/>
    <w:rsid w:val="00942992"/>
    <w:rsid w:val="00942CF8"/>
    <w:rsid w:val="009432AC"/>
    <w:rsid w:val="009437A5"/>
    <w:rsid w:val="0094427A"/>
    <w:rsid w:val="00945245"/>
    <w:rsid w:val="00946FCD"/>
    <w:rsid w:val="0094731A"/>
    <w:rsid w:val="00951606"/>
    <w:rsid w:val="00951B96"/>
    <w:rsid w:val="00953DEB"/>
    <w:rsid w:val="0095691D"/>
    <w:rsid w:val="00956983"/>
    <w:rsid w:val="0095759C"/>
    <w:rsid w:val="009607D0"/>
    <w:rsid w:val="00960E8F"/>
    <w:rsid w:val="009612F1"/>
    <w:rsid w:val="009619DC"/>
    <w:rsid w:val="00961DA7"/>
    <w:rsid w:val="0096270C"/>
    <w:rsid w:val="0096364B"/>
    <w:rsid w:val="00964303"/>
    <w:rsid w:val="00964F05"/>
    <w:rsid w:val="00964F1A"/>
    <w:rsid w:val="009652BE"/>
    <w:rsid w:val="00966025"/>
    <w:rsid w:val="00966405"/>
    <w:rsid w:val="0096694C"/>
    <w:rsid w:val="00966AEE"/>
    <w:rsid w:val="00970158"/>
    <w:rsid w:val="0097032F"/>
    <w:rsid w:val="00971090"/>
    <w:rsid w:val="00971358"/>
    <w:rsid w:val="009721DB"/>
    <w:rsid w:val="00972205"/>
    <w:rsid w:val="00972A59"/>
    <w:rsid w:val="00972E4A"/>
    <w:rsid w:val="00973735"/>
    <w:rsid w:val="009743FF"/>
    <w:rsid w:val="009744E6"/>
    <w:rsid w:val="00974923"/>
    <w:rsid w:val="00975148"/>
    <w:rsid w:val="0097575C"/>
    <w:rsid w:val="00975C2D"/>
    <w:rsid w:val="00980D3D"/>
    <w:rsid w:val="009816FF"/>
    <w:rsid w:val="00981831"/>
    <w:rsid w:val="00981ED4"/>
    <w:rsid w:val="0098211F"/>
    <w:rsid w:val="00982ACD"/>
    <w:rsid w:val="00982BD0"/>
    <w:rsid w:val="0098402C"/>
    <w:rsid w:val="00985B99"/>
    <w:rsid w:val="00986ADB"/>
    <w:rsid w:val="00987A30"/>
    <w:rsid w:val="00990210"/>
    <w:rsid w:val="00992CF3"/>
    <w:rsid w:val="009938FB"/>
    <w:rsid w:val="00993D9C"/>
    <w:rsid w:val="00994868"/>
    <w:rsid w:val="009968D6"/>
    <w:rsid w:val="009A180C"/>
    <w:rsid w:val="009A1CAB"/>
    <w:rsid w:val="009A2AFC"/>
    <w:rsid w:val="009A5349"/>
    <w:rsid w:val="009A56B6"/>
    <w:rsid w:val="009A60D1"/>
    <w:rsid w:val="009A6D06"/>
    <w:rsid w:val="009A76A7"/>
    <w:rsid w:val="009B1932"/>
    <w:rsid w:val="009B1F0B"/>
    <w:rsid w:val="009B2782"/>
    <w:rsid w:val="009B4BAF"/>
    <w:rsid w:val="009B52F3"/>
    <w:rsid w:val="009B64D1"/>
    <w:rsid w:val="009B6FD3"/>
    <w:rsid w:val="009C05E8"/>
    <w:rsid w:val="009C0ED9"/>
    <w:rsid w:val="009C1750"/>
    <w:rsid w:val="009C2E29"/>
    <w:rsid w:val="009C554B"/>
    <w:rsid w:val="009C693C"/>
    <w:rsid w:val="009C719E"/>
    <w:rsid w:val="009C7A10"/>
    <w:rsid w:val="009D0223"/>
    <w:rsid w:val="009D0B58"/>
    <w:rsid w:val="009D1131"/>
    <w:rsid w:val="009D1237"/>
    <w:rsid w:val="009D2465"/>
    <w:rsid w:val="009D39BC"/>
    <w:rsid w:val="009D3ACD"/>
    <w:rsid w:val="009D4DC4"/>
    <w:rsid w:val="009D6235"/>
    <w:rsid w:val="009D77F7"/>
    <w:rsid w:val="009E0347"/>
    <w:rsid w:val="009E03A3"/>
    <w:rsid w:val="009E2524"/>
    <w:rsid w:val="009E3BDB"/>
    <w:rsid w:val="009E5273"/>
    <w:rsid w:val="009E55AD"/>
    <w:rsid w:val="009E5DDB"/>
    <w:rsid w:val="009F2CFA"/>
    <w:rsid w:val="009F3941"/>
    <w:rsid w:val="009F4CA7"/>
    <w:rsid w:val="009F4ECC"/>
    <w:rsid w:val="009F582C"/>
    <w:rsid w:val="009F67D6"/>
    <w:rsid w:val="009F698D"/>
    <w:rsid w:val="009F7085"/>
    <w:rsid w:val="009F7509"/>
    <w:rsid w:val="009F77D8"/>
    <w:rsid w:val="00A04321"/>
    <w:rsid w:val="00A0439C"/>
    <w:rsid w:val="00A05C22"/>
    <w:rsid w:val="00A06AA1"/>
    <w:rsid w:val="00A076D5"/>
    <w:rsid w:val="00A10D66"/>
    <w:rsid w:val="00A118C8"/>
    <w:rsid w:val="00A126CC"/>
    <w:rsid w:val="00A12E08"/>
    <w:rsid w:val="00A14114"/>
    <w:rsid w:val="00A1498C"/>
    <w:rsid w:val="00A14EFD"/>
    <w:rsid w:val="00A16413"/>
    <w:rsid w:val="00A16E1D"/>
    <w:rsid w:val="00A171A3"/>
    <w:rsid w:val="00A17D5B"/>
    <w:rsid w:val="00A20B57"/>
    <w:rsid w:val="00A23305"/>
    <w:rsid w:val="00A23E43"/>
    <w:rsid w:val="00A25216"/>
    <w:rsid w:val="00A260BE"/>
    <w:rsid w:val="00A279A0"/>
    <w:rsid w:val="00A30942"/>
    <w:rsid w:val="00A30F65"/>
    <w:rsid w:val="00A31FD4"/>
    <w:rsid w:val="00A331E6"/>
    <w:rsid w:val="00A33A89"/>
    <w:rsid w:val="00A345C6"/>
    <w:rsid w:val="00A34C23"/>
    <w:rsid w:val="00A37F31"/>
    <w:rsid w:val="00A4078F"/>
    <w:rsid w:val="00A40D93"/>
    <w:rsid w:val="00A40EAC"/>
    <w:rsid w:val="00A40FE0"/>
    <w:rsid w:val="00A41568"/>
    <w:rsid w:val="00A418BC"/>
    <w:rsid w:val="00A434DE"/>
    <w:rsid w:val="00A461F2"/>
    <w:rsid w:val="00A46DE0"/>
    <w:rsid w:val="00A5015F"/>
    <w:rsid w:val="00A508CB"/>
    <w:rsid w:val="00A50D73"/>
    <w:rsid w:val="00A50F37"/>
    <w:rsid w:val="00A51CDA"/>
    <w:rsid w:val="00A51ED9"/>
    <w:rsid w:val="00A52CAD"/>
    <w:rsid w:val="00A53FC7"/>
    <w:rsid w:val="00A54062"/>
    <w:rsid w:val="00A548FE"/>
    <w:rsid w:val="00A55588"/>
    <w:rsid w:val="00A55F61"/>
    <w:rsid w:val="00A60080"/>
    <w:rsid w:val="00A6148D"/>
    <w:rsid w:val="00A61517"/>
    <w:rsid w:val="00A62130"/>
    <w:rsid w:val="00A624C3"/>
    <w:rsid w:val="00A62CE1"/>
    <w:rsid w:val="00A62D32"/>
    <w:rsid w:val="00A64A96"/>
    <w:rsid w:val="00A66A9D"/>
    <w:rsid w:val="00A66E67"/>
    <w:rsid w:val="00A66F56"/>
    <w:rsid w:val="00A67213"/>
    <w:rsid w:val="00A6741E"/>
    <w:rsid w:val="00A70F6A"/>
    <w:rsid w:val="00A7106F"/>
    <w:rsid w:val="00A7237E"/>
    <w:rsid w:val="00A72902"/>
    <w:rsid w:val="00A75E40"/>
    <w:rsid w:val="00A7607F"/>
    <w:rsid w:val="00A776F6"/>
    <w:rsid w:val="00A77D1D"/>
    <w:rsid w:val="00A8051D"/>
    <w:rsid w:val="00A83420"/>
    <w:rsid w:val="00A83CE5"/>
    <w:rsid w:val="00A84A6A"/>
    <w:rsid w:val="00A857C0"/>
    <w:rsid w:val="00A857E5"/>
    <w:rsid w:val="00A8580D"/>
    <w:rsid w:val="00A86602"/>
    <w:rsid w:val="00A9048E"/>
    <w:rsid w:val="00A90F6C"/>
    <w:rsid w:val="00A90FED"/>
    <w:rsid w:val="00A935FE"/>
    <w:rsid w:val="00A9418D"/>
    <w:rsid w:val="00A95B59"/>
    <w:rsid w:val="00A9743E"/>
    <w:rsid w:val="00A97A8A"/>
    <w:rsid w:val="00AA029D"/>
    <w:rsid w:val="00AA0A71"/>
    <w:rsid w:val="00AA113D"/>
    <w:rsid w:val="00AA2996"/>
    <w:rsid w:val="00AA456D"/>
    <w:rsid w:val="00AA4ED2"/>
    <w:rsid w:val="00AA52BF"/>
    <w:rsid w:val="00AA559A"/>
    <w:rsid w:val="00AA708D"/>
    <w:rsid w:val="00AA77D2"/>
    <w:rsid w:val="00AA792F"/>
    <w:rsid w:val="00AA7980"/>
    <w:rsid w:val="00AB0284"/>
    <w:rsid w:val="00AB1182"/>
    <w:rsid w:val="00AB1E57"/>
    <w:rsid w:val="00AB29C6"/>
    <w:rsid w:val="00AB2AF1"/>
    <w:rsid w:val="00AB347D"/>
    <w:rsid w:val="00AB478F"/>
    <w:rsid w:val="00AC0091"/>
    <w:rsid w:val="00AC0732"/>
    <w:rsid w:val="00AC1E82"/>
    <w:rsid w:val="00AC224B"/>
    <w:rsid w:val="00AC2359"/>
    <w:rsid w:val="00AC2482"/>
    <w:rsid w:val="00AC2885"/>
    <w:rsid w:val="00AC2B78"/>
    <w:rsid w:val="00AC42FE"/>
    <w:rsid w:val="00AC45BD"/>
    <w:rsid w:val="00AC605E"/>
    <w:rsid w:val="00AD0253"/>
    <w:rsid w:val="00AD0771"/>
    <w:rsid w:val="00AD0D0E"/>
    <w:rsid w:val="00AD1119"/>
    <w:rsid w:val="00AD168E"/>
    <w:rsid w:val="00AD2F1C"/>
    <w:rsid w:val="00AD306C"/>
    <w:rsid w:val="00AD5A73"/>
    <w:rsid w:val="00AD68C4"/>
    <w:rsid w:val="00AD72A7"/>
    <w:rsid w:val="00AE09B3"/>
    <w:rsid w:val="00AE0EB9"/>
    <w:rsid w:val="00AE1A83"/>
    <w:rsid w:val="00AE291E"/>
    <w:rsid w:val="00AE4270"/>
    <w:rsid w:val="00AE4A31"/>
    <w:rsid w:val="00AE5F81"/>
    <w:rsid w:val="00AE6AD6"/>
    <w:rsid w:val="00AF0FB3"/>
    <w:rsid w:val="00AF104F"/>
    <w:rsid w:val="00AF108F"/>
    <w:rsid w:val="00AF24B2"/>
    <w:rsid w:val="00AF2957"/>
    <w:rsid w:val="00AF3E41"/>
    <w:rsid w:val="00AF5D0A"/>
    <w:rsid w:val="00AF6128"/>
    <w:rsid w:val="00AF685A"/>
    <w:rsid w:val="00B00034"/>
    <w:rsid w:val="00B003E4"/>
    <w:rsid w:val="00B00913"/>
    <w:rsid w:val="00B0140A"/>
    <w:rsid w:val="00B01593"/>
    <w:rsid w:val="00B0175C"/>
    <w:rsid w:val="00B023F2"/>
    <w:rsid w:val="00B02B19"/>
    <w:rsid w:val="00B035C6"/>
    <w:rsid w:val="00B04705"/>
    <w:rsid w:val="00B047A2"/>
    <w:rsid w:val="00B04A38"/>
    <w:rsid w:val="00B05641"/>
    <w:rsid w:val="00B073EF"/>
    <w:rsid w:val="00B07415"/>
    <w:rsid w:val="00B10A4D"/>
    <w:rsid w:val="00B11B62"/>
    <w:rsid w:val="00B11EEF"/>
    <w:rsid w:val="00B12572"/>
    <w:rsid w:val="00B12726"/>
    <w:rsid w:val="00B12947"/>
    <w:rsid w:val="00B131B0"/>
    <w:rsid w:val="00B13D2C"/>
    <w:rsid w:val="00B145D0"/>
    <w:rsid w:val="00B14BC1"/>
    <w:rsid w:val="00B15561"/>
    <w:rsid w:val="00B155A3"/>
    <w:rsid w:val="00B1568F"/>
    <w:rsid w:val="00B1631C"/>
    <w:rsid w:val="00B1681F"/>
    <w:rsid w:val="00B16ED9"/>
    <w:rsid w:val="00B17E42"/>
    <w:rsid w:val="00B17E71"/>
    <w:rsid w:val="00B17FDE"/>
    <w:rsid w:val="00B20BB1"/>
    <w:rsid w:val="00B21C3C"/>
    <w:rsid w:val="00B2379C"/>
    <w:rsid w:val="00B245FC"/>
    <w:rsid w:val="00B24748"/>
    <w:rsid w:val="00B247C9"/>
    <w:rsid w:val="00B24D78"/>
    <w:rsid w:val="00B2687D"/>
    <w:rsid w:val="00B268A6"/>
    <w:rsid w:val="00B27963"/>
    <w:rsid w:val="00B306DC"/>
    <w:rsid w:val="00B30D70"/>
    <w:rsid w:val="00B32DDB"/>
    <w:rsid w:val="00B33700"/>
    <w:rsid w:val="00B34528"/>
    <w:rsid w:val="00B34CC9"/>
    <w:rsid w:val="00B35999"/>
    <w:rsid w:val="00B35F2C"/>
    <w:rsid w:val="00B402A2"/>
    <w:rsid w:val="00B402FC"/>
    <w:rsid w:val="00B409F6"/>
    <w:rsid w:val="00B40C70"/>
    <w:rsid w:val="00B417F4"/>
    <w:rsid w:val="00B41B15"/>
    <w:rsid w:val="00B41E5E"/>
    <w:rsid w:val="00B421C9"/>
    <w:rsid w:val="00B43255"/>
    <w:rsid w:val="00B439DA"/>
    <w:rsid w:val="00B4440B"/>
    <w:rsid w:val="00B464AF"/>
    <w:rsid w:val="00B46604"/>
    <w:rsid w:val="00B46D77"/>
    <w:rsid w:val="00B50B58"/>
    <w:rsid w:val="00B51356"/>
    <w:rsid w:val="00B5179B"/>
    <w:rsid w:val="00B530CD"/>
    <w:rsid w:val="00B536DD"/>
    <w:rsid w:val="00B53D0B"/>
    <w:rsid w:val="00B53E3E"/>
    <w:rsid w:val="00B554E0"/>
    <w:rsid w:val="00B55B71"/>
    <w:rsid w:val="00B55F5E"/>
    <w:rsid w:val="00B5752E"/>
    <w:rsid w:val="00B57B76"/>
    <w:rsid w:val="00B60535"/>
    <w:rsid w:val="00B6122B"/>
    <w:rsid w:val="00B62355"/>
    <w:rsid w:val="00B63A11"/>
    <w:rsid w:val="00B63B6A"/>
    <w:rsid w:val="00B641C3"/>
    <w:rsid w:val="00B642BE"/>
    <w:rsid w:val="00B64C24"/>
    <w:rsid w:val="00B6608F"/>
    <w:rsid w:val="00B663D7"/>
    <w:rsid w:val="00B66DDC"/>
    <w:rsid w:val="00B67249"/>
    <w:rsid w:val="00B679FB"/>
    <w:rsid w:val="00B70C99"/>
    <w:rsid w:val="00B70E89"/>
    <w:rsid w:val="00B7145F"/>
    <w:rsid w:val="00B74213"/>
    <w:rsid w:val="00B75D58"/>
    <w:rsid w:val="00B76665"/>
    <w:rsid w:val="00B76D1E"/>
    <w:rsid w:val="00B770E4"/>
    <w:rsid w:val="00B7741A"/>
    <w:rsid w:val="00B77670"/>
    <w:rsid w:val="00B77F70"/>
    <w:rsid w:val="00B80227"/>
    <w:rsid w:val="00B804CF"/>
    <w:rsid w:val="00B80EC6"/>
    <w:rsid w:val="00B81258"/>
    <w:rsid w:val="00B81B29"/>
    <w:rsid w:val="00B83791"/>
    <w:rsid w:val="00B83A24"/>
    <w:rsid w:val="00B84CF6"/>
    <w:rsid w:val="00B85B42"/>
    <w:rsid w:val="00B87FEC"/>
    <w:rsid w:val="00B92D1D"/>
    <w:rsid w:val="00B93515"/>
    <w:rsid w:val="00B938C5"/>
    <w:rsid w:val="00B94078"/>
    <w:rsid w:val="00B952CB"/>
    <w:rsid w:val="00B95940"/>
    <w:rsid w:val="00B95A9F"/>
    <w:rsid w:val="00B96272"/>
    <w:rsid w:val="00B96613"/>
    <w:rsid w:val="00B97499"/>
    <w:rsid w:val="00B978C1"/>
    <w:rsid w:val="00B97B49"/>
    <w:rsid w:val="00BA007C"/>
    <w:rsid w:val="00BA066E"/>
    <w:rsid w:val="00BA0E9B"/>
    <w:rsid w:val="00BA11A1"/>
    <w:rsid w:val="00BA1627"/>
    <w:rsid w:val="00BA213E"/>
    <w:rsid w:val="00BA3A6A"/>
    <w:rsid w:val="00BA4175"/>
    <w:rsid w:val="00BA43A6"/>
    <w:rsid w:val="00BA50CC"/>
    <w:rsid w:val="00BA5149"/>
    <w:rsid w:val="00BA5C1D"/>
    <w:rsid w:val="00BA60B4"/>
    <w:rsid w:val="00BA6C2B"/>
    <w:rsid w:val="00BB099E"/>
    <w:rsid w:val="00BB0A40"/>
    <w:rsid w:val="00BB12BC"/>
    <w:rsid w:val="00BB14BF"/>
    <w:rsid w:val="00BB25B7"/>
    <w:rsid w:val="00BB2F43"/>
    <w:rsid w:val="00BB33C1"/>
    <w:rsid w:val="00BB46F3"/>
    <w:rsid w:val="00BB4C12"/>
    <w:rsid w:val="00BB4CB1"/>
    <w:rsid w:val="00BB4F98"/>
    <w:rsid w:val="00BC127C"/>
    <w:rsid w:val="00BC31C3"/>
    <w:rsid w:val="00BC3472"/>
    <w:rsid w:val="00BC4118"/>
    <w:rsid w:val="00BC595A"/>
    <w:rsid w:val="00BC5C12"/>
    <w:rsid w:val="00BC6349"/>
    <w:rsid w:val="00BC64FE"/>
    <w:rsid w:val="00BC6E6A"/>
    <w:rsid w:val="00BC7154"/>
    <w:rsid w:val="00BC731E"/>
    <w:rsid w:val="00BC7713"/>
    <w:rsid w:val="00BD05F4"/>
    <w:rsid w:val="00BD1281"/>
    <w:rsid w:val="00BD157E"/>
    <w:rsid w:val="00BD1E30"/>
    <w:rsid w:val="00BD366B"/>
    <w:rsid w:val="00BD4F61"/>
    <w:rsid w:val="00BD5003"/>
    <w:rsid w:val="00BD5976"/>
    <w:rsid w:val="00BD5BF6"/>
    <w:rsid w:val="00BD6D50"/>
    <w:rsid w:val="00BE06D1"/>
    <w:rsid w:val="00BE0A1D"/>
    <w:rsid w:val="00BE107D"/>
    <w:rsid w:val="00BE18B9"/>
    <w:rsid w:val="00BE2034"/>
    <w:rsid w:val="00BE2493"/>
    <w:rsid w:val="00BE2495"/>
    <w:rsid w:val="00BE2EB8"/>
    <w:rsid w:val="00BE7E97"/>
    <w:rsid w:val="00BF10F5"/>
    <w:rsid w:val="00BF1578"/>
    <w:rsid w:val="00BF2616"/>
    <w:rsid w:val="00BF403B"/>
    <w:rsid w:val="00BF41E2"/>
    <w:rsid w:val="00BF46DD"/>
    <w:rsid w:val="00BF68BB"/>
    <w:rsid w:val="00C01C7B"/>
    <w:rsid w:val="00C02D5C"/>
    <w:rsid w:val="00C03723"/>
    <w:rsid w:val="00C047C7"/>
    <w:rsid w:val="00C05690"/>
    <w:rsid w:val="00C05D23"/>
    <w:rsid w:val="00C07FF2"/>
    <w:rsid w:val="00C10383"/>
    <w:rsid w:val="00C10613"/>
    <w:rsid w:val="00C106AE"/>
    <w:rsid w:val="00C1101A"/>
    <w:rsid w:val="00C1144F"/>
    <w:rsid w:val="00C13324"/>
    <w:rsid w:val="00C14D89"/>
    <w:rsid w:val="00C15D65"/>
    <w:rsid w:val="00C16030"/>
    <w:rsid w:val="00C16A6F"/>
    <w:rsid w:val="00C206B0"/>
    <w:rsid w:val="00C20ECF"/>
    <w:rsid w:val="00C21F94"/>
    <w:rsid w:val="00C232F2"/>
    <w:rsid w:val="00C24CBB"/>
    <w:rsid w:val="00C24F9F"/>
    <w:rsid w:val="00C253E5"/>
    <w:rsid w:val="00C25842"/>
    <w:rsid w:val="00C26052"/>
    <w:rsid w:val="00C2611D"/>
    <w:rsid w:val="00C27913"/>
    <w:rsid w:val="00C27D07"/>
    <w:rsid w:val="00C33B68"/>
    <w:rsid w:val="00C3459E"/>
    <w:rsid w:val="00C35666"/>
    <w:rsid w:val="00C3627A"/>
    <w:rsid w:val="00C36A79"/>
    <w:rsid w:val="00C379E5"/>
    <w:rsid w:val="00C37B47"/>
    <w:rsid w:val="00C401D2"/>
    <w:rsid w:val="00C405D4"/>
    <w:rsid w:val="00C40E78"/>
    <w:rsid w:val="00C41EDB"/>
    <w:rsid w:val="00C43327"/>
    <w:rsid w:val="00C437E2"/>
    <w:rsid w:val="00C438C9"/>
    <w:rsid w:val="00C43A79"/>
    <w:rsid w:val="00C446A2"/>
    <w:rsid w:val="00C4513B"/>
    <w:rsid w:val="00C46168"/>
    <w:rsid w:val="00C467CF"/>
    <w:rsid w:val="00C50278"/>
    <w:rsid w:val="00C50D23"/>
    <w:rsid w:val="00C50D32"/>
    <w:rsid w:val="00C52271"/>
    <w:rsid w:val="00C5390B"/>
    <w:rsid w:val="00C54697"/>
    <w:rsid w:val="00C5619B"/>
    <w:rsid w:val="00C561C8"/>
    <w:rsid w:val="00C611D4"/>
    <w:rsid w:val="00C615C3"/>
    <w:rsid w:val="00C6281A"/>
    <w:rsid w:val="00C641A6"/>
    <w:rsid w:val="00C64292"/>
    <w:rsid w:val="00C64A07"/>
    <w:rsid w:val="00C64EFA"/>
    <w:rsid w:val="00C65C3F"/>
    <w:rsid w:val="00C66688"/>
    <w:rsid w:val="00C66D7C"/>
    <w:rsid w:val="00C672E6"/>
    <w:rsid w:val="00C67D9A"/>
    <w:rsid w:val="00C71017"/>
    <w:rsid w:val="00C717F9"/>
    <w:rsid w:val="00C73885"/>
    <w:rsid w:val="00C747B1"/>
    <w:rsid w:val="00C74FFE"/>
    <w:rsid w:val="00C769D3"/>
    <w:rsid w:val="00C77514"/>
    <w:rsid w:val="00C800FC"/>
    <w:rsid w:val="00C805C5"/>
    <w:rsid w:val="00C80971"/>
    <w:rsid w:val="00C82191"/>
    <w:rsid w:val="00C83134"/>
    <w:rsid w:val="00C841AF"/>
    <w:rsid w:val="00C84212"/>
    <w:rsid w:val="00C85545"/>
    <w:rsid w:val="00C8791B"/>
    <w:rsid w:val="00C90CF4"/>
    <w:rsid w:val="00C91838"/>
    <w:rsid w:val="00C92EB6"/>
    <w:rsid w:val="00C93389"/>
    <w:rsid w:val="00C93F1A"/>
    <w:rsid w:val="00C94401"/>
    <w:rsid w:val="00C94B63"/>
    <w:rsid w:val="00C952FB"/>
    <w:rsid w:val="00C96C30"/>
    <w:rsid w:val="00C976FB"/>
    <w:rsid w:val="00C978AC"/>
    <w:rsid w:val="00C97B70"/>
    <w:rsid w:val="00CA0914"/>
    <w:rsid w:val="00CA115A"/>
    <w:rsid w:val="00CA32CC"/>
    <w:rsid w:val="00CA3633"/>
    <w:rsid w:val="00CA6180"/>
    <w:rsid w:val="00CA6AB4"/>
    <w:rsid w:val="00CB0C2D"/>
    <w:rsid w:val="00CB26CA"/>
    <w:rsid w:val="00CB2B1B"/>
    <w:rsid w:val="00CB4930"/>
    <w:rsid w:val="00CB49A7"/>
    <w:rsid w:val="00CB5CF9"/>
    <w:rsid w:val="00CB61A2"/>
    <w:rsid w:val="00CB6A56"/>
    <w:rsid w:val="00CC0A09"/>
    <w:rsid w:val="00CC1203"/>
    <w:rsid w:val="00CC136E"/>
    <w:rsid w:val="00CC2E7D"/>
    <w:rsid w:val="00CC2F52"/>
    <w:rsid w:val="00CC5675"/>
    <w:rsid w:val="00CC5DB8"/>
    <w:rsid w:val="00CD10A5"/>
    <w:rsid w:val="00CD2076"/>
    <w:rsid w:val="00CD2937"/>
    <w:rsid w:val="00CD29B5"/>
    <w:rsid w:val="00CD2ACE"/>
    <w:rsid w:val="00CD3186"/>
    <w:rsid w:val="00CD3285"/>
    <w:rsid w:val="00CD3E07"/>
    <w:rsid w:val="00CD5415"/>
    <w:rsid w:val="00CD5BA3"/>
    <w:rsid w:val="00CD6331"/>
    <w:rsid w:val="00CD6446"/>
    <w:rsid w:val="00CD6507"/>
    <w:rsid w:val="00CD7B25"/>
    <w:rsid w:val="00CE05F4"/>
    <w:rsid w:val="00CE0E88"/>
    <w:rsid w:val="00CE27D8"/>
    <w:rsid w:val="00CE34B8"/>
    <w:rsid w:val="00CE4FB5"/>
    <w:rsid w:val="00CE603A"/>
    <w:rsid w:val="00CE670B"/>
    <w:rsid w:val="00CE6CEA"/>
    <w:rsid w:val="00CE6F57"/>
    <w:rsid w:val="00CE75B2"/>
    <w:rsid w:val="00CE765C"/>
    <w:rsid w:val="00CE7F0B"/>
    <w:rsid w:val="00CF0CDC"/>
    <w:rsid w:val="00CF1FC5"/>
    <w:rsid w:val="00CF22AF"/>
    <w:rsid w:val="00CF3AEF"/>
    <w:rsid w:val="00CF4908"/>
    <w:rsid w:val="00CF4BAA"/>
    <w:rsid w:val="00CF51EC"/>
    <w:rsid w:val="00CF5C9F"/>
    <w:rsid w:val="00CF64BE"/>
    <w:rsid w:val="00CF672C"/>
    <w:rsid w:val="00CF702F"/>
    <w:rsid w:val="00CF73AE"/>
    <w:rsid w:val="00CF7A05"/>
    <w:rsid w:val="00CF7B9A"/>
    <w:rsid w:val="00CF7CDF"/>
    <w:rsid w:val="00D0029C"/>
    <w:rsid w:val="00D00BA2"/>
    <w:rsid w:val="00D01C1C"/>
    <w:rsid w:val="00D02BD2"/>
    <w:rsid w:val="00D03317"/>
    <w:rsid w:val="00D040DD"/>
    <w:rsid w:val="00D047B6"/>
    <w:rsid w:val="00D05CD0"/>
    <w:rsid w:val="00D0710C"/>
    <w:rsid w:val="00D071D3"/>
    <w:rsid w:val="00D075BE"/>
    <w:rsid w:val="00D078E6"/>
    <w:rsid w:val="00D10007"/>
    <w:rsid w:val="00D134DC"/>
    <w:rsid w:val="00D13986"/>
    <w:rsid w:val="00D141F9"/>
    <w:rsid w:val="00D1517D"/>
    <w:rsid w:val="00D15220"/>
    <w:rsid w:val="00D160F5"/>
    <w:rsid w:val="00D16C1E"/>
    <w:rsid w:val="00D16D70"/>
    <w:rsid w:val="00D17AE6"/>
    <w:rsid w:val="00D17B73"/>
    <w:rsid w:val="00D2104D"/>
    <w:rsid w:val="00D21D83"/>
    <w:rsid w:val="00D235B7"/>
    <w:rsid w:val="00D23F7E"/>
    <w:rsid w:val="00D250DC"/>
    <w:rsid w:val="00D25F28"/>
    <w:rsid w:val="00D26071"/>
    <w:rsid w:val="00D26105"/>
    <w:rsid w:val="00D2768B"/>
    <w:rsid w:val="00D27914"/>
    <w:rsid w:val="00D27973"/>
    <w:rsid w:val="00D30A70"/>
    <w:rsid w:val="00D3310D"/>
    <w:rsid w:val="00D33CAC"/>
    <w:rsid w:val="00D33E27"/>
    <w:rsid w:val="00D34CC3"/>
    <w:rsid w:val="00D35921"/>
    <w:rsid w:val="00D35E1A"/>
    <w:rsid w:val="00D40424"/>
    <w:rsid w:val="00D425AB"/>
    <w:rsid w:val="00D47CD1"/>
    <w:rsid w:val="00D505CE"/>
    <w:rsid w:val="00D50F46"/>
    <w:rsid w:val="00D51C64"/>
    <w:rsid w:val="00D52CA1"/>
    <w:rsid w:val="00D57677"/>
    <w:rsid w:val="00D61326"/>
    <w:rsid w:val="00D630F1"/>
    <w:rsid w:val="00D633D2"/>
    <w:rsid w:val="00D64DD7"/>
    <w:rsid w:val="00D66223"/>
    <w:rsid w:val="00D71625"/>
    <w:rsid w:val="00D71EEE"/>
    <w:rsid w:val="00D73087"/>
    <w:rsid w:val="00D74BD3"/>
    <w:rsid w:val="00D75FE8"/>
    <w:rsid w:val="00D76112"/>
    <w:rsid w:val="00D76A18"/>
    <w:rsid w:val="00D8064E"/>
    <w:rsid w:val="00D8084C"/>
    <w:rsid w:val="00D80E50"/>
    <w:rsid w:val="00D81BE1"/>
    <w:rsid w:val="00D81FB9"/>
    <w:rsid w:val="00D827C6"/>
    <w:rsid w:val="00D82B11"/>
    <w:rsid w:val="00D83602"/>
    <w:rsid w:val="00D84DC1"/>
    <w:rsid w:val="00D8530D"/>
    <w:rsid w:val="00D85BA9"/>
    <w:rsid w:val="00D85D5E"/>
    <w:rsid w:val="00D87B10"/>
    <w:rsid w:val="00D90C5E"/>
    <w:rsid w:val="00D91566"/>
    <w:rsid w:val="00D915EA"/>
    <w:rsid w:val="00D92C17"/>
    <w:rsid w:val="00D9395B"/>
    <w:rsid w:val="00D94D95"/>
    <w:rsid w:val="00DA0A29"/>
    <w:rsid w:val="00DA235F"/>
    <w:rsid w:val="00DA24D0"/>
    <w:rsid w:val="00DA3C0A"/>
    <w:rsid w:val="00DA4C6E"/>
    <w:rsid w:val="00DA4E06"/>
    <w:rsid w:val="00DA4F20"/>
    <w:rsid w:val="00DA538E"/>
    <w:rsid w:val="00DA56D1"/>
    <w:rsid w:val="00DA7C0C"/>
    <w:rsid w:val="00DB08A9"/>
    <w:rsid w:val="00DB1312"/>
    <w:rsid w:val="00DB2EC8"/>
    <w:rsid w:val="00DB3858"/>
    <w:rsid w:val="00DB3F5C"/>
    <w:rsid w:val="00DB5E34"/>
    <w:rsid w:val="00DB759B"/>
    <w:rsid w:val="00DC0071"/>
    <w:rsid w:val="00DC1EF0"/>
    <w:rsid w:val="00DC5B3B"/>
    <w:rsid w:val="00DC713A"/>
    <w:rsid w:val="00DC7665"/>
    <w:rsid w:val="00DC774F"/>
    <w:rsid w:val="00DD0698"/>
    <w:rsid w:val="00DD129F"/>
    <w:rsid w:val="00DD1A46"/>
    <w:rsid w:val="00DD1D26"/>
    <w:rsid w:val="00DD27EF"/>
    <w:rsid w:val="00DD3153"/>
    <w:rsid w:val="00DD39A2"/>
    <w:rsid w:val="00DD5277"/>
    <w:rsid w:val="00DD5290"/>
    <w:rsid w:val="00DD5E62"/>
    <w:rsid w:val="00DE02BD"/>
    <w:rsid w:val="00DE0F3B"/>
    <w:rsid w:val="00DE2FD1"/>
    <w:rsid w:val="00DE3A08"/>
    <w:rsid w:val="00DF0CD6"/>
    <w:rsid w:val="00DF1F61"/>
    <w:rsid w:val="00DF42FF"/>
    <w:rsid w:val="00DF4435"/>
    <w:rsid w:val="00DF66E4"/>
    <w:rsid w:val="00DF6EF2"/>
    <w:rsid w:val="00DF7A52"/>
    <w:rsid w:val="00E00AB3"/>
    <w:rsid w:val="00E016D0"/>
    <w:rsid w:val="00E01C0E"/>
    <w:rsid w:val="00E02005"/>
    <w:rsid w:val="00E03F9A"/>
    <w:rsid w:val="00E04694"/>
    <w:rsid w:val="00E05A22"/>
    <w:rsid w:val="00E06132"/>
    <w:rsid w:val="00E11C33"/>
    <w:rsid w:val="00E12773"/>
    <w:rsid w:val="00E12B1E"/>
    <w:rsid w:val="00E136C1"/>
    <w:rsid w:val="00E13DC6"/>
    <w:rsid w:val="00E14EAC"/>
    <w:rsid w:val="00E15588"/>
    <w:rsid w:val="00E16B15"/>
    <w:rsid w:val="00E16F6F"/>
    <w:rsid w:val="00E17262"/>
    <w:rsid w:val="00E176F0"/>
    <w:rsid w:val="00E200D3"/>
    <w:rsid w:val="00E20290"/>
    <w:rsid w:val="00E20EAB"/>
    <w:rsid w:val="00E24AEA"/>
    <w:rsid w:val="00E24BA4"/>
    <w:rsid w:val="00E253A2"/>
    <w:rsid w:val="00E25D89"/>
    <w:rsid w:val="00E275EB"/>
    <w:rsid w:val="00E31220"/>
    <w:rsid w:val="00E3178F"/>
    <w:rsid w:val="00E328D2"/>
    <w:rsid w:val="00E3309D"/>
    <w:rsid w:val="00E3500A"/>
    <w:rsid w:val="00E36743"/>
    <w:rsid w:val="00E40373"/>
    <w:rsid w:val="00E40C69"/>
    <w:rsid w:val="00E40EF7"/>
    <w:rsid w:val="00E42FAF"/>
    <w:rsid w:val="00E44B44"/>
    <w:rsid w:val="00E46138"/>
    <w:rsid w:val="00E46470"/>
    <w:rsid w:val="00E47622"/>
    <w:rsid w:val="00E47EBA"/>
    <w:rsid w:val="00E50156"/>
    <w:rsid w:val="00E51643"/>
    <w:rsid w:val="00E527B2"/>
    <w:rsid w:val="00E53470"/>
    <w:rsid w:val="00E53883"/>
    <w:rsid w:val="00E539F6"/>
    <w:rsid w:val="00E54419"/>
    <w:rsid w:val="00E55345"/>
    <w:rsid w:val="00E57E83"/>
    <w:rsid w:val="00E613FA"/>
    <w:rsid w:val="00E6149A"/>
    <w:rsid w:val="00E61F4D"/>
    <w:rsid w:val="00E6289D"/>
    <w:rsid w:val="00E63EAC"/>
    <w:rsid w:val="00E64094"/>
    <w:rsid w:val="00E6519D"/>
    <w:rsid w:val="00E65BE3"/>
    <w:rsid w:val="00E67696"/>
    <w:rsid w:val="00E678F3"/>
    <w:rsid w:val="00E67BC9"/>
    <w:rsid w:val="00E67C58"/>
    <w:rsid w:val="00E71A58"/>
    <w:rsid w:val="00E72A7A"/>
    <w:rsid w:val="00E7523C"/>
    <w:rsid w:val="00E75466"/>
    <w:rsid w:val="00E75B0D"/>
    <w:rsid w:val="00E75C94"/>
    <w:rsid w:val="00E762AD"/>
    <w:rsid w:val="00E76A3F"/>
    <w:rsid w:val="00E77E5C"/>
    <w:rsid w:val="00E80746"/>
    <w:rsid w:val="00E80B5C"/>
    <w:rsid w:val="00E80B8A"/>
    <w:rsid w:val="00E82E50"/>
    <w:rsid w:val="00E83143"/>
    <w:rsid w:val="00E84330"/>
    <w:rsid w:val="00E84959"/>
    <w:rsid w:val="00E85536"/>
    <w:rsid w:val="00E85E57"/>
    <w:rsid w:val="00E867C3"/>
    <w:rsid w:val="00E87952"/>
    <w:rsid w:val="00E879FB"/>
    <w:rsid w:val="00E914EF"/>
    <w:rsid w:val="00E92DFE"/>
    <w:rsid w:val="00E93820"/>
    <w:rsid w:val="00E94A86"/>
    <w:rsid w:val="00E955AA"/>
    <w:rsid w:val="00E96143"/>
    <w:rsid w:val="00E963D6"/>
    <w:rsid w:val="00E97C66"/>
    <w:rsid w:val="00EA0987"/>
    <w:rsid w:val="00EA0C68"/>
    <w:rsid w:val="00EA1095"/>
    <w:rsid w:val="00EA32BC"/>
    <w:rsid w:val="00EB2447"/>
    <w:rsid w:val="00EB4258"/>
    <w:rsid w:val="00EB42ED"/>
    <w:rsid w:val="00EB4511"/>
    <w:rsid w:val="00EB46EF"/>
    <w:rsid w:val="00EB4A3B"/>
    <w:rsid w:val="00EB4B95"/>
    <w:rsid w:val="00EB5AFB"/>
    <w:rsid w:val="00EB7212"/>
    <w:rsid w:val="00EB77C9"/>
    <w:rsid w:val="00EC03D7"/>
    <w:rsid w:val="00EC0DB3"/>
    <w:rsid w:val="00EC115D"/>
    <w:rsid w:val="00EC17DB"/>
    <w:rsid w:val="00EC1F2D"/>
    <w:rsid w:val="00EC2996"/>
    <w:rsid w:val="00EC34DF"/>
    <w:rsid w:val="00EC40E8"/>
    <w:rsid w:val="00EC51BB"/>
    <w:rsid w:val="00EC6630"/>
    <w:rsid w:val="00EC7F02"/>
    <w:rsid w:val="00ED0337"/>
    <w:rsid w:val="00ED03A0"/>
    <w:rsid w:val="00ED0E37"/>
    <w:rsid w:val="00ED2AE4"/>
    <w:rsid w:val="00ED3ECA"/>
    <w:rsid w:val="00ED59D0"/>
    <w:rsid w:val="00ED62C6"/>
    <w:rsid w:val="00ED64C1"/>
    <w:rsid w:val="00ED7B4E"/>
    <w:rsid w:val="00EE09CB"/>
    <w:rsid w:val="00EE10D0"/>
    <w:rsid w:val="00EE2A7B"/>
    <w:rsid w:val="00EE3446"/>
    <w:rsid w:val="00EE3E78"/>
    <w:rsid w:val="00EE4B1B"/>
    <w:rsid w:val="00EE515A"/>
    <w:rsid w:val="00EE6242"/>
    <w:rsid w:val="00EE7F19"/>
    <w:rsid w:val="00EE7FAB"/>
    <w:rsid w:val="00EF150D"/>
    <w:rsid w:val="00EF1C85"/>
    <w:rsid w:val="00EF1F5A"/>
    <w:rsid w:val="00EF325E"/>
    <w:rsid w:val="00EF333C"/>
    <w:rsid w:val="00EF3538"/>
    <w:rsid w:val="00EF47BF"/>
    <w:rsid w:val="00EF48AB"/>
    <w:rsid w:val="00EF6A41"/>
    <w:rsid w:val="00EF7BC2"/>
    <w:rsid w:val="00F0185A"/>
    <w:rsid w:val="00F01B67"/>
    <w:rsid w:val="00F02A9B"/>
    <w:rsid w:val="00F04811"/>
    <w:rsid w:val="00F0488C"/>
    <w:rsid w:val="00F04F38"/>
    <w:rsid w:val="00F05157"/>
    <w:rsid w:val="00F05A59"/>
    <w:rsid w:val="00F07110"/>
    <w:rsid w:val="00F10432"/>
    <w:rsid w:val="00F10F11"/>
    <w:rsid w:val="00F12233"/>
    <w:rsid w:val="00F1277D"/>
    <w:rsid w:val="00F12B0B"/>
    <w:rsid w:val="00F12E85"/>
    <w:rsid w:val="00F14A26"/>
    <w:rsid w:val="00F15AAA"/>
    <w:rsid w:val="00F15BEF"/>
    <w:rsid w:val="00F169B9"/>
    <w:rsid w:val="00F17893"/>
    <w:rsid w:val="00F214D6"/>
    <w:rsid w:val="00F21BF9"/>
    <w:rsid w:val="00F22047"/>
    <w:rsid w:val="00F24407"/>
    <w:rsid w:val="00F24931"/>
    <w:rsid w:val="00F24A18"/>
    <w:rsid w:val="00F24FAA"/>
    <w:rsid w:val="00F25368"/>
    <w:rsid w:val="00F256FA"/>
    <w:rsid w:val="00F25C3D"/>
    <w:rsid w:val="00F25D36"/>
    <w:rsid w:val="00F26B70"/>
    <w:rsid w:val="00F2764F"/>
    <w:rsid w:val="00F2776B"/>
    <w:rsid w:val="00F27853"/>
    <w:rsid w:val="00F27C9E"/>
    <w:rsid w:val="00F30E9D"/>
    <w:rsid w:val="00F32A0E"/>
    <w:rsid w:val="00F32A3C"/>
    <w:rsid w:val="00F3364D"/>
    <w:rsid w:val="00F33667"/>
    <w:rsid w:val="00F33D7E"/>
    <w:rsid w:val="00F3443C"/>
    <w:rsid w:val="00F3462D"/>
    <w:rsid w:val="00F3571A"/>
    <w:rsid w:val="00F361AD"/>
    <w:rsid w:val="00F403B3"/>
    <w:rsid w:val="00F4214D"/>
    <w:rsid w:val="00F42496"/>
    <w:rsid w:val="00F437CC"/>
    <w:rsid w:val="00F44537"/>
    <w:rsid w:val="00F44B6A"/>
    <w:rsid w:val="00F45E99"/>
    <w:rsid w:val="00F4688D"/>
    <w:rsid w:val="00F47067"/>
    <w:rsid w:val="00F47341"/>
    <w:rsid w:val="00F51BF8"/>
    <w:rsid w:val="00F51CA5"/>
    <w:rsid w:val="00F51D7D"/>
    <w:rsid w:val="00F525EB"/>
    <w:rsid w:val="00F52E00"/>
    <w:rsid w:val="00F530F8"/>
    <w:rsid w:val="00F542D6"/>
    <w:rsid w:val="00F55D41"/>
    <w:rsid w:val="00F55E62"/>
    <w:rsid w:val="00F55EF3"/>
    <w:rsid w:val="00F567AD"/>
    <w:rsid w:val="00F5766E"/>
    <w:rsid w:val="00F57EF6"/>
    <w:rsid w:val="00F6132C"/>
    <w:rsid w:val="00F62DAD"/>
    <w:rsid w:val="00F62F30"/>
    <w:rsid w:val="00F63DDE"/>
    <w:rsid w:val="00F63FB7"/>
    <w:rsid w:val="00F6421B"/>
    <w:rsid w:val="00F649D2"/>
    <w:rsid w:val="00F6602B"/>
    <w:rsid w:val="00F6699E"/>
    <w:rsid w:val="00F678E2"/>
    <w:rsid w:val="00F70DA3"/>
    <w:rsid w:val="00F71ED4"/>
    <w:rsid w:val="00F726D3"/>
    <w:rsid w:val="00F72A27"/>
    <w:rsid w:val="00F7396B"/>
    <w:rsid w:val="00F73A03"/>
    <w:rsid w:val="00F73A0C"/>
    <w:rsid w:val="00F73DC2"/>
    <w:rsid w:val="00F74580"/>
    <w:rsid w:val="00F747FB"/>
    <w:rsid w:val="00F74C5B"/>
    <w:rsid w:val="00F756DB"/>
    <w:rsid w:val="00F8143E"/>
    <w:rsid w:val="00F8279A"/>
    <w:rsid w:val="00F82A88"/>
    <w:rsid w:val="00F83FCE"/>
    <w:rsid w:val="00F842CA"/>
    <w:rsid w:val="00F84381"/>
    <w:rsid w:val="00F84A11"/>
    <w:rsid w:val="00F84E7D"/>
    <w:rsid w:val="00F85066"/>
    <w:rsid w:val="00F857FF"/>
    <w:rsid w:val="00F858E6"/>
    <w:rsid w:val="00F86294"/>
    <w:rsid w:val="00F87A4D"/>
    <w:rsid w:val="00F9005D"/>
    <w:rsid w:val="00F91C37"/>
    <w:rsid w:val="00F934BA"/>
    <w:rsid w:val="00F9438D"/>
    <w:rsid w:val="00F97562"/>
    <w:rsid w:val="00F9785E"/>
    <w:rsid w:val="00FA040D"/>
    <w:rsid w:val="00FA0D8F"/>
    <w:rsid w:val="00FA1025"/>
    <w:rsid w:val="00FA2CFE"/>
    <w:rsid w:val="00FA38CB"/>
    <w:rsid w:val="00FA5AA6"/>
    <w:rsid w:val="00FA5B81"/>
    <w:rsid w:val="00FA5D4D"/>
    <w:rsid w:val="00FA60E1"/>
    <w:rsid w:val="00FA7AAE"/>
    <w:rsid w:val="00FA7F2F"/>
    <w:rsid w:val="00FB0B0C"/>
    <w:rsid w:val="00FB0CE3"/>
    <w:rsid w:val="00FB0EE2"/>
    <w:rsid w:val="00FB1FE2"/>
    <w:rsid w:val="00FB2A15"/>
    <w:rsid w:val="00FB4369"/>
    <w:rsid w:val="00FB4820"/>
    <w:rsid w:val="00FB4E50"/>
    <w:rsid w:val="00FB5207"/>
    <w:rsid w:val="00FB542E"/>
    <w:rsid w:val="00FB612F"/>
    <w:rsid w:val="00FB613E"/>
    <w:rsid w:val="00FC0E5F"/>
    <w:rsid w:val="00FC11AF"/>
    <w:rsid w:val="00FC1A95"/>
    <w:rsid w:val="00FC270D"/>
    <w:rsid w:val="00FC3B85"/>
    <w:rsid w:val="00FC3F37"/>
    <w:rsid w:val="00FC56DE"/>
    <w:rsid w:val="00FC58D0"/>
    <w:rsid w:val="00FC6545"/>
    <w:rsid w:val="00FC684B"/>
    <w:rsid w:val="00FC7989"/>
    <w:rsid w:val="00FC7F37"/>
    <w:rsid w:val="00FD1407"/>
    <w:rsid w:val="00FD18EA"/>
    <w:rsid w:val="00FD1CBA"/>
    <w:rsid w:val="00FD2E17"/>
    <w:rsid w:val="00FD3265"/>
    <w:rsid w:val="00FD4559"/>
    <w:rsid w:val="00FD4AAD"/>
    <w:rsid w:val="00FE2EB4"/>
    <w:rsid w:val="00FE2F78"/>
    <w:rsid w:val="00FE3A47"/>
    <w:rsid w:val="00FE40D5"/>
    <w:rsid w:val="00FE59C6"/>
    <w:rsid w:val="00FE6150"/>
    <w:rsid w:val="00FF226F"/>
    <w:rsid w:val="00FF2E5E"/>
    <w:rsid w:val="00FF2FD7"/>
    <w:rsid w:val="00FF38D1"/>
    <w:rsid w:val="00FF6933"/>
    <w:rsid w:val="00FF6D79"/>
    <w:rsid w:val="00FF6FB2"/>
    <w:rsid w:val="00FF719E"/>
    <w:rsid w:val="00FF730D"/>
    <w:rsid w:val="00FF735D"/>
    <w:rsid w:val="00FF7B96"/>
  </w:rsids>
  <m:mathPr>
    <m:mathFont m:val="Cambria Math"/>
    <m:brkBin m:val="before"/>
    <m:brkBinSub m:val="--"/>
    <m:smallFrac m:val="0"/>
    <m:dispDef/>
    <m:lMargin m:val="0"/>
    <m:rMargin m:val="0"/>
    <m:defJc m:val="centerGroup"/>
    <m:wrapIndent m:val="1440"/>
    <m:intLim m:val="subSup"/>
    <m:naryLim m:val="undOvr"/>
  </m:mathPr>
  <w:themeFontLang w:val="cs-CZ"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colormru v:ext="edit" colors="#ecf4dd,#eaecee,#fcec0a,#fcecdb,#f1daf5"/>
    </o:shapedefaults>
    <o:shapelayout v:ext="edit">
      <o:idmap v:ext="edit" data="2"/>
    </o:shapelayout>
  </w:shapeDefaults>
  <w:decimalSymbol w:val=","/>
  <w:listSeparator w:val=";"/>
  <w14:docId w14:val="16D78745"/>
  <w15:docId w15:val="{FC3C9807-8A20-484D-A937-0CB633FC8F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cs-CZ"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qFormat="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364FA0"/>
    <w:pPr>
      <w:spacing w:after="240" w:line="276" w:lineRule="auto"/>
      <w:jc w:val="both"/>
    </w:pPr>
    <w:rPr>
      <w:rFonts w:ascii="Arial" w:eastAsia="Times New Roman" w:hAnsi="Arial"/>
      <w:szCs w:val="24"/>
      <w:lang w:val="en-GB" w:eastAsia="cs-CZ"/>
    </w:rPr>
  </w:style>
  <w:style w:type="paragraph" w:styleId="Nadpis1">
    <w:name w:val="heading 1"/>
    <w:next w:val="Normln"/>
    <w:link w:val="Nadpis1Char"/>
    <w:uiPriority w:val="9"/>
    <w:qFormat/>
    <w:rsid w:val="00EA0987"/>
    <w:pPr>
      <w:keepNext/>
      <w:keepLines/>
      <w:spacing w:after="100" w:line="276" w:lineRule="auto"/>
      <w:contextualSpacing/>
      <w:outlineLvl w:val="0"/>
    </w:pPr>
    <w:rPr>
      <w:rFonts w:ascii="Arial" w:eastAsia="MS Gothic" w:hAnsi="Arial"/>
      <w:b/>
      <w:bCs/>
      <w:color w:val="86BF5E"/>
      <w:sz w:val="32"/>
      <w:szCs w:val="28"/>
      <w:lang w:eastAsia="cs-CZ"/>
    </w:rPr>
  </w:style>
  <w:style w:type="paragraph" w:styleId="Nadpis2">
    <w:name w:val="heading 2"/>
    <w:next w:val="Normln"/>
    <w:link w:val="Nadpis2Char"/>
    <w:uiPriority w:val="9"/>
    <w:qFormat/>
    <w:rsid w:val="00EA0987"/>
    <w:pPr>
      <w:keepNext/>
      <w:keepLines/>
      <w:spacing w:line="276" w:lineRule="auto"/>
      <w:outlineLvl w:val="1"/>
    </w:pPr>
    <w:rPr>
      <w:rFonts w:ascii="Arial" w:eastAsia="MS Gothic" w:hAnsi="Arial"/>
      <w:b/>
      <w:bCs/>
      <w:color w:val="86BF5E"/>
      <w:sz w:val="28"/>
      <w:szCs w:val="26"/>
      <w:lang w:eastAsia="cs-CZ"/>
    </w:rPr>
  </w:style>
  <w:style w:type="paragraph" w:styleId="Nadpis3">
    <w:name w:val="heading 3"/>
    <w:next w:val="Normln"/>
    <w:link w:val="Nadpis3Char"/>
    <w:uiPriority w:val="9"/>
    <w:qFormat/>
    <w:rsid w:val="00EA0987"/>
    <w:pPr>
      <w:keepNext/>
      <w:keepLines/>
      <w:spacing w:line="276" w:lineRule="auto"/>
      <w:outlineLvl w:val="2"/>
    </w:pPr>
    <w:rPr>
      <w:rFonts w:ascii="Arial" w:eastAsia="MS Gothic" w:hAnsi="Arial"/>
      <w:b/>
      <w:bCs/>
      <w:color w:val="86BF5E"/>
      <w:sz w:val="24"/>
      <w:szCs w:val="24"/>
      <w:lang w:eastAsia="cs-CZ"/>
    </w:rPr>
  </w:style>
  <w:style w:type="paragraph" w:styleId="Nadpis4">
    <w:name w:val="heading 4"/>
    <w:next w:val="Normln"/>
    <w:link w:val="Nadpis4Char"/>
    <w:uiPriority w:val="9"/>
    <w:qFormat/>
    <w:rsid w:val="0041041D"/>
    <w:pPr>
      <w:keepNext/>
      <w:keepLines/>
      <w:spacing w:line="276" w:lineRule="auto"/>
      <w:outlineLvl w:val="3"/>
    </w:pPr>
    <w:rPr>
      <w:rFonts w:ascii="Arial" w:eastAsia="MS Gothic" w:hAnsi="Arial"/>
      <w:b/>
      <w:bCs/>
      <w:iCs/>
      <w:color w:val="86BF5E"/>
      <w:szCs w:val="24"/>
      <w:lang w:eastAsia="cs-CZ"/>
    </w:rPr>
  </w:style>
  <w:style w:type="paragraph" w:styleId="Nadpis5">
    <w:name w:val="heading 5"/>
    <w:basedOn w:val="Normln"/>
    <w:next w:val="Normln"/>
    <w:link w:val="Nadpis5Char"/>
    <w:uiPriority w:val="9"/>
    <w:semiHidden/>
    <w:unhideWhenUsed/>
    <w:rsid w:val="007A516D"/>
    <w:pPr>
      <w:keepNext/>
      <w:keepLines/>
      <w:numPr>
        <w:ilvl w:val="4"/>
        <w:numId w:val="14"/>
      </w:numPr>
      <w:spacing w:before="200" w:after="0"/>
      <w:outlineLvl w:val="4"/>
    </w:pPr>
    <w:rPr>
      <w:rFonts w:asciiTheme="majorHAnsi" w:eastAsiaTheme="majorEastAsia" w:hAnsiTheme="majorHAnsi" w:cstheme="majorBidi"/>
      <w:color w:val="243F60" w:themeColor="accent1" w:themeShade="7F"/>
    </w:rPr>
  </w:style>
  <w:style w:type="paragraph" w:styleId="Nadpis6">
    <w:name w:val="heading 6"/>
    <w:basedOn w:val="Normln"/>
    <w:next w:val="Normln"/>
    <w:link w:val="Nadpis6Char"/>
    <w:uiPriority w:val="9"/>
    <w:semiHidden/>
    <w:unhideWhenUsed/>
    <w:qFormat/>
    <w:rsid w:val="007A516D"/>
    <w:pPr>
      <w:keepNext/>
      <w:keepLines/>
      <w:numPr>
        <w:ilvl w:val="5"/>
        <w:numId w:val="14"/>
      </w:numPr>
      <w:spacing w:before="200" w:after="0"/>
      <w:outlineLvl w:val="5"/>
    </w:pPr>
    <w:rPr>
      <w:rFonts w:asciiTheme="majorHAnsi" w:eastAsiaTheme="majorEastAsia" w:hAnsiTheme="majorHAnsi" w:cstheme="majorBidi"/>
      <w:i/>
      <w:iCs/>
      <w:color w:val="243F60" w:themeColor="accent1" w:themeShade="7F"/>
    </w:rPr>
  </w:style>
  <w:style w:type="paragraph" w:styleId="Nadpis7">
    <w:name w:val="heading 7"/>
    <w:basedOn w:val="Normln"/>
    <w:next w:val="Normln"/>
    <w:link w:val="Nadpis7Char"/>
    <w:uiPriority w:val="9"/>
    <w:semiHidden/>
    <w:unhideWhenUsed/>
    <w:qFormat/>
    <w:rsid w:val="007A516D"/>
    <w:pPr>
      <w:keepNext/>
      <w:keepLines/>
      <w:numPr>
        <w:ilvl w:val="6"/>
        <w:numId w:val="14"/>
      </w:numPr>
      <w:spacing w:before="200" w:after="0"/>
      <w:outlineLvl w:val="6"/>
    </w:pPr>
    <w:rPr>
      <w:rFonts w:asciiTheme="majorHAnsi" w:eastAsiaTheme="majorEastAsia" w:hAnsiTheme="majorHAnsi" w:cstheme="majorBidi"/>
      <w:i/>
      <w:iCs/>
      <w:color w:val="404040" w:themeColor="text1" w:themeTint="BF"/>
    </w:rPr>
  </w:style>
  <w:style w:type="paragraph" w:styleId="Nadpis8">
    <w:name w:val="heading 8"/>
    <w:basedOn w:val="Normln"/>
    <w:next w:val="Normln"/>
    <w:link w:val="Nadpis8Char"/>
    <w:uiPriority w:val="9"/>
    <w:semiHidden/>
    <w:unhideWhenUsed/>
    <w:qFormat/>
    <w:rsid w:val="007A516D"/>
    <w:pPr>
      <w:keepNext/>
      <w:keepLines/>
      <w:numPr>
        <w:ilvl w:val="7"/>
        <w:numId w:val="14"/>
      </w:numPr>
      <w:spacing w:before="200" w:after="0"/>
      <w:outlineLvl w:val="7"/>
    </w:pPr>
    <w:rPr>
      <w:rFonts w:asciiTheme="majorHAnsi" w:eastAsiaTheme="majorEastAsia" w:hAnsiTheme="majorHAnsi" w:cstheme="majorBidi"/>
      <w:color w:val="404040" w:themeColor="text1" w:themeTint="BF"/>
      <w:szCs w:val="20"/>
    </w:rPr>
  </w:style>
  <w:style w:type="paragraph" w:styleId="Nadpis9">
    <w:name w:val="heading 9"/>
    <w:basedOn w:val="Normln"/>
    <w:next w:val="Normln"/>
    <w:link w:val="Nadpis9Char"/>
    <w:uiPriority w:val="9"/>
    <w:semiHidden/>
    <w:unhideWhenUsed/>
    <w:qFormat/>
    <w:rsid w:val="007A516D"/>
    <w:pPr>
      <w:numPr>
        <w:ilvl w:val="8"/>
        <w:numId w:val="14"/>
      </w:numPr>
      <w:spacing w:before="240" w:after="60"/>
      <w:outlineLvl w:val="8"/>
    </w:pPr>
    <w:rPr>
      <w:rFonts w:ascii="Cambria" w:hAnsi="Cambria"/>
      <w:sz w:val="22"/>
      <w:szCs w:val="22"/>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link w:val="Nadpis1"/>
    <w:uiPriority w:val="9"/>
    <w:qFormat/>
    <w:rsid w:val="00EA0987"/>
    <w:rPr>
      <w:rFonts w:ascii="Arial" w:eastAsia="MS Gothic" w:hAnsi="Arial"/>
      <w:b/>
      <w:bCs/>
      <w:color w:val="86BF5E"/>
      <w:sz w:val="32"/>
      <w:szCs w:val="28"/>
      <w:lang w:eastAsia="cs-CZ"/>
    </w:rPr>
  </w:style>
  <w:style w:type="character" w:customStyle="1" w:styleId="Nadpis2Char">
    <w:name w:val="Nadpis 2 Char"/>
    <w:link w:val="Nadpis2"/>
    <w:uiPriority w:val="9"/>
    <w:rsid w:val="00EA0987"/>
    <w:rPr>
      <w:rFonts w:ascii="Arial" w:eastAsia="MS Gothic" w:hAnsi="Arial"/>
      <w:b/>
      <w:bCs/>
      <w:color w:val="86BF5E"/>
      <w:sz w:val="28"/>
      <w:szCs w:val="26"/>
      <w:lang w:eastAsia="cs-CZ"/>
    </w:rPr>
  </w:style>
  <w:style w:type="character" w:customStyle="1" w:styleId="Nadpis3Char">
    <w:name w:val="Nadpis 3 Char"/>
    <w:link w:val="Nadpis3"/>
    <w:uiPriority w:val="9"/>
    <w:rsid w:val="00EA0987"/>
    <w:rPr>
      <w:rFonts w:ascii="Arial" w:eastAsia="MS Gothic" w:hAnsi="Arial"/>
      <w:b/>
      <w:bCs/>
      <w:color w:val="86BF5E"/>
      <w:sz w:val="24"/>
      <w:szCs w:val="24"/>
      <w:lang w:eastAsia="cs-CZ"/>
    </w:rPr>
  </w:style>
  <w:style w:type="character" w:customStyle="1" w:styleId="Nadpis4Char">
    <w:name w:val="Nadpis 4 Char"/>
    <w:link w:val="Nadpis4"/>
    <w:uiPriority w:val="9"/>
    <w:rsid w:val="0041041D"/>
    <w:rPr>
      <w:rFonts w:ascii="Arial" w:eastAsia="MS Gothic" w:hAnsi="Arial"/>
      <w:b/>
      <w:bCs/>
      <w:iCs/>
      <w:color w:val="86BF5E"/>
      <w:szCs w:val="24"/>
      <w:lang w:eastAsia="cs-CZ"/>
    </w:rPr>
  </w:style>
  <w:style w:type="character" w:customStyle="1" w:styleId="Nadpis9Char">
    <w:name w:val="Nadpis 9 Char"/>
    <w:link w:val="Nadpis9"/>
    <w:uiPriority w:val="9"/>
    <w:semiHidden/>
    <w:rsid w:val="007A516D"/>
    <w:rPr>
      <w:rFonts w:ascii="Cambria" w:eastAsia="Times New Roman" w:hAnsi="Cambria"/>
      <w:sz w:val="22"/>
      <w:szCs w:val="22"/>
      <w:lang w:eastAsia="cs-CZ"/>
    </w:rPr>
  </w:style>
  <w:style w:type="character" w:styleId="Hypertextovodkaz">
    <w:name w:val="Hyperlink"/>
    <w:uiPriority w:val="99"/>
    <w:rsid w:val="00E71A58"/>
    <w:rPr>
      <w:color w:val="0000FF"/>
      <w:u w:val="single"/>
    </w:rPr>
  </w:style>
  <w:style w:type="paragraph" w:styleId="Zhlav">
    <w:name w:val="header"/>
    <w:link w:val="ZhlavChar"/>
    <w:uiPriority w:val="99"/>
    <w:unhideWhenUsed/>
    <w:qFormat/>
    <w:rsid w:val="00A418BC"/>
    <w:pPr>
      <w:spacing w:line="288" w:lineRule="auto"/>
    </w:pPr>
    <w:rPr>
      <w:rFonts w:ascii="Arial" w:hAnsi="Arial"/>
      <w:sz w:val="16"/>
      <w:szCs w:val="22"/>
    </w:rPr>
  </w:style>
  <w:style w:type="character" w:customStyle="1" w:styleId="ZhlavChar">
    <w:name w:val="Záhlaví Char"/>
    <w:link w:val="Zhlav"/>
    <w:uiPriority w:val="99"/>
    <w:rsid w:val="00A418BC"/>
    <w:rPr>
      <w:rFonts w:ascii="Arial" w:hAnsi="Arial"/>
      <w:sz w:val="16"/>
      <w:szCs w:val="22"/>
      <w:lang w:eastAsia="en-US"/>
    </w:rPr>
  </w:style>
  <w:style w:type="paragraph" w:styleId="Zpat">
    <w:name w:val="footer"/>
    <w:link w:val="ZpatChar"/>
    <w:uiPriority w:val="99"/>
    <w:unhideWhenUsed/>
    <w:qFormat/>
    <w:rsid w:val="00031AE0"/>
    <w:pPr>
      <w:tabs>
        <w:tab w:val="center" w:pos="4820"/>
        <w:tab w:val="right" w:pos="9639"/>
      </w:tabs>
    </w:pPr>
    <w:rPr>
      <w:rFonts w:ascii="Arial" w:hAnsi="Arial" w:cs="Arial"/>
      <w:noProof/>
      <w:sz w:val="16"/>
    </w:rPr>
  </w:style>
  <w:style w:type="character" w:customStyle="1" w:styleId="ZpatChar">
    <w:name w:val="Zápatí Char"/>
    <w:link w:val="Zpat"/>
    <w:uiPriority w:val="99"/>
    <w:rsid w:val="00031AE0"/>
    <w:rPr>
      <w:rFonts w:ascii="Arial" w:hAnsi="Arial" w:cs="Arial"/>
      <w:noProof/>
      <w:sz w:val="16"/>
      <w:lang w:eastAsia="en-US"/>
    </w:rPr>
  </w:style>
  <w:style w:type="paragraph" w:styleId="Textbubliny">
    <w:name w:val="Balloon Text"/>
    <w:basedOn w:val="Normln"/>
    <w:link w:val="TextbublinyChar"/>
    <w:uiPriority w:val="99"/>
    <w:semiHidden/>
    <w:unhideWhenUsed/>
    <w:rsid w:val="00E71A58"/>
    <w:rPr>
      <w:rFonts w:ascii="Tahoma" w:eastAsia="Calibri" w:hAnsi="Tahoma"/>
      <w:sz w:val="16"/>
      <w:szCs w:val="16"/>
      <w:lang w:val="x-none" w:eastAsia="x-none"/>
    </w:rPr>
  </w:style>
  <w:style w:type="character" w:customStyle="1" w:styleId="TextbublinyChar">
    <w:name w:val="Text bubliny Char"/>
    <w:link w:val="Textbubliny"/>
    <w:uiPriority w:val="99"/>
    <w:semiHidden/>
    <w:rsid w:val="00E71A58"/>
    <w:rPr>
      <w:rFonts w:ascii="Tahoma" w:hAnsi="Tahoma" w:cs="Tahoma"/>
      <w:sz w:val="16"/>
      <w:szCs w:val="16"/>
    </w:rPr>
  </w:style>
  <w:style w:type="paragraph" w:customStyle="1" w:styleId="Zkladnodstavec">
    <w:name w:val="[Základní odstavec]"/>
    <w:link w:val="ZkladnodstavecChar"/>
    <w:uiPriority w:val="99"/>
    <w:rsid w:val="0008263E"/>
    <w:pPr>
      <w:autoSpaceDE w:val="0"/>
      <w:autoSpaceDN w:val="0"/>
      <w:adjustRightInd w:val="0"/>
      <w:spacing w:line="276" w:lineRule="auto"/>
      <w:textAlignment w:val="center"/>
    </w:pPr>
    <w:rPr>
      <w:rFonts w:ascii="Arial" w:hAnsi="Arial" w:cs="Minion Pro"/>
      <w:color w:val="000000"/>
      <w:szCs w:val="24"/>
      <w:lang w:eastAsia="cs-CZ"/>
    </w:rPr>
  </w:style>
  <w:style w:type="character" w:customStyle="1" w:styleId="ZkladnodstavecChar">
    <w:name w:val="[Základní odstavec] Char"/>
    <w:link w:val="Zkladnodstavec"/>
    <w:uiPriority w:val="99"/>
    <w:rsid w:val="0008263E"/>
    <w:rPr>
      <w:rFonts w:ascii="Arial" w:hAnsi="Arial" w:cs="Minion Pro"/>
      <w:color w:val="000000"/>
      <w:szCs w:val="24"/>
    </w:rPr>
  </w:style>
  <w:style w:type="paragraph" w:styleId="Obsah1">
    <w:name w:val="toc 1"/>
    <w:basedOn w:val="Obsahpoloky"/>
    <w:next w:val="Obsahpoloky"/>
    <w:autoRedefine/>
    <w:uiPriority w:val="39"/>
    <w:unhideWhenUsed/>
    <w:rsid w:val="00FC1A95"/>
  </w:style>
  <w:style w:type="paragraph" w:customStyle="1" w:styleId="TLIdentifikace-sted">
    <w:name w:val="TL Identifikace - střed"/>
    <w:qFormat/>
    <w:rsid w:val="009A60D1"/>
    <w:pPr>
      <w:spacing w:after="200" w:line="288" w:lineRule="auto"/>
    </w:pPr>
    <w:rPr>
      <w:rFonts w:ascii="Arial" w:eastAsia="Times New Roman" w:hAnsi="Arial"/>
      <w:sz w:val="24"/>
      <w:szCs w:val="24"/>
      <w:lang w:eastAsia="cs-CZ"/>
    </w:rPr>
  </w:style>
  <w:style w:type="paragraph" w:customStyle="1" w:styleId="Obsah">
    <w:name w:val="Obsah"/>
    <w:next w:val="Normln"/>
    <w:qFormat/>
    <w:rsid w:val="000A57D4"/>
    <w:pPr>
      <w:spacing w:after="80" w:line="288" w:lineRule="auto"/>
    </w:pPr>
    <w:rPr>
      <w:rFonts w:ascii="Arial" w:eastAsia="Times New Roman" w:hAnsi="Arial"/>
      <w:b/>
      <w:color w:val="86BF5E"/>
      <w:sz w:val="32"/>
      <w:szCs w:val="24"/>
      <w:lang w:eastAsia="cs-CZ"/>
    </w:rPr>
  </w:style>
  <w:style w:type="paragraph" w:customStyle="1" w:styleId="Obsahpoloky">
    <w:name w:val="Obsah položky"/>
    <w:qFormat/>
    <w:rsid w:val="00616E05"/>
    <w:pPr>
      <w:tabs>
        <w:tab w:val="right" w:leader="dot" w:pos="9639"/>
      </w:tabs>
      <w:spacing w:line="288" w:lineRule="auto"/>
    </w:pPr>
    <w:rPr>
      <w:rFonts w:ascii="Arial" w:eastAsia="Times New Roman" w:hAnsi="Arial"/>
      <w:szCs w:val="24"/>
      <w:lang w:eastAsia="cs-CZ"/>
    </w:rPr>
  </w:style>
  <w:style w:type="paragraph" w:customStyle="1" w:styleId="A-Box1">
    <w:name w:val="A-Box 1"/>
    <w:next w:val="Normln"/>
    <w:qFormat/>
    <w:rsid w:val="00EA0987"/>
    <w:pPr>
      <w:shd w:val="clear" w:color="auto" w:fill="F0F6E9"/>
      <w:spacing w:before="240" w:after="240" w:line="276" w:lineRule="auto"/>
      <w:contextualSpacing/>
      <w:jc w:val="both"/>
    </w:pPr>
    <w:rPr>
      <w:rFonts w:ascii="Arial" w:hAnsi="Arial" w:cs="Arial"/>
      <w:lang w:eastAsia="cs-CZ"/>
    </w:rPr>
  </w:style>
  <w:style w:type="paragraph" w:customStyle="1" w:styleId="A-Box2">
    <w:name w:val="A-Box 2"/>
    <w:next w:val="Normln"/>
    <w:qFormat/>
    <w:rsid w:val="00EA0987"/>
    <w:pPr>
      <w:spacing w:before="240" w:after="240" w:line="276" w:lineRule="auto"/>
      <w:contextualSpacing/>
      <w:jc w:val="both"/>
    </w:pPr>
    <w:rPr>
      <w:rFonts w:ascii="Arial" w:hAnsi="Arial" w:cs="Arial"/>
      <w:color w:val="86BF5E"/>
      <w:lang w:eastAsia="cs-CZ"/>
    </w:rPr>
  </w:style>
  <w:style w:type="paragraph" w:styleId="Seznam">
    <w:name w:val="List"/>
    <w:basedOn w:val="Normln"/>
    <w:uiPriority w:val="99"/>
    <w:unhideWhenUsed/>
    <w:qFormat/>
    <w:rsid w:val="00481E40"/>
    <w:pPr>
      <w:contextualSpacing/>
    </w:pPr>
  </w:style>
  <w:style w:type="character" w:styleId="Siln">
    <w:name w:val="Strong"/>
    <w:aliases w:val="Tučné"/>
    <w:uiPriority w:val="22"/>
    <w:qFormat/>
    <w:rsid w:val="00EC03D7"/>
    <w:rPr>
      <w:rFonts w:ascii="Arial" w:hAnsi="Arial"/>
      <w:b/>
      <w:bCs/>
      <w:sz w:val="20"/>
    </w:rPr>
  </w:style>
  <w:style w:type="paragraph" w:customStyle="1" w:styleId="TLKontaktyerven">
    <w:name w:val="TL Kontakty červené"/>
    <w:basedOn w:val="Normln"/>
    <w:qFormat/>
    <w:rsid w:val="000A57D4"/>
    <w:pPr>
      <w:spacing w:after="40"/>
      <w:contextualSpacing/>
    </w:pPr>
    <w:rPr>
      <w:b/>
      <w:caps/>
      <w:sz w:val="24"/>
    </w:rPr>
  </w:style>
  <w:style w:type="paragraph" w:customStyle="1" w:styleId="TLKontakty">
    <w:name w:val="TL Kontakty"/>
    <w:qFormat/>
    <w:rsid w:val="000A57D4"/>
    <w:pPr>
      <w:spacing w:after="160" w:line="259" w:lineRule="auto"/>
      <w:contextualSpacing/>
    </w:pPr>
    <w:rPr>
      <w:rFonts w:ascii="Arial" w:eastAsia="Times New Roman" w:hAnsi="Arial"/>
      <w:b/>
      <w:color w:val="86BF5E"/>
      <w:lang w:eastAsia="cs-CZ"/>
    </w:rPr>
  </w:style>
  <w:style w:type="paragraph" w:styleId="Nzev">
    <w:name w:val="Title"/>
    <w:link w:val="NzevChar"/>
    <w:uiPriority w:val="10"/>
    <w:qFormat/>
    <w:rsid w:val="001E6062"/>
    <w:pPr>
      <w:spacing w:line="288" w:lineRule="auto"/>
    </w:pPr>
    <w:rPr>
      <w:rFonts w:ascii="Arial" w:eastAsia="Times New Roman" w:hAnsi="Arial"/>
      <w:b/>
      <w:bCs/>
      <w:caps/>
      <w:color w:val="000000" w:themeColor="text1"/>
      <w:kern w:val="28"/>
      <w:sz w:val="56"/>
      <w:szCs w:val="32"/>
      <w:lang w:eastAsia="cs-CZ"/>
    </w:rPr>
  </w:style>
  <w:style w:type="character" w:customStyle="1" w:styleId="NzevChar">
    <w:name w:val="Název Char"/>
    <w:link w:val="Nzev"/>
    <w:uiPriority w:val="10"/>
    <w:rsid w:val="001E6062"/>
    <w:rPr>
      <w:rFonts w:ascii="Arial" w:eastAsia="Times New Roman" w:hAnsi="Arial"/>
      <w:b/>
      <w:bCs/>
      <w:caps/>
      <w:color w:val="000000" w:themeColor="text1"/>
      <w:kern w:val="28"/>
      <w:sz w:val="56"/>
      <w:szCs w:val="32"/>
      <w:lang w:eastAsia="cs-CZ"/>
    </w:rPr>
  </w:style>
  <w:style w:type="paragraph" w:styleId="Podnadpis">
    <w:name w:val="Subtitle"/>
    <w:link w:val="PodnadpisChar"/>
    <w:uiPriority w:val="11"/>
    <w:qFormat/>
    <w:rsid w:val="001E6062"/>
    <w:pPr>
      <w:spacing w:line="288" w:lineRule="auto"/>
    </w:pPr>
    <w:rPr>
      <w:rFonts w:ascii="Arial" w:eastAsia="Times New Roman" w:hAnsi="Arial" w:cs="Arial"/>
      <w:b/>
      <w:color w:val="000000" w:themeColor="text1"/>
      <w:sz w:val="28"/>
      <w:szCs w:val="24"/>
      <w:lang w:eastAsia="cs-CZ"/>
    </w:rPr>
  </w:style>
  <w:style w:type="character" w:customStyle="1" w:styleId="PodnadpisChar">
    <w:name w:val="Podnadpis Char"/>
    <w:link w:val="Podnadpis"/>
    <w:uiPriority w:val="11"/>
    <w:rsid w:val="001E6062"/>
    <w:rPr>
      <w:rFonts w:ascii="Arial" w:eastAsia="Times New Roman" w:hAnsi="Arial" w:cs="Arial"/>
      <w:b/>
      <w:color w:val="000000" w:themeColor="text1"/>
      <w:sz w:val="28"/>
      <w:szCs w:val="24"/>
      <w:lang w:eastAsia="cs-CZ"/>
    </w:rPr>
  </w:style>
  <w:style w:type="paragraph" w:styleId="Obsah2">
    <w:name w:val="toc 2"/>
    <w:basedOn w:val="Obsahpoloky"/>
    <w:next w:val="Obsahpoloky"/>
    <w:autoRedefine/>
    <w:uiPriority w:val="39"/>
    <w:unhideWhenUsed/>
    <w:rsid w:val="00FC1A95"/>
    <w:pPr>
      <w:ind w:left="200"/>
    </w:pPr>
  </w:style>
  <w:style w:type="paragraph" w:styleId="Obsah3">
    <w:name w:val="toc 3"/>
    <w:basedOn w:val="Obsahpoloky"/>
    <w:next w:val="Obsahpoloky"/>
    <w:autoRedefine/>
    <w:uiPriority w:val="39"/>
    <w:unhideWhenUsed/>
    <w:rsid w:val="00FC1A95"/>
    <w:pPr>
      <w:ind w:left="400"/>
    </w:pPr>
  </w:style>
  <w:style w:type="paragraph" w:styleId="Obsah4">
    <w:name w:val="toc 4"/>
    <w:basedOn w:val="Obsahpoloky"/>
    <w:next w:val="Obsahpoloky"/>
    <w:autoRedefine/>
    <w:uiPriority w:val="39"/>
    <w:unhideWhenUsed/>
    <w:rsid w:val="00FC1A95"/>
    <w:pPr>
      <w:ind w:left="600"/>
    </w:pPr>
  </w:style>
  <w:style w:type="paragraph" w:styleId="Obsah5">
    <w:name w:val="toc 5"/>
    <w:basedOn w:val="Obsahpoloky"/>
    <w:next w:val="Obsahpoloky"/>
    <w:autoRedefine/>
    <w:uiPriority w:val="39"/>
    <w:semiHidden/>
    <w:unhideWhenUsed/>
    <w:rsid w:val="00FC1A95"/>
    <w:pPr>
      <w:ind w:left="800"/>
    </w:pPr>
  </w:style>
  <w:style w:type="paragraph" w:styleId="Obsah6">
    <w:name w:val="toc 6"/>
    <w:basedOn w:val="Obsahpoloky"/>
    <w:next w:val="Obsahpoloky"/>
    <w:autoRedefine/>
    <w:uiPriority w:val="39"/>
    <w:semiHidden/>
    <w:unhideWhenUsed/>
    <w:rsid w:val="00FC1A95"/>
    <w:pPr>
      <w:ind w:left="1000"/>
    </w:pPr>
  </w:style>
  <w:style w:type="paragraph" w:styleId="Obsah7">
    <w:name w:val="toc 7"/>
    <w:basedOn w:val="Obsahpoloky"/>
    <w:next w:val="Obsahpoloky"/>
    <w:autoRedefine/>
    <w:uiPriority w:val="39"/>
    <w:semiHidden/>
    <w:unhideWhenUsed/>
    <w:rsid w:val="00FC1A95"/>
    <w:pPr>
      <w:ind w:left="1200"/>
    </w:pPr>
  </w:style>
  <w:style w:type="paragraph" w:styleId="Obsah8">
    <w:name w:val="toc 8"/>
    <w:basedOn w:val="Obsahpoloky"/>
    <w:next w:val="Obsahpoloky"/>
    <w:autoRedefine/>
    <w:uiPriority w:val="39"/>
    <w:semiHidden/>
    <w:unhideWhenUsed/>
    <w:rsid w:val="00FC1A95"/>
    <w:pPr>
      <w:ind w:left="1400"/>
    </w:pPr>
  </w:style>
  <w:style w:type="paragraph" w:styleId="Obsah9">
    <w:name w:val="toc 9"/>
    <w:basedOn w:val="Obsahpoloky"/>
    <w:next w:val="Obsahpoloky"/>
    <w:autoRedefine/>
    <w:uiPriority w:val="39"/>
    <w:semiHidden/>
    <w:unhideWhenUsed/>
    <w:rsid w:val="00924AC8"/>
    <w:pPr>
      <w:ind w:left="1600"/>
    </w:pPr>
  </w:style>
  <w:style w:type="character" w:customStyle="1" w:styleId="Nadpis5Char">
    <w:name w:val="Nadpis 5 Char"/>
    <w:basedOn w:val="Standardnpsmoodstavce"/>
    <w:link w:val="Nadpis5"/>
    <w:uiPriority w:val="9"/>
    <w:semiHidden/>
    <w:rsid w:val="007A516D"/>
    <w:rPr>
      <w:rFonts w:asciiTheme="majorHAnsi" w:eastAsiaTheme="majorEastAsia" w:hAnsiTheme="majorHAnsi" w:cstheme="majorBidi"/>
      <w:color w:val="243F60" w:themeColor="accent1" w:themeShade="7F"/>
      <w:szCs w:val="24"/>
      <w:lang w:eastAsia="cs-CZ"/>
    </w:rPr>
  </w:style>
  <w:style w:type="character" w:customStyle="1" w:styleId="Nadpis6Char">
    <w:name w:val="Nadpis 6 Char"/>
    <w:basedOn w:val="Standardnpsmoodstavce"/>
    <w:link w:val="Nadpis6"/>
    <w:uiPriority w:val="9"/>
    <w:semiHidden/>
    <w:rsid w:val="007A516D"/>
    <w:rPr>
      <w:rFonts w:asciiTheme="majorHAnsi" w:eastAsiaTheme="majorEastAsia" w:hAnsiTheme="majorHAnsi" w:cstheme="majorBidi"/>
      <w:i/>
      <w:iCs/>
      <w:color w:val="243F60" w:themeColor="accent1" w:themeShade="7F"/>
      <w:szCs w:val="24"/>
      <w:lang w:eastAsia="cs-CZ"/>
    </w:rPr>
  </w:style>
  <w:style w:type="character" w:customStyle="1" w:styleId="Nadpis7Char">
    <w:name w:val="Nadpis 7 Char"/>
    <w:basedOn w:val="Standardnpsmoodstavce"/>
    <w:link w:val="Nadpis7"/>
    <w:uiPriority w:val="9"/>
    <w:semiHidden/>
    <w:rsid w:val="007A516D"/>
    <w:rPr>
      <w:rFonts w:asciiTheme="majorHAnsi" w:eastAsiaTheme="majorEastAsia" w:hAnsiTheme="majorHAnsi" w:cstheme="majorBidi"/>
      <w:i/>
      <w:iCs/>
      <w:color w:val="404040" w:themeColor="text1" w:themeTint="BF"/>
      <w:szCs w:val="24"/>
      <w:lang w:eastAsia="cs-CZ"/>
    </w:rPr>
  </w:style>
  <w:style w:type="character" w:customStyle="1" w:styleId="Nadpis8Char">
    <w:name w:val="Nadpis 8 Char"/>
    <w:basedOn w:val="Standardnpsmoodstavce"/>
    <w:link w:val="Nadpis8"/>
    <w:uiPriority w:val="9"/>
    <w:semiHidden/>
    <w:rsid w:val="007A516D"/>
    <w:rPr>
      <w:rFonts w:asciiTheme="majorHAnsi" w:eastAsiaTheme="majorEastAsia" w:hAnsiTheme="majorHAnsi" w:cstheme="majorBidi"/>
      <w:color w:val="404040" w:themeColor="text1" w:themeTint="BF"/>
      <w:lang w:eastAsia="cs-CZ"/>
    </w:rPr>
  </w:style>
  <w:style w:type="paragraph" w:styleId="Textpoznpodarou">
    <w:name w:val="footnote text"/>
    <w:aliases w:val="Text pozn. pod čarou_martin_ang"/>
    <w:basedOn w:val="Normln"/>
    <w:link w:val="TextpoznpodarouChar"/>
    <w:qFormat/>
    <w:rsid w:val="008E7FC9"/>
    <w:pPr>
      <w:spacing w:after="0" w:line="240" w:lineRule="auto"/>
      <w:jc w:val="left"/>
    </w:pPr>
    <w:rPr>
      <w:rFonts w:eastAsia="Calibri"/>
      <w:szCs w:val="20"/>
    </w:rPr>
  </w:style>
  <w:style w:type="character" w:customStyle="1" w:styleId="TextpoznpodarouChar">
    <w:name w:val="Text pozn. pod čarou Char"/>
    <w:aliases w:val="Text pozn. pod čarou_martin_ang Char"/>
    <w:basedOn w:val="Standardnpsmoodstavce"/>
    <w:link w:val="Textpoznpodarou"/>
    <w:qFormat/>
    <w:rsid w:val="008E7FC9"/>
    <w:rPr>
      <w:rFonts w:ascii="Arial" w:hAnsi="Arial"/>
      <w:lang w:eastAsia="cs-CZ"/>
    </w:rPr>
  </w:style>
  <w:style w:type="paragraph" w:styleId="Bezmezer">
    <w:name w:val="No Spacing"/>
    <w:uiPriority w:val="1"/>
    <w:qFormat/>
    <w:rsid w:val="00AD68C4"/>
    <w:pPr>
      <w:jc w:val="both"/>
    </w:pPr>
    <w:rPr>
      <w:rFonts w:ascii="Arial" w:eastAsia="Times New Roman" w:hAnsi="Arial"/>
      <w:szCs w:val="24"/>
      <w:lang w:eastAsia="cs-CZ"/>
    </w:rPr>
  </w:style>
  <w:style w:type="paragraph" w:customStyle="1" w:styleId="Marginlie">
    <w:name w:val="Marginálie"/>
    <w:basedOn w:val="Normln"/>
    <w:qFormat/>
    <w:rsid w:val="0089296D"/>
    <w:pPr>
      <w:spacing w:after="0"/>
      <w:jc w:val="left"/>
    </w:pPr>
    <w:rPr>
      <w:spacing w:val="-2"/>
      <w:sz w:val="16"/>
      <w:szCs w:val="16"/>
    </w:rPr>
  </w:style>
  <w:style w:type="paragraph" w:styleId="Odstavecseseznamem">
    <w:name w:val="List Paragraph"/>
    <w:basedOn w:val="Normln"/>
    <w:link w:val="OdstavecseseznamemChar"/>
    <w:uiPriority w:val="34"/>
    <w:qFormat/>
    <w:rsid w:val="006B0F92"/>
    <w:pPr>
      <w:ind w:left="720"/>
      <w:contextualSpacing/>
    </w:pPr>
  </w:style>
  <w:style w:type="paragraph" w:customStyle="1" w:styleId="Normalodrka">
    <w:name w:val="Normal odrážka"/>
    <w:qFormat/>
    <w:rsid w:val="006B0F92"/>
    <w:pPr>
      <w:numPr>
        <w:numId w:val="20"/>
      </w:numPr>
      <w:spacing w:after="240" w:line="276" w:lineRule="auto"/>
      <w:ind w:left="357" w:hanging="357"/>
      <w:jc w:val="both"/>
    </w:pPr>
    <w:rPr>
      <w:rFonts w:ascii="Arial" w:eastAsia="Times New Roman" w:hAnsi="Arial"/>
      <w:szCs w:val="24"/>
      <w:lang w:eastAsia="cs-CZ"/>
    </w:rPr>
  </w:style>
  <w:style w:type="paragraph" w:customStyle="1" w:styleId="Box1">
    <w:name w:val="Box 1"/>
    <w:next w:val="Normln"/>
    <w:qFormat/>
    <w:rsid w:val="00EA0987"/>
    <w:pPr>
      <w:shd w:val="clear" w:color="auto" w:fill="F0F6E9"/>
      <w:spacing w:before="240" w:after="240" w:line="276" w:lineRule="auto"/>
      <w:ind w:left="709"/>
      <w:contextualSpacing/>
      <w:jc w:val="both"/>
    </w:pPr>
    <w:rPr>
      <w:rFonts w:ascii="Arial" w:hAnsi="Arial" w:cs="Arial"/>
      <w:lang w:eastAsia="cs-CZ"/>
    </w:rPr>
  </w:style>
  <w:style w:type="paragraph" w:customStyle="1" w:styleId="Box2">
    <w:name w:val="Box 2"/>
    <w:next w:val="Normln"/>
    <w:qFormat/>
    <w:rsid w:val="00EA0987"/>
    <w:pPr>
      <w:spacing w:before="240" w:after="240" w:line="276" w:lineRule="auto"/>
      <w:ind w:left="709"/>
      <w:contextualSpacing/>
      <w:jc w:val="both"/>
    </w:pPr>
    <w:rPr>
      <w:rFonts w:ascii="Arial" w:hAnsi="Arial" w:cs="Arial"/>
      <w:b/>
      <w:color w:val="86BF5E"/>
      <w:lang w:eastAsia="cs-CZ"/>
    </w:rPr>
  </w:style>
  <w:style w:type="character" w:styleId="Zdraznnintenzivn">
    <w:name w:val="Intense Emphasis"/>
    <w:basedOn w:val="Standardnpsmoodstavce"/>
    <w:uiPriority w:val="21"/>
    <w:qFormat/>
    <w:rsid w:val="001E6062"/>
    <w:rPr>
      <w:i/>
      <w:iCs/>
      <w:color w:val="000000" w:themeColor="text1"/>
    </w:rPr>
  </w:style>
  <w:style w:type="character" w:styleId="Odkazintenzivn">
    <w:name w:val="Intense Reference"/>
    <w:basedOn w:val="Standardnpsmoodstavce"/>
    <w:uiPriority w:val="32"/>
    <w:qFormat/>
    <w:rsid w:val="001E6062"/>
    <w:rPr>
      <w:b/>
      <w:bCs/>
      <w:smallCaps/>
      <w:color w:val="000000" w:themeColor="text1"/>
      <w:spacing w:val="5"/>
    </w:rPr>
  </w:style>
  <w:style w:type="character" w:styleId="Znakapoznpodarou">
    <w:name w:val="footnote reference"/>
    <w:basedOn w:val="Standardnpsmoodstavce"/>
    <w:rsid w:val="009324EF"/>
    <w:rPr>
      <w:rFonts w:cs="Times New Roman"/>
      <w:vertAlign w:val="superscript"/>
    </w:rPr>
  </w:style>
  <w:style w:type="paragraph" w:customStyle="1" w:styleId="Nadpis11">
    <w:name w:val="Nadpis 11"/>
    <w:basedOn w:val="Normln"/>
    <w:uiPriority w:val="9"/>
    <w:qFormat/>
    <w:rsid w:val="009324EF"/>
    <w:pPr>
      <w:keepNext/>
      <w:keepLines/>
      <w:spacing w:after="100"/>
      <w:contextualSpacing/>
      <w:jc w:val="left"/>
      <w:outlineLvl w:val="0"/>
    </w:pPr>
    <w:rPr>
      <w:rFonts w:eastAsia="MS Gothic"/>
      <w:b/>
      <w:bCs/>
      <w:color w:val="71818C"/>
      <w:sz w:val="32"/>
      <w:szCs w:val="28"/>
    </w:rPr>
  </w:style>
  <w:style w:type="paragraph" w:customStyle="1" w:styleId="Textpoznpodarou1">
    <w:name w:val="Text pozn. pod čarou1"/>
    <w:basedOn w:val="Normln"/>
    <w:qFormat/>
    <w:rsid w:val="009324EF"/>
    <w:pPr>
      <w:spacing w:after="0" w:line="240" w:lineRule="auto"/>
      <w:jc w:val="left"/>
    </w:pPr>
    <w:rPr>
      <w:rFonts w:eastAsia="Calibri"/>
      <w:szCs w:val="20"/>
    </w:rPr>
  </w:style>
  <w:style w:type="character" w:styleId="Zdraznn">
    <w:name w:val="Emphasis"/>
    <w:basedOn w:val="Standardnpsmoodstavce"/>
    <w:uiPriority w:val="20"/>
    <w:qFormat/>
    <w:rsid w:val="009324EF"/>
    <w:rPr>
      <w:i/>
      <w:iCs/>
    </w:rPr>
  </w:style>
  <w:style w:type="character" w:customStyle="1" w:styleId="normaltextrun">
    <w:name w:val="normaltextrun"/>
    <w:basedOn w:val="Standardnpsmoodstavce"/>
    <w:rsid w:val="009324EF"/>
  </w:style>
  <w:style w:type="paragraph" w:customStyle="1" w:styleId="paragraph">
    <w:name w:val="paragraph"/>
    <w:basedOn w:val="Normln"/>
    <w:rsid w:val="009324EF"/>
    <w:pPr>
      <w:spacing w:before="100" w:beforeAutospacing="1" w:after="100" w:afterAutospacing="1" w:line="240" w:lineRule="auto"/>
      <w:jc w:val="left"/>
    </w:pPr>
    <w:rPr>
      <w:rFonts w:ascii="Times New Roman" w:hAnsi="Times New Roman"/>
      <w:sz w:val="24"/>
    </w:rPr>
  </w:style>
  <w:style w:type="character" w:customStyle="1" w:styleId="eop">
    <w:name w:val="eop"/>
    <w:basedOn w:val="Standardnpsmoodstavce"/>
    <w:rsid w:val="009324EF"/>
  </w:style>
  <w:style w:type="table" w:styleId="Mkatabulky">
    <w:name w:val="Table Grid"/>
    <w:basedOn w:val="Normlntabulka"/>
    <w:uiPriority w:val="59"/>
    <w:rsid w:val="009324EF"/>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Nadpisobsahu">
    <w:name w:val="TOC Heading"/>
    <w:basedOn w:val="Nadpis1"/>
    <w:next w:val="Normln"/>
    <w:uiPriority w:val="39"/>
    <w:unhideWhenUsed/>
    <w:qFormat/>
    <w:rsid w:val="009324EF"/>
    <w:pPr>
      <w:spacing w:before="240" w:after="0" w:line="259" w:lineRule="auto"/>
      <w:contextualSpacing w:val="0"/>
      <w:outlineLvl w:val="9"/>
    </w:pPr>
    <w:rPr>
      <w:rFonts w:asciiTheme="majorHAnsi" w:eastAsiaTheme="majorEastAsia" w:hAnsiTheme="majorHAnsi" w:cstheme="majorBidi"/>
      <w:b w:val="0"/>
      <w:bCs w:val="0"/>
      <w:color w:val="365F91" w:themeColor="accent1" w:themeShade="BF"/>
      <w:szCs w:val="32"/>
    </w:rPr>
  </w:style>
  <w:style w:type="character" w:styleId="Odkaznakoment">
    <w:name w:val="annotation reference"/>
    <w:basedOn w:val="Standardnpsmoodstavce"/>
    <w:uiPriority w:val="99"/>
    <w:semiHidden/>
    <w:unhideWhenUsed/>
    <w:rsid w:val="009324EF"/>
    <w:rPr>
      <w:sz w:val="16"/>
      <w:szCs w:val="16"/>
    </w:rPr>
  </w:style>
  <w:style w:type="paragraph" w:styleId="Textkomente">
    <w:name w:val="annotation text"/>
    <w:basedOn w:val="Normln"/>
    <w:link w:val="TextkomenteChar"/>
    <w:uiPriority w:val="99"/>
    <w:unhideWhenUsed/>
    <w:rsid w:val="009324EF"/>
    <w:pPr>
      <w:spacing w:line="240" w:lineRule="auto"/>
    </w:pPr>
    <w:rPr>
      <w:szCs w:val="20"/>
    </w:rPr>
  </w:style>
  <w:style w:type="character" w:customStyle="1" w:styleId="TextkomenteChar">
    <w:name w:val="Text komentáře Char"/>
    <w:basedOn w:val="Standardnpsmoodstavce"/>
    <w:link w:val="Textkomente"/>
    <w:uiPriority w:val="99"/>
    <w:rsid w:val="009324EF"/>
    <w:rPr>
      <w:rFonts w:ascii="Arial" w:eastAsia="Times New Roman" w:hAnsi="Arial"/>
      <w:lang w:eastAsia="cs-CZ"/>
    </w:rPr>
  </w:style>
  <w:style w:type="paragraph" w:styleId="Pedmtkomente">
    <w:name w:val="annotation subject"/>
    <w:basedOn w:val="Textkomente"/>
    <w:next w:val="Textkomente"/>
    <w:link w:val="PedmtkomenteChar"/>
    <w:uiPriority w:val="99"/>
    <w:semiHidden/>
    <w:unhideWhenUsed/>
    <w:rsid w:val="009324EF"/>
    <w:rPr>
      <w:b/>
      <w:bCs/>
    </w:rPr>
  </w:style>
  <w:style w:type="character" w:customStyle="1" w:styleId="PedmtkomenteChar">
    <w:name w:val="Předmět komentáře Char"/>
    <w:basedOn w:val="TextkomenteChar"/>
    <w:link w:val="Pedmtkomente"/>
    <w:uiPriority w:val="99"/>
    <w:semiHidden/>
    <w:rsid w:val="009324EF"/>
    <w:rPr>
      <w:rFonts w:ascii="Arial" w:eastAsia="Times New Roman" w:hAnsi="Arial"/>
      <w:b/>
      <w:bCs/>
      <w:lang w:eastAsia="cs-CZ"/>
    </w:rPr>
  </w:style>
  <w:style w:type="paragraph" w:styleId="Rozloendokumentu">
    <w:name w:val="Document Map"/>
    <w:basedOn w:val="Normln"/>
    <w:link w:val="RozloendokumentuChar"/>
    <w:uiPriority w:val="99"/>
    <w:semiHidden/>
    <w:rsid w:val="009324EF"/>
    <w:pPr>
      <w:spacing w:after="0" w:line="288" w:lineRule="auto"/>
      <w:jc w:val="left"/>
    </w:pPr>
    <w:rPr>
      <w:rFonts w:ascii="Tahoma" w:eastAsia="Calibri" w:hAnsi="Tahoma" w:cs="Tahoma"/>
      <w:sz w:val="16"/>
      <w:szCs w:val="16"/>
    </w:rPr>
  </w:style>
  <w:style w:type="character" w:customStyle="1" w:styleId="RozloendokumentuChar">
    <w:name w:val="Rozložení dokumentu Char"/>
    <w:basedOn w:val="Standardnpsmoodstavce"/>
    <w:link w:val="Rozloendokumentu"/>
    <w:uiPriority w:val="99"/>
    <w:semiHidden/>
    <w:rsid w:val="009324EF"/>
    <w:rPr>
      <w:rFonts w:ascii="Tahoma" w:hAnsi="Tahoma" w:cs="Tahoma"/>
      <w:sz w:val="16"/>
      <w:szCs w:val="16"/>
      <w:lang w:eastAsia="cs-CZ"/>
    </w:rPr>
  </w:style>
  <w:style w:type="paragraph" w:customStyle="1" w:styleId="Nadpis12">
    <w:name w:val="Nadpis 12"/>
    <w:basedOn w:val="Normln"/>
    <w:uiPriority w:val="9"/>
    <w:qFormat/>
    <w:rsid w:val="009324EF"/>
    <w:pPr>
      <w:keepNext/>
      <w:keepLines/>
      <w:spacing w:after="100"/>
      <w:contextualSpacing/>
      <w:jc w:val="left"/>
      <w:outlineLvl w:val="0"/>
    </w:pPr>
    <w:rPr>
      <w:rFonts w:eastAsia="MS Gothic"/>
      <w:b/>
      <w:bCs/>
      <w:color w:val="71818C"/>
      <w:sz w:val="32"/>
      <w:szCs w:val="28"/>
    </w:rPr>
  </w:style>
  <w:style w:type="character" w:customStyle="1" w:styleId="spelle">
    <w:name w:val="spelle"/>
    <w:basedOn w:val="Standardnpsmoodstavce"/>
    <w:rsid w:val="009324EF"/>
  </w:style>
  <w:style w:type="paragraph" w:styleId="Revize">
    <w:name w:val="Revision"/>
    <w:hidden/>
    <w:uiPriority w:val="99"/>
    <w:semiHidden/>
    <w:rsid w:val="009324EF"/>
    <w:rPr>
      <w:rFonts w:ascii="Arial" w:eastAsia="Times New Roman" w:hAnsi="Arial"/>
      <w:szCs w:val="24"/>
      <w:lang w:eastAsia="cs-CZ"/>
    </w:rPr>
  </w:style>
  <w:style w:type="character" w:customStyle="1" w:styleId="odkaz-style-wrapper">
    <w:name w:val="odkaz-style-wrapper"/>
    <w:basedOn w:val="Standardnpsmoodstavce"/>
    <w:rsid w:val="009324EF"/>
  </w:style>
  <w:style w:type="character" w:customStyle="1" w:styleId="tabulka">
    <w:name w:val="tabulka"/>
    <w:basedOn w:val="Standardnpsmoodstavce"/>
    <w:rsid w:val="009324EF"/>
  </w:style>
  <w:style w:type="paragraph" w:customStyle="1" w:styleId="Default">
    <w:name w:val="Default"/>
    <w:rsid w:val="009324EF"/>
    <w:pPr>
      <w:autoSpaceDE w:val="0"/>
      <w:autoSpaceDN w:val="0"/>
      <w:adjustRightInd w:val="0"/>
    </w:pPr>
    <w:rPr>
      <w:rFonts w:cs="Calibri"/>
      <w:color w:val="000000"/>
      <w:sz w:val="24"/>
      <w:szCs w:val="24"/>
    </w:rPr>
  </w:style>
  <w:style w:type="paragraph" w:styleId="Normlnweb">
    <w:name w:val="Normal (Web)"/>
    <w:basedOn w:val="Normln"/>
    <w:uiPriority w:val="99"/>
    <w:semiHidden/>
    <w:unhideWhenUsed/>
    <w:rsid w:val="009324EF"/>
    <w:pPr>
      <w:spacing w:before="100" w:beforeAutospacing="1" w:after="100" w:afterAutospacing="1" w:line="240" w:lineRule="auto"/>
      <w:jc w:val="left"/>
    </w:pPr>
    <w:rPr>
      <w:rFonts w:ascii="Times New Roman" w:hAnsi="Times New Roman"/>
      <w:sz w:val="24"/>
    </w:rPr>
  </w:style>
  <w:style w:type="paragraph" w:styleId="FormtovanvHTML">
    <w:name w:val="HTML Preformatted"/>
    <w:basedOn w:val="Normln"/>
    <w:link w:val="FormtovanvHTMLChar"/>
    <w:uiPriority w:val="99"/>
    <w:semiHidden/>
    <w:unhideWhenUsed/>
    <w:rsid w:val="009324E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left"/>
    </w:pPr>
    <w:rPr>
      <w:rFonts w:ascii="Courier New" w:hAnsi="Courier New" w:cs="Courier New"/>
      <w:szCs w:val="20"/>
    </w:rPr>
  </w:style>
  <w:style w:type="character" w:customStyle="1" w:styleId="FormtovanvHTMLChar">
    <w:name w:val="Formátovaný v HTML Char"/>
    <w:basedOn w:val="Standardnpsmoodstavce"/>
    <w:link w:val="FormtovanvHTML"/>
    <w:uiPriority w:val="99"/>
    <w:semiHidden/>
    <w:rsid w:val="009324EF"/>
    <w:rPr>
      <w:rFonts w:ascii="Courier New" w:eastAsia="Times New Roman" w:hAnsi="Courier New" w:cs="Courier New"/>
      <w:lang w:eastAsia="cs-CZ"/>
    </w:rPr>
  </w:style>
  <w:style w:type="paragraph" w:customStyle="1" w:styleId="cay">
    <w:name w:val="c_ay"/>
    <w:basedOn w:val="Normln"/>
    <w:rsid w:val="009324EF"/>
    <w:pPr>
      <w:spacing w:before="100" w:beforeAutospacing="1" w:after="100" w:afterAutospacing="1" w:line="240" w:lineRule="auto"/>
      <w:jc w:val="left"/>
    </w:pPr>
    <w:rPr>
      <w:rFonts w:ascii="Times New Roman" w:hAnsi="Times New Roman"/>
      <w:sz w:val="24"/>
    </w:rPr>
  </w:style>
  <w:style w:type="character" w:customStyle="1" w:styleId="cew">
    <w:name w:val="c_ew"/>
    <w:basedOn w:val="Standardnpsmoodstavce"/>
    <w:rsid w:val="009324EF"/>
  </w:style>
  <w:style w:type="character" w:styleId="Sledovanodkaz">
    <w:name w:val="FollowedHyperlink"/>
    <w:basedOn w:val="Standardnpsmoodstavce"/>
    <w:uiPriority w:val="99"/>
    <w:semiHidden/>
    <w:unhideWhenUsed/>
    <w:rsid w:val="009324EF"/>
    <w:rPr>
      <w:color w:val="800080" w:themeColor="followedHyperlink"/>
      <w:u w:val="single"/>
    </w:rPr>
  </w:style>
  <w:style w:type="character" w:customStyle="1" w:styleId="cfu">
    <w:name w:val="c_fu"/>
    <w:basedOn w:val="Standardnpsmoodstavce"/>
    <w:rsid w:val="009324EF"/>
  </w:style>
  <w:style w:type="character" w:customStyle="1" w:styleId="OdstavecseseznamemChar">
    <w:name w:val="Odstavec se seznamem Char"/>
    <w:basedOn w:val="Standardnpsmoodstavce"/>
    <w:link w:val="Odstavecseseznamem"/>
    <w:uiPriority w:val="34"/>
    <w:rsid w:val="009324EF"/>
    <w:rPr>
      <w:rFonts w:ascii="Arial" w:eastAsia="Times New Roman" w:hAnsi="Arial"/>
      <w:szCs w:val="24"/>
      <w:lang w:eastAsia="cs-CZ"/>
    </w:rPr>
  </w:style>
  <w:style w:type="paragraph" w:styleId="Textvysvtlivek">
    <w:name w:val="endnote text"/>
    <w:basedOn w:val="Normln"/>
    <w:link w:val="TextvysvtlivekChar"/>
    <w:uiPriority w:val="99"/>
    <w:semiHidden/>
    <w:unhideWhenUsed/>
    <w:rsid w:val="00BB2F43"/>
    <w:pPr>
      <w:spacing w:after="0" w:line="240" w:lineRule="auto"/>
    </w:pPr>
    <w:rPr>
      <w:szCs w:val="20"/>
    </w:rPr>
  </w:style>
  <w:style w:type="character" w:customStyle="1" w:styleId="TextvysvtlivekChar">
    <w:name w:val="Text vysvětlivek Char"/>
    <w:basedOn w:val="Standardnpsmoodstavce"/>
    <w:link w:val="Textvysvtlivek"/>
    <w:uiPriority w:val="99"/>
    <w:semiHidden/>
    <w:rsid w:val="00BB2F43"/>
    <w:rPr>
      <w:rFonts w:ascii="Arial" w:eastAsia="Times New Roman" w:hAnsi="Arial"/>
      <w:lang w:eastAsia="cs-CZ"/>
    </w:rPr>
  </w:style>
  <w:style w:type="character" w:styleId="Odkaznavysvtlivky">
    <w:name w:val="endnote reference"/>
    <w:basedOn w:val="Standardnpsmoodstavce"/>
    <w:uiPriority w:val="99"/>
    <w:semiHidden/>
    <w:unhideWhenUsed/>
    <w:rsid w:val="00BB2F43"/>
    <w:rPr>
      <w:vertAlign w:val="superscript"/>
    </w:rPr>
  </w:style>
  <w:style w:type="character" w:customStyle="1" w:styleId="ts-alignment-element">
    <w:name w:val="ts-alignment-element"/>
    <w:basedOn w:val="Standardnpsmoodstavce"/>
    <w:rsid w:val="00EB42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86699">
      <w:bodyDiv w:val="1"/>
      <w:marLeft w:val="0"/>
      <w:marRight w:val="0"/>
      <w:marTop w:val="0"/>
      <w:marBottom w:val="0"/>
      <w:divBdr>
        <w:top w:val="none" w:sz="0" w:space="0" w:color="auto"/>
        <w:left w:val="none" w:sz="0" w:space="0" w:color="auto"/>
        <w:bottom w:val="none" w:sz="0" w:space="0" w:color="auto"/>
        <w:right w:val="none" w:sz="0" w:space="0" w:color="auto"/>
      </w:divBdr>
    </w:div>
    <w:div w:id="112676334">
      <w:bodyDiv w:val="1"/>
      <w:marLeft w:val="0"/>
      <w:marRight w:val="0"/>
      <w:marTop w:val="0"/>
      <w:marBottom w:val="0"/>
      <w:divBdr>
        <w:top w:val="none" w:sz="0" w:space="0" w:color="auto"/>
        <w:left w:val="none" w:sz="0" w:space="0" w:color="auto"/>
        <w:bottom w:val="none" w:sz="0" w:space="0" w:color="auto"/>
        <w:right w:val="none" w:sz="0" w:space="0" w:color="auto"/>
      </w:divBdr>
    </w:div>
    <w:div w:id="243729605">
      <w:bodyDiv w:val="1"/>
      <w:marLeft w:val="0"/>
      <w:marRight w:val="0"/>
      <w:marTop w:val="0"/>
      <w:marBottom w:val="0"/>
      <w:divBdr>
        <w:top w:val="none" w:sz="0" w:space="0" w:color="auto"/>
        <w:left w:val="none" w:sz="0" w:space="0" w:color="auto"/>
        <w:bottom w:val="none" w:sz="0" w:space="0" w:color="auto"/>
        <w:right w:val="none" w:sz="0" w:space="0" w:color="auto"/>
      </w:divBdr>
    </w:div>
    <w:div w:id="255015632">
      <w:bodyDiv w:val="1"/>
      <w:marLeft w:val="0"/>
      <w:marRight w:val="0"/>
      <w:marTop w:val="0"/>
      <w:marBottom w:val="0"/>
      <w:divBdr>
        <w:top w:val="none" w:sz="0" w:space="0" w:color="auto"/>
        <w:left w:val="none" w:sz="0" w:space="0" w:color="auto"/>
        <w:bottom w:val="none" w:sz="0" w:space="0" w:color="auto"/>
        <w:right w:val="none" w:sz="0" w:space="0" w:color="auto"/>
      </w:divBdr>
    </w:div>
    <w:div w:id="264115308">
      <w:bodyDiv w:val="1"/>
      <w:marLeft w:val="0"/>
      <w:marRight w:val="0"/>
      <w:marTop w:val="0"/>
      <w:marBottom w:val="0"/>
      <w:divBdr>
        <w:top w:val="none" w:sz="0" w:space="0" w:color="auto"/>
        <w:left w:val="none" w:sz="0" w:space="0" w:color="auto"/>
        <w:bottom w:val="none" w:sz="0" w:space="0" w:color="auto"/>
        <w:right w:val="none" w:sz="0" w:space="0" w:color="auto"/>
      </w:divBdr>
    </w:div>
    <w:div w:id="493226895">
      <w:bodyDiv w:val="1"/>
      <w:marLeft w:val="0"/>
      <w:marRight w:val="0"/>
      <w:marTop w:val="0"/>
      <w:marBottom w:val="0"/>
      <w:divBdr>
        <w:top w:val="none" w:sz="0" w:space="0" w:color="auto"/>
        <w:left w:val="none" w:sz="0" w:space="0" w:color="auto"/>
        <w:bottom w:val="none" w:sz="0" w:space="0" w:color="auto"/>
        <w:right w:val="none" w:sz="0" w:space="0" w:color="auto"/>
      </w:divBdr>
    </w:div>
    <w:div w:id="533806547">
      <w:bodyDiv w:val="1"/>
      <w:marLeft w:val="0"/>
      <w:marRight w:val="0"/>
      <w:marTop w:val="0"/>
      <w:marBottom w:val="0"/>
      <w:divBdr>
        <w:top w:val="none" w:sz="0" w:space="0" w:color="auto"/>
        <w:left w:val="none" w:sz="0" w:space="0" w:color="auto"/>
        <w:bottom w:val="none" w:sz="0" w:space="0" w:color="auto"/>
        <w:right w:val="none" w:sz="0" w:space="0" w:color="auto"/>
      </w:divBdr>
    </w:div>
    <w:div w:id="683020579">
      <w:bodyDiv w:val="1"/>
      <w:marLeft w:val="0"/>
      <w:marRight w:val="0"/>
      <w:marTop w:val="0"/>
      <w:marBottom w:val="0"/>
      <w:divBdr>
        <w:top w:val="none" w:sz="0" w:space="0" w:color="auto"/>
        <w:left w:val="none" w:sz="0" w:space="0" w:color="auto"/>
        <w:bottom w:val="none" w:sz="0" w:space="0" w:color="auto"/>
        <w:right w:val="none" w:sz="0" w:space="0" w:color="auto"/>
      </w:divBdr>
    </w:div>
    <w:div w:id="883518353">
      <w:bodyDiv w:val="1"/>
      <w:marLeft w:val="0"/>
      <w:marRight w:val="0"/>
      <w:marTop w:val="0"/>
      <w:marBottom w:val="0"/>
      <w:divBdr>
        <w:top w:val="none" w:sz="0" w:space="0" w:color="auto"/>
        <w:left w:val="none" w:sz="0" w:space="0" w:color="auto"/>
        <w:bottom w:val="none" w:sz="0" w:space="0" w:color="auto"/>
        <w:right w:val="none" w:sz="0" w:space="0" w:color="auto"/>
      </w:divBdr>
    </w:div>
    <w:div w:id="932319695">
      <w:bodyDiv w:val="1"/>
      <w:marLeft w:val="0"/>
      <w:marRight w:val="0"/>
      <w:marTop w:val="0"/>
      <w:marBottom w:val="0"/>
      <w:divBdr>
        <w:top w:val="none" w:sz="0" w:space="0" w:color="auto"/>
        <w:left w:val="none" w:sz="0" w:space="0" w:color="auto"/>
        <w:bottom w:val="none" w:sz="0" w:space="0" w:color="auto"/>
        <w:right w:val="none" w:sz="0" w:space="0" w:color="auto"/>
      </w:divBdr>
    </w:div>
    <w:div w:id="1208487203">
      <w:bodyDiv w:val="1"/>
      <w:marLeft w:val="0"/>
      <w:marRight w:val="0"/>
      <w:marTop w:val="0"/>
      <w:marBottom w:val="0"/>
      <w:divBdr>
        <w:top w:val="none" w:sz="0" w:space="0" w:color="auto"/>
        <w:left w:val="none" w:sz="0" w:space="0" w:color="auto"/>
        <w:bottom w:val="none" w:sz="0" w:space="0" w:color="auto"/>
        <w:right w:val="none" w:sz="0" w:space="0" w:color="auto"/>
      </w:divBdr>
    </w:div>
    <w:div w:id="1276136441">
      <w:bodyDiv w:val="1"/>
      <w:marLeft w:val="0"/>
      <w:marRight w:val="0"/>
      <w:marTop w:val="0"/>
      <w:marBottom w:val="0"/>
      <w:divBdr>
        <w:top w:val="none" w:sz="0" w:space="0" w:color="auto"/>
        <w:left w:val="none" w:sz="0" w:space="0" w:color="auto"/>
        <w:bottom w:val="none" w:sz="0" w:space="0" w:color="auto"/>
        <w:right w:val="none" w:sz="0" w:space="0" w:color="auto"/>
      </w:divBdr>
    </w:div>
    <w:div w:id="1283000633">
      <w:bodyDiv w:val="1"/>
      <w:marLeft w:val="0"/>
      <w:marRight w:val="0"/>
      <w:marTop w:val="0"/>
      <w:marBottom w:val="0"/>
      <w:divBdr>
        <w:top w:val="none" w:sz="0" w:space="0" w:color="auto"/>
        <w:left w:val="none" w:sz="0" w:space="0" w:color="auto"/>
        <w:bottom w:val="none" w:sz="0" w:space="0" w:color="auto"/>
        <w:right w:val="none" w:sz="0" w:space="0" w:color="auto"/>
      </w:divBdr>
    </w:div>
    <w:div w:id="1405689476">
      <w:bodyDiv w:val="1"/>
      <w:marLeft w:val="0"/>
      <w:marRight w:val="0"/>
      <w:marTop w:val="0"/>
      <w:marBottom w:val="0"/>
      <w:divBdr>
        <w:top w:val="none" w:sz="0" w:space="0" w:color="auto"/>
        <w:left w:val="none" w:sz="0" w:space="0" w:color="auto"/>
        <w:bottom w:val="none" w:sz="0" w:space="0" w:color="auto"/>
        <w:right w:val="none" w:sz="0" w:space="0" w:color="auto"/>
      </w:divBdr>
    </w:div>
    <w:div w:id="1486582325">
      <w:bodyDiv w:val="1"/>
      <w:marLeft w:val="0"/>
      <w:marRight w:val="0"/>
      <w:marTop w:val="0"/>
      <w:marBottom w:val="0"/>
      <w:divBdr>
        <w:top w:val="none" w:sz="0" w:space="0" w:color="auto"/>
        <w:left w:val="none" w:sz="0" w:space="0" w:color="auto"/>
        <w:bottom w:val="none" w:sz="0" w:space="0" w:color="auto"/>
        <w:right w:val="none" w:sz="0" w:space="0" w:color="auto"/>
      </w:divBdr>
    </w:div>
    <w:div w:id="1856962653">
      <w:bodyDiv w:val="1"/>
      <w:marLeft w:val="0"/>
      <w:marRight w:val="0"/>
      <w:marTop w:val="0"/>
      <w:marBottom w:val="0"/>
      <w:divBdr>
        <w:top w:val="none" w:sz="0" w:space="0" w:color="auto"/>
        <w:left w:val="none" w:sz="0" w:space="0" w:color="auto"/>
        <w:bottom w:val="none" w:sz="0" w:space="0" w:color="auto"/>
        <w:right w:val="none" w:sz="0" w:space="0" w:color="auto"/>
      </w:divBdr>
    </w:div>
    <w:div w:id="1893350832">
      <w:bodyDiv w:val="1"/>
      <w:marLeft w:val="0"/>
      <w:marRight w:val="0"/>
      <w:marTop w:val="0"/>
      <w:marBottom w:val="0"/>
      <w:divBdr>
        <w:top w:val="none" w:sz="0" w:space="0" w:color="auto"/>
        <w:left w:val="none" w:sz="0" w:space="0" w:color="auto"/>
        <w:bottom w:val="none" w:sz="0" w:space="0" w:color="auto"/>
        <w:right w:val="none" w:sz="0" w:space="0" w:color="auto"/>
      </w:divBdr>
    </w:div>
    <w:div w:id="2088262363">
      <w:bodyDiv w:val="1"/>
      <w:marLeft w:val="0"/>
      <w:marRight w:val="0"/>
      <w:marTop w:val="0"/>
      <w:marBottom w:val="0"/>
      <w:divBdr>
        <w:top w:val="none" w:sz="0" w:space="0" w:color="auto"/>
        <w:left w:val="none" w:sz="0" w:space="0" w:color="auto"/>
        <w:bottom w:val="none" w:sz="0" w:space="0" w:color="auto"/>
        <w:right w:val="none" w:sz="0" w:space="0" w:color="auto"/>
      </w:divBdr>
    </w:div>
    <w:div w:id="211092350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chart" Target="charts/chart1.xm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zabojnikova31519.CZSO\Downloads\Form_c444_Publikace_regiony%20a%20zeme%20-%20analyzy.dotx" TargetMode="External"/></Relationships>
</file>

<file path=word/charts/_rels/chart1.xml.rels><?xml version="1.0" encoding="UTF-8" standalone="yes"?>
<Relationships xmlns="http://schemas.openxmlformats.org/package/2006/relationships"><Relationship Id="rId1" Type="http://schemas.openxmlformats.org/officeDocument/2006/relationships/oleObject" Target="https://czsocz-my.sharepoint.com/personal/karolina_zabojnikova_czso_cz/Documents/Dokumenty/Anal&#253;za/Q/2026Q2/eng/Makroanal&#253;za%20grafy_eng.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cs-CZ"/>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4.4557159743329959E-2"/>
          <c:y val="2.1711264016309892E-2"/>
          <c:w val="0.93757303275920301"/>
          <c:h val="0.73130361364404473"/>
        </c:manualLayout>
      </c:layout>
      <c:barChart>
        <c:barDir val="col"/>
        <c:grouping val="clustered"/>
        <c:varyColors val="0"/>
        <c:ser>
          <c:idx val="0"/>
          <c:order val="0"/>
          <c:tx>
            <c:strRef>
              <c:f>'Měnové podmínky 1'!$C$5</c:f>
              <c:strCache>
                <c:ptCount val="1"/>
                <c:pt idx="0">
                  <c:v>2W repo rate</c:v>
                </c:pt>
              </c:strCache>
            </c:strRef>
          </c:tx>
          <c:spPr>
            <a:solidFill>
              <a:srgbClr val="B8BBC0"/>
            </a:solidFill>
          </c:spPr>
          <c:invertIfNegative val="0"/>
          <c:cat>
            <c:multiLvlStrRef>
              <c:f>'Měnové podmínky 1'!$A$42:$B$107</c:f>
              <c:multiLvlStrCache>
                <c:ptCount val="66"/>
                <c:lvl>
                  <c:pt idx="0">
                    <c:v>1</c:v>
                  </c:pt>
                  <c:pt idx="1">
                    <c:v>2</c:v>
                  </c:pt>
                  <c:pt idx="2">
                    <c:v>3</c:v>
                  </c:pt>
                  <c:pt idx="3">
                    <c:v>4</c:v>
                  </c:pt>
                  <c:pt idx="4">
                    <c:v>5</c:v>
                  </c:pt>
                  <c:pt idx="5">
                    <c:v>6</c:v>
                  </c:pt>
                  <c:pt idx="6">
                    <c:v>7</c:v>
                  </c:pt>
                  <c:pt idx="7">
                    <c:v>8</c:v>
                  </c:pt>
                  <c:pt idx="8">
                    <c:v>9</c:v>
                  </c:pt>
                  <c:pt idx="9">
                    <c:v>10</c:v>
                  </c:pt>
                  <c:pt idx="10">
                    <c:v>11</c:v>
                  </c:pt>
                  <c:pt idx="11">
                    <c:v>12</c:v>
                  </c:pt>
                  <c:pt idx="12">
                    <c:v>1</c:v>
                  </c:pt>
                  <c:pt idx="13">
                    <c:v>2</c:v>
                  </c:pt>
                  <c:pt idx="14">
                    <c:v>3</c:v>
                  </c:pt>
                  <c:pt idx="15">
                    <c:v>4</c:v>
                  </c:pt>
                  <c:pt idx="16">
                    <c:v>5</c:v>
                  </c:pt>
                  <c:pt idx="17">
                    <c:v>6</c:v>
                  </c:pt>
                  <c:pt idx="18">
                    <c:v>7</c:v>
                  </c:pt>
                  <c:pt idx="19">
                    <c:v>8</c:v>
                  </c:pt>
                  <c:pt idx="20">
                    <c:v>9</c:v>
                  </c:pt>
                  <c:pt idx="21">
                    <c:v>10</c:v>
                  </c:pt>
                  <c:pt idx="22">
                    <c:v>11</c:v>
                  </c:pt>
                  <c:pt idx="23">
                    <c:v>12</c:v>
                  </c:pt>
                  <c:pt idx="24">
                    <c:v>1</c:v>
                  </c:pt>
                  <c:pt idx="25">
                    <c:v>2</c:v>
                  </c:pt>
                  <c:pt idx="26">
                    <c:v>3</c:v>
                  </c:pt>
                  <c:pt idx="27">
                    <c:v>4</c:v>
                  </c:pt>
                  <c:pt idx="28">
                    <c:v>5</c:v>
                  </c:pt>
                  <c:pt idx="29">
                    <c:v>6</c:v>
                  </c:pt>
                  <c:pt idx="30">
                    <c:v>7</c:v>
                  </c:pt>
                  <c:pt idx="31">
                    <c:v>8</c:v>
                  </c:pt>
                  <c:pt idx="32">
                    <c:v>9</c:v>
                  </c:pt>
                  <c:pt idx="33">
                    <c:v>10</c:v>
                  </c:pt>
                  <c:pt idx="34">
                    <c:v>11</c:v>
                  </c:pt>
                  <c:pt idx="35">
                    <c:v>12</c:v>
                  </c:pt>
                  <c:pt idx="36">
                    <c:v>1</c:v>
                  </c:pt>
                  <c:pt idx="37">
                    <c:v>2</c:v>
                  </c:pt>
                  <c:pt idx="38">
                    <c:v>3</c:v>
                  </c:pt>
                  <c:pt idx="39">
                    <c:v>4</c:v>
                  </c:pt>
                  <c:pt idx="40">
                    <c:v>5</c:v>
                  </c:pt>
                  <c:pt idx="41">
                    <c:v>6</c:v>
                  </c:pt>
                  <c:pt idx="42">
                    <c:v>7</c:v>
                  </c:pt>
                  <c:pt idx="43">
                    <c:v>8</c:v>
                  </c:pt>
                  <c:pt idx="44">
                    <c:v>9</c:v>
                  </c:pt>
                  <c:pt idx="45">
                    <c:v>10</c:v>
                  </c:pt>
                  <c:pt idx="46">
                    <c:v>11</c:v>
                  </c:pt>
                  <c:pt idx="47">
                    <c:v>12</c:v>
                  </c:pt>
                  <c:pt idx="48">
                    <c:v>1</c:v>
                  </c:pt>
                  <c:pt idx="49">
                    <c:v>2</c:v>
                  </c:pt>
                  <c:pt idx="50">
                    <c:v>3</c:v>
                  </c:pt>
                  <c:pt idx="51">
                    <c:v>4</c:v>
                  </c:pt>
                  <c:pt idx="52">
                    <c:v>5</c:v>
                  </c:pt>
                  <c:pt idx="53">
                    <c:v>6</c:v>
                  </c:pt>
                  <c:pt idx="54">
                    <c:v>7</c:v>
                  </c:pt>
                  <c:pt idx="55">
                    <c:v>8</c:v>
                  </c:pt>
                  <c:pt idx="56">
                    <c:v>9</c:v>
                  </c:pt>
                  <c:pt idx="57">
                    <c:v>10</c:v>
                  </c:pt>
                  <c:pt idx="58">
                    <c:v>11</c:v>
                  </c:pt>
                  <c:pt idx="59">
                    <c:v>12</c:v>
                  </c:pt>
                  <c:pt idx="60">
                    <c:v>1</c:v>
                  </c:pt>
                  <c:pt idx="61">
                    <c:v>2</c:v>
                  </c:pt>
                  <c:pt idx="62">
                    <c:v>3</c:v>
                  </c:pt>
                  <c:pt idx="63">
                    <c:v>4</c:v>
                  </c:pt>
                  <c:pt idx="64">
                    <c:v>5</c:v>
                  </c:pt>
                  <c:pt idx="65">
                    <c:v>6</c:v>
                  </c:pt>
                </c:lvl>
                <c:lvl>
                  <c:pt idx="0">
                    <c:v>2021</c:v>
                  </c:pt>
                  <c:pt idx="12">
                    <c:v>2022</c:v>
                  </c:pt>
                  <c:pt idx="24">
                    <c:v>2023</c:v>
                  </c:pt>
                  <c:pt idx="36">
                    <c:v>2024</c:v>
                  </c:pt>
                  <c:pt idx="48">
                    <c:v>2025</c:v>
                  </c:pt>
                  <c:pt idx="60">
                    <c:v>2026</c:v>
                  </c:pt>
                </c:lvl>
              </c:multiLvlStrCache>
            </c:multiLvlStrRef>
          </c:cat>
          <c:val>
            <c:numRef>
              <c:f>'Měnové podmínky 1'!$C$42:$C$107</c:f>
              <c:numCache>
                <c:formatCode>General</c:formatCode>
                <c:ptCount val="66"/>
                <c:pt idx="0">
                  <c:v>0.25</c:v>
                </c:pt>
                <c:pt idx="1">
                  <c:v>0.25</c:v>
                </c:pt>
                <c:pt idx="2">
                  <c:v>0.25</c:v>
                </c:pt>
                <c:pt idx="3">
                  <c:v>0.25</c:v>
                </c:pt>
                <c:pt idx="4">
                  <c:v>0.25</c:v>
                </c:pt>
                <c:pt idx="5">
                  <c:v>0.5</c:v>
                </c:pt>
                <c:pt idx="6">
                  <c:v>0.5</c:v>
                </c:pt>
                <c:pt idx="7">
                  <c:v>0.75</c:v>
                </c:pt>
                <c:pt idx="8">
                  <c:v>0.75</c:v>
                </c:pt>
                <c:pt idx="9">
                  <c:v>1.5</c:v>
                </c:pt>
                <c:pt idx="10">
                  <c:v>2.75</c:v>
                </c:pt>
                <c:pt idx="11">
                  <c:v>3.75</c:v>
                </c:pt>
                <c:pt idx="12">
                  <c:v>3.75</c:v>
                </c:pt>
                <c:pt idx="13">
                  <c:v>4.5</c:v>
                </c:pt>
                <c:pt idx="14">
                  <c:v>4.5</c:v>
                </c:pt>
                <c:pt idx="15">
                  <c:v>5</c:v>
                </c:pt>
                <c:pt idx="16">
                  <c:v>5.75</c:v>
                </c:pt>
                <c:pt idx="17">
                  <c:v>7</c:v>
                </c:pt>
                <c:pt idx="18">
                  <c:v>7</c:v>
                </c:pt>
                <c:pt idx="19">
                  <c:v>7</c:v>
                </c:pt>
                <c:pt idx="20">
                  <c:v>7</c:v>
                </c:pt>
                <c:pt idx="21">
                  <c:v>7</c:v>
                </c:pt>
                <c:pt idx="22">
                  <c:v>7</c:v>
                </c:pt>
                <c:pt idx="23">
                  <c:v>7</c:v>
                </c:pt>
                <c:pt idx="24">
                  <c:v>7</c:v>
                </c:pt>
                <c:pt idx="25">
                  <c:v>7</c:v>
                </c:pt>
                <c:pt idx="26">
                  <c:v>7</c:v>
                </c:pt>
                <c:pt idx="27" formatCode="###\ ###\ ###\ ###\ ##0.00;\-###\ ###\ ###\ ###\ ##0.00">
                  <c:v>7</c:v>
                </c:pt>
                <c:pt idx="28" formatCode="###\ ###\ ###\ ###\ ##0.00;\-###\ ###\ ###\ ###\ ##0.00">
                  <c:v>7</c:v>
                </c:pt>
                <c:pt idx="29" formatCode="###\ ###\ ###\ ###\ ##0.00;\-###\ ###\ ###\ ###\ ##0.00">
                  <c:v>7</c:v>
                </c:pt>
                <c:pt idx="30" formatCode="###\ ###\ ###\ ###\ ##0.00;\-###\ ###\ ###\ ###\ ##0.00">
                  <c:v>7</c:v>
                </c:pt>
                <c:pt idx="31" formatCode="###\ ###\ ###\ ###\ ##0.00;\-###\ ###\ ###\ ###\ ##0.00">
                  <c:v>7</c:v>
                </c:pt>
                <c:pt idx="32" formatCode="###\ ###\ ###\ ###\ ##0.00;\-###\ ###\ ###\ ###\ ##0.00">
                  <c:v>7</c:v>
                </c:pt>
                <c:pt idx="33" formatCode="###\ ###\ ###\ ###\ ##0.00;\-###\ ###\ ###\ ###\ ##0.00">
                  <c:v>7</c:v>
                </c:pt>
                <c:pt idx="34" formatCode="###\ ###\ ###\ ###\ ##0.00;\-###\ ###\ ###\ ###\ ##0.00">
                  <c:v>7</c:v>
                </c:pt>
                <c:pt idx="35" formatCode="###\ ###\ ###\ ###\ ##0.00;\-###\ ###\ ###\ ###\ ##0.00">
                  <c:v>6.75</c:v>
                </c:pt>
                <c:pt idx="36" formatCode="###\ ###\ ###\ ###\ ##0.00;\-###\ ###\ ###\ ###\ ##0.00">
                  <c:v>6.75</c:v>
                </c:pt>
                <c:pt idx="37" formatCode="###\ ###\ ###\ ###\ ##0.00;\-###\ ###\ ###\ ###\ ##0.00">
                  <c:v>6.25</c:v>
                </c:pt>
                <c:pt idx="38" formatCode="###\ ###\ ###\ ###\ ##0.00;\-###\ ###\ ###\ ###\ ##0.00">
                  <c:v>5.75</c:v>
                </c:pt>
                <c:pt idx="39" formatCode="###\ ###\ ###\ ###\ ##0.00;\-###\ ###\ ###\ ###\ ##0.00">
                  <c:v>5.75</c:v>
                </c:pt>
                <c:pt idx="40" formatCode="###\ ###\ ###\ ###\ ##0.00;\-###\ ###\ ###\ ###\ ##0.00">
                  <c:v>5.25</c:v>
                </c:pt>
                <c:pt idx="41" formatCode="###\ ###\ ###\ ###\ ##0.00;\-###\ ###\ ###\ ###\ ##0.00">
                  <c:v>4.75</c:v>
                </c:pt>
                <c:pt idx="42" formatCode="###\ ###\ ###\ ###\ ##0.00;\-###\ ###\ ###\ ###\ ##0.00">
                  <c:v>4.75</c:v>
                </c:pt>
                <c:pt idx="43" formatCode="###\ ###\ ###\ ###\ ##0.00;\-###\ ###\ ###\ ###\ ##0.00">
                  <c:v>4.5</c:v>
                </c:pt>
                <c:pt idx="44" formatCode="###\ ###\ ###\ ###\ ##0.00;\-###\ ###\ ###\ ###\ ##0.00">
                  <c:v>4.25</c:v>
                </c:pt>
                <c:pt idx="45" formatCode="###\ ###\ ###\ ###\ ##0.00;\-###\ ###\ ###\ ###\ ##0.00">
                  <c:v>4.25</c:v>
                </c:pt>
                <c:pt idx="46" formatCode="###\ ###\ ###\ ###\ ##0.00;\-###\ ###\ ###\ ###\ ##0.00">
                  <c:v>4</c:v>
                </c:pt>
                <c:pt idx="47" formatCode="###\ ###\ ###\ ###\ ##0.00;\-###\ ###\ ###\ ###\ ##0.00">
                  <c:v>4</c:v>
                </c:pt>
                <c:pt idx="48" formatCode="###\ ###\ ###\ ###\ ##0.00;\-###\ ###\ ###\ ###\ ##0.00">
                  <c:v>4</c:v>
                </c:pt>
                <c:pt idx="49" formatCode="###\ ###\ ###\ ###\ ##0.00;\-###\ ###\ ###\ ###\ ##0.00">
                  <c:v>3.75</c:v>
                </c:pt>
                <c:pt idx="50" formatCode="###\ ###\ ###\ ###\ ##0.00;\-###\ ###\ ###\ ###\ ##0.00">
                  <c:v>3.75</c:v>
                </c:pt>
                <c:pt idx="51" formatCode="###\ ###\ ###\ ###\ ##0.00;\-###\ ###\ ###\ ###\ ##0.00">
                  <c:v>3.75</c:v>
                </c:pt>
                <c:pt idx="52" formatCode="###\ ###\ ###\ ###\ ##0.00;\-###\ ###\ ###\ ###\ ##0.00">
                  <c:v>3.5</c:v>
                </c:pt>
                <c:pt idx="53" formatCode="###\ ###\ ###\ ###\ ##0.00;\-###\ ###\ ###\ ###\ ##0.00">
                  <c:v>3.5</c:v>
                </c:pt>
                <c:pt idx="54" formatCode="###\ ###\ ###\ ###\ ##0.00;\-###\ ###\ ###\ ###\ ##0.00">
                  <c:v>3.5</c:v>
                </c:pt>
                <c:pt idx="55" formatCode="###\ ###\ ###\ ###\ ##0.00;\-###\ ###\ ###\ ###\ ##0.00">
                  <c:v>3.5</c:v>
                </c:pt>
                <c:pt idx="56" formatCode="###\ ###\ ###\ ###\ ##0.00;\-###\ ###\ ###\ ###\ ##0.00">
                  <c:v>3.5</c:v>
                </c:pt>
                <c:pt idx="57" formatCode="###\ ###\ ###\ ###\ ##0.00;\-###\ ###\ ###\ ###\ ##0.00">
                  <c:v>3.5</c:v>
                </c:pt>
                <c:pt idx="58" formatCode="###\ ###\ ###\ ###\ ##0.00;\-###\ ###\ ###\ ###\ ##0.00">
                  <c:v>3.5</c:v>
                </c:pt>
                <c:pt idx="59" formatCode="###\ ###\ ###\ ###\ ##0.00;\-###\ ###\ ###\ ###\ ##0.00">
                  <c:v>3.5</c:v>
                </c:pt>
                <c:pt idx="60" formatCode="###\ ###\ ###\ ###\ ##0.00;\-###\ ###\ ###\ ###\ ##0.00">
                  <c:v>3.5</c:v>
                </c:pt>
                <c:pt idx="61" formatCode="###\ ###\ ###\ ###\ ##0.00;\-###\ ###\ ###\ ###\ ##0.00">
                  <c:v>3.5</c:v>
                </c:pt>
                <c:pt idx="62" formatCode="###\ ###\ ###\ ###\ ##0.00;\-###\ ###\ ###\ ###\ ##0.00">
                  <c:v>3.5</c:v>
                </c:pt>
                <c:pt idx="63" formatCode="###\ ###\ ###\ ###\ ##0.00;\-###\ ###\ ###\ ###\ ##0.00">
                  <c:v>3.5</c:v>
                </c:pt>
                <c:pt idx="64" formatCode="###\ ###\ ###\ ###\ ##0.00;\-###\ ###\ ###\ ###\ ##0.00">
                  <c:v>3.5</c:v>
                </c:pt>
                <c:pt idx="65" formatCode="###\ ###\ ###\ ###\ ##0.00;\-###\ ###\ ###\ ###\ ##0.00">
                  <c:v>3.75</c:v>
                </c:pt>
              </c:numCache>
            </c:numRef>
          </c:val>
          <c:extLst>
            <c:ext xmlns:c16="http://schemas.microsoft.com/office/drawing/2014/chart" uri="{C3380CC4-5D6E-409C-BE32-E72D297353CC}">
              <c16:uniqueId val="{00000000-6B70-4529-A91A-6515B1A6BF87}"/>
            </c:ext>
          </c:extLst>
        </c:ser>
        <c:dLbls>
          <c:showLegendKey val="0"/>
          <c:showVal val="0"/>
          <c:showCatName val="0"/>
          <c:showSerName val="0"/>
          <c:showPercent val="0"/>
          <c:showBubbleSize val="0"/>
        </c:dLbls>
        <c:gapWidth val="31"/>
        <c:axId val="131001344"/>
        <c:axId val="131027712"/>
      </c:barChart>
      <c:lineChart>
        <c:grouping val="standard"/>
        <c:varyColors val="0"/>
        <c:ser>
          <c:idx val="3"/>
          <c:order val="1"/>
          <c:tx>
            <c:strRef>
              <c:f>'Měnové podmínky 1'!$F$5</c:f>
              <c:strCache>
                <c:ptCount val="1"/>
                <c:pt idx="0">
                  <c:v>Average yield of government bonds (2Y)</c:v>
                </c:pt>
              </c:strCache>
            </c:strRef>
          </c:tx>
          <c:spPr>
            <a:ln w="19050">
              <a:solidFill>
                <a:srgbClr val="86BF5E"/>
              </a:solidFill>
            </a:ln>
          </c:spPr>
          <c:marker>
            <c:symbol val="none"/>
          </c:marker>
          <c:cat>
            <c:multiLvlStrRef>
              <c:f>'Měnové podmínky 1'!$A$42:$B$107</c:f>
              <c:multiLvlStrCache>
                <c:ptCount val="66"/>
                <c:lvl>
                  <c:pt idx="0">
                    <c:v>1</c:v>
                  </c:pt>
                  <c:pt idx="1">
                    <c:v>2</c:v>
                  </c:pt>
                  <c:pt idx="2">
                    <c:v>3</c:v>
                  </c:pt>
                  <c:pt idx="3">
                    <c:v>4</c:v>
                  </c:pt>
                  <c:pt idx="4">
                    <c:v>5</c:v>
                  </c:pt>
                  <c:pt idx="5">
                    <c:v>6</c:v>
                  </c:pt>
                  <c:pt idx="6">
                    <c:v>7</c:v>
                  </c:pt>
                  <c:pt idx="7">
                    <c:v>8</c:v>
                  </c:pt>
                  <c:pt idx="8">
                    <c:v>9</c:v>
                  </c:pt>
                  <c:pt idx="9">
                    <c:v>10</c:v>
                  </c:pt>
                  <c:pt idx="10">
                    <c:v>11</c:v>
                  </c:pt>
                  <c:pt idx="11">
                    <c:v>12</c:v>
                  </c:pt>
                  <c:pt idx="12">
                    <c:v>1</c:v>
                  </c:pt>
                  <c:pt idx="13">
                    <c:v>2</c:v>
                  </c:pt>
                  <c:pt idx="14">
                    <c:v>3</c:v>
                  </c:pt>
                  <c:pt idx="15">
                    <c:v>4</c:v>
                  </c:pt>
                  <c:pt idx="16">
                    <c:v>5</c:v>
                  </c:pt>
                  <c:pt idx="17">
                    <c:v>6</c:v>
                  </c:pt>
                  <c:pt idx="18">
                    <c:v>7</c:v>
                  </c:pt>
                  <c:pt idx="19">
                    <c:v>8</c:v>
                  </c:pt>
                  <c:pt idx="20">
                    <c:v>9</c:v>
                  </c:pt>
                  <c:pt idx="21">
                    <c:v>10</c:v>
                  </c:pt>
                  <c:pt idx="22">
                    <c:v>11</c:v>
                  </c:pt>
                  <c:pt idx="23">
                    <c:v>12</c:v>
                  </c:pt>
                  <c:pt idx="24">
                    <c:v>1</c:v>
                  </c:pt>
                  <c:pt idx="25">
                    <c:v>2</c:v>
                  </c:pt>
                  <c:pt idx="26">
                    <c:v>3</c:v>
                  </c:pt>
                  <c:pt idx="27">
                    <c:v>4</c:v>
                  </c:pt>
                  <c:pt idx="28">
                    <c:v>5</c:v>
                  </c:pt>
                  <c:pt idx="29">
                    <c:v>6</c:v>
                  </c:pt>
                  <c:pt idx="30">
                    <c:v>7</c:v>
                  </c:pt>
                  <c:pt idx="31">
                    <c:v>8</c:v>
                  </c:pt>
                  <c:pt idx="32">
                    <c:v>9</c:v>
                  </c:pt>
                  <c:pt idx="33">
                    <c:v>10</c:v>
                  </c:pt>
                  <c:pt idx="34">
                    <c:v>11</c:v>
                  </c:pt>
                  <c:pt idx="35">
                    <c:v>12</c:v>
                  </c:pt>
                  <c:pt idx="36">
                    <c:v>1</c:v>
                  </c:pt>
                  <c:pt idx="37">
                    <c:v>2</c:v>
                  </c:pt>
                  <c:pt idx="38">
                    <c:v>3</c:v>
                  </c:pt>
                  <c:pt idx="39">
                    <c:v>4</c:v>
                  </c:pt>
                  <c:pt idx="40">
                    <c:v>5</c:v>
                  </c:pt>
                  <c:pt idx="41">
                    <c:v>6</c:v>
                  </c:pt>
                  <c:pt idx="42">
                    <c:v>7</c:v>
                  </c:pt>
                  <c:pt idx="43">
                    <c:v>8</c:v>
                  </c:pt>
                  <c:pt idx="44">
                    <c:v>9</c:v>
                  </c:pt>
                  <c:pt idx="45">
                    <c:v>10</c:v>
                  </c:pt>
                  <c:pt idx="46">
                    <c:v>11</c:v>
                  </c:pt>
                  <c:pt idx="47">
                    <c:v>12</c:v>
                  </c:pt>
                  <c:pt idx="48">
                    <c:v>1</c:v>
                  </c:pt>
                  <c:pt idx="49">
                    <c:v>2</c:v>
                  </c:pt>
                  <c:pt idx="50">
                    <c:v>3</c:v>
                  </c:pt>
                  <c:pt idx="51">
                    <c:v>4</c:v>
                  </c:pt>
                  <c:pt idx="52">
                    <c:v>5</c:v>
                  </c:pt>
                  <c:pt idx="53">
                    <c:v>6</c:v>
                  </c:pt>
                  <c:pt idx="54">
                    <c:v>7</c:v>
                  </c:pt>
                  <c:pt idx="55">
                    <c:v>8</c:v>
                  </c:pt>
                  <c:pt idx="56">
                    <c:v>9</c:v>
                  </c:pt>
                  <c:pt idx="57">
                    <c:v>10</c:v>
                  </c:pt>
                  <c:pt idx="58">
                    <c:v>11</c:v>
                  </c:pt>
                  <c:pt idx="59">
                    <c:v>12</c:v>
                  </c:pt>
                  <c:pt idx="60">
                    <c:v>1</c:v>
                  </c:pt>
                  <c:pt idx="61">
                    <c:v>2</c:v>
                  </c:pt>
                  <c:pt idx="62">
                    <c:v>3</c:v>
                  </c:pt>
                  <c:pt idx="63">
                    <c:v>4</c:v>
                  </c:pt>
                  <c:pt idx="64">
                    <c:v>5</c:v>
                  </c:pt>
                  <c:pt idx="65">
                    <c:v>6</c:v>
                  </c:pt>
                </c:lvl>
                <c:lvl>
                  <c:pt idx="0">
                    <c:v>2021</c:v>
                  </c:pt>
                  <c:pt idx="12">
                    <c:v>2022</c:v>
                  </c:pt>
                  <c:pt idx="24">
                    <c:v>2023</c:v>
                  </c:pt>
                  <c:pt idx="36">
                    <c:v>2024</c:v>
                  </c:pt>
                  <c:pt idx="48">
                    <c:v>2025</c:v>
                  </c:pt>
                  <c:pt idx="60">
                    <c:v>2026</c:v>
                  </c:pt>
                </c:lvl>
              </c:multiLvlStrCache>
            </c:multiLvlStrRef>
          </c:cat>
          <c:val>
            <c:numRef>
              <c:f>'Měnové podmínky 1'!$F$42:$F$107</c:f>
              <c:numCache>
                <c:formatCode>General</c:formatCode>
                <c:ptCount val="66"/>
                <c:pt idx="0">
                  <c:v>0.26</c:v>
                </c:pt>
                <c:pt idx="1">
                  <c:v>0.45</c:v>
                </c:pt>
                <c:pt idx="2">
                  <c:v>0.75</c:v>
                </c:pt>
                <c:pt idx="3">
                  <c:v>0.76</c:v>
                </c:pt>
                <c:pt idx="4">
                  <c:v>0.76</c:v>
                </c:pt>
                <c:pt idx="5">
                  <c:v>0.69</c:v>
                </c:pt>
                <c:pt idx="6">
                  <c:v>0.84</c:v>
                </c:pt>
                <c:pt idx="7">
                  <c:v>1.24</c:v>
                </c:pt>
                <c:pt idx="8">
                  <c:v>1.6</c:v>
                </c:pt>
                <c:pt idx="9">
                  <c:v>2.29</c:v>
                </c:pt>
                <c:pt idx="10">
                  <c:v>3</c:v>
                </c:pt>
                <c:pt idx="11">
                  <c:v>3.07</c:v>
                </c:pt>
                <c:pt idx="12">
                  <c:v>3.81</c:v>
                </c:pt>
                <c:pt idx="13">
                  <c:v>3.77</c:v>
                </c:pt>
                <c:pt idx="14">
                  <c:v>4.54</c:v>
                </c:pt>
                <c:pt idx="15">
                  <c:v>5.13</c:v>
                </c:pt>
                <c:pt idx="16">
                  <c:v>5.65</c:v>
                </c:pt>
                <c:pt idx="17">
                  <c:v>6.26</c:v>
                </c:pt>
                <c:pt idx="18">
                  <c:v>6.38</c:v>
                </c:pt>
                <c:pt idx="19">
                  <c:v>5.86</c:v>
                </c:pt>
                <c:pt idx="20">
                  <c:v>5.9</c:v>
                </c:pt>
                <c:pt idx="21">
                  <c:v>6.18</c:v>
                </c:pt>
                <c:pt idx="22">
                  <c:v>5.68</c:v>
                </c:pt>
                <c:pt idx="23">
                  <c:v>5.19</c:v>
                </c:pt>
                <c:pt idx="24" formatCode="###\ ###\ ###\ ###\ ##0.00;\-###\ ###\ ###\ ###\ ##0.00">
                  <c:v>5.3820143358172814</c:v>
                </c:pt>
                <c:pt idx="25" formatCode="###\ ###\ ###\ ###\ ##0.00;\-###\ ###\ ###\ ###\ ##0.00">
                  <c:v>5.5102623550618501</c:v>
                </c:pt>
                <c:pt idx="26" formatCode="###\ ###\ ###\ ###\ ##0.00;\-###\ ###\ ###\ ###\ ##0.00">
                  <c:v>5.2897725027111999</c:v>
                </c:pt>
                <c:pt idx="27" formatCode="###\ ###\ ###\ ###\ ##0.00;\-###\ ###\ ###\ ###\ ##0.00">
                  <c:v>5.4232360381175866</c:v>
                </c:pt>
                <c:pt idx="28" formatCode="###\ ###\ ###\ ###\ ##0.00;\-###\ ###\ ###\ ###\ ##0.00">
                  <c:v>5.4162815888395777</c:v>
                </c:pt>
                <c:pt idx="29" formatCode="###\ ###\ ###\ ###\ ##0.00;\-###\ ###\ ###\ ###\ ##0.00">
                  <c:v>5.3664752553650841</c:v>
                </c:pt>
                <c:pt idx="30" formatCode="###\ ###\ ###\ ###\ ##0.00;\-###\ ###\ ###\ ###\ ##0.00">
                  <c:v>5.2428078558777935</c:v>
                </c:pt>
                <c:pt idx="31" formatCode="###\ ###\ ###\ ###\ ##0.00;\-###\ ###\ ###\ ###\ ##0.00">
                  <c:v>5.1353490658602521</c:v>
                </c:pt>
                <c:pt idx="32" formatCode="###\ ###\ ###\ ###\ ##0.00;\-###\ ###\ ###\ ###\ ##0.00">
                  <c:v>5.0416686003519704</c:v>
                </c:pt>
                <c:pt idx="33" formatCode="###\ ###\ ###\ ###\ ##0.00;\-###\ ###\ ###\ ###\ ##0.00">
                  <c:v>5.0079198294298592</c:v>
                </c:pt>
                <c:pt idx="34" formatCode="###\ ###\ ###\ ###\ ##0.00;\-###\ ###\ ###\ ###\ ##0.00">
                  <c:v>4.8554647740100689</c:v>
                </c:pt>
                <c:pt idx="35" formatCode="###\ ###\ ###\ ###\ ##0.00;\-###\ ###\ ###\ ###\ ##0.00">
                  <c:v>4.6053753410259048</c:v>
                </c:pt>
                <c:pt idx="36" formatCode="###\ ###\ ###\ ###\ ##0.00;\-###\ ###\ ###\ ###\ ##0.00">
                  <c:v>4.2136537187056122</c:v>
                </c:pt>
                <c:pt idx="37" formatCode="###\ ###\ ###\ ###\ ##0.00;\-###\ ###\ ###\ ###\ ##0.00">
                  <c:v>3.7766020145670578</c:v>
                </c:pt>
                <c:pt idx="38" formatCode="###\ ###\ ###\ ###\ ##0.00;\-###\ ###\ ###\ ###\ ##0.00">
                  <c:v>3.7279261080474861</c:v>
                </c:pt>
                <c:pt idx="39" formatCode="###\ ###\ ###\ ###\ ##0.00;\-###\ ###\ ###\ ###\ ##0.00">
                  <c:v>4.0118973322405145</c:v>
                </c:pt>
                <c:pt idx="40" formatCode="###\ ###\ ###\ ###\ ##0.00;\-###\ ###\ ###\ ###\ ##0.00">
                  <c:v>4.1300681765456435</c:v>
                </c:pt>
                <c:pt idx="41" formatCode="###\ ###\ ###\ ###\ ##0.00;\-###\ ###\ ###\ ###\ ##0.00">
                  <c:v>4.2164856033630391</c:v>
                </c:pt>
                <c:pt idx="42" formatCode="###\ ###\ ###\ ###\ ##0.00;\-###\ ###\ ###\ ###\ ##0.00">
                  <c:v>3.9029960800170911</c:v>
                </c:pt>
                <c:pt idx="43" formatCode="###\ ###\ ###\ ###\ ##0.00;\-###\ ###\ ###\ ###\ ##0.00">
                  <c:v>3.6092171953235983</c:v>
                </c:pt>
                <c:pt idx="44" formatCode="###\ ###\ ###\ ###\ ##0.00;\-###\ ###\ ###\ ###\ ##0.00">
                  <c:v>3.5038942508225221</c:v>
                </c:pt>
                <c:pt idx="45" formatCode="###\ ###\ ###\ ###\ ##0.00;\-###\ ###\ ###\ ###\ ##0.00">
                  <c:v>3.5913124701621322</c:v>
                </c:pt>
                <c:pt idx="46" formatCode="###\ ###\ ###\ ###\ ##0.00;\-###\ ###\ ###\ ###\ ##0.00">
                  <c:v>3.6229260484095986</c:v>
                </c:pt>
                <c:pt idx="47" formatCode="###\ ###\ ###\ ###\ ##0.00;\-###\ ###\ ###\ ###\ ##0.00">
                  <c:v>3.633213073730468</c:v>
                </c:pt>
                <c:pt idx="48" formatCode="###\ ###\ ###\ ###\ ##0.00;\-###\ ###\ ###\ ###\ ##0.00">
                  <c:v>3.6198225590376429</c:v>
                </c:pt>
                <c:pt idx="49" formatCode="###\ ###\ ###\ ###\ ##0.00;\-###\ ###\ ###\ ###\ ##0.00">
                  <c:v>3.4995673098754891</c:v>
                </c:pt>
                <c:pt idx="50" formatCode="###\ ###\ ###\ ###\ ##0.00;\-###\ ###\ ###\ ###\ ##0.00">
                  <c:v>3.4362126025099986</c:v>
                </c:pt>
                <c:pt idx="51" formatCode="###\ ###\ ###\ ###\ ##0.00;\-###\ ###\ ###\ ###\ ##0.00">
                  <c:v>3.3165813662414552</c:v>
                </c:pt>
                <c:pt idx="52" formatCode="###\ ###\ ###\ ###\ ##0.00;\-###\ ###\ ###\ ###\ ##0.00">
                  <c:v>3.381600528900147</c:v>
                </c:pt>
                <c:pt idx="53" formatCode="###\ ###\ ###\ ###\ ##0.00;\-###\ ###\ ###\ ###\ ##0.00">
                  <c:v>3.473857271350679</c:v>
                </c:pt>
                <c:pt idx="54" formatCode="###\ ###\ ###\ ###\ ##0.00;\-###\ ###\ ###\ ###\ ##0.00">
                  <c:v>3.5190819740892496</c:v>
                </c:pt>
                <c:pt idx="55" formatCode="###\ ###\ ###\ ###\ ##0.00;\-###\ ###\ ###\ ###\ ##0.00">
                  <c:v>3.4836667416091198</c:v>
                </c:pt>
                <c:pt idx="56" formatCode="###\ ###\ ###\ ###\ ##0.00;\-###\ ###\ ###\ ###\ ##0.00">
                  <c:v>3.5436249291853472</c:v>
                </c:pt>
                <c:pt idx="57" formatCode="###\ ###\ ###\ ###\ ##0.00;\-###\ ###\ ###\ ###\ ##0.00">
                  <c:v>3.574561141829057</c:v>
                </c:pt>
                <c:pt idx="58" formatCode="###\ ###\ ###\ ###\ ##0.00;\-###\ ###\ ###\ ###\ ##0.00">
                  <c:v>3.6337666942257352</c:v>
                </c:pt>
                <c:pt idx="59" formatCode="###\ ###\ ###\ ###\ ##0.00;\-###\ ###\ ###\ ###\ ##0.00">
                  <c:v>3.5964323584064695</c:v>
                </c:pt>
                <c:pt idx="60" formatCode="###\ ###\ ###\ ###\ ##0.00;\-###\ ###\ ###\ ###\ ##0.00">
                  <c:v>3.4753374715459913</c:v>
                </c:pt>
                <c:pt idx="61" formatCode="###\ ###\ ###\ ###\ ##0.00;\-###\ ###\ ###\ ###\ ##0.00">
                  <c:v>3.3840517354049684</c:v>
                </c:pt>
                <c:pt idx="62" formatCode="###\ ###\ ###\ ###\ ##0.00;\-###\ ###\ ###\ ###\ ##0.00">
                  <c:v>3.9218512695035064</c:v>
                </c:pt>
                <c:pt idx="63" formatCode="###\ ###\ ###\ ###\ ##0.00;\-###\ ###\ ###\ ###\ ##0.00">
                  <c:v>4.0021824290771493</c:v>
                </c:pt>
                <c:pt idx="64" formatCode="###\ ###\ ###\ ###\ ##0.00;\-###\ ###\ ###\ ###\ ##0.00">
                  <c:v>4.019428968923469</c:v>
                </c:pt>
                <c:pt idx="65" formatCode="###\ ###\ ###\ ###\ ##0.00;\-###\ ###\ ###\ ###\ ##0.00">
                  <c:v>3.915485051211403</c:v>
                </c:pt>
              </c:numCache>
            </c:numRef>
          </c:val>
          <c:smooth val="0"/>
          <c:extLst>
            <c:ext xmlns:c16="http://schemas.microsoft.com/office/drawing/2014/chart" uri="{C3380CC4-5D6E-409C-BE32-E72D297353CC}">
              <c16:uniqueId val="{00000001-6B70-4529-A91A-6515B1A6BF87}"/>
            </c:ext>
          </c:extLst>
        </c:ser>
        <c:ser>
          <c:idx val="1"/>
          <c:order val="2"/>
          <c:tx>
            <c:strRef>
              <c:f>'Měnové podmínky 1'!$D$5</c:f>
              <c:strCache>
                <c:ptCount val="1"/>
                <c:pt idx="0">
                  <c:v>PRIBOR (3M)</c:v>
                </c:pt>
              </c:strCache>
            </c:strRef>
          </c:tx>
          <c:spPr>
            <a:ln w="19050">
              <a:solidFill>
                <a:srgbClr val="009CB5"/>
              </a:solidFill>
            </a:ln>
          </c:spPr>
          <c:marker>
            <c:symbol val="none"/>
          </c:marker>
          <c:cat>
            <c:multiLvlStrRef>
              <c:f>'Měnové podmínky 1'!$A$42:$B$107</c:f>
              <c:multiLvlStrCache>
                <c:ptCount val="66"/>
                <c:lvl>
                  <c:pt idx="0">
                    <c:v>1</c:v>
                  </c:pt>
                  <c:pt idx="1">
                    <c:v>2</c:v>
                  </c:pt>
                  <c:pt idx="2">
                    <c:v>3</c:v>
                  </c:pt>
                  <c:pt idx="3">
                    <c:v>4</c:v>
                  </c:pt>
                  <c:pt idx="4">
                    <c:v>5</c:v>
                  </c:pt>
                  <c:pt idx="5">
                    <c:v>6</c:v>
                  </c:pt>
                  <c:pt idx="6">
                    <c:v>7</c:v>
                  </c:pt>
                  <c:pt idx="7">
                    <c:v>8</c:v>
                  </c:pt>
                  <c:pt idx="8">
                    <c:v>9</c:v>
                  </c:pt>
                  <c:pt idx="9">
                    <c:v>10</c:v>
                  </c:pt>
                  <c:pt idx="10">
                    <c:v>11</c:v>
                  </c:pt>
                  <c:pt idx="11">
                    <c:v>12</c:v>
                  </c:pt>
                  <c:pt idx="12">
                    <c:v>1</c:v>
                  </c:pt>
                  <c:pt idx="13">
                    <c:v>2</c:v>
                  </c:pt>
                  <c:pt idx="14">
                    <c:v>3</c:v>
                  </c:pt>
                  <c:pt idx="15">
                    <c:v>4</c:v>
                  </c:pt>
                  <c:pt idx="16">
                    <c:v>5</c:v>
                  </c:pt>
                  <c:pt idx="17">
                    <c:v>6</c:v>
                  </c:pt>
                  <c:pt idx="18">
                    <c:v>7</c:v>
                  </c:pt>
                  <c:pt idx="19">
                    <c:v>8</c:v>
                  </c:pt>
                  <c:pt idx="20">
                    <c:v>9</c:v>
                  </c:pt>
                  <c:pt idx="21">
                    <c:v>10</c:v>
                  </c:pt>
                  <c:pt idx="22">
                    <c:v>11</c:v>
                  </c:pt>
                  <c:pt idx="23">
                    <c:v>12</c:v>
                  </c:pt>
                  <c:pt idx="24">
                    <c:v>1</c:v>
                  </c:pt>
                  <c:pt idx="25">
                    <c:v>2</c:v>
                  </c:pt>
                  <c:pt idx="26">
                    <c:v>3</c:v>
                  </c:pt>
                  <c:pt idx="27">
                    <c:v>4</c:v>
                  </c:pt>
                  <c:pt idx="28">
                    <c:v>5</c:v>
                  </c:pt>
                  <c:pt idx="29">
                    <c:v>6</c:v>
                  </c:pt>
                  <c:pt idx="30">
                    <c:v>7</c:v>
                  </c:pt>
                  <c:pt idx="31">
                    <c:v>8</c:v>
                  </c:pt>
                  <c:pt idx="32">
                    <c:v>9</c:v>
                  </c:pt>
                  <c:pt idx="33">
                    <c:v>10</c:v>
                  </c:pt>
                  <c:pt idx="34">
                    <c:v>11</c:v>
                  </c:pt>
                  <c:pt idx="35">
                    <c:v>12</c:v>
                  </c:pt>
                  <c:pt idx="36">
                    <c:v>1</c:v>
                  </c:pt>
                  <c:pt idx="37">
                    <c:v>2</c:v>
                  </c:pt>
                  <c:pt idx="38">
                    <c:v>3</c:v>
                  </c:pt>
                  <c:pt idx="39">
                    <c:v>4</c:v>
                  </c:pt>
                  <c:pt idx="40">
                    <c:v>5</c:v>
                  </c:pt>
                  <c:pt idx="41">
                    <c:v>6</c:v>
                  </c:pt>
                  <c:pt idx="42">
                    <c:v>7</c:v>
                  </c:pt>
                  <c:pt idx="43">
                    <c:v>8</c:v>
                  </c:pt>
                  <c:pt idx="44">
                    <c:v>9</c:v>
                  </c:pt>
                  <c:pt idx="45">
                    <c:v>10</c:v>
                  </c:pt>
                  <c:pt idx="46">
                    <c:v>11</c:v>
                  </c:pt>
                  <c:pt idx="47">
                    <c:v>12</c:v>
                  </c:pt>
                  <c:pt idx="48">
                    <c:v>1</c:v>
                  </c:pt>
                  <c:pt idx="49">
                    <c:v>2</c:v>
                  </c:pt>
                  <c:pt idx="50">
                    <c:v>3</c:v>
                  </c:pt>
                  <c:pt idx="51">
                    <c:v>4</c:v>
                  </c:pt>
                  <c:pt idx="52">
                    <c:v>5</c:v>
                  </c:pt>
                  <c:pt idx="53">
                    <c:v>6</c:v>
                  </c:pt>
                  <c:pt idx="54">
                    <c:v>7</c:v>
                  </c:pt>
                  <c:pt idx="55">
                    <c:v>8</c:v>
                  </c:pt>
                  <c:pt idx="56">
                    <c:v>9</c:v>
                  </c:pt>
                  <c:pt idx="57">
                    <c:v>10</c:v>
                  </c:pt>
                  <c:pt idx="58">
                    <c:v>11</c:v>
                  </c:pt>
                  <c:pt idx="59">
                    <c:v>12</c:v>
                  </c:pt>
                  <c:pt idx="60">
                    <c:v>1</c:v>
                  </c:pt>
                  <c:pt idx="61">
                    <c:v>2</c:v>
                  </c:pt>
                  <c:pt idx="62">
                    <c:v>3</c:v>
                  </c:pt>
                  <c:pt idx="63">
                    <c:v>4</c:v>
                  </c:pt>
                  <c:pt idx="64">
                    <c:v>5</c:v>
                  </c:pt>
                  <c:pt idx="65">
                    <c:v>6</c:v>
                  </c:pt>
                </c:lvl>
                <c:lvl>
                  <c:pt idx="0">
                    <c:v>2021</c:v>
                  </c:pt>
                  <c:pt idx="12">
                    <c:v>2022</c:v>
                  </c:pt>
                  <c:pt idx="24">
                    <c:v>2023</c:v>
                  </c:pt>
                  <c:pt idx="36">
                    <c:v>2024</c:v>
                  </c:pt>
                  <c:pt idx="48">
                    <c:v>2025</c:v>
                  </c:pt>
                  <c:pt idx="60">
                    <c:v>2026</c:v>
                  </c:pt>
                </c:lvl>
              </c:multiLvlStrCache>
            </c:multiLvlStrRef>
          </c:cat>
          <c:val>
            <c:numRef>
              <c:f>'Měnové podmínky 1'!$D$42:$D$107</c:f>
              <c:numCache>
                <c:formatCode>General</c:formatCode>
                <c:ptCount val="66"/>
                <c:pt idx="0">
                  <c:v>0.36</c:v>
                </c:pt>
                <c:pt idx="1">
                  <c:v>0.36</c:v>
                </c:pt>
                <c:pt idx="2">
                  <c:v>0.36</c:v>
                </c:pt>
                <c:pt idx="3">
                  <c:v>0.36</c:v>
                </c:pt>
                <c:pt idx="4">
                  <c:v>0.37</c:v>
                </c:pt>
                <c:pt idx="5">
                  <c:v>0.48</c:v>
                </c:pt>
                <c:pt idx="6">
                  <c:v>0.69</c:v>
                </c:pt>
                <c:pt idx="7">
                  <c:v>0.94</c:v>
                </c:pt>
                <c:pt idx="8">
                  <c:v>1.1100000000000001</c:v>
                </c:pt>
                <c:pt idx="9">
                  <c:v>2.02</c:v>
                </c:pt>
                <c:pt idx="10">
                  <c:v>2.97</c:v>
                </c:pt>
                <c:pt idx="11">
                  <c:v>3.5</c:v>
                </c:pt>
                <c:pt idx="12">
                  <c:v>4.21</c:v>
                </c:pt>
                <c:pt idx="13">
                  <c:v>4.6900000000000004</c:v>
                </c:pt>
                <c:pt idx="14">
                  <c:v>4.8600000000000003</c:v>
                </c:pt>
                <c:pt idx="15">
                  <c:v>5.36</c:v>
                </c:pt>
                <c:pt idx="16">
                  <c:v>5.97</c:v>
                </c:pt>
                <c:pt idx="17">
                  <c:v>6.64</c:v>
                </c:pt>
                <c:pt idx="18">
                  <c:v>7.3</c:v>
                </c:pt>
                <c:pt idx="19">
                  <c:v>7.27</c:v>
                </c:pt>
                <c:pt idx="20">
                  <c:v>7.25</c:v>
                </c:pt>
                <c:pt idx="21">
                  <c:v>7.28</c:v>
                </c:pt>
                <c:pt idx="22">
                  <c:v>7.27</c:v>
                </c:pt>
                <c:pt idx="23">
                  <c:v>7.26</c:v>
                </c:pt>
                <c:pt idx="24" formatCode="###\ ###\ ###\ ###\ ##0.00;\-###\ ###\ ###\ ###\ ##0.00">
                  <c:v>7.2161904761904765</c:v>
                </c:pt>
                <c:pt idx="25" formatCode="###\ ###\ ###\ ###\ ##0.00;\-###\ ###\ ###\ ###\ ##0.00">
                  <c:v>7.2010526315789471</c:v>
                </c:pt>
                <c:pt idx="26" formatCode="###\ ###\ ###\ ###\ ##0.00;\-###\ ###\ ###\ ###\ ##0.00">
                  <c:v>7.1931818181818183</c:v>
                </c:pt>
                <c:pt idx="27" formatCode="###\ ###\ ###\ ###\ ##0.00;\-###\ ###\ ###\ ###\ ##0.00">
                  <c:v>7.1788888888888893</c:v>
                </c:pt>
                <c:pt idx="28" formatCode="###\ ###\ ###\ ###\ ##0.00;\-###\ ###\ ###\ ###\ ##0.00">
                  <c:v>7.1790476190476191</c:v>
                </c:pt>
                <c:pt idx="29" formatCode="###\ ###\ ###\ ###\ ##0.00;\-###\ ###\ ###\ ###\ ##0.00">
                  <c:v>7.1472727272727274</c:v>
                </c:pt>
                <c:pt idx="30" formatCode="###\ ###\ ###\ ###\ ##0.00;\-###\ ###\ ###\ ###\ ##0.00">
                  <c:v>7.1121052631578952</c:v>
                </c:pt>
                <c:pt idx="31" formatCode="###\ ###\ ###\ ###\ ##0.00;\-###\ ###\ ###\ ###\ ##0.00">
                  <c:v>7.1030434782608696</c:v>
                </c:pt>
                <c:pt idx="32" formatCode="###\ ###\ ###\ ###\ ##0.00;\-###\ ###\ ###\ ###\ ##0.00">
                  <c:v>7.0895000000000001</c:v>
                </c:pt>
                <c:pt idx="33" formatCode="###\ ###\ ###\ ###\ ##0.00;\-###\ ###\ ###\ ###\ ##0.00">
                  <c:v>7.0472727272727269</c:v>
                </c:pt>
                <c:pt idx="34" formatCode="###\ ###\ ###\ ###\ ##0.00;\-###\ ###\ ###\ ###\ ##0.00">
                  <c:v>7.062380952380952</c:v>
                </c:pt>
                <c:pt idx="35" formatCode="###\ ###\ ###\ ###\ ##0.00;\-###\ ###\ ###\ ###\ ##0.00">
                  <c:v>6.9663157894736845</c:v>
                </c:pt>
                <c:pt idx="36" formatCode="###\ ###\ ###\ ###\ ##0.00;\-###\ ###\ ###\ ###\ ##0.00">
                  <c:v>6.6340909090909088</c:v>
                </c:pt>
                <c:pt idx="37" formatCode="###\ ###\ ###\ ###\ ##0.00;\-###\ ###\ ###\ ###\ ##0.00">
                  <c:v>6.2019047619047623</c:v>
                </c:pt>
                <c:pt idx="38" formatCode="###\ ###\ ###\ ###\ ##0.00;\-###\ ###\ ###\ ###\ ##0.00">
                  <c:v>5.8363157894736846</c:v>
                </c:pt>
                <c:pt idx="39" formatCode="###\ ###\ ###\ ###\ ##0.00;\-###\ ###\ ###\ ###\ ##0.00">
                  <c:v>5.5461904761904766</c:v>
                </c:pt>
                <c:pt idx="40" formatCode="###\ ###\ ###\ ###\ ##0.00;\-###\ ###\ ###\ ###\ ##0.00">
                  <c:v>5.1704761904761902</c:v>
                </c:pt>
                <c:pt idx="41" formatCode="###\ ###\ ###\ ###\ ##0.00;\-###\ ###\ ###\ ###\ ##0.00">
                  <c:v>5.0274999999999999</c:v>
                </c:pt>
                <c:pt idx="42" formatCode="###\ ###\ ###\ ###\ ##0.00;\-###\ ###\ ###\ ###\ ##0.00">
                  <c:v>4.6090909090909093</c:v>
                </c:pt>
                <c:pt idx="43" formatCode="###\ ###\ ###\ ###\ ##0.00;\-###\ ###\ ###\ ###\ ##0.00">
                  <c:v>4.4118181818181821</c:v>
                </c:pt>
                <c:pt idx="44" formatCode="###\ ###\ ###\ ###\ ##0.00;\-###\ ###\ ###\ ###\ ##0.00">
                  <c:v>4.3004761904761901</c:v>
                </c:pt>
                <c:pt idx="45" formatCode="###\ ###\ ###\ ###\ ##0.00;\-###\ ###\ ###\ ###\ ##0.00">
                  <c:v>4.1322727272727269</c:v>
                </c:pt>
                <c:pt idx="46" formatCode="###\ ###\ ###\ ###\ ##0.00;\-###\ ###\ ###\ ###\ ##0.00">
                  <c:v>3.9452380952380954</c:v>
                </c:pt>
                <c:pt idx="47" formatCode="###\ ###\ ###\ ###\ ##0.00;\-###\ ###\ ###\ ###\ ##0.00">
                  <c:v>3.9066666666666667</c:v>
                </c:pt>
                <c:pt idx="48" formatCode="###\ ###\ ###\ ###\ ##0.00;\-###\ ###\ ###\ ###\ ##0.00">
                  <c:v>3.8804545454545454</c:v>
                </c:pt>
                <c:pt idx="49" formatCode="###\ ###\ ###\ ###\ ##0.00;\-###\ ###\ ###\ ###\ ##0.00">
                  <c:v>3.756842105263158</c:v>
                </c:pt>
                <c:pt idx="50" formatCode="###\ ###\ ###\ ###\ ##0.00;\-###\ ###\ ###\ ###\ ##0.00">
                  <c:v>3.7164999999999999</c:v>
                </c:pt>
                <c:pt idx="51" formatCode="###\ ###\ ###\ ###\ ##0.00;\-###\ ###\ ###\ ###\ ##0.00">
                  <c:v>3.68</c:v>
                </c:pt>
                <c:pt idx="52" formatCode="###\ ###\ ###\ ###\ ##0.00;\-###\ ###\ ###\ ###\ ##0.00">
                  <c:v>3.5357894736842104</c:v>
                </c:pt>
                <c:pt idx="53" formatCode="###\ ###\ ###\ ###\ ##0.00;\-###\ ###\ ###\ ###\ ##0.00">
                  <c:v>3.5114999999999998</c:v>
                </c:pt>
                <c:pt idx="54" formatCode="###\ ###\ ###\ ###\ ##0.00;\-###\ ###\ ###\ ###\ ##0.00">
                  <c:v>3.4930434782608697</c:v>
                </c:pt>
                <c:pt idx="55" formatCode="###\ ###\ ###\ ###\ ##0.00;\-###\ ###\ ###\ ###\ ##0.00">
                  <c:v>3.5024999999999999</c:v>
                </c:pt>
                <c:pt idx="56" formatCode="###\ ###\ ###\ ###\ ##0.00;\-###\ ###\ ###\ ###\ ##0.00">
                  <c:v>3.4909523809523808</c:v>
                </c:pt>
                <c:pt idx="57" formatCode="###\ ###\ ###\ ###\ ##0.00;\-###\ ###\ ###\ ###\ ##0.00">
                  <c:v>3.5263636363636364</c:v>
                </c:pt>
                <c:pt idx="58" formatCode="###\ ###\ ###\ ###\ ##0.00;\-###\ ###\ ###\ ###\ ##0.00">
                  <c:v>3.5516666666666667</c:v>
                </c:pt>
                <c:pt idx="59" formatCode="###\ ###\ ###\ ###\ ##0.00;\-###\ ###\ ###\ ###\ ##0.00">
                  <c:v>3.54</c:v>
                </c:pt>
                <c:pt idx="60" formatCode="###\ ###\ ###\ ###\ ##0.00;\-###\ ###\ ###\ ###\ ##0.00">
                  <c:v>3.4975000000000001</c:v>
                </c:pt>
                <c:pt idx="61" formatCode="###\ ###\ ###\ ###\ ##0.00;\-###\ ###\ ###\ ###\ ##0.00">
                  <c:v>3.4763157894736842</c:v>
                </c:pt>
                <c:pt idx="62" formatCode="###\ ###\ ###\ ###\ ##0.00;\-###\ ###\ ###\ ###\ ##0.00">
                  <c:v>3.5452380952380951</c:v>
                </c:pt>
                <c:pt idx="63" formatCode="###\ ###\ ###\ ###\ ##0.00;\-###\ ###\ ###\ ###\ ##0.00">
                  <c:v>3.5655555555555556</c:v>
                </c:pt>
                <c:pt idx="64" formatCode="###\ ###\ ###\ ###\ ##0.00;\-###\ ###\ ###\ ###\ ##0.00">
                  <c:v>3.5622222222222222</c:v>
                </c:pt>
                <c:pt idx="65" formatCode="###\ ###\ ###\ ###\ ##0.00;\-###\ ###\ ###\ ###\ ##0.00">
                  <c:v>3.68</c:v>
                </c:pt>
              </c:numCache>
            </c:numRef>
          </c:val>
          <c:smooth val="0"/>
          <c:extLst>
            <c:ext xmlns:c16="http://schemas.microsoft.com/office/drawing/2014/chart" uri="{C3380CC4-5D6E-409C-BE32-E72D297353CC}">
              <c16:uniqueId val="{00000002-6B70-4529-A91A-6515B1A6BF87}"/>
            </c:ext>
          </c:extLst>
        </c:ser>
        <c:ser>
          <c:idx val="4"/>
          <c:order val="3"/>
          <c:tx>
            <c:strRef>
              <c:f>'Měnové podmínky 1'!$G$5</c:f>
              <c:strCache>
                <c:ptCount val="1"/>
                <c:pt idx="0">
                  <c:v>Average yield of government bonds (5Y)</c:v>
                </c:pt>
              </c:strCache>
            </c:strRef>
          </c:tx>
          <c:spPr>
            <a:ln w="19050">
              <a:solidFill>
                <a:srgbClr val="CC9610"/>
              </a:solidFill>
            </a:ln>
          </c:spPr>
          <c:marker>
            <c:symbol val="none"/>
          </c:marker>
          <c:cat>
            <c:multiLvlStrRef>
              <c:f>'Měnové podmínky 1'!$A$42:$B$107</c:f>
              <c:multiLvlStrCache>
                <c:ptCount val="66"/>
                <c:lvl>
                  <c:pt idx="0">
                    <c:v>1</c:v>
                  </c:pt>
                  <c:pt idx="1">
                    <c:v>2</c:v>
                  </c:pt>
                  <c:pt idx="2">
                    <c:v>3</c:v>
                  </c:pt>
                  <c:pt idx="3">
                    <c:v>4</c:v>
                  </c:pt>
                  <c:pt idx="4">
                    <c:v>5</c:v>
                  </c:pt>
                  <c:pt idx="5">
                    <c:v>6</c:v>
                  </c:pt>
                  <c:pt idx="6">
                    <c:v>7</c:v>
                  </c:pt>
                  <c:pt idx="7">
                    <c:v>8</c:v>
                  </c:pt>
                  <c:pt idx="8">
                    <c:v>9</c:v>
                  </c:pt>
                  <c:pt idx="9">
                    <c:v>10</c:v>
                  </c:pt>
                  <c:pt idx="10">
                    <c:v>11</c:v>
                  </c:pt>
                  <c:pt idx="11">
                    <c:v>12</c:v>
                  </c:pt>
                  <c:pt idx="12">
                    <c:v>1</c:v>
                  </c:pt>
                  <c:pt idx="13">
                    <c:v>2</c:v>
                  </c:pt>
                  <c:pt idx="14">
                    <c:v>3</c:v>
                  </c:pt>
                  <c:pt idx="15">
                    <c:v>4</c:v>
                  </c:pt>
                  <c:pt idx="16">
                    <c:v>5</c:v>
                  </c:pt>
                  <c:pt idx="17">
                    <c:v>6</c:v>
                  </c:pt>
                  <c:pt idx="18">
                    <c:v>7</c:v>
                  </c:pt>
                  <c:pt idx="19">
                    <c:v>8</c:v>
                  </c:pt>
                  <c:pt idx="20">
                    <c:v>9</c:v>
                  </c:pt>
                  <c:pt idx="21">
                    <c:v>10</c:v>
                  </c:pt>
                  <c:pt idx="22">
                    <c:v>11</c:v>
                  </c:pt>
                  <c:pt idx="23">
                    <c:v>12</c:v>
                  </c:pt>
                  <c:pt idx="24">
                    <c:v>1</c:v>
                  </c:pt>
                  <c:pt idx="25">
                    <c:v>2</c:v>
                  </c:pt>
                  <c:pt idx="26">
                    <c:v>3</c:v>
                  </c:pt>
                  <c:pt idx="27">
                    <c:v>4</c:v>
                  </c:pt>
                  <c:pt idx="28">
                    <c:v>5</c:v>
                  </c:pt>
                  <c:pt idx="29">
                    <c:v>6</c:v>
                  </c:pt>
                  <c:pt idx="30">
                    <c:v>7</c:v>
                  </c:pt>
                  <c:pt idx="31">
                    <c:v>8</c:v>
                  </c:pt>
                  <c:pt idx="32">
                    <c:v>9</c:v>
                  </c:pt>
                  <c:pt idx="33">
                    <c:v>10</c:v>
                  </c:pt>
                  <c:pt idx="34">
                    <c:v>11</c:v>
                  </c:pt>
                  <c:pt idx="35">
                    <c:v>12</c:v>
                  </c:pt>
                  <c:pt idx="36">
                    <c:v>1</c:v>
                  </c:pt>
                  <c:pt idx="37">
                    <c:v>2</c:v>
                  </c:pt>
                  <c:pt idx="38">
                    <c:v>3</c:v>
                  </c:pt>
                  <c:pt idx="39">
                    <c:v>4</c:v>
                  </c:pt>
                  <c:pt idx="40">
                    <c:v>5</c:v>
                  </c:pt>
                  <c:pt idx="41">
                    <c:v>6</c:v>
                  </c:pt>
                  <c:pt idx="42">
                    <c:v>7</c:v>
                  </c:pt>
                  <c:pt idx="43">
                    <c:v>8</c:v>
                  </c:pt>
                  <c:pt idx="44">
                    <c:v>9</c:v>
                  </c:pt>
                  <c:pt idx="45">
                    <c:v>10</c:v>
                  </c:pt>
                  <c:pt idx="46">
                    <c:v>11</c:v>
                  </c:pt>
                  <c:pt idx="47">
                    <c:v>12</c:v>
                  </c:pt>
                  <c:pt idx="48">
                    <c:v>1</c:v>
                  </c:pt>
                  <c:pt idx="49">
                    <c:v>2</c:v>
                  </c:pt>
                  <c:pt idx="50">
                    <c:v>3</c:v>
                  </c:pt>
                  <c:pt idx="51">
                    <c:v>4</c:v>
                  </c:pt>
                  <c:pt idx="52">
                    <c:v>5</c:v>
                  </c:pt>
                  <c:pt idx="53">
                    <c:v>6</c:v>
                  </c:pt>
                  <c:pt idx="54">
                    <c:v>7</c:v>
                  </c:pt>
                  <c:pt idx="55">
                    <c:v>8</c:v>
                  </c:pt>
                  <c:pt idx="56">
                    <c:v>9</c:v>
                  </c:pt>
                  <c:pt idx="57">
                    <c:v>10</c:v>
                  </c:pt>
                  <c:pt idx="58">
                    <c:v>11</c:v>
                  </c:pt>
                  <c:pt idx="59">
                    <c:v>12</c:v>
                  </c:pt>
                  <c:pt idx="60">
                    <c:v>1</c:v>
                  </c:pt>
                  <c:pt idx="61">
                    <c:v>2</c:v>
                  </c:pt>
                  <c:pt idx="62">
                    <c:v>3</c:v>
                  </c:pt>
                  <c:pt idx="63">
                    <c:v>4</c:v>
                  </c:pt>
                  <c:pt idx="64">
                    <c:v>5</c:v>
                  </c:pt>
                  <c:pt idx="65">
                    <c:v>6</c:v>
                  </c:pt>
                </c:lvl>
                <c:lvl>
                  <c:pt idx="0">
                    <c:v>2021</c:v>
                  </c:pt>
                  <c:pt idx="12">
                    <c:v>2022</c:v>
                  </c:pt>
                  <c:pt idx="24">
                    <c:v>2023</c:v>
                  </c:pt>
                  <c:pt idx="36">
                    <c:v>2024</c:v>
                  </c:pt>
                  <c:pt idx="48">
                    <c:v>2025</c:v>
                  </c:pt>
                  <c:pt idx="60">
                    <c:v>2026</c:v>
                  </c:pt>
                </c:lvl>
              </c:multiLvlStrCache>
            </c:multiLvlStrRef>
          </c:cat>
          <c:val>
            <c:numRef>
              <c:f>'Měnové podmínky 1'!$G$42:$G$107</c:f>
              <c:numCache>
                <c:formatCode>General</c:formatCode>
                <c:ptCount val="66"/>
                <c:pt idx="0">
                  <c:v>0.82</c:v>
                </c:pt>
                <c:pt idx="1">
                  <c:v>1.06</c:v>
                </c:pt>
                <c:pt idx="2">
                  <c:v>1.4</c:v>
                </c:pt>
                <c:pt idx="3">
                  <c:v>1.43</c:v>
                </c:pt>
                <c:pt idx="4">
                  <c:v>1.47</c:v>
                </c:pt>
                <c:pt idx="5">
                  <c:v>1.55</c:v>
                </c:pt>
                <c:pt idx="6">
                  <c:v>1.63</c:v>
                </c:pt>
                <c:pt idx="7">
                  <c:v>1.68</c:v>
                </c:pt>
                <c:pt idx="8">
                  <c:v>1.87</c:v>
                </c:pt>
                <c:pt idx="9">
                  <c:v>2.37</c:v>
                </c:pt>
                <c:pt idx="10">
                  <c:v>2.84</c:v>
                </c:pt>
                <c:pt idx="11">
                  <c:v>2.84</c:v>
                </c:pt>
                <c:pt idx="12">
                  <c:v>3.36</c:v>
                </c:pt>
                <c:pt idx="13">
                  <c:v>3.2</c:v>
                </c:pt>
                <c:pt idx="14">
                  <c:v>3.85</c:v>
                </c:pt>
                <c:pt idx="15">
                  <c:v>4.54</c:v>
                </c:pt>
                <c:pt idx="16">
                  <c:v>4.99</c:v>
                </c:pt>
                <c:pt idx="17">
                  <c:v>5.49</c:v>
                </c:pt>
                <c:pt idx="18">
                  <c:v>5.12</c:v>
                </c:pt>
                <c:pt idx="19">
                  <c:v>4.67</c:v>
                </c:pt>
                <c:pt idx="20">
                  <c:v>5.0599999999999996</c:v>
                </c:pt>
                <c:pt idx="21">
                  <c:v>5.69</c:v>
                </c:pt>
                <c:pt idx="22">
                  <c:v>5.31</c:v>
                </c:pt>
                <c:pt idx="23">
                  <c:v>4.9000000000000004</c:v>
                </c:pt>
                <c:pt idx="24" formatCode="###\ ###\ ###\ ###\ ##0.00;\-###\ ###\ ###\ ###\ ##0.00">
                  <c:v>4.7307064721228871</c:v>
                </c:pt>
                <c:pt idx="25" formatCode="###\ ###\ ###\ ###\ ##0.00;\-###\ ###\ ###\ ###\ ##0.00">
                  <c:v>4.869274267276765</c:v>
                </c:pt>
                <c:pt idx="26" formatCode="###\ ###\ ###\ ###\ ##0.00;\-###\ ###\ ###\ ###\ ##0.00">
                  <c:v>4.8901662581800389</c:v>
                </c:pt>
                <c:pt idx="27" formatCode="###\ ###\ ###\ ###\ ##0.00;\-###\ ###\ ###\ ###\ ##0.00">
                  <c:v>4.9165403661897455</c:v>
                </c:pt>
                <c:pt idx="28" formatCode="###\ ###\ ###\ ###\ ##0.00;\-###\ ###\ ###\ ###\ ##0.00">
                  <c:v>4.8278684891401031</c:v>
                </c:pt>
                <c:pt idx="29" formatCode="###\ ###\ ###\ ###\ ##0.00;\-###\ ###\ ###\ ###\ ##0.00">
                  <c:v>4.641252073600076</c:v>
                </c:pt>
                <c:pt idx="30" formatCode="###\ ###\ ###\ ###\ ##0.00;\-###\ ###\ ###\ ###\ ##0.00">
                  <c:v>4.3712476122939803</c:v>
                </c:pt>
                <c:pt idx="31" formatCode="###\ ###\ ###\ ###\ ##0.00;\-###\ ###\ ###\ ###\ ##0.00">
                  <c:v>4.4394883944569479</c:v>
                </c:pt>
                <c:pt idx="32" formatCode="###\ ###\ ###\ ###\ ##0.00;\-###\ ###\ ###\ ###\ ##0.00">
                  <c:v>4.5697569170379646</c:v>
                </c:pt>
                <c:pt idx="33" formatCode="###\ ###\ ###\ ###\ ##0.00;\-###\ ###\ ###\ ###\ ##0.00">
                  <c:v>4.6213398432367514</c:v>
                </c:pt>
                <c:pt idx="34" formatCode="###\ ###\ ###\ ###\ ##0.00;\-###\ ###\ ###\ ###\ ##0.00">
                  <c:v>4.3189525391351618</c:v>
                </c:pt>
                <c:pt idx="35" formatCode="###\ ###\ ###\ ###\ ##0.00;\-###\ ###\ ###\ ###\ ##0.00">
                  <c:v>3.9581509254616192</c:v>
                </c:pt>
                <c:pt idx="36" formatCode="###\ ###\ ###\ ###\ ##0.00;\-###\ ###\ ###\ ###\ ##0.00">
                  <c:v>3.7948081133062201</c:v>
                </c:pt>
                <c:pt idx="37" formatCode="###\ ###\ ###\ ###\ ##0.00;\-###\ ###\ ###\ ###\ ##0.00">
                  <c:v>3.5373832658022923</c:v>
                </c:pt>
                <c:pt idx="38" formatCode="###\ ###\ ###\ ###\ ##0.00;\-###\ ###\ ###\ ###\ ##0.00">
                  <c:v>3.5659496523361214</c:v>
                </c:pt>
                <c:pt idx="39" formatCode="###\ ###\ ###\ ###\ ##0.00;\-###\ ###\ ###\ ###\ ##0.00">
                  <c:v>4.0341267380705332</c:v>
                </c:pt>
                <c:pt idx="40" formatCode="###\ ###\ ###\ ###\ ##0.00;\-###\ ###\ ###\ ###\ ##0.00">
                  <c:v>4.0872759187026269</c:v>
                </c:pt>
                <c:pt idx="41" formatCode="###\ ###\ ###\ ###\ ##0.00;\-###\ ###\ ###\ ###\ ##0.00">
                  <c:v>4.1227102073974615</c:v>
                </c:pt>
                <c:pt idx="42" formatCode="###\ ###\ ###\ ###\ ##0.00;\-###\ ###\ ###\ ###\ ##0.00">
                  <c:v>3.7623325475565603</c:v>
                </c:pt>
                <c:pt idx="43" formatCode="###\ ###\ ###\ ###\ ##0.00;\-###\ ###\ ###\ ###\ ##0.00">
                  <c:v>3.5039129182503443</c:v>
                </c:pt>
                <c:pt idx="44" formatCode="###\ ###\ ###\ ###\ ##0.00;\-###\ ###\ ###\ ###\ ##0.00">
                  <c:v>3.4678035691094786</c:v>
                </c:pt>
                <c:pt idx="45" formatCode="###\ ###\ ###\ ###\ ##0.00;\-###\ ###\ ###\ ###\ ##0.00">
                  <c:v>3.6478032298510006</c:v>
                </c:pt>
                <c:pt idx="46" formatCode="###\ ###\ ###\ ###\ ##0.00;\-###\ ###\ ###\ ###\ ##0.00">
                  <c:v>3.6973093706088598</c:v>
                </c:pt>
                <c:pt idx="47" formatCode="###\ ###\ ###\ ###\ ##0.00;\-###\ ###\ ###\ ###\ ##0.00">
                  <c:v>3.7325675120007555</c:v>
                </c:pt>
                <c:pt idx="48" formatCode="###\ ###\ ###\ ###\ ##0.00;\-###\ ###\ ###\ ###\ ##0.00">
                  <c:v>3.7588141404146134</c:v>
                </c:pt>
                <c:pt idx="49" formatCode="###\ ###\ ###\ ###\ ##0.00;\-###\ ###\ ###\ ###\ ##0.00">
                  <c:v>3.6352823803920744</c:v>
                </c:pt>
                <c:pt idx="50" formatCode="###\ ###\ ###\ ###\ ##0.00;\-###\ ###\ ###\ ###\ ##0.00">
                  <c:v>3.7899252239626939</c:v>
                </c:pt>
                <c:pt idx="51" formatCode="###\ ###\ ###\ ###\ ##0.00;\-###\ ###\ ###\ ###\ ##0.00">
                  <c:v>3.6082305577112832</c:v>
                </c:pt>
                <c:pt idx="52" formatCode="###\ ###\ ###\ ###\ ##0.00;\-###\ ###\ ###\ ###\ ##0.00">
                  <c:v>3.6407699215316769</c:v>
                </c:pt>
                <c:pt idx="53" formatCode="###\ ###\ ###\ ###\ ##0.00;\-###\ ###\ ###\ ###\ ##0.00">
                  <c:v>3.7391957632436612</c:v>
                </c:pt>
                <c:pt idx="54" formatCode="###\ ###\ ###\ ###\ ##0.00;\-###\ ###\ ###\ ###\ ##0.00">
                  <c:v>3.8233096920115157</c:v>
                </c:pt>
                <c:pt idx="55" formatCode="###\ ###\ ###\ ###\ ##0.00;\-###\ ###\ ###\ ###\ ##0.00">
                  <c:v>3.8536075264749683</c:v>
                </c:pt>
                <c:pt idx="56" formatCode="###\ ###\ ###\ ###\ ##0.00;\-###\ ###\ ###\ ###\ ##0.00">
                  <c:v>3.9325922037802039</c:v>
                </c:pt>
                <c:pt idx="57" formatCode="###\ ###\ ###\ ###\ ##0.00;\-###\ ###\ ###\ ###\ ##0.00">
                  <c:v>3.9580321574258517</c:v>
                </c:pt>
                <c:pt idx="58" formatCode="###\ ###\ ###\ ###\ ##0.00;\-###\ ###\ ###\ ###\ ##0.00">
                  <c:v>4.0644120306794917</c:v>
                </c:pt>
                <c:pt idx="59" formatCode="###\ ###\ ###\ ###\ ##0.00;\-###\ ###\ ###\ ###\ ##0.00">
                  <c:v>4.1202900348510756</c:v>
                </c:pt>
                <c:pt idx="60" formatCode="###\ ###\ ###\ ###\ ##0.00;\-###\ ###\ ###\ ###\ ##0.00">
                  <c:v>3.885740804274787</c:v>
                </c:pt>
                <c:pt idx="61" formatCode="###\ ###\ ###\ ###\ ##0.00;\-###\ ###\ ###\ ###\ ##0.00">
                  <c:v>3.7283504054723107</c:v>
                </c:pt>
                <c:pt idx="62" formatCode="###\ ###\ ###\ ###\ ##0.00;\-###\ ###\ ###\ ###\ ##0.00">
                  <c:v>4.2556336292179004</c:v>
                </c:pt>
                <c:pt idx="63" formatCode="###\ ###\ ###\ ###\ ##0.00;\-###\ ###\ ###\ ###\ ##0.00">
                  <c:v>4.2514390298759475</c:v>
                </c:pt>
                <c:pt idx="64" formatCode="###\ ###\ ###\ ###\ ##0.00;\-###\ ###\ ###\ ###\ ##0.00">
                  <c:v>4.4316819789865072</c:v>
                </c:pt>
                <c:pt idx="65" formatCode="###\ ###\ ###\ ###\ ##0.00;\-###\ ###\ ###\ ###\ ##0.00">
                  <c:v>4.1550090419134724</c:v>
                </c:pt>
              </c:numCache>
            </c:numRef>
          </c:val>
          <c:smooth val="0"/>
          <c:extLst>
            <c:ext xmlns:c16="http://schemas.microsoft.com/office/drawing/2014/chart" uri="{C3380CC4-5D6E-409C-BE32-E72D297353CC}">
              <c16:uniqueId val="{00000003-6B70-4529-A91A-6515B1A6BF87}"/>
            </c:ext>
          </c:extLst>
        </c:ser>
        <c:ser>
          <c:idx val="2"/>
          <c:order val="4"/>
          <c:tx>
            <c:strRef>
              <c:f>'Měnové podmínky 1'!$E$5</c:f>
              <c:strCache>
                <c:ptCount val="1"/>
                <c:pt idx="0">
                  <c:v>PRIBOR (1Y)</c:v>
                </c:pt>
              </c:strCache>
            </c:strRef>
          </c:tx>
          <c:spPr>
            <a:ln w="19050">
              <a:solidFill>
                <a:srgbClr val="BC5B80"/>
              </a:solidFill>
            </a:ln>
          </c:spPr>
          <c:marker>
            <c:symbol val="none"/>
          </c:marker>
          <c:cat>
            <c:multiLvlStrRef>
              <c:f>'Měnové podmínky 1'!$A$42:$B$107</c:f>
              <c:multiLvlStrCache>
                <c:ptCount val="66"/>
                <c:lvl>
                  <c:pt idx="0">
                    <c:v>1</c:v>
                  </c:pt>
                  <c:pt idx="1">
                    <c:v>2</c:v>
                  </c:pt>
                  <c:pt idx="2">
                    <c:v>3</c:v>
                  </c:pt>
                  <c:pt idx="3">
                    <c:v>4</c:v>
                  </c:pt>
                  <c:pt idx="4">
                    <c:v>5</c:v>
                  </c:pt>
                  <c:pt idx="5">
                    <c:v>6</c:v>
                  </c:pt>
                  <c:pt idx="6">
                    <c:v>7</c:v>
                  </c:pt>
                  <c:pt idx="7">
                    <c:v>8</c:v>
                  </c:pt>
                  <c:pt idx="8">
                    <c:v>9</c:v>
                  </c:pt>
                  <c:pt idx="9">
                    <c:v>10</c:v>
                  </c:pt>
                  <c:pt idx="10">
                    <c:v>11</c:v>
                  </c:pt>
                  <c:pt idx="11">
                    <c:v>12</c:v>
                  </c:pt>
                  <c:pt idx="12">
                    <c:v>1</c:v>
                  </c:pt>
                  <c:pt idx="13">
                    <c:v>2</c:v>
                  </c:pt>
                  <c:pt idx="14">
                    <c:v>3</c:v>
                  </c:pt>
                  <c:pt idx="15">
                    <c:v>4</c:v>
                  </c:pt>
                  <c:pt idx="16">
                    <c:v>5</c:v>
                  </c:pt>
                  <c:pt idx="17">
                    <c:v>6</c:v>
                  </c:pt>
                  <c:pt idx="18">
                    <c:v>7</c:v>
                  </c:pt>
                  <c:pt idx="19">
                    <c:v>8</c:v>
                  </c:pt>
                  <c:pt idx="20">
                    <c:v>9</c:v>
                  </c:pt>
                  <c:pt idx="21">
                    <c:v>10</c:v>
                  </c:pt>
                  <c:pt idx="22">
                    <c:v>11</c:v>
                  </c:pt>
                  <c:pt idx="23">
                    <c:v>12</c:v>
                  </c:pt>
                  <c:pt idx="24">
                    <c:v>1</c:v>
                  </c:pt>
                  <c:pt idx="25">
                    <c:v>2</c:v>
                  </c:pt>
                  <c:pt idx="26">
                    <c:v>3</c:v>
                  </c:pt>
                  <c:pt idx="27">
                    <c:v>4</c:v>
                  </c:pt>
                  <c:pt idx="28">
                    <c:v>5</c:v>
                  </c:pt>
                  <c:pt idx="29">
                    <c:v>6</c:v>
                  </c:pt>
                  <c:pt idx="30">
                    <c:v>7</c:v>
                  </c:pt>
                  <c:pt idx="31">
                    <c:v>8</c:v>
                  </c:pt>
                  <c:pt idx="32">
                    <c:v>9</c:v>
                  </c:pt>
                  <c:pt idx="33">
                    <c:v>10</c:v>
                  </c:pt>
                  <c:pt idx="34">
                    <c:v>11</c:v>
                  </c:pt>
                  <c:pt idx="35">
                    <c:v>12</c:v>
                  </c:pt>
                  <c:pt idx="36">
                    <c:v>1</c:v>
                  </c:pt>
                  <c:pt idx="37">
                    <c:v>2</c:v>
                  </c:pt>
                  <c:pt idx="38">
                    <c:v>3</c:v>
                  </c:pt>
                  <c:pt idx="39">
                    <c:v>4</c:v>
                  </c:pt>
                  <c:pt idx="40">
                    <c:v>5</c:v>
                  </c:pt>
                  <c:pt idx="41">
                    <c:v>6</c:v>
                  </c:pt>
                  <c:pt idx="42">
                    <c:v>7</c:v>
                  </c:pt>
                  <c:pt idx="43">
                    <c:v>8</c:v>
                  </c:pt>
                  <c:pt idx="44">
                    <c:v>9</c:v>
                  </c:pt>
                  <c:pt idx="45">
                    <c:v>10</c:v>
                  </c:pt>
                  <c:pt idx="46">
                    <c:v>11</c:v>
                  </c:pt>
                  <c:pt idx="47">
                    <c:v>12</c:v>
                  </c:pt>
                  <c:pt idx="48">
                    <c:v>1</c:v>
                  </c:pt>
                  <c:pt idx="49">
                    <c:v>2</c:v>
                  </c:pt>
                  <c:pt idx="50">
                    <c:v>3</c:v>
                  </c:pt>
                  <c:pt idx="51">
                    <c:v>4</c:v>
                  </c:pt>
                  <c:pt idx="52">
                    <c:v>5</c:v>
                  </c:pt>
                  <c:pt idx="53">
                    <c:v>6</c:v>
                  </c:pt>
                  <c:pt idx="54">
                    <c:v>7</c:v>
                  </c:pt>
                  <c:pt idx="55">
                    <c:v>8</c:v>
                  </c:pt>
                  <c:pt idx="56">
                    <c:v>9</c:v>
                  </c:pt>
                  <c:pt idx="57">
                    <c:v>10</c:v>
                  </c:pt>
                  <c:pt idx="58">
                    <c:v>11</c:v>
                  </c:pt>
                  <c:pt idx="59">
                    <c:v>12</c:v>
                  </c:pt>
                  <c:pt idx="60">
                    <c:v>1</c:v>
                  </c:pt>
                  <c:pt idx="61">
                    <c:v>2</c:v>
                  </c:pt>
                  <c:pt idx="62">
                    <c:v>3</c:v>
                  </c:pt>
                  <c:pt idx="63">
                    <c:v>4</c:v>
                  </c:pt>
                  <c:pt idx="64">
                    <c:v>5</c:v>
                  </c:pt>
                  <c:pt idx="65">
                    <c:v>6</c:v>
                  </c:pt>
                </c:lvl>
                <c:lvl>
                  <c:pt idx="0">
                    <c:v>2021</c:v>
                  </c:pt>
                  <c:pt idx="12">
                    <c:v>2022</c:v>
                  </c:pt>
                  <c:pt idx="24">
                    <c:v>2023</c:v>
                  </c:pt>
                  <c:pt idx="36">
                    <c:v>2024</c:v>
                  </c:pt>
                  <c:pt idx="48">
                    <c:v>2025</c:v>
                  </c:pt>
                  <c:pt idx="60">
                    <c:v>2026</c:v>
                  </c:pt>
                </c:lvl>
              </c:multiLvlStrCache>
            </c:multiLvlStrRef>
          </c:cat>
          <c:val>
            <c:numRef>
              <c:f>'Měnové podmínky 1'!$E$42:$E$107</c:f>
              <c:numCache>
                <c:formatCode>General</c:formatCode>
                <c:ptCount val="66"/>
                <c:pt idx="0">
                  <c:v>0.49</c:v>
                </c:pt>
                <c:pt idx="1">
                  <c:v>0.54</c:v>
                </c:pt>
                <c:pt idx="2">
                  <c:v>0.56000000000000005</c:v>
                </c:pt>
                <c:pt idx="3">
                  <c:v>0.56000000000000005</c:v>
                </c:pt>
                <c:pt idx="4">
                  <c:v>0.67</c:v>
                </c:pt>
                <c:pt idx="5">
                  <c:v>0.78</c:v>
                </c:pt>
                <c:pt idx="6">
                  <c:v>1</c:v>
                </c:pt>
                <c:pt idx="7">
                  <c:v>1.3</c:v>
                </c:pt>
                <c:pt idx="8">
                  <c:v>1.52</c:v>
                </c:pt>
                <c:pt idx="9">
                  <c:v>2.44</c:v>
                </c:pt>
                <c:pt idx="10">
                  <c:v>3.5</c:v>
                </c:pt>
                <c:pt idx="11">
                  <c:v>3.96</c:v>
                </c:pt>
                <c:pt idx="12">
                  <c:v>4.55</c:v>
                </c:pt>
                <c:pt idx="13">
                  <c:v>4.87</c:v>
                </c:pt>
                <c:pt idx="14">
                  <c:v>5.12</c:v>
                </c:pt>
                <c:pt idx="15">
                  <c:v>5.74</c:v>
                </c:pt>
                <c:pt idx="16">
                  <c:v>6.33</c:v>
                </c:pt>
                <c:pt idx="17">
                  <c:v>7.02</c:v>
                </c:pt>
                <c:pt idx="18">
                  <c:v>7.55</c:v>
                </c:pt>
                <c:pt idx="19">
                  <c:v>7.48</c:v>
                </c:pt>
                <c:pt idx="20">
                  <c:v>7.44</c:v>
                </c:pt>
                <c:pt idx="21">
                  <c:v>7.45</c:v>
                </c:pt>
                <c:pt idx="22">
                  <c:v>7.39</c:v>
                </c:pt>
                <c:pt idx="23">
                  <c:v>7.28</c:v>
                </c:pt>
                <c:pt idx="24" formatCode="###\ ###\ ###\ ###\ ##0.00;\-###\ ###\ ###\ ###\ ##0.00">
                  <c:v>7.2480952380952379</c:v>
                </c:pt>
                <c:pt idx="25" formatCode="###\ ###\ ###\ ###\ ##0.00;\-###\ ###\ ###\ ###\ ##0.00">
                  <c:v>7.2326315789473687</c:v>
                </c:pt>
                <c:pt idx="26" formatCode="###\ ###\ ###\ ###\ ##0.00;\-###\ ###\ ###\ ###\ ##0.00">
                  <c:v>7.2263636363636365</c:v>
                </c:pt>
                <c:pt idx="27" formatCode="###\ ###\ ###\ ###\ ##0.00;\-###\ ###\ ###\ ###\ ##0.00">
                  <c:v>7.2088888888888887</c:v>
                </c:pt>
                <c:pt idx="28" formatCode="###\ ###\ ###\ ###\ ##0.00;\-###\ ###\ ###\ ###\ ##0.00">
                  <c:v>7.196190476190476</c:v>
                </c:pt>
                <c:pt idx="29" formatCode="###\ ###\ ###\ ###\ ##0.00;\-###\ ###\ ###\ ###\ ##0.00">
                  <c:v>7.1377272727272727</c:v>
                </c:pt>
                <c:pt idx="30" formatCode="###\ ###\ ###\ ###\ ##0.00;\-###\ ###\ ###\ ###\ ##0.00">
                  <c:v>7.0289473684210524</c:v>
                </c:pt>
                <c:pt idx="31" formatCode="###\ ###\ ###\ ###\ ##0.00;\-###\ ###\ ###\ ###\ ##0.00">
                  <c:v>6.9473913043478257</c:v>
                </c:pt>
                <c:pt idx="32" formatCode="###\ ###\ ###\ ###\ ##0.00;\-###\ ###\ ###\ ###\ ##0.00">
                  <c:v>6.8470000000000004</c:v>
                </c:pt>
                <c:pt idx="33" formatCode="###\ ###\ ###\ ###\ ##0.00;\-###\ ###\ ###\ ###\ ##0.00">
                  <c:v>6.6090909090909093</c:v>
                </c:pt>
                <c:pt idx="34" formatCode="###\ ###\ ###\ ###\ ##0.00;\-###\ ###\ ###\ ###\ ##0.00">
                  <c:v>6.4771428571428569</c:v>
                </c:pt>
                <c:pt idx="35" formatCode="###\ ###\ ###\ ###\ ##0.00;\-###\ ###\ ###\ ###\ ##0.00">
                  <c:v>6.1873684210526312</c:v>
                </c:pt>
                <c:pt idx="36" formatCode="###\ ###\ ###\ ###\ ##0.00;\-###\ ###\ ###\ ###\ ##0.00">
                  <c:v>5.4690909090909088</c:v>
                </c:pt>
                <c:pt idx="37" formatCode="###\ ###\ ###\ ###\ ##0.00;\-###\ ###\ ###\ ###\ ##0.00">
                  <c:v>5.0338095238095235</c:v>
                </c:pt>
                <c:pt idx="38" formatCode="###\ ###\ ###\ ###\ ##0.00;\-###\ ###\ ###\ ###\ ##0.00">
                  <c:v>4.7994736842105263</c:v>
                </c:pt>
                <c:pt idx="39" formatCode="###\ ###\ ###\ ###\ ##0.00;\-###\ ###\ ###\ ###\ ##0.00">
                  <c:v>4.588571428571429</c:v>
                </c:pt>
                <c:pt idx="40" formatCode="###\ ###\ ###\ ###\ ##0.00;\-###\ ###\ ###\ ###\ ##0.00">
                  <c:v>4.6500000000000004</c:v>
                </c:pt>
                <c:pt idx="41" formatCode="###\ ###\ ###\ ###\ ##0.00;\-###\ ###\ ###\ ###\ ##0.00">
                  <c:v>4.5715000000000003</c:v>
                </c:pt>
                <c:pt idx="42" formatCode="###\ ###\ ###\ ###\ ##0.00;\-###\ ###\ ###\ ###\ ##0.00">
                  <c:v>4.2559090909090909</c:v>
                </c:pt>
                <c:pt idx="43" formatCode="###\ ###\ ###\ ###\ ##0.00;\-###\ ###\ ###\ ###\ ##0.00">
                  <c:v>3.8945454545454545</c:v>
                </c:pt>
                <c:pt idx="44" formatCode="###\ ###\ ###\ ###\ ##0.00;\-###\ ###\ ###\ ###\ ##0.00">
                  <c:v>3.7338095238095237</c:v>
                </c:pt>
                <c:pt idx="45" formatCode="###\ ###\ ###\ ###\ ##0.00;\-###\ ###\ ###\ ###\ ##0.00">
                  <c:v>3.6840909090909091</c:v>
                </c:pt>
                <c:pt idx="46" formatCode="###\ ###\ ###\ ###\ ##0.00;\-###\ ###\ ###\ ###\ ##0.00">
                  <c:v>3.6609523809523807</c:v>
                </c:pt>
                <c:pt idx="47" formatCode="###\ ###\ ###\ ###\ ##0.00;\-###\ ###\ ###\ ###\ ##0.00">
                  <c:v>3.6933333333333334</c:v>
                </c:pt>
                <c:pt idx="48" formatCode="###\ ###\ ###\ ###\ ##0.00;\-###\ ###\ ###\ ###\ ##0.00">
                  <c:v>3.6631818181818181</c:v>
                </c:pt>
                <c:pt idx="49" formatCode="###\ ###\ ###\ ###\ ##0.00;\-###\ ###\ ###\ ###\ ##0.00">
                  <c:v>3.5689473684210524</c:v>
                </c:pt>
                <c:pt idx="50" formatCode="###\ ###\ ###\ ###\ ##0.00;\-###\ ###\ ###\ ###\ ##0.00">
                  <c:v>3.5285000000000002</c:v>
                </c:pt>
                <c:pt idx="51" formatCode="###\ ###\ ###\ ###\ ##0.00;\-###\ ###\ ###\ ###\ ##0.00">
                  <c:v>3.443888888888889</c:v>
                </c:pt>
                <c:pt idx="52" formatCode="###\ ###\ ###\ ###\ ##0.00;\-###\ ###\ ###\ ###\ ##0.00">
                  <c:v>3.3726315789473684</c:v>
                </c:pt>
                <c:pt idx="53" formatCode="###\ ###\ ###\ ###\ ##0.00;\-###\ ###\ ###\ ###\ ##0.00">
                  <c:v>3.4104999999999999</c:v>
                </c:pt>
                <c:pt idx="54" formatCode="###\ ###\ ###\ ###\ ##0.00;\-###\ ###\ ###\ ###\ ##0.00">
                  <c:v>3.4582608695652173</c:v>
                </c:pt>
                <c:pt idx="55" formatCode="###\ ###\ ###\ ###\ ##0.00;\-###\ ###\ ###\ ###\ ##0.00">
                  <c:v>3.4815</c:v>
                </c:pt>
                <c:pt idx="56" formatCode="###\ ###\ ###\ ###\ ##0.00;\-###\ ###\ ###\ ###\ ##0.00">
                  <c:v>3.4776190476190476</c:v>
                </c:pt>
                <c:pt idx="57" formatCode="###\ ###\ ###\ ###\ ##0.00;\-###\ ###\ ###\ ###\ ##0.00">
                  <c:v>3.5395454545454546</c:v>
                </c:pt>
                <c:pt idx="58" formatCode="###\ ###\ ###\ ###\ ##0.00;\-###\ ###\ ###\ ###\ ##0.00">
                  <c:v>3.6111111111111112</c:v>
                </c:pt>
                <c:pt idx="59" formatCode="###\ ###\ ###\ ###\ ##0.00;\-###\ ###\ ###\ ###\ ##0.00">
                  <c:v>3.6016666666666666</c:v>
                </c:pt>
                <c:pt idx="60" formatCode="###\ ###\ ###\ ###\ ##0.00;\-###\ ###\ ###\ ###\ ##0.00">
                  <c:v>3.4655</c:v>
                </c:pt>
                <c:pt idx="61" formatCode="###\ ###\ ###\ ###\ ##0.00;\-###\ ###\ ###\ ###\ ##0.00">
                  <c:v>3.4110526315789476</c:v>
                </c:pt>
                <c:pt idx="62" formatCode="###\ ###\ ###\ ###\ ##0.00;\-###\ ###\ ###\ ###\ ##0.00">
                  <c:v>3.6042857142857141</c:v>
                </c:pt>
                <c:pt idx="63" formatCode="###\ ###\ ###\ ###\ ##0.00;\-###\ ###\ ###\ ###\ ##0.00">
                  <c:v>3.6794444444444445</c:v>
                </c:pt>
                <c:pt idx="64" formatCode="###\ ###\ ###\ ###\ ##0.00;\-###\ ###\ ###\ ###\ ##0.00">
                  <c:v>3.8122222222222222</c:v>
                </c:pt>
                <c:pt idx="65" formatCode="###\ ###\ ###\ ###\ ##0.00;\-###\ ###\ ###\ ###\ ##0.00">
                  <c:v>3.926190476190476</c:v>
                </c:pt>
              </c:numCache>
            </c:numRef>
          </c:val>
          <c:smooth val="0"/>
          <c:extLst>
            <c:ext xmlns:c16="http://schemas.microsoft.com/office/drawing/2014/chart" uri="{C3380CC4-5D6E-409C-BE32-E72D297353CC}">
              <c16:uniqueId val="{00000004-6B70-4529-A91A-6515B1A6BF87}"/>
            </c:ext>
          </c:extLst>
        </c:ser>
        <c:ser>
          <c:idx val="5"/>
          <c:order val="5"/>
          <c:tx>
            <c:strRef>
              <c:f>'Měnové podmínky 1'!$H$5</c:f>
              <c:strCache>
                <c:ptCount val="1"/>
                <c:pt idx="0">
                  <c:v>Average yield of government bonds (10Y)</c:v>
                </c:pt>
              </c:strCache>
            </c:strRef>
          </c:tx>
          <c:spPr>
            <a:ln w="19050">
              <a:solidFill>
                <a:srgbClr val="174F70"/>
              </a:solidFill>
            </a:ln>
          </c:spPr>
          <c:marker>
            <c:symbol val="none"/>
          </c:marker>
          <c:cat>
            <c:multiLvlStrRef>
              <c:f>'Měnové podmínky 1'!$A$42:$B$107</c:f>
              <c:multiLvlStrCache>
                <c:ptCount val="66"/>
                <c:lvl>
                  <c:pt idx="0">
                    <c:v>1</c:v>
                  </c:pt>
                  <c:pt idx="1">
                    <c:v>2</c:v>
                  </c:pt>
                  <c:pt idx="2">
                    <c:v>3</c:v>
                  </c:pt>
                  <c:pt idx="3">
                    <c:v>4</c:v>
                  </c:pt>
                  <c:pt idx="4">
                    <c:v>5</c:v>
                  </c:pt>
                  <c:pt idx="5">
                    <c:v>6</c:v>
                  </c:pt>
                  <c:pt idx="6">
                    <c:v>7</c:v>
                  </c:pt>
                  <c:pt idx="7">
                    <c:v>8</c:v>
                  </c:pt>
                  <c:pt idx="8">
                    <c:v>9</c:v>
                  </c:pt>
                  <c:pt idx="9">
                    <c:v>10</c:v>
                  </c:pt>
                  <c:pt idx="10">
                    <c:v>11</c:v>
                  </c:pt>
                  <c:pt idx="11">
                    <c:v>12</c:v>
                  </c:pt>
                  <c:pt idx="12">
                    <c:v>1</c:v>
                  </c:pt>
                  <c:pt idx="13">
                    <c:v>2</c:v>
                  </c:pt>
                  <c:pt idx="14">
                    <c:v>3</c:v>
                  </c:pt>
                  <c:pt idx="15">
                    <c:v>4</c:v>
                  </c:pt>
                  <c:pt idx="16">
                    <c:v>5</c:v>
                  </c:pt>
                  <c:pt idx="17">
                    <c:v>6</c:v>
                  </c:pt>
                  <c:pt idx="18">
                    <c:v>7</c:v>
                  </c:pt>
                  <c:pt idx="19">
                    <c:v>8</c:v>
                  </c:pt>
                  <c:pt idx="20">
                    <c:v>9</c:v>
                  </c:pt>
                  <c:pt idx="21">
                    <c:v>10</c:v>
                  </c:pt>
                  <c:pt idx="22">
                    <c:v>11</c:v>
                  </c:pt>
                  <c:pt idx="23">
                    <c:v>12</c:v>
                  </c:pt>
                  <c:pt idx="24">
                    <c:v>1</c:v>
                  </c:pt>
                  <c:pt idx="25">
                    <c:v>2</c:v>
                  </c:pt>
                  <c:pt idx="26">
                    <c:v>3</c:v>
                  </c:pt>
                  <c:pt idx="27">
                    <c:v>4</c:v>
                  </c:pt>
                  <c:pt idx="28">
                    <c:v>5</c:v>
                  </c:pt>
                  <c:pt idx="29">
                    <c:v>6</c:v>
                  </c:pt>
                  <c:pt idx="30">
                    <c:v>7</c:v>
                  </c:pt>
                  <c:pt idx="31">
                    <c:v>8</c:v>
                  </c:pt>
                  <c:pt idx="32">
                    <c:v>9</c:v>
                  </c:pt>
                  <c:pt idx="33">
                    <c:v>10</c:v>
                  </c:pt>
                  <c:pt idx="34">
                    <c:v>11</c:v>
                  </c:pt>
                  <c:pt idx="35">
                    <c:v>12</c:v>
                  </c:pt>
                  <c:pt idx="36">
                    <c:v>1</c:v>
                  </c:pt>
                  <c:pt idx="37">
                    <c:v>2</c:v>
                  </c:pt>
                  <c:pt idx="38">
                    <c:v>3</c:v>
                  </c:pt>
                  <c:pt idx="39">
                    <c:v>4</c:v>
                  </c:pt>
                  <c:pt idx="40">
                    <c:v>5</c:v>
                  </c:pt>
                  <c:pt idx="41">
                    <c:v>6</c:v>
                  </c:pt>
                  <c:pt idx="42">
                    <c:v>7</c:v>
                  </c:pt>
                  <c:pt idx="43">
                    <c:v>8</c:v>
                  </c:pt>
                  <c:pt idx="44">
                    <c:v>9</c:v>
                  </c:pt>
                  <c:pt idx="45">
                    <c:v>10</c:v>
                  </c:pt>
                  <c:pt idx="46">
                    <c:v>11</c:v>
                  </c:pt>
                  <c:pt idx="47">
                    <c:v>12</c:v>
                  </c:pt>
                  <c:pt idx="48">
                    <c:v>1</c:v>
                  </c:pt>
                  <c:pt idx="49">
                    <c:v>2</c:v>
                  </c:pt>
                  <c:pt idx="50">
                    <c:v>3</c:v>
                  </c:pt>
                  <c:pt idx="51">
                    <c:v>4</c:v>
                  </c:pt>
                  <c:pt idx="52">
                    <c:v>5</c:v>
                  </c:pt>
                  <c:pt idx="53">
                    <c:v>6</c:v>
                  </c:pt>
                  <c:pt idx="54">
                    <c:v>7</c:v>
                  </c:pt>
                  <c:pt idx="55">
                    <c:v>8</c:v>
                  </c:pt>
                  <c:pt idx="56">
                    <c:v>9</c:v>
                  </c:pt>
                  <c:pt idx="57">
                    <c:v>10</c:v>
                  </c:pt>
                  <c:pt idx="58">
                    <c:v>11</c:v>
                  </c:pt>
                  <c:pt idx="59">
                    <c:v>12</c:v>
                  </c:pt>
                  <c:pt idx="60">
                    <c:v>1</c:v>
                  </c:pt>
                  <c:pt idx="61">
                    <c:v>2</c:v>
                  </c:pt>
                  <c:pt idx="62">
                    <c:v>3</c:v>
                  </c:pt>
                  <c:pt idx="63">
                    <c:v>4</c:v>
                  </c:pt>
                  <c:pt idx="64">
                    <c:v>5</c:v>
                  </c:pt>
                  <c:pt idx="65">
                    <c:v>6</c:v>
                  </c:pt>
                </c:lvl>
                <c:lvl>
                  <c:pt idx="0">
                    <c:v>2021</c:v>
                  </c:pt>
                  <c:pt idx="12">
                    <c:v>2022</c:v>
                  </c:pt>
                  <c:pt idx="24">
                    <c:v>2023</c:v>
                  </c:pt>
                  <c:pt idx="36">
                    <c:v>2024</c:v>
                  </c:pt>
                  <c:pt idx="48">
                    <c:v>2025</c:v>
                  </c:pt>
                  <c:pt idx="60">
                    <c:v>2026</c:v>
                  </c:pt>
                </c:lvl>
              </c:multiLvlStrCache>
            </c:multiLvlStrRef>
          </c:cat>
          <c:val>
            <c:numRef>
              <c:f>'Měnové podmínky 1'!$H$42:$H$107</c:f>
              <c:numCache>
                <c:formatCode>General</c:formatCode>
                <c:ptCount val="66"/>
                <c:pt idx="0">
                  <c:v>1.28</c:v>
                </c:pt>
                <c:pt idx="1">
                  <c:v>1.49</c:v>
                </c:pt>
                <c:pt idx="2">
                  <c:v>1.87</c:v>
                </c:pt>
                <c:pt idx="3">
                  <c:v>1.86</c:v>
                </c:pt>
                <c:pt idx="4">
                  <c:v>1.74</c:v>
                </c:pt>
                <c:pt idx="5">
                  <c:v>1.67</c:v>
                </c:pt>
                <c:pt idx="6">
                  <c:v>1.72</c:v>
                </c:pt>
                <c:pt idx="7">
                  <c:v>1.74</c:v>
                </c:pt>
                <c:pt idx="8">
                  <c:v>1.9</c:v>
                </c:pt>
                <c:pt idx="9">
                  <c:v>2.34</c:v>
                </c:pt>
                <c:pt idx="10">
                  <c:v>2.62</c:v>
                </c:pt>
                <c:pt idx="11">
                  <c:v>2.62</c:v>
                </c:pt>
                <c:pt idx="12">
                  <c:v>3.12</c:v>
                </c:pt>
                <c:pt idx="13">
                  <c:v>3.03</c:v>
                </c:pt>
                <c:pt idx="14">
                  <c:v>3.53</c:v>
                </c:pt>
                <c:pt idx="15">
                  <c:v>4.01</c:v>
                </c:pt>
                <c:pt idx="16">
                  <c:v>4.6100000000000003</c:v>
                </c:pt>
                <c:pt idx="17">
                  <c:v>5.12</c:v>
                </c:pt>
                <c:pt idx="18">
                  <c:v>4.4000000000000004</c:v>
                </c:pt>
                <c:pt idx="19">
                  <c:v>4.1100000000000003</c:v>
                </c:pt>
                <c:pt idx="20">
                  <c:v>4.72</c:v>
                </c:pt>
                <c:pt idx="21">
                  <c:v>5.52</c:v>
                </c:pt>
                <c:pt idx="22">
                  <c:v>5.1100000000000003</c:v>
                </c:pt>
                <c:pt idx="23">
                  <c:v>4.71</c:v>
                </c:pt>
                <c:pt idx="24" formatCode="###\ ###\ ###\ ###\ ##0.00;\-###\ ###\ ###\ ###\ ##0.00">
                  <c:v>4.4683071740930735</c:v>
                </c:pt>
                <c:pt idx="25" formatCode="###\ ###\ ###\ ###\ ##0.00;\-###\ ###\ ###\ ###\ ##0.00">
                  <c:v>4.6124456250457779</c:v>
                </c:pt>
                <c:pt idx="26" formatCode="###\ ###\ ###\ ###\ ##0.00;\-###\ ###\ ###\ ###\ ##0.00">
                  <c:v>4.6664316498532505</c:v>
                </c:pt>
                <c:pt idx="27" formatCode="###\ ###\ ###\ ###\ ##0.00;\-###\ ###\ ###\ ###\ ##0.00">
                  <c:v>4.6464031535593682</c:v>
                </c:pt>
                <c:pt idx="28" formatCode="###\ ###\ ###\ ###\ ##0.00;\-###\ ###\ ###\ ###\ ##0.00">
                  <c:v>4.4999821517871696</c:v>
                </c:pt>
                <c:pt idx="29" formatCode="###\ ###\ ###\ ###\ ##0.00;\-###\ ###\ ###\ ###\ ##0.00">
                  <c:v>4.3475817201909166</c:v>
                </c:pt>
                <c:pt idx="30" formatCode="###\ ###\ ###\ ###\ ##0.00;\-###\ ###\ ###\ ###\ ##0.00">
                  <c:v>4.1488922058727873</c:v>
                </c:pt>
                <c:pt idx="31" formatCode="###\ ###\ ###\ ###\ ##0.00;\-###\ ###\ ###\ ###\ ##0.00">
                  <c:v>4.2612326220421171</c:v>
                </c:pt>
                <c:pt idx="32" formatCode="###\ ###\ ###\ ###\ ##0.00;\-###\ ###\ ###\ ###\ ##0.00">
                  <c:v>4.4941452526073471</c:v>
                </c:pt>
                <c:pt idx="33" formatCode="###\ ###\ ###\ ###\ ##0.00;\-###\ ###\ ###\ ###\ ##0.00">
                  <c:v>4.7196492538174732</c:v>
                </c:pt>
                <c:pt idx="34" formatCode="###\ ###\ ###\ ###\ ##0.00;\-###\ ###\ ###\ ###\ ##0.00">
                  <c:v>4.4238011822001155</c:v>
                </c:pt>
                <c:pt idx="35" formatCode="###\ ###\ ###\ ###\ ##0.00;\-###\ ###\ ###\ ###\ ##0.00">
                  <c:v>3.9723129766524465</c:v>
                </c:pt>
                <c:pt idx="36" formatCode="###\ ###\ ###\ ###\ ##0.00;\-###\ ###\ ###\ ###\ ##0.00">
                  <c:v>3.8808928950535173</c:v>
                </c:pt>
                <c:pt idx="37" formatCode="###\ ###\ ###\ ###\ ##0.00;\-###\ ###\ ###\ ###\ ##0.00">
                  <c:v>3.7595547903987336</c:v>
                </c:pt>
                <c:pt idx="38" formatCode="###\ ###\ ###\ ###\ ##0.00;\-###\ ###\ ###\ ###\ ##0.00">
                  <c:v>3.8237627295684833</c:v>
                </c:pt>
                <c:pt idx="39" formatCode="###\ ###\ ###\ ###\ ##0.00;\-###\ ###\ ###\ ###\ ##0.00">
                  <c:v>4.2047003389485704</c:v>
                </c:pt>
                <c:pt idx="40" formatCode="###\ ###\ ###\ ###\ ##0.00;\-###\ ###\ ###\ ###\ ##0.00">
                  <c:v>4.1563388742973695</c:v>
                </c:pt>
                <c:pt idx="41" formatCode="###\ ###\ ###\ ###\ ##0.00;\-###\ ###\ ###\ ###\ ##0.00">
                  <c:v>4.2111868231811522</c:v>
                </c:pt>
                <c:pt idx="42" formatCode="###\ ###\ ###\ ###\ ##0.00;\-###\ ###\ ###\ ###\ ##0.00">
                  <c:v>3.9530858135362124</c:v>
                </c:pt>
                <c:pt idx="43" formatCode="###\ ###\ ###\ ###\ ##0.00;\-###\ ###\ ###\ ###\ ##0.00">
                  <c:v>3.7819619047615758</c:v>
                </c:pt>
                <c:pt idx="44" formatCode="###\ ###\ ###\ ###\ ##0.00;\-###\ ###\ ###\ ###\ ##0.00">
                  <c:v>3.7680573318990085</c:v>
                </c:pt>
                <c:pt idx="45" formatCode="###\ ###\ ###\ ###\ ##0.00;\-###\ ###\ ###\ ###\ ##0.00">
                  <c:v>3.9822987021498251</c:v>
                </c:pt>
                <c:pt idx="46" formatCode="###\ ###\ ###\ ###\ ##0.00;\-###\ ###\ ###\ ###\ ##0.00">
                  <c:v>4.1040262289864691</c:v>
                </c:pt>
                <c:pt idx="47" formatCode="###\ ###\ ###\ ###\ ##0.00;\-###\ ###\ ###\ ###\ ##0.00">
                  <c:v>4.1331038326115088</c:v>
                </c:pt>
                <c:pt idx="48" formatCode="###\ ###\ ###\ ###\ ##0.00;\-###\ ###\ ###\ ###\ ##0.00">
                  <c:v>4.1959770746595213</c:v>
                </c:pt>
                <c:pt idx="49" formatCode="###\ ###\ ###\ ###\ ##0.00;\-###\ ###\ ###\ ###\ ##0.00">
                  <c:v>4.0620794011249552</c:v>
                </c:pt>
                <c:pt idx="50" formatCode="###\ ###\ ###\ ###\ ##0.00;\-###\ ###\ ###\ ###\ ##0.00">
                  <c:v>4.2638389418665579</c:v>
                </c:pt>
                <c:pt idx="51" formatCode="###\ ###\ ###\ ###\ ##0.00;\-###\ ###\ ###\ ###\ ##0.00">
                  <c:v>4.0853304136734021</c:v>
                </c:pt>
                <c:pt idx="52" formatCode="###\ ###\ ###\ ###\ ##0.00;\-###\ ###\ ###\ ###\ ##0.00">
                  <c:v>4.155816660709382</c:v>
                </c:pt>
                <c:pt idx="53" formatCode="###\ ###\ ###\ ###\ ##0.00;\-###\ ###\ ###\ ###\ ##0.00">
                  <c:v>4.2295835387251115</c:v>
                </c:pt>
                <c:pt idx="54" formatCode="###\ ###\ ###\ ###\ ##0.00;\-###\ ###\ ###\ ###\ ##0.00">
                  <c:v>4.3002231108402862</c:v>
                </c:pt>
                <c:pt idx="55" formatCode="###\ ###\ ###\ ###\ ##0.00;\-###\ ###\ ###\ ###\ ##0.00">
                  <c:v>4.3484906070168519</c:v>
                </c:pt>
                <c:pt idx="56" formatCode="###\ ###\ ###\ ###\ ##0.00;\-###\ ###\ ###\ ###\ ##0.00">
                  <c:v>4.423009514594388</c:v>
                </c:pt>
                <c:pt idx="57" formatCode="###\ ###\ ###\ ###\ ##0.00;\-###\ ###\ ###\ ###\ ##0.00">
                  <c:v>4.4581363099927049</c:v>
                </c:pt>
                <c:pt idx="58" formatCode="###\ ###\ ###\ ###\ ##0.00;\-###\ ###\ ###\ ###\ ##0.00">
                  <c:v>4.6089530587514247</c:v>
                </c:pt>
                <c:pt idx="59" formatCode="###\ ###\ ###\ ###\ ##0.00;\-###\ ###\ ###\ ###\ ##0.00">
                  <c:v>4.6478358968116371</c:v>
                </c:pt>
                <c:pt idx="60" formatCode="###\ ###\ ###\ ###\ ##0.00;\-###\ ###\ ###\ ###\ ##0.00">
                  <c:v>4.4598691609446224</c:v>
                </c:pt>
                <c:pt idx="61" formatCode="###\ ###\ ###\ ###\ ##0.00;\-###\ ###\ ###\ ###\ ##0.00">
                  <c:v>4.3705216167447416</c:v>
                </c:pt>
                <c:pt idx="62" formatCode="###\ ###\ ###\ ###\ ##0.00;\-###\ ###\ ###\ ###\ ##0.00">
                  <c:v>4.7236141956727007</c:v>
                </c:pt>
                <c:pt idx="63" formatCode="###\ ###\ ###\ ###\ ##0.00;\-###\ ###\ ###\ ###\ ##0.00">
                  <c:v>4.7382720020846056</c:v>
                </c:pt>
                <c:pt idx="64" formatCode="###\ ###\ ###\ ###\ ##0.00;\-###\ ###\ ###\ ###\ ##0.00">
                  <c:v>4.8857566724506185</c:v>
                </c:pt>
                <c:pt idx="65" formatCode="###\ ###\ ###\ ###\ ##0.00;\-###\ ###\ ###\ ###\ ##0.00">
                  <c:v>4.7005125814799964</c:v>
                </c:pt>
              </c:numCache>
            </c:numRef>
          </c:val>
          <c:smooth val="0"/>
          <c:extLst>
            <c:ext xmlns:c16="http://schemas.microsoft.com/office/drawing/2014/chart" uri="{C3380CC4-5D6E-409C-BE32-E72D297353CC}">
              <c16:uniqueId val="{00000005-6B70-4529-A91A-6515B1A6BF87}"/>
            </c:ext>
          </c:extLst>
        </c:ser>
        <c:dLbls>
          <c:showLegendKey val="0"/>
          <c:showVal val="0"/>
          <c:showCatName val="0"/>
          <c:showSerName val="0"/>
          <c:showPercent val="0"/>
          <c:showBubbleSize val="0"/>
        </c:dLbls>
        <c:marker val="1"/>
        <c:smooth val="0"/>
        <c:axId val="131001344"/>
        <c:axId val="131027712"/>
      </c:lineChart>
      <c:catAx>
        <c:axId val="131001344"/>
        <c:scaling>
          <c:orientation val="minMax"/>
        </c:scaling>
        <c:delete val="0"/>
        <c:axPos val="b"/>
        <c:numFmt formatCode="General" sourceLinked="0"/>
        <c:majorTickMark val="out"/>
        <c:minorTickMark val="none"/>
        <c:tickLblPos val="low"/>
        <c:spPr>
          <a:ln>
            <a:solidFill>
              <a:schemeClr val="tx1"/>
            </a:solidFill>
          </a:ln>
        </c:spPr>
        <c:crossAx val="131027712"/>
        <c:crosses val="autoZero"/>
        <c:auto val="1"/>
        <c:lblAlgn val="ctr"/>
        <c:lblOffset val="100"/>
        <c:noMultiLvlLbl val="0"/>
      </c:catAx>
      <c:valAx>
        <c:axId val="131027712"/>
        <c:scaling>
          <c:orientation val="minMax"/>
          <c:min val="-1"/>
        </c:scaling>
        <c:delete val="0"/>
        <c:axPos val="l"/>
        <c:majorGridlines>
          <c:spPr>
            <a:ln w="6350">
              <a:solidFill>
                <a:schemeClr val="bg1">
                  <a:lumMod val="75000"/>
                </a:schemeClr>
              </a:solidFill>
            </a:ln>
          </c:spPr>
        </c:majorGridlines>
        <c:numFmt formatCode="0" sourceLinked="0"/>
        <c:majorTickMark val="out"/>
        <c:minorTickMark val="none"/>
        <c:tickLblPos val="nextTo"/>
        <c:spPr>
          <a:ln>
            <a:solidFill>
              <a:schemeClr val="tx1"/>
            </a:solidFill>
          </a:ln>
        </c:spPr>
        <c:crossAx val="131001344"/>
        <c:crosses val="autoZero"/>
        <c:crossBetween val="between"/>
        <c:majorUnit val="1"/>
      </c:valAx>
      <c:spPr>
        <a:ln>
          <a:solidFill>
            <a:schemeClr val="tx1"/>
          </a:solidFill>
        </a:ln>
      </c:spPr>
    </c:plotArea>
    <c:legend>
      <c:legendPos val="b"/>
      <c:layout>
        <c:manualLayout>
          <c:xMode val="edge"/>
          <c:yMode val="edge"/>
          <c:x val="4.2139690982776527E-2"/>
          <c:y val="0.87558269120103249"/>
          <c:w val="0.93886651469098281"/>
          <c:h val="0.11015705924459968"/>
        </c:manualLayout>
      </c:layout>
      <c:overlay val="0"/>
      <c:spPr>
        <a:ln w="6350">
          <a:solidFill>
            <a:schemeClr val="tx1"/>
          </a:solidFill>
        </a:ln>
      </c:spPr>
    </c:legend>
    <c:plotVisOnly val="1"/>
    <c:dispBlanksAs val="gap"/>
    <c:showDLblsOverMax val="0"/>
  </c:chart>
  <c:spPr>
    <a:ln>
      <a:noFill/>
    </a:ln>
  </c:spPr>
  <c:txPr>
    <a:bodyPr/>
    <a:lstStyle/>
    <a:p>
      <a:pPr>
        <a:defRPr sz="800" baseline="0">
          <a:latin typeface="Arial" pitchFamily="34" charset="0"/>
        </a:defRPr>
      </a:pPr>
      <a:endParaRPr lang="cs-CZ"/>
    </a:p>
  </c:tx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Historieverze xmlns="8675fb2b-b414-4bad-b4c4-d9349268b5a1" xsi:nil="true"/>
    <Verzeform xmlns="8675fb2b-b414-4bad-b4c4-d9349268b5a1">v1.2</Verzeform>
    <Forma xmlns="8675fb2b-b414-4bad-b4c4-d9349268b5a1">
      <Value>Elektronická</Value>
    </Forma>
    <Vazbanaproces xmlns="8675fb2b-b414-4bad-b4c4-d9349268b5a1">179. Vnější komunikace
</Vazbanaproces>
    <Gestor xmlns="8675fb2b-b414-4bad-b4c4-d9349268b5a1">
      <UserInfo>
        <DisplayName>Novotný Michal</DisplayName>
        <AccountId>24</AccountId>
        <AccountType/>
      </UserInfo>
    </Gestor>
    <Form_c xmlns="8675fb2b-b414-4bad-b4c4-d9349268b5a1">444</Form_c>
    <NazevForm xmlns="8675fb2b-b414-4bad-b4c4-d9349268b5a1">Publikace CZ barevná - regiony a země - analýzy</NazevForm>
    <UcinnostOdForm xmlns="8675fb2b-b414-4bad-b4c4-d9349268b5a1">2026-09-06T22:00:00+00:00</UcinnostOdForm>
    <PredpisForm xmlns="8675fb2b-b414-4bad-b4c4-d9349268b5a1">Manuál značky a jednotného vizuálního stylu Českého statistického úřadu</PredpisForm>
    <UstanoveniForm xmlns="8675fb2b-b414-4bad-b4c4-d9349268b5a1" xsi:nil="true"/>
    <PoznForm xmlns="8675fb2b-b414-4bad-b4c4-d9349268b5a1" xsi:nil="true"/>
    <Oznaceni xmlns="8675fb2b-b414-4bad-b4c4-d9349268b5a1">Form_c444</Oznaceni>
    <UcinnostDoForm xmlns="8675fb2b-b414-4bad-b4c4-d9349268b5a1" xsi:nil="true"/>
    <Platnost xmlns="8675fb2b-b414-4bad-b4c4-d9349268b5a1">true</Platnost>
    <Odkaz xmlns="8675fb2b-b414-4bad-b4c4-d9349268b5a1">
      <Url xsi:nil="true"/>
      <Description xsi:nil="true"/>
    </Odkaz>
    <lcf76f155ced4ddcb4097134ff3c332f xmlns="8675fb2b-b414-4bad-b4c4-d9349268b5a1">
      <Terms xmlns="http://schemas.microsoft.com/office/infopath/2007/PartnerControls"/>
    </lcf76f155ced4ddcb4097134ff3c332f>
    <TaxCatchAll xmlns="406a38fe-c53c-4047-b0f8-c641386931ae" xsi:nil="true"/>
    <ProcDomena xmlns="406a38fe-c53c-4047-b0f8-c641386931ae">
      <Value>P4 Komunikace a propagace</Value>
    </ProcDomena>
    <DomenaForm xmlns="8675fb2b-b414-4bad-b4c4-d9349268b5a1" xsi:nil="true"/>
    <SiteKnihDok xmlns="406a38fe-c53c-4047-b0f8-c641386931ae">Vnitřní předpisy</SiteKnihDok>
  </documentManagement>
</p:properties>
</file>

<file path=customXml/item2.xml><?xml version="1.0" encoding="utf-8"?>
<ct:contentTypeSchema xmlns:ct="http://schemas.microsoft.com/office/2006/metadata/contentType" xmlns:ma="http://schemas.microsoft.com/office/2006/metadata/properties/metaAttributes" ct:_="" ma:_="" ma:contentTypeName="Dokument" ma:contentTypeID="0x010100FBD76F913C5B1A4797255AD7259AA9ED" ma:contentTypeVersion="40" ma:contentTypeDescription="Vytvoří nový dokument" ma:contentTypeScope="" ma:versionID="110421115ddc15f999b8bb81d2de1ec1">
  <xsd:schema xmlns:xsd="http://www.w3.org/2001/XMLSchema" xmlns:xs="http://www.w3.org/2001/XMLSchema" xmlns:p="http://schemas.microsoft.com/office/2006/metadata/properties" xmlns:ns2="8675fb2b-b414-4bad-b4c4-d9349268b5a1" xmlns:ns3="406a38fe-c53c-4047-b0f8-c641386931ae" targetNamespace="http://schemas.microsoft.com/office/2006/metadata/properties" ma:root="true" ma:fieldsID="68ff216229c3f5ed4e0b6e8627bc5742" ns2:_="" ns3:_="">
    <xsd:import namespace="8675fb2b-b414-4bad-b4c4-d9349268b5a1"/>
    <xsd:import namespace="406a38fe-c53c-4047-b0f8-c641386931ae"/>
    <xsd:element name="properties">
      <xsd:complexType>
        <xsd:sequence>
          <xsd:element name="documentManagement">
            <xsd:complexType>
              <xsd:all>
                <xsd:element ref="ns2:Forma" minOccurs="0"/>
                <xsd:element ref="ns2:Verzeform" minOccurs="0"/>
                <xsd:element ref="ns2:Vazbanaproces" minOccurs="0"/>
                <xsd:element ref="ns2:Gestor" minOccurs="0"/>
                <xsd:element ref="ns2:Historieverze" minOccurs="0"/>
                <xsd:element ref="ns2:MediaServiceMetadata" minOccurs="0"/>
                <xsd:element ref="ns2:MediaServiceFastMetadata" minOccurs="0"/>
                <xsd:element ref="ns2:Form_c" minOccurs="0"/>
                <xsd:element ref="ns2:NazevForm" minOccurs="0"/>
                <xsd:element ref="ns2:UcinnostOdForm" minOccurs="0"/>
                <xsd:element ref="ns2:DomenaForm" minOccurs="0"/>
                <xsd:element ref="ns2:PredpisForm" minOccurs="0"/>
                <xsd:element ref="ns2:UstanoveniForm" minOccurs="0"/>
                <xsd:element ref="ns2:PoznForm" minOccurs="0"/>
                <xsd:element ref="ns2:Oznaceni" minOccurs="0"/>
                <xsd:element ref="ns2:UcinnostDoForm" minOccurs="0"/>
                <xsd:element ref="ns2:MediaServiceObjectDetectorVersions" minOccurs="0"/>
                <xsd:element ref="ns2:Platnost" minOccurs="0"/>
                <xsd:element ref="ns2:Odkaz" minOccurs="0"/>
                <xsd:element ref="ns2:MediaServiceSearchProperties"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3:SiteKnihDok" minOccurs="0"/>
                <xsd:element ref="ns3:ProcDomen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675fb2b-b414-4bad-b4c4-d9349268b5a1" elementFormDefault="qualified">
    <xsd:import namespace="http://schemas.microsoft.com/office/2006/documentManagement/types"/>
    <xsd:import namespace="http://schemas.microsoft.com/office/infopath/2007/PartnerControls"/>
    <xsd:element name="Forma" ma:index="8" nillable="true" ma:displayName="Forma" ma:description="Forma formuláře" ma:format="Dropdown" ma:internalName="Forma">
      <xsd:complexType>
        <xsd:complexContent>
          <xsd:extension base="dms:MultiChoice">
            <xsd:sequence>
              <xsd:element name="Value" maxOccurs="unbounded" minOccurs="0" nillable="true">
                <xsd:simpleType>
                  <xsd:restriction base="dms:Choice">
                    <xsd:enumeration value="Listinná  (analogová)"/>
                    <xsd:enumeration value="Elektronická"/>
                    <xsd:enumeration value="Formulář IS"/>
                  </xsd:restriction>
                </xsd:simpleType>
              </xsd:element>
            </xsd:sequence>
          </xsd:extension>
        </xsd:complexContent>
      </xsd:complexType>
    </xsd:element>
    <xsd:element name="Verzeform" ma:index="9" nillable="true" ma:displayName="Ver." ma:format="Dropdown" ma:internalName="Verzeform">
      <xsd:simpleType>
        <xsd:restriction base="dms:Text">
          <xsd:maxLength value="255"/>
        </xsd:restriction>
      </xsd:simpleType>
    </xsd:element>
    <xsd:element name="Vazbanaproces" ma:index="10" nillable="true" ma:displayName="Vazba na proces" ma:format="Dropdown" ma:internalName="Vazbanaproces">
      <xsd:simpleType>
        <xsd:restriction base="dms:Note">
          <xsd:maxLength value="255"/>
        </xsd:restriction>
      </xsd:simpleType>
    </xsd:element>
    <xsd:element name="Gestor" ma:index="11" nillable="true" ma:displayName="Gestor" ma:format="Dropdown" ma:list="UserInfo" ma:SharePointGroup="0" ma:internalName="Gesto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Historieverze" ma:index="12" nillable="true" ma:displayName="Historie verze" ma:format="Dropdown" ma:internalName="Historieverze">
      <xsd:simpleType>
        <xsd:restriction base="dms:Note">
          <xsd:maxLength value="255"/>
        </xsd:restriction>
      </xsd:simpleType>
    </xsd:element>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Form_c" ma:index="15" nillable="true" ma:displayName="Form_c" ma:format="Dropdown" ma:internalName="Form_c" ma:percentage="FALSE">
      <xsd:simpleType>
        <xsd:restriction base="dms:Number"/>
      </xsd:simpleType>
    </xsd:element>
    <xsd:element name="NazevForm" ma:index="16" nillable="true" ma:displayName="Název formuláře" ma:internalName="NazevForm">
      <xsd:simpleType>
        <xsd:restriction base="dms:Text">
          <xsd:maxLength value="255"/>
        </xsd:restriction>
      </xsd:simpleType>
    </xsd:element>
    <xsd:element name="UcinnostOdForm" ma:index="17" nillable="true" ma:displayName="Účinnost od" ma:description="Datum účinnosti formuláře" ma:format="DateOnly" ma:internalName="UcinnostOdForm">
      <xsd:simpleType>
        <xsd:restriction base="dms:DateTime"/>
      </xsd:simpleType>
    </xsd:element>
    <xsd:element name="DomenaForm" ma:index="18" nillable="true" ma:displayName="Doména_old" ma:description="Na formuláře na procesní doménu" ma:format="Dropdown" ma:internalName="DomenaForm">
      <xsd:complexType>
        <xsd:complexContent>
          <xsd:extension base="dms:MultiChoice">
            <xsd:sequence>
              <xsd:element name="Value" maxOccurs="unbounded" minOccurs="0" nillable="true">
                <xsd:simpleType>
                  <xsd:restriction base="dms:Choice">
                    <xsd:enumeration value="P1 Bezpečnost"/>
                    <xsd:enumeration value="P2 Účetnictví"/>
                    <xsd:enumeration value="P3 Správa dokumentů"/>
                    <xsd:enumeration value="P4 Komunikace a propagace"/>
                    <xsd:enumeration value="P5 Právní služby"/>
                    <xsd:enumeration value="P6 Personalistika"/>
                    <xsd:enumeration value="P7 Nákup a investice"/>
                    <xsd:enumeration value="P8 Projektové řízení"/>
                    <xsd:enumeration value="P9 IT"/>
                    <xsd:enumeration value="P10 Hospodaření, nakládání s majetkem a jeho správa"/>
                    <xsd:enumeration value="P11 Služební a pracovní tuzemské a zahraniční cesty"/>
                    <xsd:enumeration value="P12 Mezinárodní spolupráce"/>
                    <xsd:enumeration value="P13 Legislativa"/>
                    <xsd:enumeration value="R1 Interní audit"/>
                    <xsd:enumeration value="R2 Řízení a plánování"/>
                    <xsd:enumeration value="R3 Ochrana osobních údajů"/>
                    <xsd:enumeration value="R4 Finanční řízení"/>
                    <xsd:enumeration value="H1. Koordinace a správa metodiky"/>
                    <xsd:enumeration value="H2. Posouzení požadavků"/>
                    <xsd:enumeration value="H3. Specifikace úlohy"/>
                    <xsd:enumeration value="H4. Příprava zpracování"/>
                    <xsd:enumeration value="H5. Sběr dat"/>
                    <xsd:enumeration value="H6. Statistické zpracování"/>
                    <xsd:enumeration value="H7. Analýza a tvorba výstupů"/>
                    <xsd:enumeration value="H8. Diseminace"/>
                    <xsd:enumeration value="H9. Evaluace"/>
                    <xsd:enumeration value="H10. Zpracování voleb"/>
                  </xsd:restriction>
                </xsd:simpleType>
              </xsd:element>
            </xsd:sequence>
          </xsd:extension>
        </xsd:complexContent>
      </xsd:complexType>
    </xsd:element>
    <xsd:element name="PredpisForm" ma:index="19" nillable="true" ma:displayName="Definiční předpis" ma:description="Definiční předpis formuláře" ma:format="Dropdown" ma:internalName="PredpisForm">
      <xsd:simpleType>
        <xsd:restriction base="dms:Text">
          <xsd:maxLength value="255"/>
        </xsd:restriction>
      </xsd:simpleType>
    </xsd:element>
    <xsd:element name="UstanoveniForm" ma:index="20" nillable="true" ma:displayName="Ustanovení" ma:description="Ustanovení (čl., odst., písm.)" ma:format="Dropdown" ma:internalName="UstanoveniForm">
      <xsd:simpleType>
        <xsd:restriction base="dms:Note">
          <xsd:maxLength value="255"/>
        </xsd:restriction>
      </xsd:simpleType>
    </xsd:element>
    <xsd:element name="PoznForm" ma:index="21" nillable="true" ma:displayName="Poznámka" ma:description="Poznámka k formuláři" ma:format="Dropdown" ma:internalName="PoznForm">
      <xsd:simpleType>
        <xsd:restriction base="dms:Note">
          <xsd:maxLength value="255"/>
        </xsd:restriction>
      </xsd:simpleType>
    </xsd:element>
    <xsd:element name="Oznaceni" ma:index="22" nillable="true" ma:displayName="Označení" ma:description="Označení formuláře" ma:format="Dropdown" ma:internalName="Oznaceni">
      <xsd:simpleType>
        <xsd:restriction base="dms:Text">
          <xsd:maxLength value="12"/>
        </xsd:restriction>
      </xsd:simpleType>
    </xsd:element>
    <xsd:element name="UcinnostDoForm" ma:index="23" nillable="true" ma:displayName="Účinnost do" ma:format="DateOnly" ma:internalName="UcinnostDoForm">
      <xsd:simpleType>
        <xsd:restriction base="dms:DateTime"/>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Platnost" ma:index="25" nillable="true" ma:displayName="Platnost" ma:default="1" ma:internalName="Platnost">
      <xsd:simpleType>
        <xsd:restriction base="dms:Boolean"/>
      </xsd:simpleType>
    </xsd:element>
    <xsd:element name="Odkaz" ma:index="26" nillable="true" ma:displayName="Odkaz" ma:format="Hyperlink" ma:internalName="Odkaz">
      <xsd:complexType>
        <xsd:complexContent>
          <xsd:extension base="dms:URL">
            <xsd:sequence>
              <xsd:element name="Url" type="dms:ValidUrl" minOccurs="0" nillable="true"/>
              <xsd:element name="Description" type="xsd:string" nillable="true"/>
            </xsd:sequence>
          </xsd:extension>
        </xsd:complexContent>
      </xsd:complexType>
    </xsd:element>
    <xsd:element name="MediaServiceSearchProperties" ma:index="27" nillable="true" ma:displayName="MediaServiceSearchProperties" ma:hidden="true" ma:internalName="MediaServiceSearchProperties" ma:readOnly="true">
      <xsd:simpleType>
        <xsd:restriction base="dms:Note"/>
      </xsd:simpleType>
    </xsd:element>
    <xsd:element name="lcf76f155ced4ddcb4097134ff3c332f" ma:index="31" nillable="true" ma:taxonomy="true" ma:internalName="lcf76f155ced4ddcb4097134ff3c332f" ma:taxonomyFieldName="MediaServiceImageTags" ma:displayName="Značky obrázků" ma:readOnly="false" ma:fieldId="{5cf76f15-5ced-4ddc-b409-7134ff3c332f}" ma:taxonomyMulti="true" ma:sspId="ba8a29a4-82ad-4cdb-8b82-dfa74bb481e8" ma:termSetId="09814cd3-568e-fe90-9814-8d621ff8fb84" ma:anchorId="fba54fb3-c3e1-fe81-a776-ca4b69148c4d" ma:open="true" ma:isKeyword="false">
      <xsd:complexType>
        <xsd:sequence>
          <xsd:element ref="pc:Terms" minOccurs="0" maxOccurs="1"/>
        </xsd:sequence>
      </xsd:complexType>
    </xsd:element>
    <xsd:element name="MediaServiceDateTaken" ma:index="33" nillable="true" ma:displayName="MediaServiceDateTaken" ma:hidden="true" ma:indexed="true" ma:internalName="MediaServiceDateTaken" ma:readOnly="true">
      <xsd:simpleType>
        <xsd:restriction base="dms:Text"/>
      </xsd:simpleType>
    </xsd:element>
    <xsd:element name="MediaServiceGenerationTime" ma:index="34" nillable="true" ma:displayName="MediaServiceGenerationTime" ma:hidden="true" ma:internalName="MediaServiceGenerationTime" ma:readOnly="true">
      <xsd:simpleType>
        <xsd:restriction base="dms:Text"/>
      </xsd:simpleType>
    </xsd:element>
    <xsd:element name="MediaServiceEventHashCode" ma:index="35" nillable="true" ma:displayName="MediaServiceEventHashCode" ma:hidden="true" ma:internalName="MediaServiceEventHashCode" ma:readOnly="true">
      <xsd:simpleType>
        <xsd:restriction base="dms:Text"/>
      </xsd:simpleType>
    </xsd:element>
    <xsd:element name="MediaServiceOCR" ma:index="36"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06a38fe-c53c-4047-b0f8-c641386931ae" elementFormDefault="qualified">
    <xsd:import namespace="http://schemas.microsoft.com/office/2006/documentManagement/types"/>
    <xsd:import namespace="http://schemas.microsoft.com/office/infopath/2007/PartnerControls"/>
    <xsd:element name="SharedWithUsers" ma:index="28" nillable="true" ma:displayName="Sdílí se s"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9" nillable="true" ma:displayName="Sdílené s podrobnostmi" ma:internalName="SharedWithDetails" ma:readOnly="true">
      <xsd:simpleType>
        <xsd:restriction base="dms:Note">
          <xsd:maxLength value="255"/>
        </xsd:restriction>
      </xsd:simpleType>
    </xsd:element>
    <xsd:element name="TaxCatchAll" ma:index="32" nillable="true" ma:displayName="Taxonomy Catch All Column" ma:hidden="true" ma:list="{d4d15468-1f14-4f0d-947e-4bef9f86f2ae}" ma:internalName="TaxCatchAll" ma:showField="CatchAllData" ma:web="406a38fe-c53c-4047-b0f8-c641386931ae">
      <xsd:complexType>
        <xsd:complexContent>
          <xsd:extension base="dms:MultiChoiceLookup">
            <xsd:sequence>
              <xsd:element name="Value" type="dms:Lookup" maxOccurs="unbounded" minOccurs="0" nillable="true"/>
            </xsd:sequence>
          </xsd:extension>
        </xsd:complexContent>
      </xsd:complexType>
    </xsd:element>
    <xsd:element name="SiteKnihDok" ma:index="37" nillable="true" ma:displayName="SiteKnihDok" ma:default="Vnitřní předpisy" ma:description="Seznam knihoven v Site Knihovna dokumentů ČSÚ" ma:format="Dropdown" ma:internalName="SiteKnihDok">
      <xsd:simpleType>
        <xsd:restriction base="dms:Choice">
          <xsd:enumeration value="Vnitřní předpisy"/>
          <xsd:enumeration value="Formuláře"/>
          <xsd:enumeration value="Návody a manuály"/>
          <xsd:enumeration value="Zápisy a reporty"/>
        </xsd:restriction>
      </xsd:simpleType>
    </xsd:element>
    <xsd:element name="ProcDomena" ma:index="38" nillable="true" ma:displayName="Procesní doména" ma:default="P1 Bezpečnost" ma:internalName="ProcDomena">
      <xsd:complexType>
        <xsd:complexContent>
          <xsd:extension base="dms:MultiChoice">
            <xsd:sequence>
              <xsd:element name="Value" maxOccurs="unbounded" minOccurs="0" nillable="true">
                <xsd:simpleType>
                  <xsd:restriction base="dms:Choice">
                    <xsd:enumeration value="P1 Bezpečnost"/>
                    <xsd:enumeration value="P2 Účetnictví"/>
                    <xsd:enumeration value="P3 Správa dokumentů"/>
                    <xsd:enumeration value="P4 Komunikace a propagace"/>
                    <xsd:enumeration value="P5 Právní služby"/>
                    <xsd:enumeration value="P6 Personalistika"/>
                    <xsd:enumeration value="P7 Nákup a investice"/>
                    <xsd:enumeration value="P8 Projektové řízení"/>
                    <xsd:enumeration value="P9 IT"/>
                    <xsd:enumeration value="P10 Hospodaření, nakládání s majetkem a jeho správa"/>
                    <xsd:enumeration value="P11 Služební a pracovní tuzemské a zahraniční cesty"/>
                    <xsd:enumeration value="P12 Mezinárodní spolupráce"/>
                    <xsd:enumeration value="P13 Legislativa"/>
                    <xsd:enumeration value="R1 Interní audit"/>
                    <xsd:enumeration value="R2 Řízení a plánování"/>
                    <xsd:enumeration value="R3 Ochrana osobních údajů"/>
                    <xsd:enumeration value="R4 Finanční řízení"/>
                    <xsd:enumeration value="H1 Koordinace a správa metodiky"/>
                    <xsd:enumeration value="H2 Posouzení požadavků"/>
                    <xsd:enumeration value="H3 Specifikace úlohy"/>
                    <xsd:enumeration value="H4 Příprava zpracování"/>
                    <xsd:enumeration value="H5 Sběr dat"/>
                    <xsd:enumeration value="H6 Statistické zpracování"/>
                    <xsd:enumeration value="H7 Analýza a tvorba výstupů"/>
                    <xsd:enumeration value="H8 Diseminace"/>
                    <xsd:enumeration value="H9 Evaluace"/>
                    <xsd:enumeration value="H10 Zpracování voleb"/>
                  </xsd:restriction>
                </xsd:simple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E7681AD-41B0-431A-9D34-CF6700A12FAC}">
  <ds:schemaRefs>
    <ds:schemaRef ds:uri="http://schemas.microsoft.com/office/2006/metadata/properties"/>
    <ds:schemaRef ds:uri="http://schemas.microsoft.com/office/infopath/2007/PartnerControls"/>
    <ds:schemaRef ds:uri="8675fb2b-b414-4bad-b4c4-d9349268b5a1"/>
    <ds:schemaRef ds:uri="406a38fe-c53c-4047-b0f8-c641386931ae"/>
  </ds:schemaRefs>
</ds:datastoreItem>
</file>

<file path=customXml/itemProps2.xml><?xml version="1.0" encoding="utf-8"?>
<ds:datastoreItem xmlns:ds="http://schemas.openxmlformats.org/officeDocument/2006/customXml" ds:itemID="{4520BFF4-F202-41B8-B99D-38B5B951174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675fb2b-b414-4bad-b4c4-d9349268b5a1"/>
    <ds:schemaRef ds:uri="406a38fe-c53c-4047-b0f8-c641386931a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FA8A1E1-1E99-4B4F-B9B5-70567730AA3A}">
  <ds:schemaRefs>
    <ds:schemaRef ds:uri="http://schemas.microsoft.com/sharepoint/v3/contenttype/forms"/>
  </ds:schemaRefs>
</ds:datastoreItem>
</file>

<file path=customXml/itemProps4.xml><?xml version="1.0" encoding="utf-8"?>
<ds:datastoreItem xmlns:ds="http://schemas.openxmlformats.org/officeDocument/2006/customXml" ds:itemID="{BD4A6635-18E5-4C5D-A03B-290B098117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Form_c444_Publikace_regiony a zeme - analyzy.dotx</Template>
  <TotalTime>570</TotalTime>
  <Pages>2</Pages>
  <Words>908</Words>
  <Characters>5359</Characters>
  <Application>Microsoft Office Word</Application>
  <DocSecurity>0</DocSecurity>
  <Lines>44</Lines>
  <Paragraphs>12</Paragraphs>
  <ScaleCrop>false</ScaleCrop>
  <HeadingPairs>
    <vt:vector size="6" baseType="variant">
      <vt:variant>
        <vt:lpstr>Název</vt:lpstr>
      </vt:variant>
      <vt:variant>
        <vt:i4>1</vt:i4>
      </vt:variant>
      <vt:variant>
        <vt:lpstr>Title</vt:lpstr>
      </vt:variant>
      <vt:variant>
        <vt:i4>1</vt:i4>
      </vt:variant>
      <vt:variant>
        <vt:lpstr>Headings</vt:lpstr>
      </vt:variant>
      <vt:variant>
        <vt:i4>8</vt:i4>
      </vt:variant>
    </vt:vector>
  </HeadingPairs>
  <TitlesOfParts>
    <vt:vector size="10" baseType="lpstr">
      <vt:lpstr/>
      <vt:lpstr/>
      <vt:lpstr>Styl: Nadpis 1</vt:lpstr>
      <vt:lpstr>    Styl: Nadpis 2</vt:lpstr>
      <vt:lpstr>        Styl: Nadpis 3</vt:lpstr>
      <vt:lpstr>        Styl: Nadpis 3</vt:lpstr>
      <vt:lpstr>    Styl: Nadpis 2</vt:lpstr>
      <vt:lpstr>        Styl: Nadpis 3</vt:lpstr>
      <vt:lpstr>    Styl: Nadpis 2</vt:lpstr>
      <vt:lpstr>        Styl: Nadpis 3</vt:lpstr>
    </vt:vector>
  </TitlesOfParts>
  <Company>CSU</Company>
  <LinksUpToDate>false</LinksUpToDate>
  <CharactersWithSpaces>6255</CharactersWithSpaces>
  <SharedDoc>false</SharedDoc>
  <HLinks>
    <vt:vector size="18" baseType="variant">
      <vt:variant>
        <vt:i4>7602181</vt:i4>
      </vt:variant>
      <vt:variant>
        <vt:i4>11092</vt:i4>
      </vt:variant>
      <vt:variant>
        <vt:i4>1025</vt:i4>
      </vt:variant>
      <vt:variant>
        <vt:i4>1</vt:i4>
      </vt:variant>
      <vt:variant>
        <vt:lpwstr>msoFAAF</vt:lpwstr>
      </vt:variant>
      <vt:variant>
        <vt:lpwstr/>
      </vt:variant>
      <vt:variant>
        <vt:i4>7995509</vt:i4>
      </vt:variant>
      <vt:variant>
        <vt:i4>-1</vt:i4>
      </vt:variant>
      <vt:variant>
        <vt:i4>2058</vt:i4>
      </vt:variant>
      <vt:variant>
        <vt:i4>1</vt:i4>
      </vt:variant>
      <vt:variant>
        <vt:lpwstr>CSU RGB CZ logo-02</vt:lpwstr>
      </vt:variant>
      <vt:variant>
        <vt:lpwstr/>
      </vt:variant>
      <vt:variant>
        <vt:i4>7929973</vt:i4>
      </vt:variant>
      <vt:variant>
        <vt:i4>-1</vt:i4>
      </vt:variant>
      <vt:variant>
        <vt:i4>2059</vt:i4>
      </vt:variant>
      <vt:variant>
        <vt:i4>1</vt:i4>
      </vt:variant>
      <vt:variant>
        <vt:lpwstr>CSU RGB CZ logo-01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Publikace CZ barevná - regiony a země - analýzy</dc:title>
  <dc:subject/>
  <dc:creator>Zábojníková Karolína</dc:creator>
  <cp:keywords/>
  <cp:lastModifiedBy>Zábojníková Karolína</cp:lastModifiedBy>
  <cp:revision>73</cp:revision>
  <cp:lastPrinted>2014-07-17T14:07:00Z</cp:lastPrinted>
  <dcterms:created xsi:type="dcterms:W3CDTF">2026-10-09T10:57:00Z</dcterms:created>
  <dcterms:modified xsi:type="dcterms:W3CDTF">2026-10-15T10:26:00Z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0x010100FBD76F913C5B1A4797255AD7259AA9ED</vt:lpwstr>
  </property>
  <property fmtid="{D5CDD505-2E9C-101B-9397-08002B2CF9AE}" pid="3" name="Názevformuláře">
    <vt:lpwstr>Publikace CZ barevné - vícetematické analýzy
</vt:lpwstr>
  </property>
  <property fmtid="{D5CDD505-2E9C-101B-9397-08002B2CF9AE}" pid="4" name="Vazbanaprocesnídoménu">
    <vt:lpwstr>;#4. Komunikace a propagace;#</vt:lpwstr>
  </property>
  <property fmtid="{D5CDD505-2E9C-101B-9397-08002B2CF9AE}" pid="5" name="Vazbanadefiničnípředpis">
    <vt:lpwstr>Manuál ke zveřejňování produktů ČSÚ
</vt:lpwstr>
  </property>
  <property fmtid="{D5CDD505-2E9C-101B-9397-08002B2CF9AE}" pid="6" name="Ustanovení">
    <vt:lpwstr>část první čl. 2, odst. 3b,c; část pátá; příloha 1
</vt:lpwstr>
  </property>
  <property fmtid="{D5CDD505-2E9C-101B-9397-08002B2CF9AE}" pid="7" name="Účinnostod">
    <vt:filetime>2018-04-17T07:00:00Z</vt:filetime>
  </property>
  <property fmtid="{D5CDD505-2E9C-101B-9397-08002B2CF9AE}" pid="8" name="Označení">
    <vt:lpwstr>Form_c444</vt:lpwstr>
  </property>
  <property fmtid="{D5CDD505-2E9C-101B-9397-08002B2CF9AE}" pid="9" name="MediaServiceImageTags">
    <vt:lpwstr/>
  </property>
  <property fmtid="{D5CDD505-2E9C-101B-9397-08002B2CF9AE}" pid="10" name="xd_ProgID">
    <vt:lpwstr/>
  </property>
  <property fmtid="{D5CDD505-2E9C-101B-9397-08002B2CF9AE}" pid="11" name="ComplianceAssetId">
    <vt:lpwstr/>
  </property>
  <property fmtid="{D5CDD505-2E9C-101B-9397-08002B2CF9AE}" pid="12" name="TemplateUrl">
    <vt:lpwstr/>
  </property>
  <property fmtid="{D5CDD505-2E9C-101B-9397-08002B2CF9AE}" pid="13" name="_ExtendedDescription">
    <vt:lpwstr/>
  </property>
  <property fmtid="{D5CDD505-2E9C-101B-9397-08002B2CF9AE}" pid="14" name="TriggerFlowInfo">
    <vt:lpwstr/>
  </property>
  <property fmtid="{D5CDD505-2E9C-101B-9397-08002B2CF9AE}" pid="15" name="xd_Signature">
    <vt:bool>false</vt:bool>
  </property>
  <property fmtid="{D5CDD505-2E9C-101B-9397-08002B2CF9AE}" pid="16" name="MSIP_Label_29db9e61-aac5-4f6e-805d-ceb8cb9983a1_Enabled">
    <vt:lpwstr>true</vt:lpwstr>
  </property>
  <property fmtid="{D5CDD505-2E9C-101B-9397-08002B2CF9AE}" pid="17" name="MSIP_Label_29db9e61-aac5-4f6e-805d-ceb8cb9983a1_SetDate">
    <vt:lpwstr>2026-09-16T09:02:17Z</vt:lpwstr>
  </property>
  <property fmtid="{D5CDD505-2E9C-101B-9397-08002B2CF9AE}" pid="18" name="MSIP_Label_29db9e61-aac5-4f6e-805d-ceb8cb9983a1_Method">
    <vt:lpwstr>Standard</vt:lpwstr>
  </property>
  <property fmtid="{D5CDD505-2E9C-101B-9397-08002B2CF9AE}" pid="19" name="MSIP_Label_29db9e61-aac5-4f6e-805d-ceb8cb9983a1_Name">
    <vt:lpwstr>UniCredit - Internal Use Only - no visual markings</vt:lpwstr>
  </property>
  <property fmtid="{D5CDD505-2E9C-101B-9397-08002B2CF9AE}" pid="20" name="MSIP_Label_29db9e61-aac5-4f6e-805d-ceb8cb9983a1_SiteId">
    <vt:lpwstr>2cc49ce9-66a1-41ac-a96b-bdc54247696a</vt:lpwstr>
  </property>
  <property fmtid="{D5CDD505-2E9C-101B-9397-08002B2CF9AE}" pid="21" name="MSIP_Label_29db9e61-aac5-4f6e-805d-ceb8cb9983a1_ActionId">
    <vt:lpwstr>dd88b259-0c19-43b2-b8a9-ca92370eeaec</vt:lpwstr>
  </property>
  <property fmtid="{D5CDD505-2E9C-101B-9397-08002B2CF9AE}" pid="22" name="MSIP_Label_29db9e61-aac5-4f6e-805d-ceb8cb9983a1_ContentBits">
    <vt:lpwstr>0</vt:lpwstr>
  </property>
  <property fmtid="{D5CDD505-2E9C-101B-9397-08002B2CF9AE}" pid="23" name="MSIP_Label_29db9e61-aac5-4f6e-805d-ceb8cb9983a1_Tag">
    <vt:lpwstr>10, 3, 0, 1</vt:lpwstr>
  </property>
</Properties>
</file>