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1.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drawings/drawing2.xml" ContentType="application/vnd.openxmlformats-officedocument.drawingml.chartshapes+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charts/chart21.xml" ContentType="application/vnd.openxmlformats-officedocument.drawingml.chart+xml"/>
  <Override PartName="/word/charts/chart22.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3.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4.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25.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26.xml" ContentType="application/vnd.openxmlformats-officedocument.drawingml.chart+xml"/>
  <Override PartName="/word/charts/style25.xml" ContentType="application/vnd.ms-office.chartstyle+xml"/>
  <Override PartName="/word/charts/colors25.xml" ContentType="application/vnd.ms-office.chartcolorstyle+xml"/>
  <Override PartName="/word/charts/chart27.xml" ContentType="application/vnd.openxmlformats-officedocument.drawingml.chart+xml"/>
  <Override PartName="/word/charts/style26.xml" ContentType="application/vnd.ms-office.chartstyle+xml"/>
  <Override PartName="/word/charts/colors26.xml" ContentType="application/vnd.ms-office.chartcolorstyle+xml"/>
  <Override PartName="/word/charts/chart28.xml" ContentType="application/vnd.openxmlformats-officedocument.drawingml.chart+xml"/>
  <Override PartName="/word/charts/style27.xml" ContentType="application/vnd.ms-office.chartstyle+xml"/>
  <Override PartName="/word/charts/colors27.xml" ContentType="application/vnd.ms-office.chartcolorstyle+xml"/>
  <Override PartName="/word/charts/chart29.xml" ContentType="application/vnd.openxmlformats-officedocument.drawingml.chart+xml"/>
  <Override PartName="/word/charts/style28.xml" ContentType="application/vnd.ms-office.chartstyle+xml"/>
  <Override PartName="/word/charts/colors28.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DA5B26" w14:textId="0003C0FD" w:rsidR="00A75E40" w:rsidRPr="000A3A2C" w:rsidRDefault="00016992" w:rsidP="00E67696">
      <w:pPr>
        <w:rPr>
          <w:lang w:eastAsia="ar-SA"/>
        </w:rPr>
        <w:sectPr w:rsidR="00A75E40" w:rsidRPr="000A3A2C" w:rsidSect="0085114D">
          <w:pgSz w:w="11906" w:h="16838" w:code="9"/>
          <w:pgMar w:top="1134" w:right="1134" w:bottom="1418" w:left="1134" w:header="709" w:footer="709" w:gutter="0"/>
          <w:pgNumType w:start="1"/>
          <w:cols w:space="708"/>
          <w:docGrid w:linePitch="360"/>
        </w:sectPr>
      </w:pPr>
      <w:r>
        <w:rPr>
          <w:noProof/>
        </w:rPr>
        <mc:AlternateContent>
          <mc:Choice Requires="wpg">
            <w:drawing>
              <wp:anchor distT="0" distB="0" distL="114300" distR="114300" simplePos="0" relativeHeight="251657728" behindDoc="0" locked="1" layoutInCell="1" allowOverlap="1" wp14:anchorId="3717B01B" wp14:editId="22CBC0D2">
                <wp:simplePos x="0" y="0"/>
                <wp:positionH relativeFrom="page">
                  <wp:posOffset>571500</wp:posOffset>
                </wp:positionH>
                <wp:positionV relativeFrom="page">
                  <wp:posOffset>466725</wp:posOffset>
                </wp:positionV>
                <wp:extent cx="2249805" cy="554355"/>
                <wp:effectExtent l="0" t="0" r="0" b="0"/>
                <wp:wrapSquare wrapText="bothSides"/>
                <wp:docPr id="5" name="Group 2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2249805" cy="554355"/>
                          <a:chOff x="567" y="851"/>
                          <a:chExt cx="2714" cy="667"/>
                        </a:xfrm>
                      </wpg:grpSpPr>
                      <wps:wsp>
                        <wps:cNvPr id="6" name="Rectangle 9"/>
                        <wps:cNvSpPr>
                          <a:spLocks noChangeAspect="1" noChangeArrowheads="1"/>
                        </wps:cNvSpPr>
                        <wps:spPr bwMode="auto">
                          <a:xfrm>
                            <a:off x="1215" y="901"/>
                            <a:ext cx="676" cy="154"/>
                          </a:xfrm>
                          <a:prstGeom prst="rect">
                            <a:avLst/>
                          </a:prstGeom>
                          <a:solidFill>
                            <a:srgbClr val="0071BC"/>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bodyPr rot="0" vert="horz" wrap="square" lIns="91440" tIns="45720" rIns="91440" bIns="45720" anchor="t" anchorCtr="0" upright="1">
                          <a:noAutofit/>
                        </wps:bodyPr>
                      </wps:wsp>
                      <wps:wsp>
                        <wps:cNvPr id="7" name="Rectangle 10"/>
                        <wps:cNvSpPr>
                          <a:spLocks noChangeAspect="1" noChangeArrowheads="1"/>
                        </wps:cNvSpPr>
                        <wps:spPr bwMode="auto">
                          <a:xfrm>
                            <a:off x="567" y="1131"/>
                            <a:ext cx="1324" cy="154"/>
                          </a:xfrm>
                          <a:prstGeom prst="rect">
                            <a:avLst/>
                          </a:prstGeom>
                          <a:solidFill>
                            <a:srgbClr val="0071BC"/>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bodyPr rot="0" vert="horz" wrap="square" lIns="91440" tIns="45720" rIns="91440" bIns="45720" anchor="t" anchorCtr="0" upright="1">
                          <a:noAutofit/>
                        </wps:bodyPr>
                      </wps:wsp>
                      <wps:wsp>
                        <wps:cNvPr id="8" name="Rectangle 11"/>
                        <wps:cNvSpPr>
                          <a:spLocks noChangeAspect="1" noChangeArrowheads="1"/>
                        </wps:cNvSpPr>
                        <wps:spPr bwMode="auto">
                          <a:xfrm>
                            <a:off x="1288" y="1361"/>
                            <a:ext cx="603" cy="153"/>
                          </a:xfrm>
                          <a:prstGeom prst="rect">
                            <a:avLst/>
                          </a:prstGeom>
                          <a:solidFill>
                            <a:srgbClr val="0071BC"/>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bodyPr rot="0" vert="horz" wrap="square" lIns="91440" tIns="45720" rIns="91440" bIns="45720" anchor="t" anchorCtr="0" upright="1">
                          <a:noAutofit/>
                        </wps:bodyPr>
                      </wps:wsp>
                      <wps:wsp>
                        <wps:cNvPr id="9" name="Freeform 12"/>
                        <wps:cNvSpPr>
                          <a:spLocks noChangeAspect="1" noEditPoints="1"/>
                        </wps:cNvSpPr>
                        <wps:spPr bwMode="auto">
                          <a:xfrm>
                            <a:off x="1969" y="1311"/>
                            <a:ext cx="600" cy="207"/>
                          </a:xfrm>
                          <a:custGeom>
                            <a:avLst/>
                            <a:gdLst>
                              <a:gd name="T0" fmla="*/ 520 w 1200"/>
                              <a:gd name="T1" fmla="*/ 84 h 415"/>
                              <a:gd name="T2" fmla="*/ 537 w 1200"/>
                              <a:gd name="T3" fmla="*/ 88 h 415"/>
                              <a:gd name="T4" fmla="*/ 550 w 1200"/>
                              <a:gd name="T5" fmla="*/ 100 h 415"/>
                              <a:gd name="T6" fmla="*/ 557 w 1200"/>
                              <a:gd name="T7" fmla="*/ 114 h 415"/>
                              <a:gd name="T8" fmla="*/ 559 w 1200"/>
                              <a:gd name="T9" fmla="*/ 131 h 415"/>
                              <a:gd name="T10" fmla="*/ 554 w 1200"/>
                              <a:gd name="T11" fmla="*/ 147 h 415"/>
                              <a:gd name="T12" fmla="*/ 544 w 1200"/>
                              <a:gd name="T13" fmla="*/ 160 h 415"/>
                              <a:gd name="T14" fmla="*/ 530 w 1200"/>
                              <a:gd name="T15" fmla="*/ 168 h 415"/>
                              <a:gd name="T16" fmla="*/ 506 w 1200"/>
                              <a:gd name="T17" fmla="*/ 170 h 415"/>
                              <a:gd name="T18" fmla="*/ 540 w 1200"/>
                              <a:gd name="T19" fmla="*/ 202 h 415"/>
                              <a:gd name="T20" fmla="*/ 567 w 1200"/>
                              <a:gd name="T21" fmla="*/ 190 h 415"/>
                              <a:gd name="T22" fmla="*/ 587 w 1200"/>
                              <a:gd name="T23" fmla="*/ 169 h 415"/>
                              <a:gd name="T24" fmla="*/ 599 w 1200"/>
                              <a:gd name="T25" fmla="*/ 142 h 415"/>
                              <a:gd name="T26" fmla="*/ 599 w 1200"/>
                              <a:gd name="T27" fmla="*/ 111 h 415"/>
                              <a:gd name="T28" fmla="*/ 587 w 1200"/>
                              <a:gd name="T29" fmla="*/ 84 h 415"/>
                              <a:gd name="T30" fmla="*/ 567 w 1200"/>
                              <a:gd name="T31" fmla="*/ 63 h 415"/>
                              <a:gd name="T32" fmla="*/ 540 w 1200"/>
                              <a:gd name="T33" fmla="*/ 51 h 415"/>
                              <a:gd name="T34" fmla="*/ 466 w 1200"/>
                              <a:gd name="T35" fmla="*/ 204 h 415"/>
                              <a:gd name="T36" fmla="*/ 388 w 1200"/>
                              <a:gd name="T37" fmla="*/ 146 h 415"/>
                              <a:gd name="T38" fmla="*/ 393 w 1200"/>
                              <a:gd name="T39" fmla="*/ 50 h 415"/>
                              <a:gd name="T40" fmla="*/ 343 w 1200"/>
                              <a:gd name="T41" fmla="*/ 177 h 415"/>
                              <a:gd name="T42" fmla="*/ 257 w 1200"/>
                              <a:gd name="T43" fmla="*/ 18 h 415"/>
                              <a:gd name="T44" fmla="*/ 174 w 1200"/>
                              <a:gd name="T45" fmla="*/ 18 h 415"/>
                              <a:gd name="T46" fmla="*/ 216 w 1200"/>
                              <a:gd name="T47" fmla="*/ 81 h 415"/>
                              <a:gd name="T48" fmla="*/ 231 w 1200"/>
                              <a:gd name="T49" fmla="*/ 88 h 415"/>
                              <a:gd name="T50" fmla="*/ 235 w 1200"/>
                              <a:gd name="T51" fmla="*/ 104 h 415"/>
                              <a:gd name="T52" fmla="*/ 225 w 1200"/>
                              <a:gd name="T53" fmla="*/ 116 h 415"/>
                              <a:gd name="T54" fmla="*/ 204 w 1200"/>
                              <a:gd name="T55" fmla="*/ 119 h 415"/>
                              <a:gd name="T56" fmla="*/ 258 w 1200"/>
                              <a:gd name="T57" fmla="*/ 135 h 415"/>
                              <a:gd name="T58" fmla="*/ 271 w 1200"/>
                              <a:gd name="T59" fmla="*/ 121 h 415"/>
                              <a:gd name="T60" fmla="*/ 276 w 1200"/>
                              <a:gd name="T61" fmla="*/ 102 h 415"/>
                              <a:gd name="T62" fmla="*/ 275 w 1200"/>
                              <a:gd name="T63" fmla="*/ 83 h 415"/>
                              <a:gd name="T64" fmla="*/ 266 w 1200"/>
                              <a:gd name="T65" fmla="*/ 67 h 415"/>
                              <a:gd name="T66" fmla="*/ 252 w 1200"/>
                              <a:gd name="T67" fmla="*/ 55 h 415"/>
                              <a:gd name="T68" fmla="*/ 232 w 1200"/>
                              <a:gd name="T69" fmla="*/ 50 h 415"/>
                              <a:gd name="T70" fmla="*/ 204 w 1200"/>
                              <a:gd name="T71" fmla="*/ 204 h 415"/>
                              <a:gd name="T72" fmla="*/ 243 w 1200"/>
                              <a:gd name="T73" fmla="*/ 141 h 415"/>
                              <a:gd name="T74" fmla="*/ 67 w 1200"/>
                              <a:gd name="T75" fmla="*/ 42 h 415"/>
                              <a:gd name="T76" fmla="*/ 0 w 1200"/>
                              <a:gd name="T77" fmla="*/ 139 h 415"/>
                              <a:gd name="T78" fmla="*/ 3 w 1200"/>
                              <a:gd name="T79" fmla="*/ 166 h 415"/>
                              <a:gd name="T80" fmla="*/ 12 w 1200"/>
                              <a:gd name="T81" fmla="*/ 184 h 415"/>
                              <a:gd name="T82" fmla="*/ 34 w 1200"/>
                              <a:gd name="T83" fmla="*/ 201 h 415"/>
                              <a:gd name="T84" fmla="*/ 67 w 1200"/>
                              <a:gd name="T85" fmla="*/ 207 h 415"/>
                              <a:gd name="T86" fmla="*/ 96 w 1200"/>
                              <a:gd name="T87" fmla="*/ 202 h 415"/>
                              <a:gd name="T88" fmla="*/ 119 w 1200"/>
                              <a:gd name="T89" fmla="*/ 186 h 415"/>
                              <a:gd name="T90" fmla="*/ 131 w 1200"/>
                              <a:gd name="T91" fmla="*/ 166 h 415"/>
                              <a:gd name="T92" fmla="*/ 134 w 1200"/>
                              <a:gd name="T93" fmla="*/ 139 h 415"/>
                              <a:gd name="T94" fmla="*/ 95 w 1200"/>
                              <a:gd name="T95" fmla="*/ 143 h 415"/>
                              <a:gd name="T96" fmla="*/ 89 w 1200"/>
                              <a:gd name="T97" fmla="*/ 163 h 415"/>
                              <a:gd name="T98" fmla="*/ 78 w 1200"/>
                              <a:gd name="T99" fmla="*/ 170 h 415"/>
                              <a:gd name="T100" fmla="*/ 63 w 1200"/>
                              <a:gd name="T101" fmla="*/ 172 h 415"/>
                              <a:gd name="T102" fmla="*/ 52 w 1200"/>
                              <a:gd name="T103" fmla="*/ 168 h 415"/>
                              <a:gd name="T104" fmla="*/ 42 w 1200"/>
                              <a:gd name="T105" fmla="*/ 156 h 415"/>
                              <a:gd name="T106" fmla="*/ 40 w 1200"/>
                              <a:gd name="T107" fmla="*/ 50 h 415"/>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Lst>
                            <a:ahLst/>
                            <a:cxnLst>
                              <a:cxn ang="T108">
                                <a:pos x="T0" y="T1"/>
                              </a:cxn>
                              <a:cxn ang="T109">
                                <a:pos x="T2" y="T3"/>
                              </a:cxn>
                              <a:cxn ang="T110">
                                <a:pos x="T4" y="T5"/>
                              </a:cxn>
                              <a:cxn ang="T111">
                                <a:pos x="T6" y="T7"/>
                              </a:cxn>
                              <a:cxn ang="T112">
                                <a:pos x="T8" y="T9"/>
                              </a:cxn>
                              <a:cxn ang="T113">
                                <a:pos x="T10" y="T11"/>
                              </a:cxn>
                              <a:cxn ang="T114">
                                <a:pos x="T12" y="T13"/>
                              </a:cxn>
                              <a:cxn ang="T115">
                                <a:pos x="T14" y="T15"/>
                              </a:cxn>
                              <a:cxn ang="T116">
                                <a:pos x="T16" y="T17"/>
                              </a:cxn>
                              <a:cxn ang="T117">
                                <a:pos x="T18" y="T19"/>
                              </a:cxn>
                              <a:cxn ang="T118">
                                <a:pos x="T20" y="T21"/>
                              </a:cxn>
                              <a:cxn ang="T119">
                                <a:pos x="T22" y="T23"/>
                              </a:cxn>
                              <a:cxn ang="T120">
                                <a:pos x="T24" y="T25"/>
                              </a:cxn>
                              <a:cxn ang="T121">
                                <a:pos x="T26" y="T27"/>
                              </a:cxn>
                              <a:cxn ang="T122">
                                <a:pos x="T28" y="T29"/>
                              </a:cxn>
                              <a:cxn ang="T123">
                                <a:pos x="T30" y="T31"/>
                              </a:cxn>
                              <a:cxn ang="T124">
                                <a:pos x="T32" y="T33"/>
                              </a:cxn>
                              <a:cxn ang="T125">
                                <a:pos x="T34" y="T35"/>
                              </a:cxn>
                              <a:cxn ang="T126">
                                <a:pos x="T36" y="T37"/>
                              </a:cxn>
                              <a:cxn ang="T127">
                                <a:pos x="T38" y="T39"/>
                              </a:cxn>
                              <a:cxn ang="T128">
                                <a:pos x="T40" y="T41"/>
                              </a:cxn>
                              <a:cxn ang="T129">
                                <a:pos x="T42" y="T43"/>
                              </a:cxn>
                              <a:cxn ang="T130">
                                <a:pos x="T44" y="T45"/>
                              </a:cxn>
                              <a:cxn ang="T131">
                                <a:pos x="T46" y="T47"/>
                              </a:cxn>
                              <a:cxn ang="T132">
                                <a:pos x="T48" y="T49"/>
                              </a:cxn>
                              <a:cxn ang="T133">
                                <a:pos x="T50" y="T51"/>
                              </a:cxn>
                              <a:cxn ang="T134">
                                <a:pos x="T52" y="T53"/>
                              </a:cxn>
                              <a:cxn ang="T135">
                                <a:pos x="T54" y="T55"/>
                              </a:cxn>
                              <a:cxn ang="T136">
                                <a:pos x="T56" y="T57"/>
                              </a:cxn>
                              <a:cxn ang="T137">
                                <a:pos x="T58" y="T59"/>
                              </a:cxn>
                              <a:cxn ang="T138">
                                <a:pos x="T60" y="T61"/>
                              </a:cxn>
                              <a:cxn ang="T139">
                                <a:pos x="T62" y="T63"/>
                              </a:cxn>
                              <a:cxn ang="T140">
                                <a:pos x="T64" y="T65"/>
                              </a:cxn>
                              <a:cxn ang="T141">
                                <a:pos x="T66" y="T67"/>
                              </a:cxn>
                              <a:cxn ang="T142">
                                <a:pos x="T68" y="T69"/>
                              </a:cxn>
                              <a:cxn ang="T143">
                                <a:pos x="T70" y="T71"/>
                              </a:cxn>
                              <a:cxn ang="T144">
                                <a:pos x="T72" y="T73"/>
                              </a:cxn>
                              <a:cxn ang="T145">
                                <a:pos x="T74" y="T75"/>
                              </a:cxn>
                              <a:cxn ang="T146">
                                <a:pos x="T76" y="T77"/>
                              </a:cxn>
                              <a:cxn ang="T147">
                                <a:pos x="T78" y="T79"/>
                              </a:cxn>
                              <a:cxn ang="T148">
                                <a:pos x="T80" y="T81"/>
                              </a:cxn>
                              <a:cxn ang="T149">
                                <a:pos x="T82" y="T83"/>
                              </a:cxn>
                              <a:cxn ang="T150">
                                <a:pos x="T84" y="T85"/>
                              </a:cxn>
                              <a:cxn ang="T151">
                                <a:pos x="T86" y="T87"/>
                              </a:cxn>
                              <a:cxn ang="T152">
                                <a:pos x="T88" y="T89"/>
                              </a:cxn>
                              <a:cxn ang="T153">
                                <a:pos x="T90" y="T91"/>
                              </a:cxn>
                              <a:cxn ang="T154">
                                <a:pos x="T92" y="T93"/>
                              </a:cxn>
                              <a:cxn ang="T155">
                                <a:pos x="T94" y="T95"/>
                              </a:cxn>
                              <a:cxn ang="T156">
                                <a:pos x="T96" y="T97"/>
                              </a:cxn>
                              <a:cxn ang="T157">
                                <a:pos x="T98" y="T99"/>
                              </a:cxn>
                              <a:cxn ang="T158">
                                <a:pos x="T100" y="T101"/>
                              </a:cxn>
                              <a:cxn ang="T159">
                                <a:pos x="T102" y="T103"/>
                              </a:cxn>
                              <a:cxn ang="T160">
                                <a:pos x="T104" y="T105"/>
                              </a:cxn>
                              <a:cxn ang="T161">
                                <a:pos x="T106" y="T107"/>
                              </a:cxn>
                            </a:cxnLst>
                            <a:rect l="0" t="0" r="r" b="b"/>
                            <a:pathLst>
                              <a:path w="1200" h="415">
                                <a:moveTo>
                                  <a:pt x="1011" y="341"/>
                                </a:moveTo>
                                <a:lnTo>
                                  <a:pt x="1011" y="167"/>
                                </a:lnTo>
                                <a:lnTo>
                                  <a:pt x="1030" y="167"/>
                                </a:lnTo>
                                <a:lnTo>
                                  <a:pt x="1040" y="169"/>
                                </a:lnTo>
                                <a:lnTo>
                                  <a:pt x="1049" y="170"/>
                                </a:lnTo>
                                <a:lnTo>
                                  <a:pt x="1059" y="171"/>
                                </a:lnTo>
                                <a:lnTo>
                                  <a:pt x="1067" y="174"/>
                                </a:lnTo>
                                <a:lnTo>
                                  <a:pt x="1074" y="177"/>
                                </a:lnTo>
                                <a:lnTo>
                                  <a:pt x="1082" y="182"/>
                                </a:lnTo>
                                <a:lnTo>
                                  <a:pt x="1088" y="187"/>
                                </a:lnTo>
                                <a:lnTo>
                                  <a:pt x="1094" y="194"/>
                                </a:lnTo>
                                <a:lnTo>
                                  <a:pt x="1099" y="200"/>
                                </a:lnTo>
                                <a:lnTo>
                                  <a:pt x="1104" y="206"/>
                                </a:lnTo>
                                <a:lnTo>
                                  <a:pt x="1108" y="213"/>
                                </a:lnTo>
                                <a:lnTo>
                                  <a:pt x="1112" y="221"/>
                                </a:lnTo>
                                <a:lnTo>
                                  <a:pt x="1114" y="228"/>
                                </a:lnTo>
                                <a:lnTo>
                                  <a:pt x="1116" y="237"/>
                                </a:lnTo>
                                <a:lnTo>
                                  <a:pt x="1117" y="245"/>
                                </a:lnTo>
                                <a:lnTo>
                                  <a:pt x="1117" y="253"/>
                                </a:lnTo>
                                <a:lnTo>
                                  <a:pt x="1117" y="262"/>
                                </a:lnTo>
                                <a:lnTo>
                                  <a:pt x="1116" y="271"/>
                                </a:lnTo>
                                <a:lnTo>
                                  <a:pt x="1114" y="278"/>
                                </a:lnTo>
                                <a:lnTo>
                                  <a:pt x="1112" y="287"/>
                                </a:lnTo>
                                <a:lnTo>
                                  <a:pt x="1108" y="294"/>
                                </a:lnTo>
                                <a:lnTo>
                                  <a:pt x="1104" y="301"/>
                                </a:lnTo>
                                <a:lnTo>
                                  <a:pt x="1099" y="308"/>
                                </a:lnTo>
                                <a:lnTo>
                                  <a:pt x="1094" y="314"/>
                                </a:lnTo>
                                <a:lnTo>
                                  <a:pt x="1088" y="321"/>
                                </a:lnTo>
                                <a:lnTo>
                                  <a:pt x="1082" y="326"/>
                                </a:lnTo>
                                <a:lnTo>
                                  <a:pt x="1074" y="331"/>
                                </a:lnTo>
                                <a:lnTo>
                                  <a:pt x="1067" y="334"/>
                                </a:lnTo>
                                <a:lnTo>
                                  <a:pt x="1059" y="337"/>
                                </a:lnTo>
                                <a:lnTo>
                                  <a:pt x="1049" y="338"/>
                                </a:lnTo>
                                <a:lnTo>
                                  <a:pt x="1040" y="339"/>
                                </a:lnTo>
                                <a:lnTo>
                                  <a:pt x="1030" y="341"/>
                                </a:lnTo>
                                <a:lnTo>
                                  <a:pt x="1011" y="341"/>
                                </a:lnTo>
                                <a:close/>
                                <a:moveTo>
                                  <a:pt x="931" y="408"/>
                                </a:moveTo>
                                <a:lnTo>
                                  <a:pt x="1049" y="408"/>
                                </a:lnTo>
                                <a:lnTo>
                                  <a:pt x="1064" y="407"/>
                                </a:lnTo>
                                <a:lnTo>
                                  <a:pt x="1079" y="404"/>
                                </a:lnTo>
                                <a:lnTo>
                                  <a:pt x="1093" y="400"/>
                                </a:lnTo>
                                <a:lnTo>
                                  <a:pt x="1107" y="395"/>
                                </a:lnTo>
                                <a:lnTo>
                                  <a:pt x="1121" y="389"/>
                                </a:lnTo>
                                <a:lnTo>
                                  <a:pt x="1133" y="380"/>
                                </a:lnTo>
                                <a:lnTo>
                                  <a:pt x="1144" y="372"/>
                                </a:lnTo>
                                <a:lnTo>
                                  <a:pt x="1155" y="362"/>
                                </a:lnTo>
                                <a:lnTo>
                                  <a:pt x="1165" y="351"/>
                                </a:lnTo>
                                <a:lnTo>
                                  <a:pt x="1174" y="339"/>
                                </a:lnTo>
                                <a:lnTo>
                                  <a:pt x="1182" y="326"/>
                                </a:lnTo>
                                <a:lnTo>
                                  <a:pt x="1188" y="313"/>
                                </a:lnTo>
                                <a:lnTo>
                                  <a:pt x="1194" y="298"/>
                                </a:lnTo>
                                <a:lnTo>
                                  <a:pt x="1198" y="284"/>
                                </a:lnTo>
                                <a:lnTo>
                                  <a:pt x="1200" y="270"/>
                                </a:lnTo>
                                <a:lnTo>
                                  <a:pt x="1200" y="253"/>
                                </a:lnTo>
                                <a:lnTo>
                                  <a:pt x="1200" y="238"/>
                                </a:lnTo>
                                <a:lnTo>
                                  <a:pt x="1198" y="223"/>
                                </a:lnTo>
                                <a:lnTo>
                                  <a:pt x="1194" y="208"/>
                                </a:lnTo>
                                <a:lnTo>
                                  <a:pt x="1188" y="195"/>
                                </a:lnTo>
                                <a:lnTo>
                                  <a:pt x="1182" y="181"/>
                                </a:lnTo>
                                <a:lnTo>
                                  <a:pt x="1174" y="169"/>
                                </a:lnTo>
                                <a:lnTo>
                                  <a:pt x="1165" y="157"/>
                                </a:lnTo>
                                <a:lnTo>
                                  <a:pt x="1155" y="146"/>
                                </a:lnTo>
                                <a:lnTo>
                                  <a:pt x="1144" y="136"/>
                                </a:lnTo>
                                <a:lnTo>
                                  <a:pt x="1133" y="126"/>
                                </a:lnTo>
                                <a:lnTo>
                                  <a:pt x="1121" y="119"/>
                                </a:lnTo>
                                <a:lnTo>
                                  <a:pt x="1107" y="113"/>
                                </a:lnTo>
                                <a:lnTo>
                                  <a:pt x="1093" y="108"/>
                                </a:lnTo>
                                <a:lnTo>
                                  <a:pt x="1079" y="103"/>
                                </a:lnTo>
                                <a:lnTo>
                                  <a:pt x="1064" y="101"/>
                                </a:lnTo>
                                <a:lnTo>
                                  <a:pt x="1049" y="100"/>
                                </a:lnTo>
                                <a:lnTo>
                                  <a:pt x="931" y="100"/>
                                </a:lnTo>
                                <a:lnTo>
                                  <a:pt x="931" y="408"/>
                                </a:lnTo>
                                <a:close/>
                                <a:moveTo>
                                  <a:pt x="775" y="293"/>
                                </a:moveTo>
                                <a:lnTo>
                                  <a:pt x="708" y="293"/>
                                </a:lnTo>
                                <a:lnTo>
                                  <a:pt x="742" y="195"/>
                                </a:lnTo>
                                <a:lnTo>
                                  <a:pt x="775" y="293"/>
                                </a:lnTo>
                                <a:close/>
                                <a:moveTo>
                                  <a:pt x="797" y="354"/>
                                </a:moveTo>
                                <a:lnTo>
                                  <a:pt x="817" y="408"/>
                                </a:lnTo>
                                <a:lnTo>
                                  <a:pt x="901" y="408"/>
                                </a:lnTo>
                                <a:lnTo>
                                  <a:pt x="785" y="100"/>
                                </a:lnTo>
                                <a:lnTo>
                                  <a:pt x="698" y="100"/>
                                </a:lnTo>
                                <a:lnTo>
                                  <a:pt x="581" y="408"/>
                                </a:lnTo>
                                <a:lnTo>
                                  <a:pt x="665" y="408"/>
                                </a:lnTo>
                                <a:lnTo>
                                  <a:pt x="686" y="354"/>
                                </a:lnTo>
                                <a:lnTo>
                                  <a:pt x="797" y="354"/>
                                </a:lnTo>
                                <a:close/>
                                <a:moveTo>
                                  <a:pt x="347" y="37"/>
                                </a:moveTo>
                                <a:lnTo>
                                  <a:pt x="430" y="83"/>
                                </a:lnTo>
                                <a:lnTo>
                                  <a:pt x="513" y="37"/>
                                </a:lnTo>
                                <a:lnTo>
                                  <a:pt x="491" y="3"/>
                                </a:lnTo>
                                <a:lnTo>
                                  <a:pt x="430" y="34"/>
                                </a:lnTo>
                                <a:lnTo>
                                  <a:pt x="369" y="3"/>
                                </a:lnTo>
                                <a:lnTo>
                                  <a:pt x="347" y="37"/>
                                </a:lnTo>
                                <a:close/>
                                <a:moveTo>
                                  <a:pt x="407" y="238"/>
                                </a:moveTo>
                                <a:lnTo>
                                  <a:pt x="407" y="161"/>
                                </a:lnTo>
                                <a:lnTo>
                                  <a:pt x="422" y="161"/>
                                </a:lnTo>
                                <a:lnTo>
                                  <a:pt x="432" y="162"/>
                                </a:lnTo>
                                <a:lnTo>
                                  <a:pt x="442" y="164"/>
                                </a:lnTo>
                                <a:lnTo>
                                  <a:pt x="449" y="166"/>
                                </a:lnTo>
                                <a:lnTo>
                                  <a:pt x="455" y="170"/>
                                </a:lnTo>
                                <a:lnTo>
                                  <a:pt x="461" y="176"/>
                                </a:lnTo>
                                <a:lnTo>
                                  <a:pt x="466" y="182"/>
                                </a:lnTo>
                                <a:lnTo>
                                  <a:pt x="469" y="191"/>
                                </a:lnTo>
                                <a:lnTo>
                                  <a:pt x="470" y="200"/>
                                </a:lnTo>
                                <a:lnTo>
                                  <a:pt x="469" y="208"/>
                                </a:lnTo>
                                <a:lnTo>
                                  <a:pt x="466" y="216"/>
                                </a:lnTo>
                                <a:lnTo>
                                  <a:pt x="461" y="223"/>
                                </a:lnTo>
                                <a:lnTo>
                                  <a:pt x="455" y="230"/>
                                </a:lnTo>
                                <a:lnTo>
                                  <a:pt x="449" y="233"/>
                                </a:lnTo>
                                <a:lnTo>
                                  <a:pt x="442" y="236"/>
                                </a:lnTo>
                                <a:lnTo>
                                  <a:pt x="432" y="237"/>
                                </a:lnTo>
                                <a:lnTo>
                                  <a:pt x="422" y="238"/>
                                </a:lnTo>
                                <a:lnTo>
                                  <a:pt x="407" y="238"/>
                                </a:lnTo>
                                <a:close/>
                                <a:moveTo>
                                  <a:pt x="485" y="282"/>
                                </a:moveTo>
                                <a:lnTo>
                                  <a:pt x="498" y="278"/>
                                </a:lnTo>
                                <a:lnTo>
                                  <a:pt x="508" y="275"/>
                                </a:lnTo>
                                <a:lnTo>
                                  <a:pt x="516" y="270"/>
                                </a:lnTo>
                                <a:lnTo>
                                  <a:pt x="525" y="263"/>
                                </a:lnTo>
                                <a:lnTo>
                                  <a:pt x="531" y="257"/>
                                </a:lnTo>
                                <a:lnTo>
                                  <a:pt x="536" y="250"/>
                                </a:lnTo>
                                <a:lnTo>
                                  <a:pt x="541" y="242"/>
                                </a:lnTo>
                                <a:lnTo>
                                  <a:pt x="545" y="233"/>
                                </a:lnTo>
                                <a:lnTo>
                                  <a:pt x="549" y="225"/>
                                </a:lnTo>
                                <a:lnTo>
                                  <a:pt x="551" y="215"/>
                                </a:lnTo>
                                <a:lnTo>
                                  <a:pt x="552" y="205"/>
                                </a:lnTo>
                                <a:lnTo>
                                  <a:pt x="552" y="195"/>
                                </a:lnTo>
                                <a:lnTo>
                                  <a:pt x="552" y="186"/>
                                </a:lnTo>
                                <a:lnTo>
                                  <a:pt x="551" y="176"/>
                                </a:lnTo>
                                <a:lnTo>
                                  <a:pt x="549" y="167"/>
                                </a:lnTo>
                                <a:lnTo>
                                  <a:pt x="546" y="159"/>
                                </a:lnTo>
                                <a:lnTo>
                                  <a:pt x="542" y="150"/>
                                </a:lnTo>
                                <a:lnTo>
                                  <a:pt x="537" y="141"/>
                                </a:lnTo>
                                <a:lnTo>
                                  <a:pt x="532" y="134"/>
                                </a:lnTo>
                                <a:lnTo>
                                  <a:pt x="526" y="128"/>
                                </a:lnTo>
                                <a:lnTo>
                                  <a:pt x="519" y="120"/>
                                </a:lnTo>
                                <a:lnTo>
                                  <a:pt x="511" y="115"/>
                                </a:lnTo>
                                <a:lnTo>
                                  <a:pt x="504" y="110"/>
                                </a:lnTo>
                                <a:lnTo>
                                  <a:pt x="495" y="106"/>
                                </a:lnTo>
                                <a:lnTo>
                                  <a:pt x="485" y="104"/>
                                </a:lnTo>
                                <a:lnTo>
                                  <a:pt x="475" y="101"/>
                                </a:lnTo>
                                <a:lnTo>
                                  <a:pt x="463" y="100"/>
                                </a:lnTo>
                                <a:lnTo>
                                  <a:pt x="450" y="100"/>
                                </a:lnTo>
                                <a:lnTo>
                                  <a:pt x="327" y="100"/>
                                </a:lnTo>
                                <a:lnTo>
                                  <a:pt x="327" y="408"/>
                                </a:lnTo>
                                <a:lnTo>
                                  <a:pt x="407" y="408"/>
                                </a:lnTo>
                                <a:lnTo>
                                  <a:pt x="407" y="289"/>
                                </a:lnTo>
                                <a:lnTo>
                                  <a:pt x="483" y="408"/>
                                </a:lnTo>
                                <a:lnTo>
                                  <a:pt x="582" y="408"/>
                                </a:lnTo>
                                <a:lnTo>
                                  <a:pt x="485" y="282"/>
                                </a:lnTo>
                                <a:close/>
                                <a:moveTo>
                                  <a:pt x="210" y="35"/>
                                </a:moveTo>
                                <a:lnTo>
                                  <a:pt x="171" y="0"/>
                                </a:lnTo>
                                <a:lnTo>
                                  <a:pt x="105" y="56"/>
                                </a:lnTo>
                                <a:lnTo>
                                  <a:pt x="133" y="85"/>
                                </a:lnTo>
                                <a:lnTo>
                                  <a:pt x="210" y="35"/>
                                </a:lnTo>
                                <a:close/>
                                <a:moveTo>
                                  <a:pt x="80" y="100"/>
                                </a:moveTo>
                                <a:lnTo>
                                  <a:pt x="0" y="100"/>
                                </a:lnTo>
                                <a:lnTo>
                                  <a:pt x="0" y="278"/>
                                </a:lnTo>
                                <a:lnTo>
                                  <a:pt x="0" y="293"/>
                                </a:lnTo>
                                <a:lnTo>
                                  <a:pt x="2" y="308"/>
                                </a:lnTo>
                                <a:lnTo>
                                  <a:pt x="3" y="321"/>
                                </a:lnTo>
                                <a:lnTo>
                                  <a:pt x="5" y="333"/>
                                </a:lnTo>
                                <a:lnTo>
                                  <a:pt x="9" y="343"/>
                                </a:lnTo>
                                <a:lnTo>
                                  <a:pt x="13" y="353"/>
                                </a:lnTo>
                                <a:lnTo>
                                  <a:pt x="17" y="362"/>
                                </a:lnTo>
                                <a:lnTo>
                                  <a:pt x="23" y="369"/>
                                </a:lnTo>
                                <a:lnTo>
                                  <a:pt x="32" y="379"/>
                                </a:lnTo>
                                <a:lnTo>
                                  <a:pt x="43" y="389"/>
                                </a:lnTo>
                                <a:lnTo>
                                  <a:pt x="54" y="397"/>
                                </a:lnTo>
                                <a:lnTo>
                                  <a:pt x="68" y="403"/>
                                </a:lnTo>
                                <a:lnTo>
                                  <a:pt x="83" y="409"/>
                                </a:lnTo>
                                <a:lnTo>
                                  <a:pt x="99" y="413"/>
                                </a:lnTo>
                                <a:lnTo>
                                  <a:pt x="115" y="415"/>
                                </a:lnTo>
                                <a:lnTo>
                                  <a:pt x="133" y="415"/>
                                </a:lnTo>
                                <a:lnTo>
                                  <a:pt x="149" y="415"/>
                                </a:lnTo>
                                <a:lnTo>
                                  <a:pt x="165" y="413"/>
                                </a:lnTo>
                                <a:lnTo>
                                  <a:pt x="179" y="409"/>
                                </a:lnTo>
                                <a:lnTo>
                                  <a:pt x="192" y="404"/>
                                </a:lnTo>
                                <a:lnTo>
                                  <a:pt x="206" y="399"/>
                                </a:lnTo>
                                <a:lnTo>
                                  <a:pt x="217" y="392"/>
                                </a:lnTo>
                                <a:lnTo>
                                  <a:pt x="228" y="383"/>
                                </a:lnTo>
                                <a:lnTo>
                                  <a:pt x="238" y="372"/>
                                </a:lnTo>
                                <a:lnTo>
                                  <a:pt x="246" y="363"/>
                                </a:lnTo>
                                <a:lnTo>
                                  <a:pt x="253" y="353"/>
                                </a:lnTo>
                                <a:lnTo>
                                  <a:pt x="258" y="343"/>
                                </a:lnTo>
                                <a:lnTo>
                                  <a:pt x="262" y="333"/>
                                </a:lnTo>
                                <a:lnTo>
                                  <a:pt x="265" y="321"/>
                                </a:lnTo>
                                <a:lnTo>
                                  <a:pt x="267" y="308"/>
                                </a:lnTo>
                                <a:lnTo>
                                  <a:pt x="268" y="293"/>
                                </a:lnTo>
                                <a:lnTo>
                                  <a:pt x="268" y="278"/>
                                </a:lnTo>
                                <a:lnTo>
                                  <a:pt x="268" y="100"/>
                                </a:lnTo>
                                <a:lnTo>
                                  <a:pt x="189" y="100"/>
                                </a:lnTo>
                                <a:lnTo>
                                  <a:pt x="189" y="267"/>
                                </a:lnTo>
                                <a:lnTo>
                                  <a:pt x="189" y="287"/>
                                </a:lnTo>
                                <a:lnTo>
                                  <a:pt x="187" y="301"/>
                                </a:lnTo>
                                <a:lnTo>
                                  <a:pt x="185" y="311"/>
                                </a:lnTo>
                                <a:lnTo>
                                  <a:pt x="181" y="321"/>
                                </a:lnTo>
                                <a:lnTo>
                                  <a:pt x="177" y="326"/>
                                </a:lnTo>
                                <a:lnTo>
                                  <a:pt x="172" y="331"/>
                                </a:lnTo>
                                <a:lnTo>
                                  <a:pt x="167" y="334"/>
                                </a:lnTo>
                                <a:lnTo>
                                  <a:pt x="161" y="338"/>
                                </a:lnTo>
                                <a:lnTo>
                                  <a:pt x="155" y="341"/>
                                </a:lnTo>
                                <a:lnTo>
                                  <a:pt x="149" y="343"/>
                                </a:lnTo>
                                <a:lnTo>
                                  <a:pt x="141" y="344"/>
                                </a:lnTo>
                                <a:lnTo>
                                  <a:pt x="134" y="346"/>
                                </a:lnTo>
                                <a:lnTo>
                                  <a:pt x="126" y="344"/>
                                </a:lnTo>
                                <a:lnTo>
                                  <a:pt x="120" y="343"/>
                                </a:lnTo>
                                <a:lnTo>
                                  <a:pt x="114" y="342"/>
                                </a:lnTo>
                                <a:lnTo>
                                  <a:pt x="108" y="339"/>
                                </a:lnTo>
                                <a:lnTo>
                                  <a:pt x="103" y="336"/>
                                </a:lnTo>
                                <a:lnTo>
                                  <a:pt x="98" y="332"/>
                                </a:lnTo>
                                <a:lnTo>
                                  <a:pt x="93" y="327"/>
                                </a:lnTo>
                                <a:lnTo>
                                  <a:pt x="89" y="322"/>
                                </a:lnTo>
                                <a:lnTo>
                                  <a:pt x="84" y="312"/>
                                </a:lnTo>
                                <a:lnTo>
                                  <a:pt x="81" y="302"/>
                                </a:lnTo>
                                <a:lnTo>
                                  <a:pt x="80" y="288"/>
                                </a:lnTo>
                                <a:lnTo>
                                  <a:pt x="80" y="267"/>
                                </a:lnTo>
                                <a:lnTo>
                                  <a:pt x="80" y="100"/>
                                </a:lnTo>
                                <a:close/>
                              </a:path>
                            </a:pathLst>
                          </a:custGeom>
                          <a:solidFill>
                            <a:srgbClr val="BD1B21"/>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noChangeAspect="1" noEditPoints="1"/>
                        </wps:cNvSpPr>
                        <wps:spPr bwMode="auto">
                          <a:xfrm>
                            <a:off x="1962" y="1081"/>
                            <a:ext cx="1319" cy="208"/>
                          </a:xfrm>
                          <a:custGeom>
                            <a:avLst/>
                            <a:gdLst>
                              <a:gd name="T0" fmla="*/ 1221 w 2637"/>
                              <a:gd name="T1" fmla="*/ 204 h 416"/>
                              <a:gd name="T2" fmla="*/ 1166 w 2637"/>
                              <a:gd name="T3" fmla="*/ 50 h 416"/>
                              <a:gd name="T4" fmla="*/ 1072 w 2637"/>
                              <a:gd name="T5" fmla="*/ 137 h 416"/>
                              <a:gd name="T6" fmla="*/ 1004 w 2637"/>
                              <a:gd name="T7" fmla="*/ 54 h 416"/>
                              <a:gd name="T8" fmla="*/ 943 w 2637"/>
                              <a:gd name="T9" fmla="*/ 51 h 416"/>
                              <a:gd name="T10" fmla="*/ 900 w 2637"/>
                              <a:gd name="T11" fmla="*/ 82 h 416"/>
                              <a:gd name="T12" fmla="*/ 887 w 2637"/>
                              <a:gd name="T13" fmla="*/ 136 h 416"/>
                              <a:gd name="T14" fmla="*/ 907 w 2637"/>
                              <a:gd name="T15" fmla="*/ 181 h 416"/>
                              <a:gd name="T16" fmla="*/ 959 w 2637"/>
                              <a:gd name="T17" fmla="*/ 208 h 416"/>
                              <a:gd name="T18" fmla="*/ 1000 w 2637"/>
                              <a:gd name="T19" fmla="*/ 157 h 416"/>
                              <a:gd name="T20" fmla="*/ 969 w 2637"/>
                              <a:gd name="T21" fmla="*/ 169 h 416"/>
                              <a:gd name="T22" fmla="*/ 945 w 2637"/>
                              <a:gd name="T23" fmla="*/ 161 h 416"/>
                              <a:gd name="T24" fmla="*/ 929 w 2637"/>
                              <a:gd name="T25" fmla="*/ 137 h 416"/>
                              <a:gd name="T26" fmla="*/ 933 w 2637"/>
                              <a:gd name="T27" fmla="*/ 107 h 416"/>
                              <a:gd name="T28" fmla="*/ 953 w 2637"/>
                              <a:gd name="T29" fmla="*/ 89 h 416"/>
                              <a:gd name="T30" fmla="*/ 984 w 2637"/>
                              <a:gd name="T31" fmla="*/ 88 h 416"/>
                              <a:gd name="T32" fmla="*/ 864 w 2637"/>
                              <a:gd name="T33" fmla="*/ 50 h 416"/>
                              <a:gd name="T34" fmla="*/ 802 w 2637"/>
                              <a:gd name="T35" fmla="*/ 50 h 416"/>
                              <a:gd name="T36" fmla="*/ 680 w 2637"/>
                              <a:gd name="T37" fmla="*/ 59 h 416"/>
                              <a:gd name="T38" fmla="*/ 638 w 2637"/>
                              <a:gd name="T39" fmla="*/ 46 h 416"/>
                              <a:gd name="T40" fmla="*/ 602 w 2637"/>
                              <a:gd name="T41" fmla="*/ 54 h 416"/>
                              <a:gd name="T42" fmla="*/ 581 w 2637"/>
                              <a:gd name="T43" fmla="*/ 82 h 416"/>
                              <a:gd name="T44" fmla="*/ 583 w 2637"/>
                              <a:gd name="T45" fmla="*/ 116 h 416"/>
                              <a:gd name="T46" fmla="*/ 610 w 2637"/>
                              <a:gd name="T47" fmla="*/ 138 h 416"/>
                              <a:gd name="T48" fmla="*/ 644 w 2637"/>
                              <a:gd name="T49" fmla="*/ 153 h 416"/>
                              <a:gd name="T50" fmla="*/ 637 w 2637"/>
                              <a:gd name="T51" fmla="*/ 171 h 416"/>
                              <a:gd name="T52" fmla="*/ 608 w 2637"/>
                              <a:gd name="T53" fmla="*/ 170 h 416"/>
                              <a:gd name="T54" fmla="*/ 586 w 2637"/>
                              <a:gd name="T55" fmla="*/ 198 h 416"/>
                              <a:gd name="T56" fmla="*/ 633 w 2637"/>
                              <a:gd name="T57" fmla="*/ 208 h 416"/>
                              <a:gd name="T58" fmla="*/ 671 w 2637"/>
                              <a:gd name="T59" fmla="*/ 193 h 416"/>
                              <a:gd name="T60" fmla="*/ 687 w 2637"/>
                              <a:gd name="T61" fmla="*/ 160 h 416"/>
                              <a:gd name="T62" fmla="*/ 678 w 2637"/>
                              <a:gd name="T63" fmla="*/ 126 h 416"/>
                              <a:gd name="T64" fmla="*/ 638 w 2637"/>
                              <a:gd name="T65" fmla="*/ 107 h 416"/>
                              <a:gd name="T66" fmla="*/ 621 w 2637"/>
                              <a:gd name="T67" fmla="*/ 93 h 416"/>
                              <a:gd name="T68" fmla="*/ 635 w 2637"/>
                              <a:gd name="T69" fmla="*/ 80 h 416"/>
                              <a:gd name="T70" fmla="*/ 665 w 2637"/>
                              <a:gd name="T71" fmla="*/ 90 h 416"/>
                              <a:gd name="T72" fmla="*/ 452 w 2637"/>
                              <a:gd name="T73" fmla="*/ 84 h 416"/>
                              <a:gd name="T74" fmla="*/ 452 w 2637"/>
                              <a:gd name="T75" fmla="*/ 204 h 416"/>
                              <a:gd name="T76" fmla="*/ 343 w 2637"/>
                              <a:gd name="T77" fmla="*/ 204 h 416"/>
                              <a:gd name="T78" fmla="*/ 333 w 2637"/>
                              <a:gd name="T79" fmla="*/ 177 h 416"/>
                              <a:gd name="T80" fmla="*/ 158 w 2637"/>
                              <a:gd name="T81" fmla="*/ 204 h 416"/>
                              <a:gd name="T82" fmla="*/ 84 w 2637"/>
                              <a:gd name="T83" fmla="*/ 49 h 416"/>
                              <a:gd name="T84" fmla="*/ 42 w 2637"/>
                              <a:gd name="T85" fmla="*/ 48 h 416"/>
                              <a:gd name="T86" fmla="*/ 14 w 2637"/>
                              <a:gd name="T87" fmla="*/ 68 h 416"/>
                              <a:gd name="T88" fmla="*/ 6 w 2637"/>
                              <a:gd name="T89" fmla="*/ 103 h 416"/>
                              <a:gd name="T90" fmla="*/ 19 w 2637"/>
                              <a:gd name="T91" fmla="*/ 128 h 416"/>
                              <a:gd name="T92" fmla="*/ 64 w 2637"/>
                              <a:gd name="T93" fmla="*/ 147 h 416"/>
                              <a:gd name="T94" fmla="*/ 71 w 2637"/>
                              <a:gd name="T95" fmla="*/ 165 h 416"/>
                              <a:gd name="T96" fmla="*/ 48 w 2637"/>
                              <a:gd name="T97" fmla="*/ 174 h 416"/>
                              <a:gd name="T98" fmla="*/ 17 w 2637"/>
                              <a:gd name="T99" fmla="*/ 158 h 416"/>
                              <a:gd name="T100" fmla="*/ 40 w 2637"/>
                              <a:gd name="T101" fmla="*/ 207 h 416"/>
                              <a:gd name="T102" fmla="*/ 84 w 2637"/>
                              <a:gd name="T103" fmla="*/ 202 h 416"/>
                              <a:gd name="T104" fmla="*/ 110 w 2637"/>
                              <a:gd name="T105" fmla="*/ 176 h 416"/>
                              <a:gd name="T106" fmla="*/ 110 w 2637"/>
                              <a:gd name="T107" fmla="*/ 135 h 416"/>
                              <a:gd name="T108" fmla="*/ 93 w 2637"/>
                              <a:gd name="T109" fmla="*/ 117 h 416"/>
                              <a:gd name="T110" fmla="*/ 50 w 2637"/>
                              <a:gd name="T111" fmla="*/ 99 h 416"/>
                              <a:gd name="T112" fmla="*/ 53 w 2637"/>
                              <a:gd name="T113" fmla="*/ 84 h 416"/>
                              <a:gd name="T114" fmla="*/ 76 w 2637"/>
                              <a:gd name="T115" fmla="*/ 81 h 41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Lst>
                            <a:ahLst/>
                            <a:cxnLst>
                              <a:cxn ang="T116">
                                <a:pos x="T0" y="T1"/>
                              </a:cxn>
                              <a:cxn ang="T117">
                                <a:pos x="T2" y="T3"/>
                              </a:cxn>
                              <a:cxn ang="T118">
                                <a:pos x="T4" y="T5"/>
                              </a:cxn>
                              <a:cxn ang="T119">
                                <a:pos x="T6" y="T7"/>
                              </a:cxn>
                              <a:cxn ang="T120">
                                <a:pos x="T8" y="T9"/>
                              </a:cxn>
                              <a:cxn ang="T121">
                                <a:pos x="T10" y="T11"/>
                              </a:cxn>
                              <a:cxn ang="T122">
                                <a:pos x="T12" y="T13"/>
                              </a:cxn>
                              <a:cxn ang="T123">
                                <a:pos x="T14" y="T15"/>
                              </a:cxn>
                              <a:cxn ang="T124">
                                <a:pos x="T16" y="T17"/>
                              </a:cxn>
                              <a:cxn ang="T125">
                                <a:pos x="T18" y="T19"/>
                              </a:cxn>
                              <a:cxn ang="T126">
                                <a:pos x="T20" y="T21"/>
                              </a:cxn>
                              <a:cxn ang="T127">
                                <a:pos x="T22" y="T23"/>
                              </a:cxn>
                              <a:cxn ang="T128">
                                <a:pos x="T24" y="T25"/>
                              </a:cxn>
                              <a:cxn ang="T129">
                                <a:pos x="T26" y="T27"/>
                              </a:cxn>
                              <a:cxn ang="T130">
                                <a:pos x="T28" y="T29"/>
                              </a:cxn>
                              <a:cxn ang="T131">
                                <a:pos x="T30" y="T31"/>
                              </a:cxn>
                              <a:cxn ang="T132">
                                <a:pos x="T32" y="T33"/>
                              </a:cxn>
                              <a:cxn ang="T133">
                                <a:pos x="T34" y="T35"/>
                              </a:cxn>
                              <a:cxn ang="T134">
                                <a:pos x="T36" y="T37"/>
                              </a:cxn>
                              <a:cxn ang="T135">
                                <a:pos x="T38" y="T39"/>
                              </a:cxn>
                              <a:cxn ang="T136">
                                <a:pos x="T40" y="T41"/>
                              </a:cxn>
                              <a:cxn ang="T137">
                                <a:pos x="T42" y="T43"/>
                              </a:cxn>
                              <a:cxn ang="T138">
                                <a:pos x="T44" y="T45"/>
                              </a:cxn>
                              <a:cxn ang="T139">
                                <a:pos x="T46" y="T47"/>
                              </a:cxn>
                              <a:cxn ang="T140">
                                <a:pos x="T48" y="T49"/>
                              </a:cxn>
                              <a:cxn ang="T141">
                                <a:pos x="T50" y="T51"/>
                              </a:cxn>
                              <a:cxn ang="T142">
                                <a:pos x="T52" y="T53"/>
                              </a:cxn>
                              <a:cxn ang="T143">
                                <a:pos x="T54" y="T55"/>
                              </a:cxn>
                              <a:cxn ang="T144">
                                <a:pos x="T56" y="T57"/>
                              </a:cxn>
                              <a:cxn ang="T145">
                                <a:pos x="T58" y="T59"/>
                              </a:cxn>
                              <a:cxn ang="T146">
                                <a:pos x="T60" y="T61"/>
                              </a:cxn>
                              <a:cxn ang="T147">
                                <a:pos x="T62" y="T63"/>
                              </a:cxn>
                              <a:cxn ang="T148">
                                <a:pos x="T64" y="T65"/>
                              </a:cxn>
                              <a:cxn ang="T149">
                                <a:pos x="T66" y="T67"/>
                              </a:cxn>
                              <a:cxn ang="T150">
                                <a:pos x="T68" y="T69"/>
                              </a:cxn>
                              <a:cxn ang="T151">
                                <a:pos x="T70" y="T71"/>
                              </a:cxn>
                              <a:cxn ang="T152">
                                <a:pos x="T72" y="T73"/>
                              </a:cxn>
                              <a:cxn ang="T153">
                                <a:pos x="T74" y="T75"/>
                              </a:cxn>
                              <a:cxn ang="T154">
                                <a:pos x="T76" y="T77"/>
                              </a:cxn>
                              <a:cxn ang="T155">
                                <a:pos x="T78" y="T79"/>
                              </a:cxn>
                              <a:cxn ang="T156">
                                <a:pos x="T80" y="T81"/>
                              </a:cxn>
                              <a:cxn ang="T157">
                                <a:pos x="T82" y="T83"/>
                              </a:cxn>
                              <a:cxn ang="T158">
                                <a:pos x="T84" y="T85"/>
                              </a:cxn>
                              <a:cxn ang="T159">
                                <a:pos x="T86" y="T87"/>
                              </a:cxn>
                              <a:cxn ang="T160">
                                <a:pos x="T88" y="T89"/>
                              </a:cxn>
                              <a:cxn ang="T161">
                                <a:pos x="T90" y="T91"/>
                              </a:cxn>
                              <a:cxn ang="T162">
                                <a:pos x="T92" y="T93"/>
                              </a:cxn>
                              <a:cxn ang="T163">
                                <a:pos x="T94" y="T95"/>
                              </a:cxn>
                              <a:cxn ang="T164">
                                <a:pos x="T96" y="T97"/>
                              </a:cxn>
                              <a:cxn ang="T165">
                                <a:pos x="T98" y="T99"/>
                              </a:cxn>
                              <a:cxn ang="T166">
                                <a:pos x="T100" y="T101"/>
                              </a:cxn>
                              <a:cxn ang="T167">
                                <a:pos x="T102" y="T103"/>
                              </a:cxn>
                              <a:cxn ang="T168">
                                <a:pos x="T104" y="T105"/>
                              </a:cxn>
                              <a:cxn ang="T169">
                                <a:pos x="T106" y="T107"/>
                              </a:cxn>
                              <a:cxn ang="T170">
                                <a:pos x="T108" y="T109"/>
                              </a:cxn>
                              <a:cxn ang="T171">
                                <a:pos x="T110" y="T111"/>
                              </a:cxn>
                              <a:cxn ang="T172">
                                <a:pos x="T112" y="T113"/>
                              </a:cxn>
                              <a:cxn ang="T173">
                                <a:pos x="T114" y="T115"/>
                              </a:cxn>
                            </a:cxnLst>
                            <a:rect l="0" t="0" r="r" b="b"/>
                            <a:pathLst>
                              <a:path w="2637" h="416">
                                <a:moveTo>
                                  <a:pt x="2561" y="35"/>
                                </a:moveTo>
                                <a:lnTo>
                                  <a:pt x="2524" y="0"/>
                                </a:lnTo>
                                <a:lnTo>
                                  <a:pt x="2458" y="56"/>
                                </a:lnTo>
                                <a:lnTo>
                                  <a:pt x="2485" y="84"/>
                                </a:lnTo>
                                <a:lnTo>
                                  <a:pt x="2561" y="35"/>
                                </a:lnTo>
                                <a:close/>
                                <a:moveTo>
                                  <a:pt x="2442" y="260"/>
                                </a:moveTo>
                                <a:lnTo>
                                  <a:pt x="2442" y="407"/>
                                </a:lnTo>
                                <a:lnTo>
                                  <a:pt x="2521" y="407"/>
                                </a:lnTo>
                                <a:lnTo>
                                  <a:pt x="2521" y="260"/>
                                </a:lnTo>
                                <a:lnTo>
                                  <a:pt x="2637" y="99"/>
                                </a:lnTo>
                                <a:lnTo>
                                  <a:pt x="2540" y="99"/>
                                </a:lnTo>
                                <a:lnTo>
                                  <a:pt x="2484" y="183"/>
                                </a:lnTo>
                                <a:lnTo>
                                  <a:pt x="2427" y="99"/>
                                </a:lnTo>
                                <a:lnTo>
                                  <a:pt x="2331" y="99"/>
                                </a:lnTo>
                                <a:lnTo>
                                  <a:pt x="2442" y="260"/>
                                </a:lnTo>
                                <a:close/>
                                <a:moveTo>
                                  <a:pt x="2143" y="226"/>
                                </a:moveTo>
                                <a:lnTo>
                                  <a:pt x="2143" y="99"/>
                                </a:lnTo>
                                <a:lnTo>
                                  <a:pt x="2063" y="99"/>
                                </a:lnTo>
                                <a:lnTo>
                                  <a:pt x="2063" y="407"/>
                                </a:lnTo>
                                <a:lnTo>
                                  <a:pt x="2143" y="407"/>
                                </a:lnTo>
                                <a:lnTo>
                                  <a:pt x="2143" y="274"/>
                                </a:lnTo>
                                <a:lnTo>
                                  <a:pt x="2247" y="407"/>
                                </a:lnTo>
                                <a:lnTo>
                                  <a:pt x="2351" y="407"/>
                                </a:lnTo>
                                <a:lnTo>
                                  <a:pt x="2217" y="245"/>
                                </a:lnTo>
                                <a:lnTo>
                                  <a:pt x="2340" y="99"/>
                                </a:lnTo>
                                <a:lnTo>
                                  <a:pt x="2240" y="99"/>
                                </a:lnTo>
                                <a:lnTo>
                                  <a:pt x="2143" y="226"/>
                                </a:lnTo>
                                <a:close/>
                                <a:moveTo>
                                  <a:pt x="2008" y="108"/>
                                </a:moveTo>
                                <a:lnTo>
                                  <a:pt x="1987" y="102"/>
                                </a:lnTo>
                                <a:lnTo>
                                  <a:pt x="1969" y="97"/>
                                </a:lnTo>
                                <a:lnTo>
                                  <a:pt x="1952" y="93"/>
                                </a:lnTo>
                                <a:lnTo>
                                  <a:pt x="1936" y="93"/>
                                </a:lnTo>
                                <a:lnTo>
                                  <a:pt x="1918" y="93"/>
                                </a:lnTo>
                                <a:lnTo>
                                  <a:pt x="1902" y="96"/>
                                </a:lnTo>
                                <a:lnTo>
                                  <a:pt x="1886" y="101"/>
                                </a:lnTo>
                                <a:lnTo>
                                  <a:pt x="1871" y="106"/>
                                </a:lnTo>
                                <a:lnTo>
                                  <a:pt x="1857" y="112"/>
                                </a:lnTo>
                                <a:lnTo>
                                  <a:pt x="1844" y="121"/>
                                </a:lnTo>
                                <a:lnTo>
                                  <a:pt x="1831" y="129"/>
                                </a:lnTo>
                                <a:lnTo>
                                  <a:pt x="1820" y="140"/>
                                </a:lnTo>
                                <a:lnTo>
                                  <a:pt x="1809" y="152"/>
                                </a:lnTo>
                                <a:lnTo>
                                  <a:pt x="1800" y="164"/>
                                </a:lnTo>
                                <a:lnTo>
                                  <a:pt x="1791" y="178"/>
                                </a:lnTo>
                                <a:lnTo>
                                  <a:pt x="1785" y="192"/>
                                </a:lnTo>
                                <a:lnTo>
                                  <a:pt x="1780" y="207"/>
                                </a:lnTo>
                                <a:lnTo>
                                  <a:pt x="1775" y="223"/>
                                </a:lnTo>
                                <a:lnTo>
                                  <a:pt x="1773" y="239"/>
                                </a:lnTo>
                                <a:lnTo>
                                  <a:pt x="1773" y="256"/>
                                </a:lnTo>
                                <a:lnTo>
                                  <a:pt x="1773" y="271"/>
                                </a:lnTo>
                                <a:lnTo>
                                  <a:pt x="1775" y="286"/>
                                </a:lnTo>
                                <a:lnTo>
                                  <a:pt x="1778" y="300"/>
                                </a:lnTo>
                                <a:lnTo>
                                  <a:pt x="1783" y="314"/>
                                </a:lnTo>
                                <a:lnTo>
                                  <a:pt x="1789" y="327"/>
                                </a:lnTo>
                                <a:lnTo>
                                  <a:pt x="1795" y="340"/>
                                </a:lnTo>
                                <a:lnTo>
                                  <a:pt x="1804" y="351"/>
                                </a:lnTo>
                                <a:lnTo>
                                  <a:pt x="1813" y="362"/>
                                </a:lnTo>
                                <a:lnTo>
                                  <a:pt x="1825" y="373"/>
                                </a:lnTo>
                                <a:lnTo>
                                  <a:pt x="1839" y="385"/>
                                </a:lnTo>
                                <a:lnTo>
                                  <a:pt x="1854" y="393"/>
                                </a:lnTo>
                                <a:lnTo>
                                  <a:pt x="1869" y="401"/>
                                </a:lnTo>
                                <a:lnTo>
                                  <a:pt x="1885" y="407"/>
                                </a:lnTo>
                                <a:lnTo>
                                  <a:pt x="1902" y="412"/>
                                </a:lnTo>
                                <a:lnTo>
                                  <a:pt x="1918" y="415"/>
                                </a:lnTo>
                                <a:lnTo>
                                  <a:pt x="1936" y="416"/>
                                </a:lnTo>
                                <a:lnTo>
                                  <a:pt x="1951" y="415"/>
                                </a:lnTo>
                                <a:lnTo>
                                  <a:pt x="1966" y="413"/>
                                </a:lnTo>
                                <a:lnTo>
                                  <a:pt x="1983" y="408"/>
                                </a:lnTo>
                                <a:lnTo>
                                  <a:pt x="2008" y="401"/>
                                </a:lnTo>
                                <a:lnTo>
                                  <a:pt x="2008" y="306"/>
                                </a:lnTo>
                                <a:lnTo>
                                  <a:pt x="1999" y="314"/>
                                </a:lnTo>
                                <a:lnTo>
                                  <a:pt x="1992" y="320"/>
                                </a:lnTo>
                                <a:lnTo>
                                  <a:pt x="1983" y="326"/>
                                </a:lnTo>
                                <a:lnTo>
                                  <a:pt x="1976" y="330"/>
                                </a:lnTo>
                                <a:lnTo>
                                  <a:pt x="1967" y="334"/>
                                </a:lnTo>
                                <a:lnTo>
                                  <a:pt x="1957" y="336"/>
                                </a:lnTo>
                                <a:lnTo>
                                  <a:pt x="1948" y="337"/>
                                </a:lnTo>
                                <a:lnTo>
                                  <a:pt x="1938" y="337"/>
                                </a:lnTo>
                                <a:lnTo>
                                  <a:pt x="1931" y="337"/>
                                </a:lnTo>
                                <a:lnTo>
                                  <a:pt x="1923" y="336"/>
                                </a:lnTo>
                                <a:lnTo>
                                  <a:pt x="1916" y="335"/>
                                </a:lnTo>
                                <a:lnTo>
                                  <a:pt x="1908" y="332"/>
                                </a:lnTo>
                                <a:lnTo>
                                  <a:pt x="1902" y="330"/>
                                </a:lnTo>
                                <a:lnTo>
                                  <a:pt x="1896" y="326"/>
                                </a:lnTo>
                                <a:lnTo>
                                  <a:pt x="1889" y="322"/>
                                </a:lnTo>
                                <a:lnTo>
                                  <a:pt x="1884" y="317"/>
                                </a:lnTo>
                                <a:lnTo>
                                  <a:pt x="1876" y="311"/>
                                </a:lnTo>
                                <a:lnTo>
                                  <a:pt x="1871" y="305"/>
                                </a:lnTo>
                                <a:lnTo>
                                  <a:pt x="1866" y="299"/>
                                </a:lnTo>
                                <a:lnTo>
                                  <a:pt x="1862" y="291"/>
                                </a:lnTo>
                                <a:lnTo>
                                  <a:pt x="1860" y="283"/>
                                </a:lnTo>
                                <a:lnTo>
                                  <a:pt x="1857" y="274"/>
                                </a:lnTo>
                                <a:lnTo>
                                  <a:pt x="1856" y="265"/>
                                </a:lnTo>
                                <a:lnTo>
                                  <a:pt x="1856" y="255"/>
                                </a:lnTo>
                                <a:lnTo>
                                  <a:pt x="1856" y="246"/>
                                </a:lnTo>
                                <a:lnTo>
                                  <a:pt x="1857" y="238"/>
                                </a:lnTo>
                                <a:lnTo>
                                  <a:pt x="1860" y="229"/>
                                </a:lnTo>
                                <a:lnTo>
                                  <a:pt x="1862" y="221"/>
                                </a:lnTo>
                                <a:lnTo>
                                  <a:pt x="1865" y="214"/>
                                </a:lnTo>
                                <a:lnTo>
                                  <a:pt x="1870" y="207"/>
                                </a:lnTo>
                                <a:lnTo>
                                  <a:pt x="1874" y="200"/>
                                </a:lnTo>
                                <a:lnTo>
                                  <a:pt x="1879" y="194"/>
                                </a:lnTo>
                                <a:lnTo>
                                  <a:pt x="1885" y="189"/>
                                </a:lnTo>
                                <a:lnTo>
                                  <a:pt x="1891" y="184"/>
                                </a:lnTo>
                                <a:lnTo>
                                  <a:pt x="1898" y="180"/>
                                </a:lnTo>
                                <a:lnTo>
                                  <a:pt x="1905" y="177"/>
                                </a:lnTo>
                                <a:lnTo>
                                  <a:pt x="1913" y="174"/>
                                </a:lnTo>
                                <a:lnTo>
                                  <a:pt x="1921" y="172"/>
                                </a:lnTo>
                                <a:lnTo>
                                  <a:pt x="1930" y="170"/>
                                </a:lnTo>
                                <a:lnTo>
                                  <a:pt x="1938" y="170"/>
                                </a:lnTo>
                                <a:lnTo>
                                  <a:pt x="1948" y="170"/>
                                </a:lnTo>
                                <a:lnTo>
                                  <a:pt x="1958" y="173"/>
                                </a:lnTo>
                                <a:lnTo>
                                  <a:pt x="1967" y="175"/>
                                </a:lnTo>
                                <a:lnTo>
                                  <a:pt x="1977" y="179"/>
                                </a:lnTo>
                                <a:lnTo>
                                  <a:pt x="1984" y="184"/>
                                </a:lnTo>
                                <a:lnTo>
                                  <a:pt x="1993" y="189"/>
                                </a:lnTo>
                                <a:lnTo>
                                  <a:pt x="2001" y="197"/>
                                </a:lnTo>
                                <a:lnTo>
                                  <a:pt x="2008" y="204"/>
                                </a:lnTo>
                                <a:lnTo>
                                  <a:pt x="2008" y="108"/>
                                </a:lnTo>
                                <a:close/>
                                <a:moveTo>
                                  <a:pt x="1727" y="99"/>
                                </a:moveTo>
                                <a:lnTo>
                                  <a:pt x="1647" y="99"/>
                                </a:lnTo>
                                <a:lnTo>
                                  <a:pt x="1647" y="407"/>
                                </a:lnTo>
                                <a:lnTo>
                                  <a:pt x="1727" y="407"/>
                                </a:lnTo>
                                <a:lnTo>
                                  <a:pt x="1727" y="99"/>
                                </a:lnTo>
                                <a:close/>
                                <a:moveTo>
                                  <a:pt x="1538" y="167"/>
                                </a:moveTo>
                                <a:lnTo>
                                  <a:pt x="1604" y="167"/>
                                </a:lnTo>
                                <a:lnTo>
                                  <a:pt x="1604" y="99"/>
                                </a:lnTo>
                                <a:lnTo>
                                  <a:pt x="1394" y="99"/>
                                </a:lnTo>
                                <a:lnTo>
                                  <a:pt x="1394" y="167"/>
                                </a:lnTo>
                                <a:lnTo>
                                  <a:pt x="1459" y="167"/>
                                </a:lnTo>
                                <a:lnTo>
                                  <a:pt x="1459" y="407"/>
                                </a:lnTo>
                                <a:lnTo>
                                  <a:pt x="1538" y="407"/>
                                </a:lnTo>
                                <a:lnTo>
                                  <a:pt x="1538" y="167"/>
                                </a:lnTo>
                                <a:close/>
                                <a:moveTo>
                                  <a:pt x="1360" y="117"/>
                                </a:moveTo>
                                <a:lnTo>
                                  <a:pt x="1349" y="111"/>
                                </a:lnTo>
                                <a:lnTo>
                                  <a:pt x="1337" y="106"/>
                                </a:lnTo>
                                <a:lnTo>
                                  <a:pt x="1324" y="102"/>
                                </a:lnTo>
                                <a:lnTo>
                                  <a:pt x="1313" y="98"/>
                                </a:lnTo>
                                <a:lnTo>
                                  <a:pt x="1300" y="96"/>
                                </a:lnTo>
                                <a:lnTo>
                                  <a:pt x="1288" y="93"/>
                                </a:lnTo>
                                <a:lnTo>
                                  <a:pt x="1276" y="92"/>
                                </a:lnTo>
                                <a:lnTo>
                                  <a:pt x="1263" y="92"/>
                                </a:lnTo>
                                <a:lnTo>
                                  <a:pt x="1252" y="92"/>
                                </a:lnTo>
                                <a:lnTo>
                                  <a:pt x="1241" y="94"/>
                                </a:lnTo>
                                <a:lnTo>
                                  <a:pt x="1231" y="96"/>
                                </a:lnTo>
                                <a:lnTo>
                                  <a:pt x="1221" y="99"/>
                                </a:lnTo>
                                <a:lnTo>
                                  <a:pt x="1211" y="103"/>
                                </a:lnTo>
                                <a:lnTo>
                                  <a:pt x="1203" y="108"/>
                                </a:lnTo>
                                <a:lnTo>
                                  <a:pt x="1195" y="114"/>
                                </a:lnTo>
                                <a:lnTo>
                                  <a:pt x="1187" y="121"/>
                                </a:lnTo>
                                <a:lnTo>
                                  <a:pt x="1181" y="128"/>
                                </a:lnTo>
                                <a:lnTo>
                                  <a:pt x="1175" y="136"/>
                                </a:lnTo>
                                <a:lnTo>
                                  <a:pt x="1170" y="144"/>
                                </a:lnTo>
                                <a:lnTo>
                                  <a:pt x="1166" y="153"/>
                                </a:lnTo>
                                <a:lnTo>
                                  <a:pt x="1162" y="163"/>
                                </a:lnTo>
                                <a:lnTo>
                                  <a:pt x="1161" y="174"/>
                                </a:lnTo>
                                <a:lnTo>
                                  <a:pt x="1158" y="184"/>
                                </a:lnTo>
                                <a:lnTo>
                                  <a:pt x="1158" y="195"/>
                                </a:lnTo>
                                <a:lnTo>
                                  <a:pt x="1158" y="205"/>
                                </a:lnTo>
                                <a:lnTo>
                                  <a:pt x="1160" y="215"/>
                                </a:lnTo>
                                <a:lnTo>
                                  <a:pt x="1162" y="224"/>
                                </a:lnTo>
                                <a:lnTo>
                                  <a:pt x="1165" y="231"/>
                                </a:lnTo>
                                <a:lnTo>
                                  <a:pt x="1168" y="239"/>
                                </a:lnTo>
                                <a:lnTo>
                                  <a:pt x="1172" y="245"/>
                                </a:lnTo>
                                <a:lnTo>
                                  <a:pt x="1177" y="251"/>
                                </a:lnTo>
                                <a:lnTo>
                                  <a:pt x="1183" y="256"/>
                                </a:lnTo>
                                <a:lnTo>
                                  <a:pt x="1192" y="263"/>
                                </a:lnTo>
                                <a:lnTo>
                                  <a:pt x="1203" y="269"/>
                                </a:lnTo>
                                <a:lnTo>
                                  <a:pt x="1219" y="275"/>
                                </a:lnTo>
                                <a:lnTo>
                                  <a:pt x="1242" y="281"/>
                                </a:lnTo>
                                <a:lnTo>
                                  <a:pt x="1254" y="286"/>
                                </a:lnTo>
                                <a:lnTo>
                                  <a:pt x="1264" y="290"/>
                                </a:lnTo>
                                <a:lnTo>
                                  <a:pt x="1273" y="294"/>
                                </a:lnTo>
                                <a:lnTo>
                                  <a:pt x="1279" y="297"/>
                                </a:lnTo>
                                <a:lnTo>
                                  <a:pt x="1284" y="301"/>
                                </a:lnTo>
                                <a:lnTo>
                                  <a:pt x="1287" y="306"/>
                                </a:lnTo>
                                <a:lnTo>
                                  <a:pt x="1289" y="311"/>
                                </a:lnTo>
                                <a:lnTo>
                                  <a:pt x="1289" y="317"/>
                                </a:lnTo>
                                <a:lnTo>
                                  <a:pt x="1289" y="324"/>
                                </a:lnTo>
                                <a:lnTo>
                                  <a:pt x="1287" y="330"/>
                                </a:lnTo>
                                <a:lnTo>
                                  <a:pt x="1283" y="335"/>
                                </a:lnTo>
                                <a:lnTo>
                                  <a:pt x="1279" y="339"/>
                                </a:lnTo>
                                <a:lnTo>
                                  <a:pt x="1273" y="342"/>
                                </a:lnTo>
                                <a:lnTo>
                                  <a:pt x="1267" y="345"/>
                                </a:lnTo>
                                <a:lnTo>
                                  <a:pt x="1259" y="346"/>
                                </a:lnTo>
                                <a:lnTo>
                                  <a:pt x="1251" y="347"/>
                                </a:lnTo>
                                <a:lnTo>
                                  <a:pt x="1242" y="347"/>
                                </a:lnTo>
                                <a:lnTo>
                                  <a:pt x="1233" y="345"/>
                                </a:lnTo>
                                <a:lnTo>
                                  <a:pt x="1224" y="344"/>
                                </a:lnTo>
                                <a:lnTo>
                                  <a:pt x="1216" y="340"/>
                                </a:lnTo>
                                <a:lnTo>
                                  <a:pt x="1207" y="335"/>
                                </a:lnTo>
                                <a:lnTo>
                                  <a:pt x="1198" y="330"/>
                                </a:lnTo>
                                <a:lnTo>
                                  <a:pt x="1190" y="324"/>
                                </a:lnTo>
                                <a:lnTo>
                                  <a:pt x="1180" y="316"/>
                                </a:lnTo>
                                <a:lnTo>
                                  <a:pt x="1146" y="381"/>
                                </a:lnTo>
                                <a:lnTo>
                                  <a:pt x="1158" y="388"/>
                                </a:lnTo>
                                <a:lnTo>
                                  <a:pt x="1171" y="396"/>
                                </a:lnTo>
                                <a:lnTo>
                                  <a:pt x="1185" y="401"/>
                                </a:lnTo>
                                <a:lnTo>
                                  <a:pt x="1198" y="406"/>
                                </a:lnTo>
                                <a:lnTo>
                                  <a:pt x="1212" y="410"/>
                                </a:lnTo>
                                <a:lnTo>
                                  <a:pt x="1226" y="413"/>
                                </a:lnTo>
                                <a:lnTo>
                                  <a:pt x="1239" y="415"/>
                                </a:lnTo>
                                <a:lnTo>
                                  <a:pt x="1253" y="415"/>
                                </a:lnTo>
                                <a:lnTo>
                                  <a:pt x="1266" y="415"/>
                                </a:lnTo>
                                <a:lnTo>
                                  <a:pt x="1278" y="413"/>
                                </a:lnTo>
                                <a:lnTo>
                                  <a:pt x="1290" y="411"/>
                                </a:lnTo>
                                <a:lnTo>
                                  <a:pt x="1302" y="407"/>
                                </a:lnTo>
                                <a:lnTo>
                                  <a:pt x="1313" y="403"/>
                                </a:lnTo>
                                <a:lnTo>
                                  <a:pt x="1323" y="398"/>
                                </a:lnTo>
                                <a:lnTo>
                                  <a:pt x="1333" y="392"/>
                                </a:lnTo>
                                <a:lnTo>
                                  <a:pt x="1342" y="386"/>
                                </a:lnTo>
                                <a:lnTo>
                                  <a:pt x="1349" y="378"/>
                                </a:lnTo>
                                <a:lnTo>
                                  <a:pt x="1355" y="371"/>
                                </a:lnTo>
                                <a:lnTo>
                                  <a:pt x="1360" y="362"/>
                                </a:lnTo>
                                <a:lnTo>
                                  <a:pt x="1365" y="352"/>
                                </a:lnTo>
                                <a:lnTo>
                                  <a:pt x="1369" y="342"/>
                                </a:lnTo>
                                <a:lnTo>
                                  <a:pt x="1371" y="331"/>
                                </a:lnTo>
                                <a:lnTo>
                                  <a:pt x="1373" y="319"/>
                                </a:lnTo>
                                <a:lnTo>
                                  <a:pt x="1373" y="306"/>
                                </a:lnTo>
                                <a:lnTo>
                                  <a:pt x="1371" y="290"/>
                                </a:lnTo>
                                <a:lnTo>
                                  <a:pt x="1369" y="275"/>
                                </a:lnTo>
                                <a:lnTo>
                                  <a:pt x="1366" y="269"/>
                                </a:lnTo>
                                <a:lnTo>
                                  <a:pt x="1363" y="263"/>
                                </a:lnTo>
                                <a:lnTo>
                                  <a:pt x="1359" y="258"/>
                                </a:lnTo>
                                <a:lnTo>
                                  <a:pt x="1355" y="251"/>
                                </a:lnTo>
                                <a:lnTo>
                                  <a:pt x="1350" y="246"/>
                                </a:lnTo>
                                <a:lnTo>
                                  <a:pt x="1345" y="241"/>
                                </a:lnTo>
                                <a:lnTo>
                                  <a:pt x="1339" y="238"/>
                                </a:lnTo>
                                <a:lnTo>
                                  <a:pt x="1332" y="234"/>
                                </a:lnTo>
                                <a:lnTo>
                                  <a:pt x="1315" y="226"/>
                                </a:lnTo>
                                <a:lnTo>
                                  <a:pt x="1298" y="220"/>
                                </a:lnTo>
                                <a:lnTo>
                                  <a:pt x="1276" y="213"/>
                                </a:lnTo>
                                <a:lnTo>
                                  <a:pt x="1263" y="209"/>
                                </a:lnTo>
                                <a:lnTo>
                                  <a:pt x="1256" y="205"/>
                                </a:lnTo>
                                <a:lnTo>
                                  <a:pt x="1249" y="200"/>
                                </a:lnTo>
                                <a:lnTo>
                                  <a:pt x="1247" y="198"/>
                                </a:lnTo>
                                <a:lnTo>
                                  <a:pt x="1244" y="194"/>
                                </a:lnTo>
                                <a:lnTo>
                                  <a:pt x="1242" y="189"/>
                                </a:lnTo>
                                <a:lnTo>
                                  <a:pt x="1242" y="185"/>
                                </a:lnTo>
                                <a:lnTo>
                                  <a:pt x="1243" y="179"/>
                                </a:lnTo>
                                <a:lnTo>
                                  <a:pt x="1244" y="174"/>
                                </a:lnTo>
                                <a:lnTo>
                                  <a:pt x="1248" y="170"/>
                                </a:lnTo>
                                <a:lnTo>
                                  <a:pt x="1252" y="167"/>
                                </a:lnTo>
                                <a:lnTo>
                                  <a:pt x="1257" y="163"/>
                                </a:lnTo>
                                <a:lnTo>
                                  <a:pt x="1263" y="160"/>
                                </a:lnTo>
                                <a:lnTo>
                                  <a:pt x="1269" y="159"/>
                                </a:lnTo>
                                <a:lnTo>
                                  <a:pt x="1277" y="158"/>
                                </a:lnTo>
                                <a:lnTo>
                                  <a:pt x="1283" y="159"/>
                                </a:lnTo>
                                <a:lnTo>
                                  <a:pt x="1289" y="159"/>
                                </a:lnTo>
                                <a:lnTo>
                                  <a:pt x="1297" y="162"/>
                                </a:lnTo>
                                <a:lnTo>
                                  <a:pt x="1303" y="163"/>
                                </a:lnTo>
                                <a:lnTo>
                                  <a:pt x="1315" y="170"/>
                                </a:lnTo>
                                <a:lnTo>
                                  <a:pt x="1329" y="179"/>
                                </a:lnTo>
                                <a:lnTo>
                                  <a:pt x="1360" y="117"/>
                                </a:lnTo>
                                <a:close/>
                                <a:moveTo>
                                  <a:pt x="1091" y="99"/>
                                </a:moveTo>
                                <a:lnTo>
                                  <a:pt x="1011" y="99"/>
                                </a:lnTo>
                                <a:lnTo>
                                  <a:pt x="1011" y="407"/>
                                </a:lnTo>
                                <a:lnTo>
                                  <a:pt x="1091" y="407"/>
                                </a:lnTo>
                                <a:lnTo>
                                  <a:pt x="1091" y="99"/>
                                </a:lnTo>
                                <a:close/>
                                <a:moveTo>
                                  <a:pt x="904" y="167"/>
                                </a:moveTo>
                                <a:lnTo>
                                  <a:pt x="970" y="167"/>
                                </a:lnTo>
                                <a:lnTo>
                                  <a:pt x="970" y="99"/>
                                </a:lnTo>
                                <a:lnTo>
                                  <a:pt x="758" y="99"/>
                                </a:lnTo>
                                <a:lnTo>
                                  <a:pt x="758" y="167"/>
                                </a:lnTo>
                                <a:lnTo>
                                  <a:pt x="825" y="167"/>
                                </a:lnTo>
                                <a:lnTo>
                                  <a:pt x="825" y="407"/>
                                </a:lnTo>
                                <a:lnTo>
                                  <a:pt x="904" y="407"/>
                                </a:lnTo>
                                <a:lnTo>
                                  <a:pt x="904" y="167"/>
                                </a:lnTo>
                                <a:close/>
                                <a:moveTo>
                                  <a:pt x="644" y="292"/>
                                </a:moveTo>
                                <a:lnTo>
                                  <a:pt x="578" y="292"/>
                                </a:lnTo>
                                <a:lnTo>
                                  <a:pt x="611" y="194"/>
                                </a:lnTo>
                                <a:lnTo>
                                  <a:pt x="644" y="292"/>
                                </a:lnTo>
                                <a:close/>
                                <a:moveTo>
                                  <a:pt x="666" y="354"/>
                                </a:moveTo>
                                <a:lnTo>
                                  <a:pt x="686" y="407"/>
                                </a:lnTo>
                                <a:lnTo>
                                  <a:pt x="771" y="407"/>
                                </a:lnTo>
                                <a:lnTo>
                                  <a:pt x="655" y="99"/>
                                </a:lnTo>
                                <a:lnTo>
                                  <a:pt x="568" y="99"/>
                                </a:lnTo>
                                <a:lnTo>
                                  <a:pt x="450" y="407"/>
                                </a:lnTo>
                                <a:lnTo>
                                  <a:pt x="534" y="407"/>
                                </a:lnTo>
                                <a:lnTo>
                                  <a:pt x="555" y="354"/>
                                </a:lnTo>
                                <a:lnTo>
                                  <a:pt x="666" y="354"/>
                                </a:lnTo>
                                <a:close/>
                                <a:moveTo>
                                  <a:pt x="395" y="167"/>
                                </a:moveTo>
                                <a:lnTo>
                                  <a:pt x="461" y="167"/>
                                </a:lnTo>
                                <a:lnTo>
                                  <a:pt x="461" y="99"/>
                                </a:lnTo>
                                <a:lnTo>
                                  <a:pt x="249" y="99"/>
                                </a:lnTo>
                                <a:lnTo>
                                  <a:pt x="249" y="167"/>
                                </a:lnTo>
                                <a:lnTo>
                                  <a:pt x="315" y="167"/>
                                </a:lnTo>
                                <a:lnTo>
                                  <a:pt x="315" y="407"/>
                                </a:lnTo>
                                <a:lnTo>
                                  <a:pt x="395" y="407"/>
                                </a:lnTo>
                                <a:lnTo>
                                  <a:pt x="395" y="167"/>
                                </a:lnTo>
                                <a:close/>
                                <a:moveTo>
                                  <a:pt x="214" y="117"/>
                                </a:moveTo>
                                <a:lnTo>
                                  <a:pt x="203" y="111"/>
                                </a:lnTo>
                                <a:lnTo>
                                  <a:pt x="190" y="106"/>
                                </a:lnTo>
                                <a:lnTo>
                                  <a:pt x="178" y="102"/>
                                </a:lnTo>
                                <a:lnTo>
                                  <a:pt x="167" y="98"/>
                                </a:lnTo>
                                <a:lnTo>
                                  <a:pt x="154" y="96"/>
                                </a:lnTo>
                                <a:lnTo>
                                  <a:pt x="142" y="93"/>
                                </a:lnTo>
                                <a:lnTo>
                                  <a:pt x="129" y="92"/>
                                </a:lnTo>
                                <a:lnTo>
                                  <a:pt x="117" y="92"/>
                                </a:lnTo>
                                <a:lnTo>
                                  <a:pt x="106" y="92"/>
                                </a:lnTo>
                                <a:lnTo>
                                  <a:pt x="94" y="94"/>
                                </a:lnTo>
                                <a:lnTo>
                                  <a:pt x="84" y="96"/>
                                </a:lnTo>
                                <a:lnTo>
                                  <a:pt x="75" y="99"/>
                                </a:lnTo>
                                <a:lnTo>
                                  <a:pt x="65" y="103"/>
                                </a:lnTo>
                                <a:lnTo>
                                  <a:pt x="56" y="108"/>
                                </a:lnTo>
                                <a:lnTo>
                                  <a:pt x="48" y="114"/>
                                </a:lnTo>
                                <a:lnTo>
                                  <a:pt x="41" y="121"/>
                                </a:lnTo>
                                <a:lnTo>
                                  <a:pt x="35" y="128"/>
                                </a:lnTo>
                                <a:lnTo>
                                  <a:pt x="28" y="136"/>
                                </a:lnTo>
                                <a:lnTo>
                                  <a:pt x="23" y="144"/>
                                </a:lnTo>
                                <a:lnTo>
                                  <a:pt x="20" y="153"/>
                                </a:lnTo>
                                <a:lnTo>
                                  <a:pt x="16" y="163"/>
                                </a:lnTo>
                                <a:lnTo>
                                  <a:pt x="15" y="174"/>
                                </a:lnTo>
                                <a:lnTo>
                                  <a:pt x="12" y="184"/>
                                </a:lnTo>
                                <a:lnTo>
                                  <a:pt x="12" y="195"/>
                                </a:lnTo>
                                <a:lnTo>
                                  <a:pt x="12" y="205"/>
                                </a:lnTo>
                                <a:lnTo>
                                  <a:pt x="13" y="215"/>
                                </a:lnTo>
                                <a:lnTo>
                                  <a:pt x="16" y="224"/>
                                </a:lnTo>
                                <a:lnTo>
                                  <a:pt x="18" y="231"/>
                                </a:lnTo>
                                <a:lnTo>
                                  <a:pt x="22" y="239"/>
                                </a:lnTo>
                                <a:lnTo>
                                  <a:pt x="26" y="245"/>
                                </a:lnTo>
                                <a:lnTo>
                                  <a:pt x="31" y="251"/>
                                </a:lnTo>
                                <a:lnTo>
                                  <a:pt x="37" y="256"/>
                                </a:lnTo>
                                <a:lnTo>
                                  <a:pt x="46" y="263"/>
                                </a:lnTo>
                                <a:lnTo>
                                  <a:pt x="57" y="269"/>
                                </a:lnTo>
                                <a:lnTo>
                                  <a:pt x="73" y="275"/>
                                </a:lnTo>
                                <a:lnTo>
                                  <a:pt x="96" y="281"/>
                                </a:lnTo>
                                <a:lnTo>
                                  <a:pt x="108" y="286"/>
                                </a:lnTo>
                                <a:lnTo>
                                  <a:pt x="118" y="290"/>
                                </a:lnTo>
                                <a:lnTo>
                                  <a:pt x="127" y="294"/>
                                </a:lnTo>
                                <a:lnTo>
                                  <a:pt x="133" y="297"/>
                                </a:lnTo>
                                <a:lnTo>
                                  <a:pt x="138" y="301"/>
                                </a:lnTo>
                                <a:lnTo>
                                  <a:pt x="141" y="306"/>
                                </a:lnTo>
                                <a:lnTo>
                                  <a:pt x="143" y="311"/>
                                </a:lnTo>
                                <a:lnTo>
                                  <a:pt x="143" y="317"/>
                                </a:lnTo>
                                <a:lnTo>
                                  <a:pt x="143" y="324"/>
                                </a:lnTo>
                                <a:lnTo>
                                  <a:pt x="141" y="330"/>
                                </a:lnTo>
                                <a:lnTo>
                                  <a:pt x="137" y="335"/>
                                </a:lnTo>
                                <a:lnTo>
                                  <a:pt x="133" y="339"/>
                                </a:lnTo>
                                <a:lnTo>
                                  <a:pt x="127" y="342"/>
                                </a:lnTo>
                                <a:lnTo>
                                  <a:pt x="121" y="345"/>
                                </a:lnTo>
                                <a:lnTo>
                                  <a:pt x="113" y="346"/>
                                </a:lnTo>
                                <a:lnTo>
                                  <a:pt x="104" y="347"/>
                                </a:lnTo>
                                <a:lnTo>
                                  <a:pt x="96" y="347"/>
                                </a:lnTo>
                                <a:lnTo>
                                  <a:pt x="87" y="345"/>
                                </a:lnTo>
                                <a:lnTo>
                                  <a:pt x="78" y="344"/>
                                </a:lnTo>
                                <a:lnTo>
                                  <a:pt x="70" y="340"/>
                                </a:lnTo>
                                <a:lnTo>
                                  <a:pt x="61" y="335"/>
                                </a:lnTo>
                                <a:lnTo>
                                  <a:pt x="52" y="330"/>
                                </a:lnTo>
                                <a:lnTo>
                                  <a:pt x="43" y="324"/>
                                </a:lnTo>
                                <a:lnTo>
                                  <a:pt x="33" y="316"/>
                                </a:lnTo>
                                <a:lnTo>
                                  <a:pt x="0" y="381"/>
                                </a:lnTo>
                                <a:lnTo>
                                  <a:pt x="12" y="388"/>
                                </a:lnTo>
                                <a:lnTo>
                                  <a:pt x="25" y="396"/>
                                </a:lnTo>
                                <a:lnTo>
                                  <a:pt x="38" y="401"/>
                                </a:lnTo>
                                <a:lnTo>
                                  <a:pt x="52" y="406"/>
                                </a:lnTo>
                                <a:lnTo>
                                  <a:pt x="66" y="410"/>
                                </a:lnTo>
                                <a:lnTo>
                                  <a:pt x="79" y="413"/>
                                </a:lnTo>
                                <a:lnTo>
                                  <a:pt x="93" y="415"/>
                                </a:lnTo>
                                <a:lnTo>
                                  <a:pt x="107" y="415"/>
                                </a:lnTo>
                                <a:lnTo>
                                  <a:pt x="119" y="415"/>
                                </a:lnTo>
                                <a:lnTo>
                                  <a:pt x="132" y="413"/>
                                </a:lnTo>
                                <a:lnTo>
                                  <a:pt x="144" y="411"/>
                                </a:lnTo>
                                <a:lnTo>
                                  <a:pt x="155" y="407"/>
                                </a:lnTo>
                                <a:lnTo>
                                  <a:pt x="167" y="403"/>
                                </a:lnTo>
                                <a:lnTo>
                                  <a:pt x="177" y="398"/>
                                </a:lnTo>
                                <a:lnTo>
                                  <a:pt x="187" y="392"/>
                                </a:lnTo>
                                <a:lnTo>
                                  <a:pt x="195" y="386"/>
                                </a:lnTo>
                                <a:lnTo>
                                  <a:pt x="203" y="378"/>
                                </a:lnTo>
                                <a:lnTo>
                                  <a:pt x="209" y="371"/>
                                </a:lnTo>
                                <a:lnTo>
                                  <a:pt x="214" y="362"/>
                                </a:lnTo>
                                <a:lnTo>
                                  <a:pt x="219" y="352"/>
                                </a:lnTo>
                                <a:lnTo>
                                  <a:pt x="223" y="342"/>
                                </a:lnTo>
                                <a:lnTo>
                                  <a:pt x="225" y="331"/>
                                </a:lnTo>
                                <a:lnTo>
                                  <a:pt x="227" y="319"/>
                                </a:lnTo>
                                <a:lnTo>
                                  <a:pt x="227" y="306"/>
                                </a:lnTo>
                                <a:lnTo>
                                  <a:pt x="225" y="290"/>
                                </a:lnTo>
                                <a:lnTo>
                                  <a:pt x="223" y="275"/>
                                </a:lnTo>
                                <a:lnTo>
                                  <a:pt x="220" y="269"/>
                                </a:lnTo>
                                <a:lnTo>
                                  <a:pt x="217" y="263"/>
                                </a:lnTo>
                                <a:lnTo>
                                  <a:pt x="213" y="258"/>
                                </a:lnTo>
                                <a:lnTo>
                                  <a:pt x="209" y="251"/>
                                </a:lnTo>
                                <a:lnTo>
                                  <a:pt x="204" y="246"/>
                                </a:lnTo>
                                <a:lnTo>
                                  <a:pt x="199" y="241"/>
                                </a:lnTo>
                                <a:lnTo>
                                  <a:pt x="193" y="238"/>
                                </a:lnTo>
                                <a:lnTo>
                                  <a:pt x="185" y="234"/>
                                </a:lnTo>
                                <a:lnTo>
                                  <a:pt x="169" y="226"/>
                                </a:lnTo>
                                <a:lnTo>
                                  <a:pt x="151" y="220"/>
                                </a:lnTo>
                                <a:lnTo>
                                  <a:pt x="129" y="213"/>
                                </a:lnTo>
                                <a:lnTo>
                                  <a:pt x="117" y="209"/>
                                </a:lnTo>
                                <a:lnTo>
                                  <a:pt x="109" y="205"/>
                                </a:lnTo>
                                <a:lnTo>
                                  <a:pt x="103" y="200"/>
                                </a:lnTo>
                                <a:lnTo>
                                  <a:pt x="99" y="198"/>
                                </a:lnTo>
                                <a:lnTo>
                                  <a:pt x="98" y="194"/>
                                </a:lnTo>
                                <a:lnTo>
                                  <a:pt x="96" y="189"/>
                                </a:lnTo>
                                <a:lnTo>
                                  <a:pt x="96" y="185"/>
                                </a:lnTo>
                                <a:lnTo>
                                  <a:pt x="97" y="179"/>
                                </a:lnTo>
                                <a:lnTo>
                                  <a:pt x="98" y="174"/>
                                </a:lnTo>
                                <a:lnTo>
                                  <a:pt x="102" y="170"/>
                                </a:lnTo>
                                <a:lnTo>
                                  <a:pt x="106" y="167"/>
                                </a:lnTo>
                                <a:lnTo>
                                  <a:pt x="111" y="163"/>
                                </a:lnTo>
                                <a:lnTo>
                                  <a:pt x="117" y="160"/>
                                </a:lnTo>
                                <a:lnTo>
                                  <a:pt x="123" y="159"/>
                                </a:lnTo>
                                <a:lnTo>
                                  <a:pt x="129" y="158"/>
                                </a:lnTo>
                                <a:lnTo>
                                  <a:pt x="137" y="159"/>
                                </a:lnTo>
                                <a:lnTo>
                                  <a:pt x="143" y="159"/>
                                </a:lnTo>
                                <a:lnTo>
                                  <a:pt x="151" y="162"/>
                                </a:lnTo>
                                <a:lnTo>
                                  <a:pt x="157" y="163"/>
                                </a:lnTo>
                                <a:lnTo>
                                  <a:pt x="169" y="170"/>
                                </a:lnTo>
                                <a:lnTo>
                                  <a:pt x="183" y="179"/>
                                </a:lnTo>
                                <a:lnTo>
                                  <a:pt x="214" y="117"/>
                                </a:lnTo>
                                <a:close/>
                              </a:path>
                            </a:pathLst>
                          </a:custGeom>
                          <a:solidFill>
                            <a:srgbClr val="BD1B21"/>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noChangeAspect="1" noEditPoints="1"/>
                        </wps:cNvSpPr>
                        <wps:spPr bwMode="auto">
                          <a:xfrm>
                            <a:off x="1962" y="851"/>
                            <a:ext cx="679" cy="208"/>
                          </a:xfrm>
                          <a:custGeom>
                            <a:avLst/>
                            <a:gdLst>
                              <a:gd name="T0" fmla="*/ 641 w 1358"/>
                              <a:gd name="T1" fmla="*/ 18 h 416"/>
                              <a:gd name="T2" fmla="*/ 679 w 1358"/>
                              <a:gd name="T3" fmla="*/ 50 h 416"/>
                              <a:gd name="T4" fmla="*/ 581 w 1358"/>
                              <a:gd name="T5" fmla="*/ 130 h 416"/>
                              <a:gd name="T6" fmla="*/ 432 w 1358"/>
                              <a:gd name="T7" fmla="*/ 204 h 416"/>
                              <a:gd name="T8" fmla="*/ 530 w 1358"/>
                              <a:gd name="T9" fmla="*/ 50 h 416"/>
                              <a:gd name="T10" fmla="*/ 349 w 1358"/>
                              <a:gd name="T11" fmla="*/ 54 h 416"/>
                              <a:gd name="T12" fmla="*/ 318 w 1358"/>
                              <a:gd name="T13" fmla="*/ 46 h 416"/>
                              <a:gd name="T14" fmla="*/ 290 w 1358"/>
                              <a:gd name="T15" fmla="*/ 50 h 416"/>
                              <a:gd name="T16" fmla="*/ 271 w 1358"/>
                              <a:gd name="T17" fmla="*/ 64 h 416"/>
                              <a:gd name="T18" fmla="*/ 261 w 1358"/>
                              <a:gd name="T19" fmla="*/ 87 h 416"/>
                              <a:gd name="T20" fmla="*/ 261 w 1358"/>
                              <a:gd name="T21" fmla="*/ 112 h 416"/>
                              <a:gd name="T22" fmla="*/ 272 w 1358"/>
                              <a:gd name="T23" fmla="*/ 129 h 416"/>
                              <a:gd name="T24" fmla="*/ 307 w 1358"/>
                              <a:gd name="T25" fmla="*/ 144 h 416"/>
                              <a:gd name="T26" fmla="*/ 324 w 1358"/>
                              <a:gd name="T27" fmla="*/ 153 h 416"/>
                              <a:gd name="T28" fmla="*/ 322 w 1358"/>
                              <a:gd name="T29" fmla="*/ 168 h 416"/>
                              <a:gd name="T30" fmla="*/ 306 w 1358"/>
                              <a:gd name="T31" fmla="*/ 174 h 416"/>
                              <a:gd name="T32" fmla="*/ 284 w 1358"/>
                              <a:gd name="T33" fmla="*/ 168 h 416"/>
                              <a:gd name="T34" fmla="*/ 260 w 1358"/>
                              <a:gd name="T35" fmla="*/ 195 h 416"/>
                              <a:gd name="T36" fmla="*/ 293 w 1358"/>
                              <a:gd name="T37" fmla="*/ 207 h 416"/>
                              <a:gd name="T38" fmla="*/ 326 w 1358"/>
                              <a:gd name="T39" fmla="*/ 206 h 416"/>
                              <a:gd name="T40" fmla="*/ 351 w 1358"/>
                              <a:gd name="T41" fmla="*/ 193 h 416"/>
                              <a:gd name="T42" fmla="*/ 365 w 1358"/>
                              <a:gd name="T43" fmla="*/ 172 h 416"/>
                              <a:gd name="T44" fmla="*/ 365 w 1358"/>
                              <a:gd name="T45" fmla="*/ 138 h 416"/>
                              <a:gd name="T46" fmla="*/ 356 w 1358"/>
                              <a:gd name="T47" fmla="*/ 124 h 416"/>
                              <a:gd name="T48" fmla="*/ 329 w 1358"/>
                              <a:gd name="T49" fmla="*/ 111 h 416"/>
                              <a:gd name="T50" fmla="*/ 304 w 1358"/>
                              <a:gd name="T51" fmla="*/ 99 h 416"/>
                              <a:gd name="T52" fmla="*/ 303 w 1358"/>
                              <a:gd name="T53" fmla="*/ 87 h 416"/>
                              <a:gd name="T54" fmla="*/ 315 w 1358"/>
                              <a:gd name="T55" fmla="*/ 80 h 416"/>
                              <a:gd name="T56" fmla="*/ 332 w 1358"/>
                              <a:gd name="T57" fmla="*/ 82 h 416"/>
                              <a:gd name="T58" fmla="*/ 232 w 1358"/>
                              <a:gd name="T59" fmla="*/ 50 h 416"/>
                              <a:gd name="T60" fmla="*/ 185 w 1358"/>
                              <a:gd name="T61" fmla="*/ 170 h 416"/>
                              <a:gd name="T62" fmla="*/ 185 w 1358"/>
                              <a:gd name="T63" fmla="*/ 84 h 416"/>
                              <a:gd name="T64" fmla="*/ 105 w 1358"/>
                              <a:gd name="T65" fmla="*/ 1 h 416"/>
                              <a:gd name="T66" fmla="*/ 108 w 1358"/>
                              <a:gd name="T67" fmla="*/ 51 h 416"/>
                              <a:gd name="T68" fmla="*/ 65 w 1358"/>
                              <a:gd name="T69" fmla="*/ 48 h 416"/>
                              <a:gd name="T70" fmla="*/ 29 w 1358"/>
                              <a:gd name="T71" fmla="*/ 65 h 416"/>
                              <a:gd name="T72" fmla="*/ 6 w 1358"/>
                              <a:gd name="T73" fmla="*/ 96 h 416"/>
                              <a:gd name="T74" fmla="*/ 0 w 1358"/>
                              <a:gd name="T75" fmla="*/ 136 h 416"/>
                              <a:gd name="T76" fmla="*/ 11 w 1358"/>
                              <a:gd name="T77" fmla="*/ 170 h 416"/>
                              <a:gd name="T78" fmla="*/ 41 w 1358"/>
                              <a:gd name="T79" fmla="*/ 197 h 416"/>
                              <a:gd name="T80" fmla="*/ 82 w 1358"/>
                              <a:gd name="T81" fmla="*/ 208 h 416"/>
                              <a:gd name="T82" fmla="*/ 118 w 1358"/>
                              <a:gd name="T83" fmla="*/ 153 h 416"/>
                              <a:gd name="T84" fmla="*/ 97 w 1358"/>
                              <a:gd name="T85" fmla="*/ 167 h 416"/>
                              <a:gd name="T86" fmla="*/ 76 w 1358"/>
                              <a:gd name="T87" fmla="*/ 168 h 416"/>
                              <a:gd name="T88" fmla="*/ 59 w 1358"/>
                              <a:gd name="T89" fmla="*/ 162 h 416"/>
                              <a:gd name="T90" fmla="*/ 45 w 1358"/>
                              <a:gd name="T91" fmla="*/ 146 h 416"/>
                              <a:gd name="T92" fmla="*/ 42 w 1358"/>
                              <a:gd name="T93" fmla="*/ 124 h 416"/>
                              <a:gd name="T94" fmla="*/ 49 w 1358"/>
                              <a:gd name="T95" fmla="*/ 104 h 416"/>
                              <a:gd name="T96" fmla="*/ 63 w 1358"/>
                              <a:gd name="T97" fmla="*/ 91 h 416"/>
                              <a:gd name="T98" fmla="*/ 83 w 1358"/>
                              <a:gd name="T99" fmla="*/ 86 h 416"/>
                              <a:gd name="T100" fmla="*/ 107 w 1358"/>
                              <a:gd name="T101" fmla="*/ 92 h 41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358" h="416">
                                <a:moveTo>
                                  <a:pt x="1282" y="36"/>
                                </a:moveTo>
                                <a:lnTo>
                                  <a:pt x="1243" y="0"/>
                                </a:lnTo>
                                <a:lnTo>
                                  <a:pt x="1178" y="56"/>
                                </a:lnTo>
                                <a:lnTo>
                                  <a:pt x="1205" y="85"/>
                                </a:lnTo>
                                <a:lnTo>
                                  <a:pt x="1282" y="36"/>
                                </a:lnTo>
                                <a:close/>
                                <a:moveTo>
                                  <a:pt x="1162" y="260"/>
                                </a:moveTo>
                                <a:lnTo>
                                  <a:pt x="1162" y="407"/>
                                </a:lnTo>
                                <a:lnTo>
                                  <a:pt x="1242" y="407"/>
                                </a:lnTo>
                                <a:lnTo>
                                  <a:pt x="1242" y="260"/>
                                </a:lnTo>
                                <a:lnTo>
                                  <a:pt x="1358" y="100"/>
                                </a:lnTo>
                                <a:lnTo>
                                  <a:pt x="1261" y="100"/>
                                </a:lnTo>
                                <a:lnTo>
                                  <a:pt x="1205" y="183"/>
                                </a:lnTo>
                                <a:lnTo>
                                  <a:pt x="1146" y="100"/>
                                </a:lnTo>
                                <a:lnTo>
                                  <a:pt x="1051" y="100"/>
                                </a:lnTo>
                                <a:lnTo>
                                  <a:pt x="1162" y="260"/>
                                </a:lnTo>
                                <a:close/>
                                <a:moveTo>
                                  <a:pt x="863" y="227"/>
                                </a:moveTo>
                                <a:lnTo>
                                  <a:pt x="863" y="100"/>
                                </a:lnTo>
                                <a:lnTo>
                                  <a:pt x="783" y="100"/>
                                </a:lnTo>
                                <a:lnTo>
                                  <a:pt x="783" y="407"/>
                                </a:lnTo>
                                <a:lnTo>
                                  <a:pt x="863" y="407"/>
                                </a:lnTo>
                                <a:lnTo>
                                  <a:pt x="863" y="274"/>
                                </a:lnTo>
                                <a:lnTo>
                                  <a:pt x="967" y="407"/>
                                </a:lnTo>
                                <a:lnTo>
                                  <a:pt x="1071" y="407"/>
                                </a:lnTo>
                                <a:lnTo>
                                  <a:pt x="938" y="245"/>
                                </a:lnTo>
                                <a:lnTo>
                                  <a:pt x="1059" y="100"/>
                                </a:lnTo>
                                <a:lnTo>
                                  <a:pt x="960" y="100"/>
                                </a:lnTo>
                                <a:lnTo>
                                  <a:pt x="863" y="227"/>
                                </a:lnTo>
                                <a:close/>
                                <a:moveTo>
                                  <a:pt x="721" y="117"/>
                                </a:moveTo>
                                <a:lnTo>
                                  <a:pt x="709" y="112"/>
                                </a:lnTo>
                                <a:lnTo>
                                  <a:pt x="697" y="107"/>
                                </a:lnTo>
                                <a:lnTo>
                                  <a:pt x="685" y="102"/>
                                </a:lnTo>
                                <a:lnTo>
                                  <a:pt x="673" y="98"/>
                                </a:lnTo>
                                <a:lnTo>
                                  <a:pt x="660" y="96"/>
                                </a:lnTo>
                                <a:lnTo>
                                  <a:pt x="648" y="93"/>
                                </a:lnTo>
                                <a:lnTo>
                                  <a:pt x="635" y="92"/>
                                </a:lnTo>
                                <a:lnTo>
                                  <a:pt x="624" y="92"/>
                                </a:lnTo>
                                <a:lnTo>
                                  <a:pt x="611" y="92"/>
                                </a:lnTo>
                                <a:lnTo>
                                  <a:pt x="602" y="95"/>
                                </a:lnTo>
                                <a:lnTo>
                                  <a:pt x="590" y="97"/>
                                </a:lnTo>
                                <a:lnTo>
                                  <a:pt x="580" y="100"/>
                                </a:lnTo>
                                <a:lnTo>
                                  <a:pt x="572" y="103"/>
                                </a:lnTo>
                                <a:lnTo>
                                  <a:pt x="563" y="108"/>
                                </a:lnTo>
                                <a:lnTo>
                                  <a:pt x="555" y="115"/>
                                </a:lnTo>
                                <a:lnTo>
                                  <a:pt x="548" y="121"/>
                                </a:lnTo>
                                <a:lnTo>
                                  <a:pt x="542" y="128"/>
                                </a:lnTo>
                                <a:lnTo>
                                  <a:pt x="535" y="136"/>
                                </a:lnTo>
                                <a:lnTo>
                                  <a:pt x="531" y="145"/>
                                </a:lnTo>
                                <a:lnTo>
                                  <a:pt x="527" y="153"/>
                                </a:lnTo>
                                <a:lnTo>
                                  <a:pt x="523" y="163"/>
                                </a:lnTo>
                                <a:lnTo>
                                  <a:pt x="521" y="174"/>
                                </a:lnTo>
                                <a:lnTo>
                                  <a:pt x="519" y="184"/>
                                </a:lnTo>
                                <a:lnTo>
                                  <a:pt x="519" y="196"/>
                                </a:lnTo>
                                <a:lnTo>
                                  <a:pt x="519" y="206"/>
                                </a:lnTo>
                                <a:lnTo>
                                  <a:pt x="521" y="216"/>
                                </a:lnTo>
                                <a:lnTo>
                                  <a:pt x="522" y="224"/>
                                </a:lnTo>
                                <a:lnTo>
                                  <a:pt x="524" y="232"/>
                                </a:lnTo>
                                <a:lnTo>
                                  <a:pt x="528" y="239"/>
                                </a:lnTo>
                                <a:lnTo>
                                  <a:pt x="533" y="245"/>
                                </a:lnTo>
                                <a:lnTo>
                                  <a:pt x="538" y="252"/>
                                </a:lnTo>
                                <a:lnTo>
                                  <a:pt x="543" y="257"/>
                                </a:lnTo>
                                <a:lnTo>
                                  <a:pt x="552" y="263"/>
                                </a:lnTo>
                                <a:lnTo>
                                  <a:pt x="564" y="269"/>
                                </a:lnTo>
                                <a:lnTo>
                                  <a:pt x="580" y="275"/>
                                </a:lnTo>
                                <a:lnTo>
                                  <a:pt x="602" y="282"/>
                                </a:lnTo>
                                <a:lnTo>
                                  <a:pt x="614" y="287"/>
                                </a:lnTo>
                                <a:lnTo>
                                  <a:pt x="625" y="290"/>
                                </a:lnTo>
                                <a:lnTo>
                                  <a:pt x="634" y="294"/>
                                </a:lnTo>
                                <a:lnTo>
                                  <a:pt x="640" y="298"/>
                                </a:lnTo>
                                <a:lnTo>
                                  <a:pt x="644" y="301"/>
                                </a:lnTo>
                                <a:lnTo>
                                  <a:pt x="648" y="306"/>
                                </a:lnTo>
                                <a:lnTo>
                                  <a:pt x="649" y="311"/>
                                </a:lnTo>
                                <a:lnTo>
                                  <a:pt x="650" y="318"/>
                                </a:lnTo>
                                <a:lnTo>
                                  <a:pt x="649" y="324"/>
                                </a:lnTo>
                                <a:lnTo>
                                  <a:pt x="648" y="330"/>
                                </a:lnTo>
                                <a:lnTo>
                                  <a:pt x="644" y="335"/>
                                </a:lnTo>
                                <a:lnTo>
                                  <a:pt x="639" y="339"/>
                                </a:lnTo>
                                <a:lnTo>
                                  <a:pt x="634" y="343"/>
                                </a:lnTo>
                                <a:lnTo>
                                  <a:pt x="626" y="345"/>
                                </a:lnTo>
                                <a:lnTo>
                                  <a:pt x="619" y="348"/>
                                </a:lnTo>
                                <a:lnTo>
                                  <a:pt x="611" y="348"/>
                                </a:lnTo>
                                <a:lnTo>
                                  <a:pt x="603" y="348"/>
                                </a:lnTo>
                                <a:lnTo>
                                  <a:pt x="594" y="345"/>
                                </a:lnTo>
                                <a:lnTo>
                                  <a:pt x="585" y="344"/>
                                </a:lnTo>
                                <a:lnTo>
                                  <a:pt x="577" y="340"/>
                                </a:lnTo>
                                <a:lnTo>
                                  <a:pt x="568" y="335"/>
                                </a:lnTo>
                                <a:lnTo>
                                  <a:pt x="559" y="330"/>
                                </a:lnTo>
                                <a:lnTo>
                                  <a:pt x="549" y="324"/>
                                </a:lnTo>
                                <a:lnTo>
                                  <a:pt x="540" y="316"/>
                                </a:lnTo>
                                <a:lnTo>
                                  <a:pt x="507" y="381"/>
                                </a:lnTo>
                                <a:lnTo>
                                  <a:pt x="519" y="389"/>
                                </a:lnTo>
                                <a:lnTo>
                                  <a:pt x="532" y="396"/>
                                </a:lnTo>
                                <a:lnTo>
                                  <a:pt x="544" y="401"/>
                                </a:lnTo>
                                <a:lnTo>
                                  <a:pt x="558" y="406"/>
                                </a:lnTo>
                                <a:lnTo>
                                  <a:pt x="572" y="410"/>
                                </a:lnTo>
                                <a:lnTo>
                                  <a:pt x="585" y="414"/>
                                </a:lnTo>
                                <a:lnTo>
                                  <a:pt x="599" y="415"/>
                                </a:lnTo>
                                <a:lnTo>
                                  <a:pt x="613" y="415"/>
                                </a:lnTo>
                                <a:lnTo>
                                  <a:pt x="626" y="415"/>
                                </a:lnTo>
                                <a:lnTo>
                                  <a:pt x="639" y="414"/>
                                </a:lnTo>
                                <a:lnTo>
                                  <a:pt x="651" y="411"/>
                                </a:lnTo>
                                <a:lnTo>
                                  <a:pt x="663" y="407"/>
                                </a:lnTo>
                                <a:lnTo>
                                  <a:pt x="674" y="404"/>
                                </a:lnTo>
                                <a:lnTo>
                                  <a:pt x="684" y="399"/>
                                </a:lnTo>
                                <a:lnTo>
                                  <a:pt x="694" y="392"/>
                                </a:lnTo>
                                <a:lnTo>
                                  <a:pt x="702" y="386"/>
                                </a:lnTo>
                                <a:lnTo>
                                  <a:pt x="709" y="379"/>
                                </a:lnTo>
                                <a:lnTo>
                                  <a:pt x="716" y="371"/>
                                </a:lnTo>
                                <a:lnTo>
                                  <a:pt x="721" y="363"/>
                                </a:lnTo>
                                <a:lnTo>
                                  <a:pt x="725" y="353"/>
                                </a:lnTo>
                                <a:lnTo>
                                  <a:pt x="729" y="343"/>
                                </a:lnTo>
                                <a:lnTo>
                                  <a:pt x="731" y="331"/>
                                </a:lnTo>
                                <a:lnTo>
                                  <a:pt x="732" y="319"/>
                                </a:lnTo>
                                <a:lnTo>
                                  <a:pt x="734" y="306"/>
                                </a:lnTo>
                                <a:lnTo>
                                  <a:pt x="732" y="290"/>
                                </a:lnTo>
                                <a:lnTo>
                                  <a:pt x="729" y="275"/>
                                </a:lnTo>
                                <a:lnTo>
                                  <a:pt x="726" y="269"/>
                                </a:lnTo>
                                <a:lnTo>
                                  <a:pt x="724" y="263"/>
                                </a:lnTo>
                                <a:lnTo>
                                  <a:pt x="720" y="258"/>
                                </a:lnTo>
                                <a:lnTo>
                                  <a:pt x="716" y="252"/>
                                </a:lnTo>
                                <a:lnTo>
                                  <a:pt x="711" y="247"/>
                                </a:lnTo>
                                <a:lnTo>
                                  <a:pt x="705" y="243"/>
                                </a:lnTo>
                                <a:lnTo>
                                  <a:pt x="699" y="238"/>
                                </a:lnTo>
                                <a:lnTo>
                                  <a:pt x="692" y="234"/>
                                </a:lnTo>
                                <a:lnTo>
                                  <a:pt x="676" y="227"/>
                                </a:lnTo>
                                <a:lnTo>
                                  <a:pt x="658" y="221"/>
                                </a:lnTo>
                                <a:lnTo>
                                  <a:pt x="636" y="214"/>
                                </a:lnTo>
                                <a:lnTo>
                                  <a:pt x="624" y="209"/>
                                </a:lnTo>
                                <a:lnTo>
                                  <a:pt x="615" y="206"/>
                                </a:lnTo>
                                <a:lnTo>
                                  <a:pt x="610" y="201"/>
                                </a:lnTo>
                                <a:lnTo>
                                  <a:pt x="607" y="198"/>
                                </a:lnTo>
                                <a:lnTo>
                                  <a:pt x="604" y="194"/>
                                </a:lnTo>
                                <a:lnTo>
                                  <a:pt x="603" y="189"/>
                                </a:lnTo>
                                <a:lnTo>
                                  <a:pt x="603" y="186"/>
                                </a:lnTo>
                                <a:lnTo>
                                  <a:pt x="603" y="181"/>
                                </a:lnTo>
                                <a:lnTo>
                                  <a:pt x="605" y="174"/>
                                </a:lnTo>
                                <a:lnTo>
                                  <a:pt x="608" y="171"/>
                                </a:lnTo>
                                <a:lnTo>
                                  <a:pt x="611" y="167"/>
                                </a:lnTo>
                                <a:lnTo>
                                  <a:pt x="618" y="163"/>
                                </a:lnTo>
                                <a:lnTo>
                                  <a:pt x="623" y="161"/>
                                </a:lnTo>
                                <a:lnTo>
                                  <a:pt x="629" y="159"/>
                                </a:lnTo>
                                <a:lnTo>
                                  <a:pt x="636" y="158"/>
                                </a:lnTo>
                                <a:lnTo>
                                  <a:pt x="643" y="159"/>
                                </a:lnTo>
                                <a:lnTo>
                                  <a:pt x="650" y="159"/>
                                </a:lnTo>
                                <a:lnTo>
                                  <a:pt x="656" y="162"/>
                                </a:lnTo>
                                <a:lnTo>
                                  <a:pt x="663" y="163"/>
                                </a:lnTo>
                                <a:lnTo>
                                  <a:pt x="676" y="171"/>
                                </a:lnTo>
                                <a:lnTo>
                                  <a:pt x="689" y="179"/>
                                </a:lnTo>
                                <a:lnTo>
                                  <a:pt x="721" y="117"/>
                                </a:lnTo>
                                <a:close/>
                                <a:moveTo>
                                  <a:pt x="463" y="167"/>
                                </a:moveTo>
                                <a:lnTo>
                                  <a:pt x="463" y="100"/>
                                </a:lnTo>
                                <a:lnTo>
                                  <a:pt x="289" y="100"/>
                                </a:lnTo>
                                <a:lnTo>
                                  <a:pt x="289" y="407"/>
                                </a:lnTo>
                                <a:lnTo>
                                  <a:pt x="463" y="407"/>
                                </a:lnTo>
                                <a:lnTo>
                                  <a:pt x="463" y="340"/>
                                </a:lnTo>
                                <a:lnTo>
                                  <a:pt x="369" y="340"/>
                                </a:lnTo>
                                <a:lnTo>
                                  <a:pt x="369" y="287"/>
                                </a:lnTo>
                                <a:lnTo>
                                  <a:pt x="458" y="287"/>
                                </a:lnTo>
                                <a:lnTo>
                                  <a:pt x="458" y="219"/>
                                </a:lnTo>
                                <a:lnTo>
                                  <a:pt x="369" y="219"/>
                                </a:lnTo>
                                <a:lnTo>
                                  <a:pt x="369" y="167"/>
                                </a:lnTo>
                                <a:lnTo>
                                  <a:pt x="463" y="167"/>
                                </a:lnTo>
                                <a:close/>
                                <a:moveTo>
                                  <a:pt x="66" y="36"/>
                                </a:moveTo>
                                <a:lnTo>
                                  <a:pt x="148" y="82"/>
                                </a:lnTo>
                                <a:lnTo>
                                  <a:pt x="231" y="36"/>
                                </a:lnTo>
                                <a:lnTo>
                                  <a:pt x="210" y="2"/>
                                </a:lnTo>
                                <a:lnTo>
                                  <a:pt x="148" y="34"/>
                                </a:lnTo>
                                <a:lnTo>
                                  <a:pt x="87" y="2"/>
                                </a:lnTo>
                                <a:lnTo>
                                  <a:pt x="66" y="36"/>
                                </a:lnTo>
                                <a:close/>
                                <a:moveTo>
                                  <a:pt x="235" y="108"/>
                                </a:moveTo>
                                <a:lnTo>
                                  <a:pt x="215" y="102"/>
                                </a:lnTo>
                                <a:lnTo>
                                  <a:pt x="197" y="97"/>
                                </a:lnTo>
                                <a:lnTo>
                                  <a:pt x="180" y="95"/>
                                </a:lnTo>
                                <a:lnTo>
                                  <a:pt x="163" y="93"/>
                                </a:lnTo>
                                <a:lnTo>
                                  <a:pt x="146" y="95"/>
                                </a:lnTo>
                                <a:lnTo>
                                  <a:pt x="129" y="96"/>
                                </a:lnTo>
                                <a:lnTo>
                                  <a:pt x="114" y="101"/>
                                </a:lnTo>
                                <a:lnTo>
                                  <a:pt x="99" y="106"/>
                                </a:lnTo>
                                <a:lnTo>
                                  <a:pt x="84" y="112"/>
                                </a:lnTo>
                                <a:lnTo>
                                  <a:pt x="71" y="121"/>
                                </a:lnTo>
                                <a:lnTo>
                                  <a:pt x="58" y="130"/>
                                </a:lnTo>
                                <a:lnTo>
                                  <a:pt x="47" y="141"/>
                                </a:lnTo>
                                <a:lnTo>
                                  <a:pt x="37" y="152"/>
                                </a:lnTo>
                                <a:lnTo>
                                  <a:pt x="27" y="164"/>
                                </a:lnTo>
                                <a:lnTo>
                                  <a:pt x="20" y="178"/>
                                </a:lnTo>
                                <a:lnTo>
                                  <a:pt x="12" y="192"/>
                                </a:lnTo>
                                <a:lnTo>
                                  <a:pt x="7" y="207"/>
                                </a:lnTo>
                                <a:lnTo>
                                  <a:pt x="3" y="223"/>
                                </a:lnTo>
                                <a:lnTo>
                                  <a:pt x="1" y="239"/>
                                </a:lnTo>
                                <a:lnTo>
                                  <a:pt x="0" y="257"/>
                                </a:lnTo>
                                <a:lnTo>
                                  <a:pt x="0" y="272"/>
                                </a:lnTo>
                                <a:lnTo>
                                  <a:pt x="2" y="287"/>
                                </a:lnTo>
                                <a:lnTo>
                                  <a:pt x="6" y="300"/>
                                </a:lnTo>
                                <a:lnTo>
                                  <a:pt x="10" y="314"/>
                                </a:lnTo>
                                <a:lnTo>
                                  <a:pt x="16" y="328"/>
                                </a:lnTo>
                                <a:lnTo>
                                  <a:pt x="22" y="340"/>
                                </a:lnTo>
                                <a:lnTo>
                                  <a:pt x="31" y="351"/>
                                </a:lnTo>
                                <a:lnTo>
                                  <a:pt x="41" y="363"/>
                                </a:lnTo>
                                <a:lnTo>
                                  <a:pt x="53" y="374"/>
                                </a:lnTo>
                                <a:lnTo>
                                  <a:pt x="66" y="385"/>
                                </a:lnTo>
                                <a:lnTo>
                                  <a:pt x="81" y="394"/>
                                </a:lnTo>
                                <a:lnTo>
                                  <a:pt x="97" y="401"/>
                                </a:lnTo>
                                <a:lnTo>
                                  <a:pt x="113" y="407"/>
                                </a:lnTo>
                                <a:lnTo>
                                  <a:pt x="129" y="412"/>
                                </a:lnTo>
                                <a:lnTo>
                                  <a:pt x="147" y="415"/>
                                </a:lnTo>
                                <a:lnTo>
                                  <a:pt x="163" y="416"/>
                                </a:lnTo>
                                <a:lnTo>
                                  <a:pt x="179" y="415"/>
                                </a:lnTo>
                                <a:lnTo>
                                  <a:pt x="193" y="414"/>
                                </a:lnTo>
                                <a:lnTo>
                                  <a:pt x="212" y="409"/>
                                </a:lnTo>
                                <a:lnTo>
                                  <a:pt x="235" y="401"/>
                                </a:lnTo>
                                <a:lnTo>
                                  <a:pt x="235" y="306"/>
                                </a:lnTo>
                                <a:lnTo>
                                  <a:pt x="228" y="314"/>
                                </a:lnTo>
                                <a:lnTo>
                                  <a:pt x="219" y="320"/>
                                </a:lnTo>
                                <a:lnTo>
                                  <a:pt x="212" y="326"/>
                                </a:lnTo>
                                <a:lnTo>
                                  <a:pt x="203" y="330"/>
                                </a:lnTo>
                                <a:lnTo>
                                  <a:pt x="194" y="334"/>
                                </a:lnTo>
                                <a:lnTo>
                                  <a:pt x="185" y="336"/>
                                </a:lnTo>
                                <a:lnTo>
                                  <a:pt x="175" y="338"/>
                                </a:lnTo>
                                <a:lnTo>
                                  <a:pt x="165" y="339"/>
                                </a:lnTo>
                                <a:lnTo>
                                  <a:pt x="158" y="338"/>
                                </a:lnTo>
                                <a:lnTo>
                                  <a:pt x="151" y="336"/>
                                </a:lnTo>
                                <a:lnTo>
                                  <a:pt x="143" y="335"/>
                                </a:lnTo>
                                <a:lnTo>
                                  <a:pt x="137" y="333"/>
                                </a:lnTo>
                                <a:lnTo>
                                  <a:pt x="129" y="330"/>
                                </a:lnTo>
                                <a:lnTo>
                                  <a:pt x="123" y="326"/>
                                </a:lnTo>
                                <a:lnTo>
                                  <a:pt x="117" y="323"/>
                                </a:lnTo>
                                <a:lnTo>
                                  <a:pt x="111" y="318"/>
                                </a:lnTo>
                                <a:lnTo>
                                  <a:pt x="104" y="311"/>
                                </a:lnTo>
                                <a:lnTo>
                                  <a:pt x="98" y="305"/>
                                </a:lnTo>
                                <a:lnTo>
                                  <a:pt x="93" y="299"/>
                                </a:lnTo>
                                <a:lnTo>
                                  <a:pt x="89" y="292"/>
                                </a:lnTo>
                                <a:lnTo>
                                  <a:pt x="87" y="283"/>
                                </a:lnTo>
                                <a:lnTo>
                                  <a:pt x="84" y="274"/>
                                </a:lnTo>
                                <a:lnTo>
                                  <a:pt x="83" y="265"/>
                                </a:lnTo>
                                <a:lnTo>
                                  <a:pt x="83" y="255"/>
                                </a:lnTo>
                                <a:lnTo>
                                  <a:pt x="83" y="247"/>
                                </a:lnTo>
                                <a:lnTo>
                                  <a:pt x="84" y="238"/>
                                </a:lnTo>
                                <a:lnTo>
                                  <a:pt x="87" y="229"/>
                                </a:lnTo>
                                <a:lnTo>
                                  <a:pt x="89" y="222"/>
                                </a:lnTo>
                                <a:lnTo>
                                  <a:pt x="93" y="214"/>
                                </a:lnTo>
                                <a:lnTo>
                                  <a:pt x="97" y="207"/>
                                </a:lnTo>
                                <a:lnTo>
                                  <a:pt x="102" y="201"/>
                                </a:lnTo>
                                <a:lnTo>
                                  <a:pt x="107" y="194"/>
                                </a:lnTo>
                                <a:lnTo>
                                  <a:pt x="112" y="189"/>
                                </a:lnTo>
                                <a:lnTo>
                                  <a:pt x="118" y="184"/>
                                </a:lnTo>
                                <a:lnTo>
                                  <a:pt x="126" y="181"/>
                                </a:lnTo>
                                <a:lnTo>
                                  <a:pt x="133" y="177"/>
                                </a:lnTo>
                                <a:lnTo>
                                  <a:pt x="141" y="174"/>
                                </a:lnTo>
                                <a:lnTo>
                                  <a:pt x="148" y="172"/>
                                </a:lnTo>
                                <a:lnTo>
                                  <a:pt x="157" y="171"/>
                                </a:lnTo>
                                <a:lnTo>
                                  <a:pt x="165" y="171"/>
                                </a:lnTo>
                                <a:lnTo>
                                  <a:pt x="175" y="171"/>
                                </a:lnTo>
                                <a:lnTo>
                                  <a:pt x="185" y="173"/>
                                </a:lnTo>
                                <a:lnTo>
                                  <a:pt x="195" y="176"/>
                                </a:lnTo>
                                <a:lnTo>
                                  <a:pt x="204" y="179"/>
                                </a:lnTo>
                                <a:lnTo>
                                  <a:pt x="213" y="184"/>
                                </a:lnTo>
                                <a:lnTo>
                                  <a:pt x="220" y="189"/>
                                </a:lnTo>
                                <a:lnTo>
                                  <a:pt x="228" y="197"/>
                                </a:lnTo>
                                <a:lnTo>
                                  <a:pt x="235" y="204"/>
                                </a:lnTo>
                                <a:lnTo>
                                  <a:pt x="235" y="108"/>
                                </a:lnTo>
                                <a:close/>
                              </a:path>
                            </a:pathLst>
                          </a:custGeom>
                          <a:solidFill>
                            <a:srgbClr val="BD1B21"/>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75D947F" id="Group 24" o:spid="_x0000_s1026" style="position:absolute;margin-left:45pt;margin-top:36.75pt;width:177.15pt;height:43.65pt;z-index:251657728;mso-position-horizontal-relative:page;mso-position-vertical-relative:page" coordorigin="567,851" coordsize="2714,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">
                <o:lock v:ext="edit" aspectratio="t"/>
                <v:rect id="Rectangle 9" o:spid="_x0000_s1027" style="position:absolute;left:1215;top:901;width:676;height: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" fillcolor="#0071bc" stroked="f">
                  <o:lock v:ext="edit" aspectratio="t"/>
                </v:rect>
                <v:rect id="Rectangle 10" o:spid="_x0000_s1028" style="position:absolute;left:567;top:1131;width:1324;height:1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" fillcolor="#0071bc" stroked="f">
                  <o:lock v:ext="edit" aspectratio="t"/>
                </v:rect>
                <v:rect id="Rectangle 11" o:spid="_x0000_s1029" style="position:absolute;left:1288;top:1361;width:603;height: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" fillcolor="#0071bc" stroked="f">
                  <o:lock v:ext="edit" aspectratio="t"/>
                </v:rect>
                <v:shape id="Freeform 12" o:spid="_x0000_s1030" style="position:absolute;left:1969;top:1311;width:600;height:207;visibility:visible;mso-wrap-style:square;v-text-anchor:top" coordsize="1200,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" path="m1011,341r,-174l1030,167r10,2l1049,170r10,1l1067,174r7,3l1082,182r6,5l1094,194r5,6l1104,206r4,7l1112,221r2,7l1116,237r1,8l1117,253r,9l1116,271r-2,7l1112,287r-4,7l1104,301r-5,7l1094,314r-6,7l1082,326r-8,5l1067,334r-8,3l1049,338r-9,1l1030,341r-19,xm931,408r118,l1064,407r15,-3l1093,400r14,-5l1121,389r12,-9l1144,372r11,-10l1165,351r9,-12l1182,326r6,-13l1194,298r4,-14l1200,270r,-17l1200,238r-2,-15l1194,208r-6,-13l1182,181r-8,-12l1165,157r-10,-11l1144,136r-11,-10l1121,119r-14,-6l1093,108r-14,-5l1064,101r-15,-1l931,100r,308xm775,293r-67,l742,195r33,98xm797,354r20,54l901,408,785,100r-87,l581,408r84,l686,354r111,xm347,37r83,46l513,37,491,3,430,34,369,3,347,37xm407,238r,-77l422,161r10,1l442,164r7,2l455,170r6,6l466,182r3,9l470,200r-1,8l466,216r-5,7l455,230r-6,3l442,236r-10,1l422,238r-15,xm485,282r13,-4l508,275r8,-5l525,263r6,-6l536,250r5,-8l545,233r4,-8l551,215r1,-10l552,195r,-9l551,176r-2,-9l546,159r-4,-9l537,141r-5,-7l526,128r-7,-8l511,115r-7,-5l495,106r-10,-2l475,101r-12,-1l450,100r-123,l327,408r80,l407,289r76,119l582,408,485,282xm210,35l171,,105,56r28,29l210,35xm80,100l,100,,278r,15l2,308r1,13l5,333r4,10l13,353r4,9l23,369r9,10l43,389r11,8l68,403r15,6l99,413r16,2l133,415r16,l165,413r14,-4l192,404r14,-5l217,392r11,-9l238,372r8,-9l253,353r5,-10l262,333r3,-12l267,308r1,-15l268,278r,-178l189,100r,167l189,287r-2,14l185,311r-4,10l177,326r-5,5l167,334r-6,4l155,341r-6,2l141,344r-7,2l126,344r-6,-1l114,342r-6,-3l103,336r-5,-4l93,327r-4,-5l84,312,81,302,80,288r,-21l80,100xe" fillcolor="#bd1b21" stroked="f">
                  <v:path arrowok="t" o:connecttype="custom" o:connectlocs="260,42;269,44;275,50;279,57;280,65;277,73;272,80;265,84;253,85;270,101;284,95;294,84;300,71;300,55;294,42;284,31;270,25;233,102;194,73;197,25;172,88;129,9;87,9;108,40;116,44;118,52;113,58;102,59;129,67;136,60;138,51;138,41;133,33;126,27;116,25;102,102;122,70;34,21;0,69;2,83;6,92;17,100;34,103;48,101;60,93;66,83;67,69;48,71;45,81;39,85;32,86;26,84;21,78;20,25" o:connectangles="0,0,0,0,0,0,0,0,0,0,0,0,0,0,0,0,0,0,0,0,0,0,0,0,0,0,0,0,0,0,0,0,0,0,0,0,0,0,0,0,0,0,0,0,0,0,0,0,0,0,0,0,0,0"/>
                  <o:lock v:ext="edit" aspectratio="t" verticies="t"/>
                </v:shape>
                <v:shape id="Freeform 13" o:spid="_x0000_s1031" style="position:absolute;left:1962;top:1081;width:1319;height:208;visibility:visible;mso-wrap-style:square;v-text-anchor:top" coordsize="2637,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" path="m2561,35l2524,r-66,56l2485,84r76,-49xm2442,260r,147l2521,407r,-147l2637,99r-97,l2484,183,2427,99r-96,l2442,260xm2143,226r,-127l2063,99r,308l2143,407r,-133l2247,407r104,l2217,245,2340,99r-100,l2143,226xm2008,108r-21,-6l1969,97r-17,-4l1936,93r-18,l1902,96r-16,5l1871,106r-14,6l1844,121r-13,8l1820,140r-11,12l1800,164r-9,14l1785,192r-5,15l1775,223r-2,16l1773,256r,15l1775,286r3,14l1783,314r6,13l1795,340r9,11l1813,362r12,11l1839,385r15,8l1869,401r16,6l1902,412r16,3l1936,416r15,-1l1966,413r17,-5l2008,401r,-95l1999,314r-7,6l1983,326r-7,4l1967,334r-10,2l1948,337r-10,l1931,337r-8,-1l1916,335r-8,-3l1902,330r-6,-4l1889,322r-5,-5l1876,311r-5,-6l1866,299r-4,-8l1860,283r-3,-9l1856,265r,-10l1856,246r1,-8l1860,229r2,-8l1865,214r5,-7l1874,200r5,-6l1885,189r6,-5l1898,180r7,-3l1913,174r8,-2l1930,170r8,l1948,170r10,3l1967,175r10,4l1984,184r9,5l2001,197r7,7l2008,108xm1727,99r-80,l1647,407r80,l1727,99xm1538,167r66,l1604,99r-210,l1394,167r65,l1459,407r79,l1538,167xm1360,117r-11,-6l1337,106r-13,-4l1313,98r-13,-2l1288,93r-12,-1l1263,92r-11,l1241,94r-10,2l1221,99r-10,4l1203,108r-8,6l1187,121r-6,7l1175,136r-5,8l1166,153r-4,10l1161,174r-3,10l1158,195r,10l1160,215r2,9l1165,231r3,8l1172,245r5,6l1183,256r9,7l1203,269r16,6l1242,281r12,5l1264,290r9,4l1279,297r5,4l1287,306r2,5l1289,317r,7l1287,330r-4,5l1279,339r-6,3l1267,345r-8,1l1251,347r-9,l1233,345r-9,-1l1216,340r-9,-5l1198,330r-8,-6l1180,316r-34,65l1158,388r13,8l1185,401r13,5l1212,410r14,3l1239,415r14,l1266,415r12,-2l1290,411r12,-4l1313,403r10,-5l1333,392r9,-6l1349,378r6,-7l1360,362r5,-10l1369,342r2,-11l1373,319r,-13l1371,290r-2,-15l1366,269r-3,-6l1359,258r-4,-7l1350,246r-5,-5l1339,238r-7,-4l1315,226r-17,-6l1276,213r-13,-4l1256,205r-7,-5l1247,198r-3,-4l1242,189r,-4l1243,179r1,-5l1248,170r4,-3l1257,163r6,-3l1269,159r8,-1l1283,159r6,l1297,162r6,1l1315,170r14,9l1360,117xm1091,99r-80,l1011,407r80,l1091,99xm904,167r66,l970,99r-212,l758,167r67,l825,407r79,l904,167xm644,292r-66,l611,194r33,98xm666,354r20,53l771,407,655,99r-87,l450,407r84,l555,354r111,xm395,167r66,l461,99r-212,l249,167r66,l315,407r80,l395,167xm214,117r-11,-6l190,106r-12,-4l167,98,154,96,142,93,129,92r-12,l106,92,94,94,84,96r-9,3l65,103r-9,5l48,114r-7,7l35,128r-7,8l23,144r-3,9l16,163r-1,11l12,184r,11l12,205r1,10l16,224r2,7l22,239r4,6l31,251r6,5l46,263r11,6l73,275r23,6l108,286r10,4l127,294r6,3l138,301r3,5l143,311r,6l143,324r-2,6l137,335r-4,4l127,342r-6,3l113,346r-9,1l96,347r-9,-2l78,344r-8,-4l61,335r-9,-5l43,324,33,316,,381r12,7l25,396r13,5l52,406r14,4l79,413r14,2l107,415r12,l132,413r12,-2l155,407r12,-4l177,398r10,-6l195,386r8,-8l209,371r5,-9l219,352r4,-10l225,331r2,-12l227,306r-2,-16l223,275r-3,-6l217,263r-4,-5l209,251r-5,-5l199,241r-6,-3l185,234r-16,-8l151,220r-22,-7l117,209r-8,-4l103,200r-4,-2l98,194r-2,-5l96,185r1,-6l98,174r4,-4l106,167r5,-4l117,160r6,-1l129,158r8,1l143,159r8,3l157,163r12,7l183,179r31,-62xe" fillcolor="#bd1b21" stroked="f">
                  <v:path arrowok="t" o:connecttype="custom" o:connectlocs="611,102;583,25;536,69;502,27;472,26;450,41;444,68;454,91;480,104;500,79;485,85;473,81;465,69;467,54;477,45;492,44;432,25;401,25;340,30;319,23;301,27;291,41;292,58;305,69;322,77;319,86;304,85;293,99;317,104;336,97;344,80;339,63;319,54;311,47;318,40;333,45;226,42;226,102;172,102;167,89;79,102;42,25;21,24;7,34;3,52;10,64;32,74;36,83;24,87;9,79;20,104;42,101;55,88;55,68;47,59;25,50;27,42;38,41" o:connectangles="0,0,0,0,0,0,0,0,0,0,0,0,0,0,0,0,0,0,0,0,0,0,0,0,0,0,0,0,0,0,0,0,0,0,0,0,0,0,0,0,0,0,0,0,0,0,0,0,0,0,0,0,0,0,0,0,0,0"/>
                  <o:lock v:ext="edit" aspectratio="t" verticies="t"/>
                </v:shape>
                <v:shape id="Freeform 14" o:spid="_x0000_s1032" style="position:absolute;left:1962;top:851;width:679;height:208;visibility:visible;mso-wrap-style:square;v-text-anchor:top" coordsize="1358,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" path="m1282,36l1243,r-65,56l1205,85r77,-49xm1162,260r,147l1242,407r,-147l1358,100r-97,l1205,183r-59,-83l1051,100r111,160xm863,227r,-127l783,100r,307l863,407r,-133l967,407r104,l938,245,1059,100r-99,l863,227xm721,117r-12,-5l697,107r-12,-5l673,98,660,96,648,93,635,92r-11,l611,92r-9,3l590,97r-10,3l572,103r-9,5l555,115r-7,6l542,128r-7,8l531,145r-4,8l523,163r-2,11l519,184r,12l519,206r2,10l522,224r2,8l528,239r5,6l538,252r5,5l552,263r12,6l580,275r22,7l614,287r11,3l634,294r6,4l644,301r4,5l649,311r1,7l649,324r-1,6l644,335r-5,4l634,343r-8,2l619,348r-8,l603,348r-9,-3l585,344r-8,-4l568,335r-9,-5l549,324r-9,-8l507,381r12,8l532,396r12,5l558,406r14,4l585,414r14,1l613,415r13,l639,414r12,-3l663,407r11,-3l684,399r10,-7l702,386r7,-7l716,371r5,-8l725,353r4,-10l731,331r1,-12l734,306r-2,-16l729,275r-3,-6l724,263r-4,-5l716,252r-5,-5l705,243r-6,-5l692,234r-16,-7l658,221r-22,-7l624,209r-9,-3l610,201r-3,-3l604,194r-1,-5l603,186r,-5l605,174r3,-3l611,167r7,-4l623,161r6,-2l636,158r7,1l650,159r6,3l663,163r13,8l689,179r32,-62xm463,167r,-67l289,100r,307l463,407r,-67l369,340r,-53l458,287r,-68l369,219r,-52l463,167xm66,36r82,46l231,36,210,2,148,34,87,2,66,36xm235,108r-20,-6l197,97,180,95,163,93r-17,2l129,96r-15,5l99,106r-15,6l71,121r-13,9l47,141,37,152,27,164r-7,14l12,192,7,207,3,223,1,239,,257r,15l2,287r4,13l10,314r6,14l22,340r9,11l41,363r12,11l66,385r15,9l97,401r16,6l129,412r18,3l163,416r16,-1l193,414r19,-5l235,401r,-95l228,314r-9,6l212,326r-9,4l194,334r-9,2l175,338r-10,1l158,338r-7,-2l143,335r-6,-2l129,330r-6,-4l117,323r-6,-5l104,311r-6,-6l93,299r-4,-7l87,283r-3,-9l83,265r,-10l83,247r1,-9l87,229r2,-7l93,214r4,-7l102,201r5,-7l112,189r6,-5l126,181r7,-4l141,174r7,-2l157,171r8,l175,171r10,2l195,176r9,3l213,184r7,5l228,197r7,7l235,108xe" fillcolor="#bd1b21" stroked="f">
                  <v:path arrowok="t" o:connecttype="custom" o:connectlocs="321,9;340,25;291,65;216,102;265,25;175,27;159,23;145,25;136,32;131,44;131,56;136,65;154,72;162,77;161,84;153,87;142,84;130,98;147,104;163,103;176,97;183,86;183,69;178,62;165,56;152,50;152,44;158,40;166,41;116,25;93,85;93,42;53,1;54,26;33,24;15,33;3,48;0,68;6,85;21,99;41,104;59,77;49,84;38,84;30,81;23,73;21,62;25,52;32,46;42,43;54,46" o:connectangles="0,0,0,0,0,0,0,0,0,0,0,0,0,0,0,0,0,0,0,0,0,0,0,0,0,0,0,0,0,0,0,0,0,0,0,0,0,0,0,0,0,0,0,0,0,0,0,0,0,0,0"/>
                  <o:lock v:ext="edit" aspectratio="t" verticies="t"/>
                </v:shape>
                <w10:wrap type="square" anchorx="page" anchory="page"/>
                <w10:anchorlock/>
              </v:group>
            </w:pict>
          </mc:Fallback>
        </mc:AlternateContent>
      </w:r>
      <w:r>
        <w:rPr>
          <w:noProof/>
        </w:rPr>
        <mc:AlternateContent>
          <mc:Choice Requires="wps">
            <w:drawing>
              <wp:anchor distT="0" distB="0" distL="114300" distR="114300" simplePos="0" relativeHeight="251656704" behindDoc="0" locked="1" layoutInCell="1" allowOverlap="1" wp14:anchorId="7DB0F6ED" wp14:editId="08FDDC9C">
                <wp:simplePos x="0" y="0"/>
                <wp:positionH relativeFrom="page">
                  <wp:posOffset>1705610</wp:posOffset>
                </wp:positionH>
                <wp:positionV relativeFrom="page">
                  <wp:posOffset>8173085</wp:posOffset>
                </wp:positionV>
                <wp:extent cx="5130165" cy="925195"/>
                <wp:effectExtent l="3810" t="0" r="0" b="0"/>
                <wp:wrapNone/>
                <wp:docPr id="4"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165" cy="9251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txbx>
                        <w:txbxContent>
                          <w:p w14:paraId="7670B1B2" w14:textId="77777777" w:rsidR="00EC4603" w:rsidRPr="006C5577" w:rsidRDefault="00EC4603" w:rsidP="004924DC">
                            <w:r>
                              <w:t>Z</w:t>
                            </w:r>
                            <w:r w:rsidRPr="006C5577">
                              <w:t xml:space="preserve">pracoval: Odbor </w:t>
                            </w:r>
                            <w:r>
                              <w:t>statistik rozvoje společnosti</w:t>
                            </w:r>
                          </w:p>
                          <w:p w14:paraId="5C5DE170" w14:textId="77777777" w:rsidR="00EC4603" w:rsidRPr="006C5577" w:rsidRDefault="00EC4603" w:rsidP="004924DC">
                            <w:r w:rsidRPr="006C5577">
                              <w:t xml:space="preserve">Ředitel odboru: </w:t>
                            </w:r>
                            <w:r>
                              <w:t>Ing. Martin Mana</w:t>
                            </w:r>
                          </w:p>
                          <w:p w14:paraId="189E758F" w14:textId="77777777" w:rsidR="00EC4603" w:rsidRPr="006C5577" w:rsidRDefault="00EC4603" w:rsidP="004924DC">
                            <w:r w:rsidRPr="006C5577">
                              <w:t xml:space="preserve">Kontaktní osoba: </w:t>
                            </w:r>
                            <w:r>
                              <w:t>Ing. Alena Hykyšová</w:t>
                            </w:r>
                            <w:r w:rsidRPr="006C5577">
                              <w:t>,</w:t>
                            </w:r>
                            <w:r>
                              <w:t xml:space="preserve"> e-mail: alena.hykysova@czso.cz</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DB0F6ED" id="_x0000_t202" coordsize="21600,21600" o:spt="202" path="m,l,21600r21600,l21600,xe">
                <v:stroke joinstyle="miter"/>
                <v:path gradientshapeok="t" o:connecttype="rect"/>
              </v:shapetype>
              <v:shape id="Textové pole 2" o:spid="_x0000_s1026" type="#_x0000_t202" style="position:absolute;margin-left:134.3pt;margin-top:643.55pt;width:403.95pt;height:72.85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" filled="f" stroked="f">
                <v:textbox inset="0,0,0,0">
                  <w:txbxContent>
                    <w:p w14:paraId="7670B1B2" w14:textId="77777777" w:rsidR="00EC4603" w:rsidRPr="006C5577" w:rsidRDefault="00EC4603" w:rsidP="004924DC">
                      <w:r>
                        <w:t>Z</w:t>
                      </w:r>
                      <w:r w:rsidRPr="006C5577">
                        <w:t xml:space="preserve">pracoval: Odbor </w:t>
                      </w:r>
                      <w:r>
                        <w:t>statistik rozvoje společnosti</w:t>
                      </w:r>
                    </w:p>
                    <w:p w14:paraId="5C5DE170" w14:textId="77777777" w:rsidR="00EC4603" w:rsidRPr="006C5577" w:rsidRDefault="00EC4603" w:rsidP="004924DC">
                      <w:r w:rsidRPr="006C5577">
                        <w:t xml:space="preserve">Ředitel odboru: </w:t>
                      </w:r>
                      <w:r>
                        <w:t>Ing. Martin Mana</w:t>
                      </w:r>
                    </w:p>
                    <w:p w14:paraId="189E758F" w14:textId="77777777" w:rsidR="00EC4603" w:rsidRPr="006C5577" w:rsidRDefault="00EC4603" w:rsidP="004924DC">
                      <w:r w:rsidRPr="006C5577">
                        <w:t xml:space="preserve">Kontaktní osoba: </w:t>
                      </w:r>
                      <w:r>
                        <w:t>Ing. Alena Hykyšová</w:t>
                      </w:r>
                      <w:r w:rsidRPr="006C5577">
                        <w:t>,</w:t>
                      </w:r>
                      <w:r>
                        <w:t xml:space="preserve"> e-mail: alena.hykysova@czso.cz</w:t>
                      </w:r>
                    </w:p>
                  </w:txbxContent>
                </v:textbox>
                <w10:wrap anchorx="page" anchory="page"/>
                <w10:anchorlock/>
              </v:shape>
            </w:pict>
          </mc:Fallback>
        </mc:AlternateContent>
      </w:r>
      <w:r>
        <w:rPr>
          <w:noProof/>
        </w:rPr>
        <mc:AlternateContent>
          <mc:Choice Requires="wps">
            <w:drawing>
              <wp:anchor distT="0" distB="0" distL="114300" distR="114300" simplePos="0" relativeHeight="251655680" behindDoc="0" locked="1" layoutInCell="1" allowOverlap="1" wp14:anchorId="0E04FF8D" wp14:editId="70CC8482">
                <wp:simplePos x="0" y="0"/>
                <wp:positionH relativeFrom="page">
                  <wp:posOffset>1710055</wp:posOffset>
                </wp:positionH>
                <wp:positionV relativeFrom="page">
                  <wp:posOffset>4680585</wp:posOffset>
                </wp:positionV>
                <wp:extent cx="5129530" cy="1686560"/>
                <wp:effectExtent l="0" t="0" r="1270" b="15240"/>
                <wp:wrapNone/>
                <wp:docPr id="30"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9530" cy="168656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txbx>
                        <w:txbxContent>
                          <w:p w14:paraId="244AD4BA" w14:textId="77777777" w:rsidR="00EC4603" w:rsidRPr="004924DC" w:rsidRDefault="00EC4603" w:rsidP="009D7913">
                            <w:pPr>
                              <w:pStyle w:val="TLIdentifikace-sted"/>
                            </w:pPr>
                            <w:r>
                              <w:t>Zdravotnictví, pracovní neschopnost</w:t>
                            </w:r>
                          </w:p>
                          <w:p w14:paraId="65CFACD9" w14:textId="5421B7B2" w:rsidR="00EC4603" w:rsidRPr="004924DC" w:rsidRDefault="00EC4603" w:rsidP="009D7913">
                            <w:pPr>
                              <w:pStyle w:val="TLIdentifikace-sted"/>
                            </w:pPr>
                            <w:r>
                              <w:t>Praha</w:t>
                            </w:r>
                            <w:r w:rsidRPr="004924DC">
                              <w:t xml:space="preserve">, </w:t>
                            </w:r>
                            <w:r>
                              <w:t>31. 5. 2023</w:t>
                            </w:r>
                          </w:p>
                          <w:p w14:paraId="6B26F365" w14:textId="61B33E87" w:rsidR="00EC4603" w:rsidRPr="004924DC" w:rsidRDefault="00EC4603" w:rsidP="004924DC">
                            <w:pPr>
                              <w:pStyle w:val="TLIdentifikace-sted"/>
                            </w:pPr>
                            <w:r w:rsidRPr="004924DC">
                              <w:t xml:space="preserve">Kód publikace: </w:t>
                            </w:r>
                            <w:r>
                              <w:rPr>
                                <w:rStyle w:val="content"/>
                                <w:rFonts w:eastAsia="MS Gothic"/>
                              </w:rPr>
                              <w:t>260004-22</w:t>
                            </w:r>
                          </w:p>
                          <w:p w14:paraId="50545F7A" w14:textId="63DCA996" w:rsidR="00EC4603" w:rsidRPr="004924DC" w:rsidRDefault="00EC4603" w:rsidP="004924DC">
                            <w:pPr>
                              <w:pStyle w:val="TLIdentifikace-sted"/>
                            </w:pPr>
                            <w:r w:rsidRPr="000C02B0">
                              <w:t>Č. j.: CSU-004777/2023-63</w:t>
                            </w:r>
                          </w:p>
                          <w:p w14:paraId="4FDFB9D7" w14:textId="77777777" w:rsidR="00EC4603" w:rsidRPr="004924DC" w:rsidRDefault="00EC4603" w:rsidP="004924DC">
                            <w:pPr>
                              <w:pStyle w:val="TLIdentifikace-sted"/>
                            </w:pPr>
                            <w:r w:rsidRPr="004924DC">
                              <w:t xml:space="preserve">Pořadové číslo v roce: </w:t>
                            </w:r>
                            <w:r>
                              <w:t>2</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0E04FF8D" id="_x0000_s1027" type="#_x0000_t202" style="position:absolute;margin-left:134.65pt;margin-top:368.55pt;width:403.9pt;height:132.8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" filled="f" stroked="f">
                <v:textbox style="mso-fit-shape-to-text:t" inset="0,0,0,0">
                  <w:txbxContent>
                    <w:p w14:paraId="244AD4BA" w14:textId="77777777" w:rsidR="00EC4603" w:rsidRPr="004924DC" w:rsidRDefault="00EC4603" w:rsidP="009D7913">
                      <w:pPr>
                        <w:pStyle w:val="TLIdentifikace-sted"/>
                      </w:pPr>
                      <w:r>
                        <w:t>Zdravotnictví, pracovní neschopnost</w:t>
                      </w:r>
                    </w:p>
                    <w:p w14:paraId="65CFACD9" w14:textId="5421B7B2" w:rsidR="00EC4603" w:rsidRPr="004924DC" w:rsidRDefault="00EC4603" w:rsidP="009D7913">
                      <w:pPr>
                        <w:pStyle w:val="TLIdentifikace-sted"/>
                      </w:pPr>
                      <w:r>
                        <w:t>Praha</w:t>
                      </w:r>
                      <w:r w:rsidRPr="004924DC">
                        <w:t xml:space="preserve">, </w:t>
                      </w:r>
                      <w:r>
                        <w:t>31. 5. 2023</w:t>
                      </w:r>
                    </w:p>
                    <w:p w14:paraId="6B26F365" w14:textId="61B33E87" w:rsidR="00EC4603" w:rsidRPr="004924DC" w:rsidRDefault="00EC4603" w:rsidP="004924DC">
                      <w:pPr>
                        <w:pStyle w:val="TLIdentifikace-sted"/>
                      </w:pPr>
                      <w:r w:rsidRPr="004924DC">
                        <w:t xml:space="preserve">Kód publikace: </w:t>
                      </w:r>
                      <w:r>
                        <w:rPr>
                          <w:rStyle w:val="content"/>
                          <w:rFonts w:eastAsia="MS Gothic"/>
                        </w:rPr>
                        <w:t>260004-22</w:t>
                      </w:r>
                    </w:p>
                    <w:p w14:paraId="50545F7A" w14:textId="63DCA996" w:rsidR="00EC4603" w:rsidRPr="004924DC" w:rsidRDefault="00EC4603" w:rsidP="004924DC">
                      <w:pPr>
                        <w:pStyle w:val="TLIdentifikace-sted"/>
                      </w:pPr>
                      <w:r w:rsidRPr="000C02B0">
                        <w:t>Č. j.: CSU-004777/2023-63</w:t>
                      </w:r>
                    </w:p>
                    <w:p w14:paraId="4FDFB9D7" w14:textId="77777777" w:rsidR="00EC4603" w:rsidRPr="004924DC" w:rsidRDefault="00EC4603" w:rsidP="004924DC">
                      <w:pPr>
                        <w:pStyle w:val="TLIdentifikace-sted"/>
                      </w:pPr>
                      <w:r w:rsidRPr="004924DC">
                        <w:t xml:space="preserve">Pořadové číslo v roce: </w:t>
                      </w:r>
                      <w:r>
                        <w:t>2</w:t>
                      </w:r>
                    </w:p>
                  </w:txbxContent>
                </v:textbox>
                <w10:wrap anchorx="page" anchory="page"/>
                <w10:anchorlock/>
              </v:shape>
            </w:pict>
          </mc:Fallback>
        </mc:AlternateContent>
      </w:r>
      <w:r>
        <w:rPr>
          <w:noProof/>
        </w:rPr>
        <mc:AlternateContent>
          <mc:Choice Requires="wps">
            <w:drawing>
              <wp:anchor distT="0" distB="0" distL="114300" distR="114300" simplePos="0" relativeHeight="251654656" behindDoc="0" locked="1" layoutInCell="1" allowOverlap="1" wp14:anchorId="71046995" wp14:editId="51536ACB">
                <wp:simplePos x="0" y="0"/>
                <wp:positionH relativeFrom="page">
                  <wp:posOffset>1710055</wp:posOffset>
                </wp:positionH>
                <wp:positionV relativeFrom="page">
                  <wp:posOffset>1476375</wp:posOffset>
                </wp:positionV>
                <wp:extent cx="5129530" cy="2207895"/>
                <wp:effectExtent l="0" t="0" r="1270" b="1905"/>
                <wp:wrapNone/>
                <wp:docPr id="29"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29530" cy="22078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txbx>
                        <w:txbxContent>
                          <w:p w14:paraId="13DDA8E4" w14:textId="77777777" w:rsidR="00EC4603" w:rsidRPr="000E6FBD" w:rsidRDefault="00EC4603" w:rsidP="009D7913">
                            <w:pPr>
                              <w:pStyle w:val="Nzev"/>
                            </w:pPr>
                            <w:r>
                              <w:t>Pracovní neschopnost pro nemoc a úraz v české republice</w:t>
                            </w:r>
                          </w:p>
                          <w:p w14:paraId="39A4F55D" w14:textId="77777777" w:rsidR="00EC4603" w:rsidRPr="0012192F" w:rsidRDefault="00EC4603" w:rsidP="0012192F">
                            <w:pPr>
                              <w:pStyle w:val="Podnadpis"/>
                            </w:pPr>
                          </w:p>
                          <w:p w14:paraId="0865D604" w14:textId="445690B4" w:rsidR="00EC4603" w:rsidRPr="0012192F" w:rsidRDefault="00EC4603" w:rsidP="0012192F">
                            <w:pPr>
                              <w:pStyle w:val="Podnadpis"/>
                            </w:pPr>
                            <w:r>
                              <w:t>za rok 2022</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71046995" id="_x0000_s1028" type="#_x0000_t202" style="position:absolute;margin-left:134.65pt;margin-top:116.25pt;width:403.9pt;height:173.85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" filled="f" stroked="f">
                <v:textbox style="mso-fit-shape-to-text:t" inset="0,0,0,0">
                  <w:txbxContent>
                    <w:p w14:paraId="13DDA8E4" w14:textId="77777777" w:rsidR="00EC4603" w:rsidRPr="000E6FBD" w:rsidRDefault="00EC4603" w:rsidP="009D7913">
                      <w:pPr>
                        <w:pStyle w:val="Nzev"/>
                      </w:pPr>
                      <w:r>
                        <w:t>Pracovní neschopnost pro nemoc a úraz v české republice</w:t>
                      </w:r>
                    </w:p>
                    <w:p w14:paraId="39A4F55D" w14:textId="77777777" w:rsidR="00EC4603" w:rsidRPr="0012192F" w:rsidRDefault="00EC4603" w:rsidP="0012192F">
                      <w:pPr>
                        <w:pStyle w:val="Podnadpis"/>
                      </w:pPr>
                    </w:p>
                    <w:p w14:paraId="0865D604" w14:textId="445690B4" w:rsidR="00EC4603" w:rsidRPr="0012192F" w:rsidRDefault="00EC4603" w:rsidP="0012192F">
                      <w:pPr>
                        <w:pStyle w:val="Podnadpis"/>
                      </w:pPr>
                      <w:r>
                        <w:t>za rok 2022</w:t>
                      </w:r>
                    </w:p>
                  </w:txbxContent>
                </v:textbox>
                <w10:wrap anchorx="page" anchory="page"/>
                <w10:anchorlock/>
              </v:shape>
            </w:pict>
          </mc:Fallback>
        </mc:AlternateContent>
      </w:r>
      <w:r>
        <w:rPr>
          <w:noProof/>
        </w:rPr>
        <mc:AlternateContent>
          <mc:Choice Requires="wps">
            <w:drawing>
              <wp:anchor distT="0" distB="0" distL="114300" distR="114300" simplePos="0" relativeHeight="251658752" behindDoc="0" locked="1" layoutInCell="1" allowOverlap="1" wp14:anchorId="0834DCB8" wp14:editId="6F0432B1">
                <wp:simplePos x="0" y="0"/>
                <wp:positionH relativeFrom="page">
                  <wp:posOffset>1710055</wp:posOffset>
                </wp:positionH>
                <wp:positionV relativeFrom="page">
                  <wp:posOffset>9649460</wp:posOffset>
                </wp:positionV>
                <wp:extent cx="5130165" cy="179705"/>
                <wp:effectExtent l="0" t="0" r="5080" b="635"/>
                <wp:wrapNone/>
                <wp:docPr id="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0165" cy="17970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txbx>
                        <w:txbxContent>
                          <w:p w14:paraId="5B87A3E1" w14:textId="6316E203" w:rsidR="00EC4603" w:rsidRPr="004924DC" w:rsidRDefault="00EC4603" w:rsidP="004924DC">
                            <w:r w:rsidRPr="004924DC">
                              <w:t xml:space="preserve">© Český statistický úřad, </w:t>
                            </w:r>
                            <w:r>
                              <w:t>Praha</w:t>
                            </w:r>
                            <w:r w:rsidRPr="004924DC">
                              <w:t xml:space="preserve">, </w:t>
                            </w:r>
                            <w:r>
                              <w:t>2023</w:t>
                            </w:r>
                          </w:p>
                          <w:p w14:paraId="7DA6CF8B" w14:textId="77777777" w:rsidR="00EC4603" w:rsidRPr="005251DD" w:rsidRDefault="00EC4603" w:rsidP="00665BA4"/>
                          <w:p w14:paraId="0374FB6A" w14:textId="77777777" w:rsidR="00EC4603" w:rsidRPr="005251DD" w:rsidRDefault="00EC4603" w:rsidP="00FC684B"/>
                          <w:p w14:paraId="39DDC4FC" w14:textId="77777777" w:rsidR="00EC4603" w:rsidRDefault="00EC4603"/>
                          <w:p w14:paraId="0BDAC939" w14:textId="77777777" w:rsidR="00EC4603" w:rsidRPr="00097407" w:rsidRDefault="00EC4603" w:rsidP="00665BA4">
                            <w:r w:rsidRPr="00097407">
                              <w:t xml:space="preserve">© </w:t>
                            </w:r>
                            <w:r w:rsidRPr="005251DD">
                              <w:t>Český statistický úřad</w:t>
                            </w:r>
                            <w:r>
                              <w:t xml:space="preserve"> / </w:t>
                            </w:r>
                            <w:r w:rsidRPr="009A1902">
                              <w:rPr>
                                <w:i/>
                              </w:rPr>
                              <w:t xml:space="preserve">Czech </w:t>
                            </w:r>
                            <w:proofErr w:type="spellStart"/>
                            <w:r w:rsidRPr="009A1902">
                              <w:rPr>
                                <w:rFonts w:cs="Arial"/>
                                <w:i/>
                                <w:szCs w:val="20"/>
                              </w:rPr>
                              <w:t>Statistical</w:t>
                            </w:r>
                            <w:proofErr w:type="spellEnd"/>
                            <w:r w:rsidRPr="009A1902">
                              <w:rPr>
                                <w:rFonts w:cs="Arial"/>
                                <w:i/>
                                <w:szCs w:val="20"/>
                              </w:rPr>
                              <w:t xml:space="preserve"> Office</w:t>
                            </w:r>
                            <w:r w:rsidRPr="00097407">
                              <w:t>, místo, rok vydání</w:t>
                            </w:r>
                          </w:p>
                          <w:p w14:paraId="636642BB" w14:textId="77777777" w:rsidR="00EC4603" w:rsidRPr="005251DD" w:rsidRDefault="00EC4603" w:rsidP="00665BA4"/>
                          <w:p w14:paraId="651AF485" w14:textId="77777777" w:rsidR="00EC4603" w:rsidRPr="005251DD" w:rsidRDefault="00EC4603" w:rsidP="00FC684B"/>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834DCB8" id="_x0000_s1029" type="#_x0000_t202" style="position:absolute;margin-left:134.65pt;margin-top:759.8pt;width:403.95pt;height:14.15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" filled="f" stroked="f">
                <v:textbox inset="0,0,0,0">
                  <w:txbxContent>
                    <w:p w14:paraId="5B87A3E1" w14:textId="6316E203" w:rsidR="00EC4603" w:rsidRPr="004924DC" w:rsidRDefault="00EC4603" w:rsidP="004924DC">
                      <w:r w:rsidRPr="004924DC">
                        <w:t xml:space="preserve">© Český statistický úřad, </w:t>
                      </w:r>
                      <w:r>
                        <w:t>Praha</w:t>
                      </w:r>
                      <w:r w:rsidRPr="004924DC">
                        <w:t xml:space="preserve">, </w:t>
                      </w:r>
                      <w:r>
                        <w:t>2023</w:t>
                      </w:r>
                    </w:p>
                    <w:p w14:paraId="7DA6CF8B" w14:textId="77777777" w:rsidR="00EC4603" w:rsidRPr="005251DD" w:rsidRDefault="00EC4603" w:rsidP="00665BA4"/>
                    <w:p w14:paraId="0374FB6A" w14:textId="77777777" w:rsidR="00EC4603" w:rsidRPr="005251DD" w:rsidRDefault="00EC4603" w:rsidP="00FC684B"/>
                    <w:p w14:paraId="39DDC4FC" w14:textId="77777777" w:rsidR="00EC4603" w:rsidRDefault="00EC4603"/>
                    <w:p w14:paraId="0BDAC939" w14:textId="77777777" w:rsidR="00EC4603" w:rsidRPr="00097407" w:rsidRDefault="00EC4603" w:rsidP="00665BA4">
                      <w:r w:rsidRPr="00097407">
                        <w:t xml:space="preserve">© </w:t>
                      </w:r>
                      <w:r w:rsidRPr="005251DD">
                        <w:t>Český statistický úřad</w:t>
                      </w:r>
                      <w:r>
                        <w:t xml:space="preserve"> / </w:t>
                      </w:r>
                      <w:r w:rsidRPr="009A1902">
                        <w:rPr>
                          <w:i/>
                        </w:rPr>
                        <w:t xml:space="preserve">Czech </w:t>
                      </w:r>
                      <w:r w:rsidRPr="009A1902">
                        <w:rPr>
                          <w:rFonts w:cs="Arial"/>
                          <w:i/>
                          <w:szCs w:val="20"/>
                        </w:rPr>
                        <w:t>Statistical Office</w:t>
                      </w:r>
                      <w:r w:rsidRPr="00097407">
                        <w:t>, místo, rok vydání</w:t>
                      </w:r>
                    </w:p>
                    <w:p w14:paraId="636642BB" w14:textId="77777777" w:rsidR="00EC4603" w:rsidRPr="005251DD" w:rsidRDefault="00EC4603" w:rsidP="00665BA4"/>
                    <w:p w14:paraId="651AF485" w14:textId="77777777" w:rsidR="00EC4603" w:rsidRPr="005251DD" w:rsidRDefault="00EC4603" w:rsidP="00FC684B"/>
                  </w:txbxContent>
                </v:textbox>
                <w10:wrap anchorx="page" anchory="page"/>
                <w10:anchorlock/>
              </v:shape>
            </w:pict>
          </mc:Fallback>
        </mc:AlternateContent>
      </w:r>
      <w:r>
        <w:rPr>
          <w:noProof/>
        </w:rPr>
        <mc:AlternateContent>
          <mc:Choice Requires="wps">
            <w:drawing>
              <wp:anchor distT="4294967294" distB="4294967294" distL="114300" distR="114300" simplePos="0" relativeHeight="251653632" behindDoc="0" locked="1" layoutInCell="0" allowOverlap="1" wp14:anchorId="0F19A4D1" wp14:editId="65D4AAC8">
                <wp:simplePos x="0" y="0"/>
                <wp:positionH relativeFrom="page">
                  <wp:posOffset>1710055</wp:posOffset>
                </wp:positionH>
                <wp:positionV relativeFrom="page">
                  <wp:posOffset>9361169</wp:posOffset>
                </wp:positionV>
                <wp:extent cx="5130165" cy="0"/>
                <wp:effectExtent l="0" t="0" r="26035" b="25400"/>
                <wp:wrapNone/>
                <wp:docPr id="33" name="Přímá spojnic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30165" cy="0"/>
                        </a:xfrm>
                        <a:prstGeom prst="line">
                          <a:avLst/>
                        </a:prstGeom>
                        <a:noFill/>
                        <a:ln w="12700"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CAECF35" id="Přímá spojnice 33" o:spid="_x0000_s1026" style="position:absolute;z-index:251653632;visibility:visible;mso-wrap-style:square;mso-width-percent:0;mso-height-percent:0;mso-wrap-distance-left:9pt;mso-wrap-distance-top:-6e-5mm;mso-wrap-distance-right:9pt;mso-wrap-distance-bottom:-6e-5mm;mso-position-horizontal:absolute;mso-position-horizontal-relative:page;mso-position-vertical:absolute;mso-position-vertical-relative:page;mso-width-percent:0;mso-height-percent:0;mso-width-relative:margin;mso-height-relative:margin" from="134.65pt,737.1pt" to="538.6pt,73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" o:allowincell="f" strokecolor="windowText" strokeweight="1pt">
                <o:lock v:ext="edit" shapetype="f"/>
                <w10:wrap anchorx="page" anchory="page"/>
                <w10:anchorlock/>
              </v:line>
            </w:pict>
          </mc:Fallback>
        </mc:AlternateContent>
      </w:r>
      <w:r w:rsidR="00F63FB7">
        <w:br w:type="page"/>
      </w:r>
      <w:r>
        <w:lastRenderedPageBreak/>
        <w:br w:type="page"/>
      </w:r>
      <w:r>
        <w:rPr>
          <w:noProof/>
        </w:rPr>
        <mc:AlternateContent>
          <mc:Choice Requires="wps">
            <w:drawing>
              <wp:anchor distT="0" distB="0" distL="114300" distR="114300" simplePos="0" relativeHeight="251659776" behindDoc="0" locked="1" layoutInCell="1" allowOverlap="1" wp14:anchorId="2AA8B816" wp14:editId="25AB0061">
                <wp:simplePos x="0" y="0"/>
                <wp:positionH relativeFrom="page">
                  <wp:posOffset>723900</wp:posOffset>
                </wp:positionH>
                <wp:positionV relativeFrom="page">
                  <wp:posOffset>1440180</wp:posOffset>
                </wp:positionV>
                <wp:extent cx="6119495" cy="7690485"/>
                <wp:effectExtent l="0" t="5080" r="1905" b="635"/>
                <wp:wrapNone/>
                <wp:docPr id="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9495" cy="769048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txbx>
                        <w:txbxContent>
                          <w:p w14:paraId="2B9C624E" w14:textId="77777777" w:rsidR="00EC4603" w:rsidRPr="006F5416" w:rsidRDefault="00EC4603" w:rsidP="000B30FA">
                            <w:pPr>
                              <w:pStyle w:val="TLKontaktyerven"/>
                            </w:pPr>
                            <w:r w:rsidRPr="006F5416">
                              <w:t>KONTAKTY V ÚSTŘEDÍ</w:t>
                            </w:r>
                          </w:p>
                          <w:p w14:paraId="297404DB" w14:textId="77777777" w:rsidR="00EC4603" w:rsidRPr="007D40DF" w:rsidRDefault="00EC4603" w:rsidP="000B30FA">
                            <w:pPr>
                              <w:pStyle w:val="TLKontakty"/>
                              <w:spacing w:after="80" w:line="240" w:lineRule="auto"/>
                              <w:contextualSpacing w:val="0"/>
                              <w:rPr>
                                <w:b w:val="0"/>
                                <w:color w:val="auto"/>
                              </w:rPr>
                            </w:pPr>
                            <w:r w:rsidRPr="00D66223">
                              <w:t>Český statistický úřad</w:t>
                            </w:r>
                            <w:r w:rsidRPr="007D40DF">
                              <w:rPr>
                                <w:b w:val="0"/>
                                <w:color w:val="auto"/>
                              </w:rPr>
                              <w:t xml:space="preserve"> | Na</w:t>
                            </w:r>
                            <w:r>
                              <w:rPr>
                                <w:b w:val="0"/>
                                <w:color w:val="auto"/>
                              </w:rPr>
                              <w:t xml:space="preserve"> padesátém 81, 100 82 Praha</w:t>
                            </w:r>
                            <w:r w:rsidRPr="007D40DF">
                              <w:rPr>
                                <w:b w:val="0"/>
                                <w:color w:val="auto"/>
                              </w:rPr>
                              <w:t> </w:t>
                            </w:r>
                            <w:r>
                              <w:rPr>
                                <w:b w:val="0"/>
                                <w:color w:val="auto"/>
                              </w:rPr>
                              <w:t xml:space="preserve">10, </w:t>
                            </w:r>
                            <w:r w:rsidRPr="007D40DF">
                              <w:rPr>
                                <w:b w:val="0"/>
                                <w:color w:val="auto"/>
                              </w:rPr>
                              <w:t xml:space="preserve">tel.: 274 051 111 | </w:t>
                            </w:r>
                            <w:r w:rsidRPr="007D40DF">
                              <w:rPr>
                                <w:color w:val="auto"/>
                              </w:rPr>
                              <w:t>www.czso.cz</w:t>
                            </w:r>
                          </w:p>
                          <w:p w14:paraId="62EB1A13" w14:textId="77777777" w:rsidR="00EC4603" w:rsidRPr="00D235B7" w:rsidRDefault="00EC4603" w:rsidP="000B30FA">
                            <w:pPr>
                              <w:pStyle w:val="TLKontakty"/>
                              <w:spacing w:after="80" w:line="240" w:lineRule="auto"/>
                              <w:contextualSpacing w:val="0"/>
                              <w:rPr>
                                <w:b w:val="0"/>
                                <w:color w:val="auto"/>
                              </w:rPr>
                            </w:pPr>
                            <w:r w:rsidRPr="00D235B7">
                              <w:rPr>
                                <w:color w:val="auto"/>
                              </w:rPr>
                              <w:t>Oddělení informačních služeb</w:t>
                            </w:r>
                            <w:r w:rsidRPr="00D235B7">
                              <w:rPr>
                                <w:b w:val="0"/>
                                <w:color w:val="auto"/>
                              </w:rPr>
                              <w:t xml:space="preserve"> | tel.: 274 052 304, 274 052 451 | e-mail: infoservis@czso.cz</w:t>
                            </w:r>
                          </w:p>
                          <w:p w14:paraId="705446E8" w14:textId="77777777" w:rsidR="00EC4603" w:rsidRPr="00D235B7" w:rsidRDefault="00EC4603" w:rsidP="000B30FA">
                            <w:pPr>
                              <w:pStyle w:val="TLKontakty"/>
                              <w:spacing w:after="80" w:line="240" w:lineRule="auto"/>
                              <w:contextualSpacing w:val="0"/>
                              <w:rPr>
                                <w:b w:val="0"/>
                                <w:color w:val="auto"/>
                              </w:rPr>
                            </w:pPr>
                            <w:r w:rsidRPr="00D235B7">
                              <w:rPr>
                                <w:color w:val="auto"/>
                              </w:rPr>
                              <w:t>Prodejna publikací ČSÚ</w:t>
                            </w:r>
                            <w:r w:rsidRPr="00D235B7">
                              <w:rPr>
                                <w:b w:val="0"/>
                                <w:color w:val="auto"/>
                              </w:rPr>
                              <w:t xml:space="preserve"> | tel.: 274 052 361 | e-mail: prodejna@czso.cz</w:t>
                            </w:r>
                          </w:p>
                          <w:p w14:paraId="6C3123B8" w14:textId="77777777" w:rsidR="00EC4603" w:rsidRPr="00D235B7" w:rsidRDefault="00EC4603" w:rsidP="000B30FA">
                            <w:pPr>
                              <w:pStyle w:val="TLKontakty"/>
                              <w:spacing w:after="80" w:line="240" w:lineRule="auto"/>
                              <w:contextualSpacing w:val="0"/>
                              <w:rPr>
                                <w:b w:val="0"/>
                                <w:color w:val="auto"/>
                              </w:rPr>
                            </w:pPr>
                            <w:r w:rsidRPr="00D235B7">
                              <w:rPr>
                                <w:color w:val="auto"/>
                              </w:rPr>
                              <w:t>Evropská data (ESDS), mezinárodní srovnání</w:t>
                            </w:r>
                            <w:r w:rsidRPr="00D235B7">
                              <w:rPr>
                                <w:b w:val="0"/>
                                <w:color w:val="auto"/>
                              </w:rPr>
                              <w:t xml:space="preserve"> | tel.: 274 052 347, 274 052 757 | e-mail: esds@czso.cz</w:t>
                            </w:r>
                          </w:p>
                          <w:p w14:paraId="34344A59" w14:textId="77777777" w:rsidR="00EC4603" w:rsidRPr="00D235B7" w:rsidRDefault="00EC4603" w:rsidP="000B30FA">
                            <w:pPr>
                              <w:pStyle w:val="TLKontakty"/>
                              <w:spacing w:after="80" w:line="240" w:lineRule="auto"/>
                              <w:contextualSpacing w:val="0"/>
                              <w:rPr>
                                <w:b w:val="0"/>
                                <w:color w:val="auto"/>
                              </w:rPr>
                            </w:pPr>
                            <w:r w:rsidRPr="00D235B7">
                              <w:rPr>
                                <w:color w:val="auto"/>
                              </w:rPr>
                              <w:t>Ústřední statistická knihovna</w:t>
                            </w:r>
                            <w:r w:rsidRPr="00D235B7">
                              <w:rPr>
                                <w:b w:val="0"/>
                                <w:color w:val="auto"/>
                              </w:rPr>
                              <w:t xml:space="preserve"> | tel.: 274 052 361 | e-mail: knihovna@czso.cz</w:t>
                            </w:r>
                          </w:p>
                          <w:p w14:paraId="5514FF96" w14:textId="77777777" w:rsidR="00EC4603" w:rsidRPr="004A61C5" w:rsidRDefault="00EC4603" w:rsidP="000B30FA">
                            <w:pPr>
                              <w:pStyle w:val="TLKontakty"/>
                              <w:spacing w:after="80" w:line="240" w:lineRule="auto"/>
                              <w:contextualSpacing w:val="0"/>
                              <w:rPr>
                                <w:color w:val="auto"/>
                              </w:rPr>
                            </w:pPr>
                          </w:p>
                          <w:p w14:paraId="219E13BB" w14:textId="77777777" w:rsidR="00EC4603" w:rsidRPr="00D66223" w:rsidRDefault="00EC4603" w:rsidP="000B30FA">
                            <w:pPr>
                              <w:pStyle w:val="TLKontaktyerven"/>
                            </w:pPr>
                            <w:r w:rsidRPr="00D66223">
                              <w:t>INFORMAČNÍ SLUŽBY V REGIONECH</w:t>
                            </w:r>
                          </w:p>
                          <w:p w14:paraId="4867B889" w14:textId="77777777" w:rsidR="00EC4603" w:rsidRPr="00992CF3" w:rsidRDefault="00EC4603" w:rsidP="000B30FA">
                            <w:pPr>
                              <w:pStyle w:val="TLKontakty"/>
                              <w:spacing w:after="80" w:line="240" w:lineRule="auto"/>
                              <w:rPr>
                                <w:b w:val="0"/>
                                <w:color w:val="auto"/>
                              </w:rPr>
                            </w:pPr>
                            <w:r w:rsidRPr="00D66223">
                              <w:t>Hl. m. Praha</w:t>
                            </w:r>
                            <w:r w:rsidRPr="00992CF3">
                              <w:rPr>
                                <w:b w:val="0"/>
                                <w:color w:val="auto"/>
                              </w:rPr>
                              <w:t xml:space="preserve"> | Na</w:t>
                            </w:r>
                            <w:r>
                              <w:rPr>
                                <w:b w:val="0"/>
                                <w:color w:val="auto"/>
                              </w:rPr>
                              <w:t xml:space="preserve"> padesátém 81, 100 82 Praha 10, </w:t>
                            </w:r>
                            <w:r w:rsidRPr="00992CF3">
                              <w:rPr>
                                <w:b w:val="0"/>
                                <w:color w:val="auto"/>
                              </w:rPr>
                              <w:t>tel.</w:t>
                            </w:r>
                            <w:r w:rsidRPr="007D40DF">
                              <w:rPr>
                                <w:b w:val="0"/>
                                <w:color w:val="auto"/>
                              </w:rPr>
                              <w:t>:</w:t>
                            </w:r>
                            <w:r>
                              <w:rPr>
                                <w:b w:val="0"/>
                                <w:color w:val="auto"/>
                              </w:rPr>
                              <w:t xml:space="preserve"> 274 052 673, </w:t>
                            </w:r>
                            <w:r w:rsidRPr="00992CF3">
                              <w:rPr>
                                <w:b w:val="0"/>
                                <w:color w:val="auto"/>
                              </w:rPr>
                              <w:t>274 054 223</w:t>
                            </w:r>
                          </w:p>
                          <w:p w14:paraId="4E1F442C" w14:textId="77777777" w:rsidR="00EC4603" w:rsidRPr="00992CF3" w:rsidRDefault="00EC4603" w:rsidP="000B30FA">
                            <w:pPr>
                              <w:pStyle w:val="TLKontakty"/>
                              <w:spacing w:after="80" w:line="240" w:lineRule="auto"/>
                              <w:rPr>
                                <w:b w:val="0"/>
                                <w:color w:val="auto"/>
                              </w:rPr>
                            </w:pPr>
                            <w:r w:rsidRPr="00992CF3">
                              <w:rPr>
                                <w:b w:val="0"/>
                                <w:color w:val="auto"/>
                              </w:rPr>
                              <w:t xml:space="preserve">e-mail: infoservispraha@czso.cz | </w:t>
                            </w:r>
                            <w:r w:rsidRPr="00992CF3">
                              <w:rPr>
                                <w:color w:val="auto"/>
                              </w:rPr>
                              <w:t>www.praha.czso.cz</w:t>
                            </w:r>
                          </w:p>
                          <w:p w14:paraId="2087351C" w14:textId="77777777" w:rsidR="00EC4603" w:rsidRPr="004A61C5" w:rsidRDefault="00EC4603" w:rsidP="000B30FA">
                            <w:pPr>
                              <w:pStyle w:val="TLKontakty"/>
                              <w:spacing w:after="80" w:line="240" w:lineRule="auto"/>
                              <w:rPr>
                                <w:color w:val="auto"/>
                              </w:rPr>
                            </w:pPr>
                          </w:p>
                          <w:p w14:paraId="7E0D46F0" w14:textId="77777777" w:rsidR="00EC4603" w:rsidRPr="00992CF3" w:rsidRDefault="00EC4603" w:rsidP="000B30FA">
                            <w:pPr>
                              <w:pStyle w:val="TLKontakty"/>
                              <w:spacing w:after="80" w:line="240" w:lineRule="auto"/>
                              <w:rPr>
                                <w:b w:val="0"/>
                                <w:color w:val="auto"/>
                              </w:rPr>
                            </w:pPr>
                            <w:r w:rsidRPr="00D66223">
                              <w:t>Středočeský kraj</w:t>
                            </w:r>
                            <w:r w:rsidRPr="00992CF3">
                              <w:rPr>
                                <w:b w:val="0"/>
                                <w:color w:val="auto"/>
                              </w:rPr>
                              <w:t xml:space="preserve"> | Na padesátém 81, 100 82 Praha 10, tel.</w:t>
                            </w:r>
                            <w:r>
                              <w:rPr>
                                <w:b w:val="0"/>
                                <w:color w:val="auto"/>
                              </w:rPr>
                              <w:t xml:space="preserve">: </w:t>
                            </w:r>
                            <w:r w:rsidRPr="00992CF3">
                              <w:rPr>
                                <w:b w:val="0"/>
                                <w:color w:val="auto"/>
                              </w:rPr>
                              <w:t>274 054 175</w:t>
                            </w:r>
                          </w:p>
                          <w:p w14:paraId="5E67683C" w14:textId="77777777" w:rsidR="00EC4603" w:rsidRPr="00992CF3" w:rsidRDefault="00EC4603" w:rsidP="000B30FA">
                            <w:pPr>
                              <w:pStyle w:val="TLKontakty"/>
                              <w:spacing w:after="80" w:line="240" w:lineRule="auto"/>
                              <w:rPr>
                                <w:color w:val="auto"/>
                              </w:rPr>
                            </w:pPr>
                            <w:r w:rsidRPr="00992CF3">
                              <w:rPr>
                                <w:b w:val="0"/>
                                <w:color w:val="auto"/>
                              </w:rPr>
                              <w:t xml:space="preserve">e-mail: infoservisstc@czso.cz | </w:t>
                            </w:r>
                            <w:r w:rsidRPr="00992CF3">
                              <w:rPr>
                                <w:color w:val="auto"/>
                              </w:rPr>
                              <w:t>www.stredocesky.czso.cz</w:t>
                            </w:r>
                          </w:p>
                          <w:p w14:paraId="4016BA29" w14:textId="77777777" w:rsidR="00EC4603" w:rsidRPr="004A61C5" w:rsidRDefault="00EC4603" w:rsidP="000B30FA">
                            <w:pPr>
                              <w:pStyle w:val="TLKontakty"/>
                              <w:spacing w:after="80" w:line="240" w:lineRule="auto"/>
                              <w:rPr>
                                <w:color w:val="auto"/>
                              </w:rPr>
                            </w:pPr>
                          </w:p>
                          <w:p w14:paraId="42F0941B" w14:textId="77777777" w:rsidR="00EC4603" w:rsidRPr="00992CF3" w:rsidRDefault="00EC4603" w:rsidP="000B30FA">
                            <w:pPr>
                              <w:pStyle w:val="TLKontakty"/>
                              <w:spacing w:after="80" w:line="240" w:lineRule="auto"/>
                              <w:rPr>
                                <w:b w:val="0"/>
                                <w:color w:val="auto"/>
                              </w:rPr>
                            </w:pPr>
                            <w:r w:rsidRPr="00D66223">
                              <w:t>České Budějovice</w:t>
                            </w:r>
                            <w:r w:rsidRPr="00992CF3">
                              <w:rPr>
                                <w:b w:val="0"/>
                                <w:color w:val="auto"/>
                              </w:rPr>
                              <w:t xml:space="preserve"> | Žižkova 1, 370 77 České Budějovice</w:t>
                            </w:r>
                            <w:r>
                              <w:rPr>
                                <w:b w:val="0"/>
                                <w:color w:val="auto"/>
                              </w:rPr>
                              <w:t xml:space="preserve">, </w:t>
                            </w:r>
                            <w:r w:rsidRPr="00992CF3">
                              <w:rPr>
                                <w:b w:val="0"/>
                                <w:color w:val="auto"/>
                              </w:rPr>
                              <w:t>tel.</w:t>
                            </w:r>
                            <w:r>
                              <w:rPr>
                                <w:b w:val="0"/>
                                <w:color w:val="auto"/>
                              </w:rPr>
                              <w:t xml:space="preserve">: </w:t>
                            </w:r>
                            <w:r w:rsidRPr="00992CF3">
                              <w:rPr>
                                <w:b w:val="0"/>
                                <w:color w:val="auto"/>
                              </w:rPr>
                              <w:t>386 718 440</w:t>
                            </w:r>
                          </w:p>
                          <w:p w14:paraId="226EA827" w14:textId="77777777" w:rsidR="00EC4603" w:rsidRPr="00992CF3" w:rsidRDefault="00EC4603" w:rsidP="000B30FA">
                            <w:pPr>
                              <w:pStyle w:val="TLKontakty"/>
                              <w:spacing w:after="80" w:line="240" w:lineRule="auto"/>
                              <w:rPr>
                                <w:b w:val="0"/>
                                <w:color w:val="auto"/>
                              </w:rPr>
                            </w:pPr>
                            <w:r w:rsidRPr="00992CF3">
                              <w:rPr>
                                <w:b w:val="0"/>
                                <w:color w:val="auto"/>
                              </w:rPr>
                              <w:t xml:space="preserve">e-mail: infoserviscb@czso.cz | </w:t>
                            </w:r>
                            <w:r w:rsidRPr="00992CF3">
                              <w:rPr>
                                <w:color w:val="auto"/>
                              </w:rPr>
                              <w:t>www.cbudejovice.czso.cz</w:t>
                            </w:r>
                          </w:p>
                          <w:p w14:paraId="0A359991" w14:textId="77777777" w:rsidR="00EC4603" w:rsidRPr="004A61C5" w:rsidRDefault="00EC4603" w:rsidP="000B30FA">
                            <w:pPr>
                              <w:pStyle w:val="TLKontakty"/>
                              <w:spacing w:after="80" w:line="240" w:lineRule="auto"/>
                              <w:rPr>
                                <w:color w:val="auto"/>
                              </w:rPr>
                            </w:pPr>
                          </w:p>
                          <w:p w14:paraId="45510866" w14:textId="77777777" w:rsidR="00EC4603" w:rsidRPr="00BC731E" w:rsidRDefault="00EC4603" w:rsidP="000B30FA">
                            <w:pPr>
                              <w:pStyle w:val="TLKontakty"/>
                              <w:spacing w:after="80" w:line="240" w:lineRule="auto"/>
                              <w:rPr>
                                <w:b w:val="0"/>
                                <w:color w:val="auto"/>
                              </w:rPr>
                            </w:pPr>
                            <w:r w:rsidRPr="00D66223">
                              <w:t>Plzeň</w:t>
                            </w:r>
                            <w:r w:rsidRPr="004A61C5">
                              <w:rPr>
                                <w:b w:val="0"/>
                                <w:color w:val="auto"/>
                              </w:rPr>
                              <w:t xml:space="preserve"> | Slovanská alej 36, 326 64 Plzeň</w:t>
                            </w:r>
                            <w:r>
                              <w:rPr>
                                <w:b w:val="0"/>
                                <w:color w:val="auto"/>
                              </w:rPr>
                              <w:t xml:space="preserve">, </w:t>
                            </w:r>
                            <w:r w:rsidRPr="004A61C5">
                              <w:rPr>
                                <w:b w:val="0"/>
                                <w:color w:val="auto"/>
                              </w:rPr>
                              <w:t>tel.</w:t>
                            </w:r>
                            <w:r>
                              <w:rPr>
                                <w:b w:val="0"/>
                                <w:color w:val="auto"/>
                              </w:rPr>
                              <w:t xml:space="preserve">: </w:t>
                            </w:r>
                            <w:r w:rsidRPr="004A61C5">
                              <w:rPr>
                                <w:b w:val="0"/>
                                <w:color w:val="auto"/>
                              </w:rPr>
                              <w:t>377 612 108</w:t>
                            </w:r>
                            <w:r w:rsidRPr="00BC731E">
                              <w:rPr>
                                <w:b w:val="0"/>
                                <w:color w:val="auto"/>
                              </w:rPr>
                              <w:t>, 377 612 145</w:t>
                            </w:r>
                          </w:p>
                          <w:p w14:paraId="50BBF7C9" w14:textId="77777777" w:rsidR="00EC4603" w:rsidRPr="004A61C5" w:rsidRDefault="00EC4603" w:rsidP="000B30FA">
                            <w:pPr>
                              <w:pStyle w:val="TLKontakty"/>
                              <w:spacing w:after="80" w:line="240" w:lineRule="auto"/>
                              <w:rPr>
                                <w:b w:val="0"/>
                                <w:color w:val="auto"/>
                              </w:rPr>
                            </w:pPr>
                            <w:r w:rsidRPr="004A61C5">
                              <w:rPr>
                                <w:b w:val="0"/>
                                <w:color w:val="auto"/>
                              </w:rPr>
                              <w:t xml:space="preserve">e-mail: infoservisplzen@czso.cz | </w:t>
                            </w:r>
                            <w:r w:rsidRPr="004A61C5">
                              <w:rPr>
                                <w:color w:val="auto"/>
                              </w:rPr>
                              <w:t>www.plzen.czso.cz</w:t>
                            </w:r>
                          </w:p>
                          <w:p w14:paraId="561DC5D7" w14:textId="77777777" w:rsidR="00EC4603" w:rsidRPr="004A61C5" w:rsidRDefault="00EC4603" w:rsidP="000B30FA">
                            <w:pPr>
                              <w:pStyle w:val="TLKontakty"/>
                              <w:spacing w:after="80" w:line="240" w:lineRule="auto"/>
                              <w:rPr>
                                <w:color w:val="auto"/>
                              </w:rPr>
                            </w:pPr>
                          </w:p>
                          <w:p w14:paraId="4F3BB18E" w14:textId="77777777" w:rsidR="00EC4603" w:rsidRPr="004A61C5" w:rsidRDefault="00EC4603" w:rsidP="000B30FA">
                            <w:pPr>
                              <w:pStyle w:val="TLKontakty"/>
                              <w:spacing w:after="80" w:line="240" w:lineRule="auto"/>
                              <w:rPr>
                                <w:b w:val="0"/>
                                <w:color w:val="auto"/>
                              </w:rPr>
                            </w:pPr>
                            <w:r w:rsidRPr="00D66223">
                              <w:t>Karlovy Vary</w:t>
                            </w:r>
                            <w:r w:rsidRPr="004A61C5">
                              <w:rPr>
                                <w:b w:val="0"/>
                                <w:color w:val="auto"/>
                              </w:rPr>
                              <w:t xml:space="preserve"> | </w:t>
                            </w:r>
                            <w:r w:rsidRPr="00095135">
                              <w:rPr>
                                <w:b w:val="0"/>
                                <w:color w:val="auto"/>
                              </w:rPr>
                              <w:t>Závodní 360/94, 360 06 Karlovy Vary</w:t>
                            </w:r>
                            <w:r w:rsidRPr="004A61C5">
                              <w:rPr>
                                <w:b w:val="0"/>
                                <w:color w:val="auto"/>
                              </w:rPr>
                              <w:t>, tel.</w:t>
                            </w:r>
                            <w:r>
                              <w:rPr>
                                <w:b w:val="0"/>
                                <w:color w:val="auto"/>
                              </w:rPr>
                              <w:t xml:space="preserve">: </w:t>
                            </w:r>
                            <w:r w:rsidRPr="004A61C5">
                              <w:rPr>
                                <w:b w:val="0"/>
                                <w:color w:val="auto"/>
                              </w:rPr>
                              <w:t>353 114 529, 353 114 525</w:t>
                            </w:r>
                          </w:p>
                          <w:p w14:paraId="4017765E" w14:textId="77777777" w:rsidR="00EC4603" w:rsidRPr="004A61C5" w:rsidRDefault="00EC4603" w:rsidP="000B30FA">
                            <w:pPr>
                              <w:pStyle w:val="TLKontakty"/>
                              <w:spacing w:after="80" w:line="240" w:lineRule="auto"/>
                              <w:rPr>
                                <w:b w:val="0"/>
                                <w:color w:val="auto"/>
                              </w:rPr>
                            </w:pPr>
                            <w:r w:rsidRPr="004A61C5">
                              <w:rPr>
                                <w:b w:val="0"/>
                                <w:color w:val="auto"/>
                              </w:rPr>
                              <w:t xml:space="preserve">e-mail: infoserviskv@czso.cz | </w:t>
                            </w:r>
                            <w:r w:rsidRPr="004A61C5">
                              <w:rPr>
                                <w:color w:val="auto"/>
                              </w:rPr>
                              <w:t>www.kvary.czso.cz</w:t>
                            </w:r>
                          </w:p>
                          <w:p w14:paraId="5F24CF8F" w14:textId="77777777" w:rsidR="00EC4603" w:rsidRPr="004A61C5" w:rsidRDefault="00EC4603" w:rsidP="000B30FA">
                            <w:pPr>
                              <w:pStyle w:val="TLKontakty"/>
                              <w:spacing w:after="80" w:line="240" w:lineRule="auto"/>
                              <w:rPr>
                                <w:color w:val="auto"/>
                              </w:rPr>
                            </w:pPr>
                          </w:p>
                          <w:p w14:paraId="223B91DE" w14:textId="77777777" w:rsidR="00EC4603" w:rsidRPr="004A61C5" w:rsidRDefault="00EC4603" w:rsidP="000B30FA">
                            <w:pPr>
                              <w:pStyle w:val="TLKontakty"/>
                              <w:spacing w:after="80" w:line="240" w:lineRule="auto"/>
                              <w:rPr>
                                <w:b w:val="0"/>
                                <w:color w:val="auto"/>
                              </w:rPr>
                            </w:pPr>
                            <w:r w:rsidRPr="00D66223">
                              <w:t>Ústí nad Labem</w:t>
                            </w:r>
                            <w:r w:rsidRPr="004A61C5">
                              <w:rPr>
                                <w:b w:val="0"/>
                                <w:color w:val="auto"/>
                              </w:rPr>
                              <w:t xml:space="preserve"> | Špálova 2684, 400 11 Ústí nad Labem</w:t>
                            </w:r>
                            <w:r>
                              <w:rPr>
                                <w:b w:val="0"/>
                                <w:color w:val="auto"/>
                              </w:rPr>
                              <w:t xml:space="preserve">, </w:t>
                            </w:r>
                            <w:r w:rsidRPr="004A61C5">
                              <w:rPr>
                                <w:b w:val="0"/>
                                <w:color w:val="auto"/>
                              </w:rPr>
                              <w:t>tel.</w:t>
                            </w:r>
                            <w:r>
                              <w:rPr>
                                <w:b w:val="0"/>
                                <w:color w:val="auto"/>
                              </w:rPr>
                              <w:t xml:space="preserve">: </w:t>
                            </w:r>
                            <w:r w:rsidRPr="004A61C5">
                              <w:rPr>
                                <w:b w:val="0"/>
                                <w:color w:val="auto"/>
                              </w:rPr>
                              <w:t>472 706 176,</w:t>
                            </w:r>
                            <w:r>
                              <w:rPr>
                                <w:b w:val="0"/>
                                <w:color w:val="auto"/>
                              </w:rPr>
                              <w:t xml:space="preserve"> </w:t>
                            </w:r>
                            <w:r w:rsidRPr="004A61C5">
                              <w:rPr>
                                <w:b w:val="0"/>
                                <w:color w:val="auto"/>
                              </w:rPr>
                              <w:t>472 706 121</w:t>
                            </w:r>
                          </w:p>
                          <w:p w14:paraId="6257C138" w14:textId="77777777" w:rsidR="00EC4603" w:rsidRPr="004A61C5" w:rsidRDefault="00EC4603" w:rsidP="000B30FA">
                            <w:pPr>
                              <w:pStyle w:val="TLKontakty"/>
                              <w:spacing w:after="80" w:line="240" w:lineRule="auto"/>
                              <w:rPr>
                                <w:b w:val="0"/>
                                <w:color w:val="auto"/>
                              </w:rPr>
                            </w:pPr>
                            <w:r w:rsidRPr="004A61C5">
                              <w:rPr>
                                <w:b w:val="0"/>
                                <w:color w:val="auto"/>
                              </w:rPr>
                              <w:t xml:space="preserve">e-mail: infoservisul@czso.cz | </w:t>
                            </w:r>
                            <w:r w:rsidRPr="004A61C5">
                              <w:rPr>
                                <w:color w:val="auto"/>
                              </w:rPr>
                              <w:t>www.ustinadlabem.czso.cz</w:t>
                            </w:r>
                          </w:p>
                          <w:p w14:paraId="5B9C7DCC" w14:textId="77777777" w:rsidR="00EC4603" w:rsidRPr="004A61C5" w:rsidRDefault="00EC4603" w:rsidP="000B30FA">
                            <w:pPr>
                              <w:pStyle w:val="TLKontakty"/>
                              <w:spacing w:after="80" w:line="240" w:lineRule="auto"/>
                              <w:rPr>
                                <w:color w:val="auto"/>
                              </w:rPr>
                            </w:pPr>
                          </w:p>
                          <w:p w14:paraId="1D92F000" w14:textId="77777777" w:rsidR="00EC4603" w:rsidRPr="004A61C5" w:rsidRDefault="00EC4603" w:rsidP="000B30FA">
                            <w:pPr>
                              <w:pStyle w:val="TLKontakty"/>
                              <w:spacing w:after="80" w:line="240" w:lineRule="auto"/>
                              <w:rPr>
                                <w:b w:val="0"/>
                                <w:color w:val="auto"/>
                              </w:rPr>
                            </w:pPr>
                            <w:r w:rsidRPr="00D66223">
                              <w:t>Liberec</w:t>
                            </w:r>
                            <w:r w:rsidRPr="004A61C5">
                              <w:rPr>
                                <w:b w:val="0"/>
                                <w:color w:val="auto"/>
                              </w:rPr>
                              <w:t xml:space="preserve"> | Nám. Dr. Edvarda Beneše 585/26, 460 01 Liberec 1, tel.</w:t>
                            </w:r>
                            <w:r>
                              <w:rPr>
                                <w:b w:val="0"/>
                                <w:color w:val="auto"/>
                              </w:rPr>
                              <w:t xml:space="preserve">: </w:t>
                            </w:r>
                            <w:r w:rsidRPr="004A61C5">
                              <w:rPr>
                                <w:b w:val="0"/>
                                <w:color w:val="auto"/>
                              </w:rPr>
                              <w:t>485 238 811</w:t>
                            </w:r>
                          </w:p>
                          <w:p w14:paraId="290DF144" w14:textId="77777777" w:rsidR="00EC4603" w:rsidRPr="004A61C5" w:rsidRDefault="00EC4603" w:rsidP="000B30FA">
                            <w:pPr>
                              <w:pStyle w:val="TLKontakty"/>
                              <w:spacing w:after="80" w:line="240" w:lineRule="auto"/>
                              <w:rPr>
                                <w:b w:val="0"/>
                                <w:color w:val="auto"/>
                              </w:rPr>
                            </w:pPr>
                            <w:r w:rsidRPr="004A61C5">
                              <w:rPr>
                                <w:b w:val="0"/>
                                <w:color w:val="auto"/>
                              </w:rPr>
                              <w:t xml:space="preserve">e-mail: infoservislbc@czso.cz | </w:t>
                            </w:r>
                            <w:r w:rsidRPr="004A61C5">
                              <w:rPr>
                                <w:color w:val="auto"/>
                              </w:rPr>
                              <w:t>www.liberec.czso.cz</w:t>
                            </w:r>
                          </w:p>
                          <w:p w14:paraId="16ED7933" w14:textId="77777777" w:rsidR="00EC4603" w:rsidRPr="004A61C5" w:rsidRDefault="00EC4603" w:rsidP="000B30FA">
                            <w:pPr>
                              <w:pStyle w:val="TLKontakty"/>
                              <w:spacing w:after="80" w:line="240" w:lineRule="auto"/>
                              <w:rPr>
                                <w:b w:val="0"/>
                                <w:color w:val="auto"/>
                              </w:rPr>
                            </w:pPr>
                          </w:p>
                          <w:p w14:paraId="2F4F558C" w14:textId="77777777" w:rsidR="00EC4603" w:rsidRPr="004A61C5" w:rsidRDefault="00EC4603" w:rsidP="000B30FA">
                            <w:pPr>
                              <w:pStyle w:val="TLKontakty"/>
                              <w:spacing w:after="80" w:line="240" w:lineRule="auto"/>
                              <w:rPr>
                                <w:b w:val="0"/>
                                <w:color w:val="auto"/>
                              </w:rPr>
                            </w:pPr>
                            <w:r w:rsidRPr="00D66223">
                              <w:t>Hradec Králové</w:t>
                            </w:r>
                            <w:r w:rsidRPr="004A61C5">
                              <w:rPr>
                                <w:b w:val="0"/>
                                <w:color w:val="auto"/>
                              </w:rPr>
                              <w:t xml:space="preserve"> | Myslivečkova 914, 500 03 Hradec Králové 3, </w:t>
                            </w:r>
                            <w:r>
                              <w:rPr>
                                <w:b w:val="0"/>
                                <w:color w:val="auto"/>
                              </w:rPr>
                              <w:t>tel.</w:t>
                            </w:r>
                            <w:r w:rsidRPr="007D40DF">
                              <w:rPr>
                                <w:b w:val="0"/>
                                <w:color w:val="auto"/>
                              </w:rPr>
                              <w:t>:</w:t>
                            </w:r>
                            <w:r>
                              <w:rPr>
                                <w:b w:val="0"/>
                                <w:color w:val="auto"/>
                              </w:rPr>
                              <w:t xml:space="preserve"> </w:t>
                            </w:r>
                            <w:r w:rsidRPr="004A61C5">
                              <w:rPr>
                                <w:b w:val="0"/>
                                <w:color w:val="auto"/>
                              </w:rPr>
                              <w:t>495 762 322,</w:t>
                            </w:r>
                            <w:r>
                              <w:rPr>
                                <w:b w:val="0"/>
                                <w:color w:val="auto"/>
                              </w:rPr>
                              <w:t xml:space="preserve"> </w:t>
                            </w:r>
                            <w:r w:rsidRPr="004A61C5">
                              <w:rPr>
                                <w:b w:val="0"/>
                                <w:color w:val="auto"/>
                              </w:rPr>
                              <w:t>495 762 317</w:t>
                            </w:r>
                          </w:p>
                          <w:p w14:paraId="1191A24C" w14:textId="77777777" w:rsidR="00EC4603" w:rsidRPr="004A61C5" w:rsidRDefault="00EC4603" w:rsidP="000B30FA">
                            <w:pPr>
                              <w:pStyle w:val="TLKontakty"/>
                              <w:spacing w:after="80" w:line="240" w:lineRule="auto"/>
                              <w:rPr>
                                <w:b w:val="0"/>
                                <w:color w:val="auto"/>
                              </w:rPr>
                            </w:pPr>
                            <w:r w:rsidRPr="004A61C5">
                              <w:rPr>
                                <w:b w:val="0"/>
                                <w:color w:val="auto"/>
                              </w:rPr>
                              <w:t xml:space="preserve">e-mail: infoservishk@czso.cz | </w:t>
                            </w:r>
                            <w:r w:rsidRPr="004A61C5">
                              <w:rPr>
                                <w:color w:val="auto"/>
                              </w:rPr>
                              <w:t>www.hradeckralove.czso.cz</w:t>
                            </w:r>
                          </w:p>
                          <w:p w14:paraId="1B0BE732" w14:textId="77777777" w:rsidR="00EC4603" w:rsidRPr="004A61C5" w:rsidRDefault="00EC4603" w:rsidP="000B30FA">
                            <w:pPr>
                              <w:pStyle w:val="TLKontakty"/>
                              <w:spacing w:after="80" w:line="240" w:lineRule="auto"/>
                              <w:rPr>
                                <w:color w:val="auto"/>
                              </w:rPr>
                            </w:pPr>
                          </w:p>
                          <w:p w14:paraId="32B13BBC" w14:textId="77777777" w:rsidR="00EC4603" w:rsidRPr="004A61C5" w:rsidRDefault="00EC4603" w:rsidP="000B30FA">
                            <w:pPr>
                              <w:pStyle w:val="TLKontakty"/>
                              <w:spacing w:after="80" w:line="240" w:lineRule="auto"/>
                              <w:rPr>
                                <w:b w:val="0"/>
                                <w:color w:val="auto"/>
                              </w:rPr>
                            </w:pPr>
                            <w:r w:rsidRPr="00D66223">
                              <w:t>Pardubice</w:t>
                            </w:r>
                            <w:r w:rsidRPr="004A61C5">
                              <w:rPr>
                                <w:b w:val="0"/>
                                <w:color w:val="auto"/>
                              </w:rPr>
                              <w:t xml:space="preserve"> | V Ráji 872, 531 53 Pardubice</w:t>
                            </w:r>
                            <w:r>
                              <w:rPr>
                                <w:b w:val="0"/>
                                <w:color w:val="auto"/>
                              </w:rPr>
                              <w:t xml:space="preserve">, </w:t>
                            </w:r>
                            <w:r w:rsidRPr="004A61C5">
                              <w:rPr>
                                <w:b w:val="0"/>
                                <w:color w:val="auto"/>
                              </w:rPr>
                              <w:t>tel.</w:t>
                            </w:r>
                            <w:r>
                              <w:rPr>
                                <w:b w:val="0"/>
                                <w:color w:val="auto"/>
                              </w:rPr>
                              <w:t>:</w:t>
                            </w:r>
                            <w:r w:rsidRPr="004A61C5">
                              <w:rPr>
                                <w:b w:val="0"/>
                                <w:color w:val="auto"/>
                              </w:rPr>
                              <w:t xml:space="preserve"> 466 743 480, 466 743 418</w:t>
                            </w:r>
                          </w:p>
                          <w:p w14:paraId="544D7B94" w14:textId="77777777" w:rsidR="00EC4603" w:rsidRPr="004A61C5" w:rsidRDefault="00EC4603" w:rsidP="000B30FA">
                            <w:pPr>
                              <w:pStyle w:val="TLKontakty"/>
                              <w:spacing w:after="80" w:line="240" w:lineRule="auto"/>
                              <w:rPr>
                                <w:b w:val="0"/>
                                <w:color w:val="auto"/>
                              </w:rPr>
                            </w:pPr>
                            <w:r w:rsidRPr="004A61C5">
                              <w:rPr>
                                <w:b w:val="0"/>
                                <w:color w:val="auto"/>
                              </w:rPr>
                              <w:t xml:space="preserve">e-mail: infoservispa@czso.cz | </w:t>
                            </w:r>
                            <w:r w:rsidRPr="004A61C5">
                              <w:rPr>
                                <w:color w:val="auto"/>
                              </w:rPr>
                              <w:t>www.pardubice.czso.cz</w:t>
                            </w:r>
                          </w:p>
                          <w:p w14:paraId="3B8AC644" w14:textId="77777777" w:rsidR="00EC4603" w:rsidRPr="004A61C5" w:rsidRDefault="00EC4603" w:rsidP="000B30FA">
                            <w:pPr>
                              <w:pStyle w:val="TLKontakty"/>
                              <w:spacing w:after="80" w:line="240" w:lineRule="auto"/>
                              <w:rPr>
                                <w:b w:val="0"/>
                                <w:color w:val="auto"/>
                              </w:rPr>
                            </w:pPr>
                          </w:p>
                          <w:p w14:paraId="55E4EEF3" w14:textId="77777777" w:rsidR="00EC4603" w:rsidRPr="004A61C5" w:rsidRDefault="00EC4603" w:rsidP="000B30FA">
                            <w:pPr>
                              <w:pStyle w:val="TLKontakty"/>
                              <w:spacing w:after="80" w:line="240" w:lineRule="auto"/>
                              <w:rPr>
                                <w:b w:val="0"/>
                                <w:color w:val="auto"/>
                              </w:rPr>
                            </w:pPr>
                            <w:r w:rsidRPr="00D66223">
                              <w:t>Jihlava</w:t>
                            </w:r>
                            <w:r w:rsidRPr="004A61C5">
                              <w:rPr>
                                <w:b w:val="0"/>
                                <w:color w:val="auto"/>
                              </w:rPr>
                              <w:t xml:space="preserve"> | Ke Skalce 30,</w:t>
                            </w:r>
                            <w:r>
                              <w:rPr>
                                <w:b w:val="0"/>
                                <w:color w:val="auto"/>
                              </w:rPr>
                              <w:t xml:space="preserve"> 586 01 Jihlava, tel.: </w:t>
                            </w:r>
                            <w:r w:rsidRPr="004A61C5">
                              <w:rPr>
                                <w:b w:val="0"/>
                                <w:color w:val="auto"/>
                              </w:rPr>
                              <w:t xml:space="preserve">567 109 </w:t>
                            </w:r>
                            <w:r w:rsidRPr="00BC731E">
                              <w:rPr>
                                <w:b w:val="0"/>
                                <w:color w:val="auto"/>
                              </w:rPr>
                              <w:t>062, 567 109 073</w:t>
                            </w:r>
                          </w:p>
                          <w:p w14:paraId="4AAFCEB9" w14:textId="77777777" w:rsidR="00EC4603" w:rsidRPr="004A61C5" w:rsidRDefault="00EC4603" w:rsidP="000B30FA">
                            <w:pPr>
                              <w:pStyle w:val="TLKontakty"/>
                              <w:spacing w:after="80" w:line="240" w:lineRule="auto"/>
                              <w:rPr>
                                <w:b w:val="0"/>
                                <w:color w:val="auto"/>
                              </w:rPr>
                            </w:pPr>
                            <w:r w:rsidRPr="004A61C5">
                              <w:rPr>
                                <w:b w:val="0"/>
                                <w:color w:val="auto"/>
                              </w:rPr>
                              <w:t xml:space="preserve">e-mail: infoservisvys@czso.cz | </w:t>
                            </w:r>
                            <w:r w:rsidRPr="004A61C5">
                              <w:rPr>
                                <w:color w:val="auto"/>
                              </w:rPr>
                              <w:t>www.jihlava.czso.cz</w:t>
                            </w:r>
                          </w:p>
                          <w:p w14:paraId="559A5F01" w14:textId="77777777" w:rsidR="00EC4603" w:rsidRDefault="00EC4603" w:rsidP="000B30FA">
                            <w:pPr>
                              <w:pStyle w:val="TLKontakty"/>
                              <w:spacing w:after="80" w:line="240" w:lineRule="auto"/>
                            </w:pPr>
                          </w:p>
                          <w:p w14:paraId="1E3B945D" w14:textId="77777777" w:rsidR="00EC4603" w:rsidRPr="00BC731E" w:rsidRDefault="00EC4603" w:rsidP="000B30FA">
                            <w:pPr>
                              <w:pStyle w:val="TLKontakty"/>
                              <w:spacing w:after="80" w:line="240" w:lineRule="auto"/>
                              <w:rPr>
                                <w:b w:val="0"/>
                                <w:color w:val="auto"/>
                              </w:rPr>
                            </w:pPr>
                            <w:r w:rsidRPr="00D66223">
                              <w:t>Brno</w:t>
                            </w:r>
                            <w:r w:rsidRPr="004A61C5">
                              <w:rPr>
                                <w:b w:val="0"/>
                                <w:color w:val="auto"/>
                              </w:rPr>
                              <w:t xml:space="preserve"> | Jezuitská 2, 601 59 Brno, </w:t>
                            </w:r>
                            <w:r>
                              <w:rPr>
                                <w:b w:val="0"/>
                                <w:color w:val="auto"/>
                              </w:rPr>
                              <w:t xml:space="preserve">tel: </w:t>
                            </w:r>
                            <w:r w:rsidRPr="004A61C5">
                              <w:rPr>
                                <w:b w:val="0"/>
                                <w:color w:val="auto"/>
                              </w:rPr>
                              <w:t xml:space="preserve">542 528 </w:t>
                            </w:r>
                            <w:r w:rsidRPr="00BC731E">
                              <w:rPr>
                                <w:b w:val="0"/>
                                <w:color w:val="auto"/>
                              </w:rPr>
                              <w:t>115, 542 528 200</w:t>
                            </w:r>
                          </w:p>
                          <w:p w14:paraId="6EB775F2" w14:textId="77777777" w:rsidR="00EC4603" w:rsidRPr="004A61C5" w:rsidRDefault="00EC4603" w:rsidP="000B30FA">
                            <w:pPr>
                              <w:pStyle w:val="TLKontakty"/>
                              <w:spacing w:after="80" w:line="240" w:lineRule="auto"/>
                              <w:rPr>
                                <w:color w:val="auto"/>
                              </w:rPr>
                            </w:pPr>
                            <w:r w:rsidRPr="004A61C5">
                              <w:rPr>
                                <w:b w:val="0"/>
                                <w:color w:val="auto"/>
                              </w:rPr>
                              <w:t xml:space="preserve">e-mail: infoservisbrno@czso.cz | </w:t>
                            </w:r>
                            <w:r w:rsidRPr="004A61C5">
                              <w:rPr>
                                <w:color w:val="auto"/>
                              </w:rPr>
                              <w:t>www.brno.czso.cz</w:t>
                            </w:r>
                          </w:p>
                          <w:p w14:paraId="0F34ADAB" w14:textId="77777777" w:rsidR="00EC4603" w:rsidRPr="004A61C5" w:rsidRDefault="00EC4603" w:rsidP="000B30FA">
                            <w:pPr>
                              <w:pStyle w:val="TLKontakty"/>
                              <w:spacing w:after="80" w:line="240" w:lineRule="auto"/>
                              <w:rPr>
                                <w:b w:val="0"/>
                                <w:color w:val="auto"/>
                              </w:rPr>
                            </w:pPr>
                          </w:p>
                          <w:p w14:paraId="72F72A32" w14:textId="77777777" w:rsidR="00EC4603" w:rsidRPr="005E7C78" w:rsidRDefault="00EC4603" w:rsidP="000B30FA">
                            <w:pPr>
                              <w:pStyle w:val="TLKontakty"/>
                              <w:spacing w:after="80" w:line="240" w:lineRule="auto"/>
                              <w:rPr>
                                <w:b w:val="0"/>
                                <w:color w:val="auto"/>
                              </w:rPr>
                            </w:pPr>
                            <w:r w:rsidRPr="00D66223">
                              <w:t>Olomouc</w:t>
                            </w:r>
                            <w:r w:rsidRPr="005E7C78">
                              <w:rPr>
                                <w:b w:val="0"/>
                                <w:color w:val="auto"/>
                              </w:rPr>
                              <w:t xml:space="preserve"> | Jeremenkova 1142/42, 772 11 Olomouc, </w:t>
                            </w:r>
                            <w:r>
                              <w:rPr>
                                <w:b w:val="0"/>
                                <w:color w:val="auto"/>
                              </w:rPr>
                              <w:t xml:space="preserve">tel.: </w:t>
                            </w:r>
                            <w:r w:rsidRPr="005E7C78">
                              <w:rPr>
                                <w:b w:val="0"/>
                                <w:color w:val="auto"/>
                              </w:rPr>
                              <w:t xml:space="preserve">585 731 </w:t>
                            </w:r>
                            <w:r w:rsidRPr="00BC731E">
                              <w:rPr>
                                <w:b w:val="0"/>
                                <w:color w:val="auto"/>
                              </w:rPr>
                              <w:t>516, 585 731 511</w:t>
                            </w:r>
                          </w:p>
                          <w:p w14:paraId="0F1ABF65" w14:textId="77777777" w:rsidR="00EC4603" w:rsidRPr="005E7C78" w:rsidRDefault="00EC4603" w:rsidP="000B30FA">
                            <w:pPr>
                              <w:pStyle w:val="TLKontakty"/>
                              <w:spacing w:after="80" w:line="240" w:lineRule="auto"/>
                              <w:rPr>
                                <w:b w:val="0"/>
                                <w:color w:val="auto"/>
                              </w:rPr>
                            </w:pPr>
                            <w:r w:rsidRPr="005E7C78">
                              <w:rPr>
                                <w:b w:val="0"/>
                                <w:color w:val="auto"/>
                              </w:rPr>
                              <w:t xml:space="preserve">e-mail: infoservisolom@czso.cz | </w:t>
                            </w:r>
                            <w:r w:rsidRPr="005E7C78">
                              <w:rPr>
                                <w:color w:val="auto"/>
                              </w:rPr>
                              <w:t>www.olomouc.czso.cz</w:t>
                            </w:r>
                          </w:p>
                          <w:p w14:paraId="102D49A8" w14:textId="77777777" w:rsidR="00EC4603" w:rsidRPr="005E7C78" w:rsidRDefault="00EC4603" w:rsidP="000B30FA">
                            <w:pPr>
                              <w:pStyle w:val="TLKontakty"/>
                              <w:spacing w:after="80" w:line="240" w:lineRule="auto"/>
                              <w:rPr>
                                <w:b w:val="0"/>
                                <w:color w:val="auto"/>
                              </w:rPr>
                            </w:pPr>
                          </w:p>
                          <w:p w14:paraId="346F5BD8" w14:textId="77777777" w:rsidR="00EC4603" w:rsidRPr="005E7C78" w:rsidRDefault="00EC4603" w:rsidP="000B30FA">
                            <w:pPr>
                              <w:pStyle w:val="TLKontakty"/>
                              <w:spacing w:after="80" w:line="240" w:lineRule="auto"/>
                              <w:rPr>
                                <w:b w:val="0"/>
                                <w:color w:val="auto"/>
                              </w:rPr>
                            </w:pPr>
                            <w:r w:rsidRPr="00D66223">
                              <w:t>Zlín</w:t>
                            </w:r>
                            <w:r w:rsidRPr="005E7C78">
                              <w:rPr>
                                <w:b w:val="0"/>
                                <w:color w:val="auto"/>
                              </w:rPr>
                              <w:t xml:space="preserve"> | tř. Tomáše Bati 1565, 761 76 Zlín, </w:t>
                            </w:r>
                            <w:r w:rsidRPr="00BC731E">
                              <w:rPr>
                                <w:b w:val="0"/>
                                <w:color w:val="auto"/>
                              </w:rPr>
                              <w:t>tel.: 577 004 932, 5</w:t>
                            </w:r>
                            <w:r w:rsidRPr="005E7C78">
                              <w:rPr>
                                <w:b w:val="0"/>
                                <w:color w:val="auto"/>
                              </w:rPr>
                              <w:t>77 004 935</w:t>
                            </w:r>
                          </w:p>
                          <w:p w14:paraId="2F232E95" w14:textId="77777777" w:rsidR="00EC4603" w:rsidRDefault="00EC4603" w:rsidP="000B30FA">
                            <w:pPr>
                              <w:pStyle w:val="TLKontakty"/>
                              <w:spacing w:after="80" w:line="240" w:lineRule="auto"/>
                              <w:rPr>
                                <w:color w:val="auto"/>
                              </w:rPr>
                            </w:pPr>
                            <w:r w:rsidRPr="005E7C78">
                              <w:rPr>
                                <w:b w:val="0"/>
                                <w:color w:val="auto"/>
                              </w:rPr>
                              <w:t xml:space="preserve">e-mail: infoservis-zl@czso.cz | </w:t>
                            </w:r>
                            <w:r w:rsidRPr="00227A53">
                              <w:rPr>
                                <w:color w:val="auto"/>
                              </w:rPr>
                              <w:t>www.zlin.czso.cz</w:t>
                            </w:r>
                          </w:p>
                          <w:p w14:paraId="73BEDE0C" w14:textId="77777777" w:rsidR="00EC4603" w:rsidRPr="005E7C78" w:rsidRDefault="00EC4603" w:rsidP="000B30FA">
                            <w:pPr>
                              <w:pStyle w:val="TLKontakty"/>
                              <w:spacing w:after="80" w:line="240" w:lineRule="auto"/>
                              <w:rPr>
                                <w:b w:val="0"/>
                                <w:color w:val="auto"/>
                              </w:rPr>
                            </w:pPr>
                          </w:p>
                          <w:p w14:paraId="7C595CFB" w14:textId="77777777" w:rsidR="00EC4603" w:rsidRPr="005E7C78" w:rsidRDefault="00EC4603" w:rsidP="000B30FA">
                            <w:pPr>
                              <w:pStyle w:val="TLKontakty"/>
                              <w:spacing w:after="80" w:line="240" w:lineRule="auto"/>
                              <w:rPr>
                                <w:b w:val="0"/>
                                <w:color w:val="auto"/>
                              </w:rPr>
                            </w:pPr>
                            <w:r w:rsidRPr="00D66223">
                              <w:t>Ostrava</w:t>
                            </w:r>
                            <w:r w:rsidRPr="005E7C78">
                              <w:rPr>
                                <w:b w:val="0"/>
                                <w:color w:val="auto"/>
                              </w:rPr>
                              <w:t xml:space="preserve"> | Repinova 17, 702 03 Ostrava,</w:t>
                            </w:r>
                            <w:r>
                              <w:rPr>
                                <w:b w:val="0"/>
                                <w:color w:val="auto"/>
                              </w:rPr>
                              <w:t xml:space="preserve"> tel: </w:t>
                            </w:r>
                            <w:r w:rsidRPr="005E7C78">
                              <w:rPr>
                                <w:b w:val="0"/>
                                <w:color w:val="auto"/>
                              </w:rPr>
                              <w:t>595 131 230, 595 131 232</w:t>
                            </w:r>
                          </w:p>
                          <w:p w14:paraId="0B50F54F" w14:textId="77777777" w:rsidR="00EC4603" w:rsidRPr="0010437D" w:rsidRDefault="00EC4603" w:rsidP="00825C4D">
                            <w:pPr>
                              <w:pStyle w:val="TLKontakty"/>
                              <w:spacing w:after="80" w:line="240" w:lineRule="auto"/>
                              <w:rPr>
                                <w:b w:val="0"/>
                                <w:color w:val="auto"/>
                              </w:rPr>
                            </w:pPr>
                            <w:r w:rsidRPr="005E7C78">
                              <w:rPr>
                                <w:b w:val="0"/>
                                <w:color w:val="auto"/>
                              </w:rPr>
                              <w:t xml:space="preserve">e-mail: infoservis_ov@czso.cz | </w:t>
                            </w:r>
                            <w:r w:rsidRPr="005E7C78">
                              <w:rPr>
                                <w:color w:val="auto"/>
                              </w:rPr>
                              <w:t>www.ostrava.czso.cz</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2AA8B816" id="_x0000_s1030" type="#_x0000_t202" style="position:absolute;margin-left:57pt;margin-top:113.4pt;width:481.85pt;height:605.55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" filled="f" stroked="f">
                <v:textbox style="mso-fit-shape-to-text:t" inset="0,0,0,0">
                  <w:txbxContent>
                    <w:p w14:paraId="2B9C624E" w14:textId="77777777" w:rsidR="00EC4603" w:rsidRPr="006F5416" w:rsidRDefault="00EC4603" w:rsidP="000B30FA">
                      <w:pPr>
                        <w:pStyle w:val="TLKontaktyerven"/>
                      </w:pPr>
                      <w:r w:rsidRPr="006F5416">
                        <w:t>KONTAKTY V ÚSTŘEDÍ</w:t>
                      </w:r>
                    </w:p>
                    <w:p w14:paraId="297404DB" w14:textId="77777777" w:rsidR="00EC4603" w:rsidRPr="007D40DF" w:rsidRDefault="00EC4603" w:rsidP="000B30FA">
                      <w:pPr>
                        <w:pStyle w:val="TLKontakty"/>
                        <w:spacing w:after="80" w:line="240" w:lineRule="auto"/>
                        <w:contextualSpacing w:val="0"/>
                        <w:rPr>
                          <w:b w:val="0"/>
                          <w:color w:val="auto"/>
                        </w:rPr>
                      </w:pPr>
                      <w:r w:rsidRPr="00D66223">
                        <w:t>Český statistický úřad</w:t>
                      </w:r>
                      <w:r w:rsidRPr="007D40DF">
                        <w:rPr>
                          <w:b w:val="0"/>
                          <w:color w:val="auto"/>
                        </w:rPr>
                        <w:t xml:space="preserve"> | Na</w:t>
                      </w:r>
                      <w:r>
                        <w:rPr>
                          <w:b w:val="0"/>
                          <w:color w:val="auto"/>
                        </w:rPr>
                        <w:t xml:space="preserve"> padesátém 81, 100 82 Praha</w:t>
                      </w:r>
                      <w:r w:rsidRPr="007D40DF">
                        <w:rPr>
                          <w:b w:val="0"/>
                          <w:color w:val="auto"/>
                        </w:rPr>
                        <w:t> </w:t>
                      </w:r>
                      <w:r>
                        <w:rPr>
                          <w:b w:val="0"/>
                          <w:color w:val="auto"/>
                        </w:rPr>
                        <w:t xml:space="preserve">10, </w:t>
                      </w:r>
                      <w:r w:rsidRPr="007D40DF">
                        <w:rPr>
                          <w:b w:val="0"/>
                          <w:color w:val="auto"/>
                        </w:rPr>
                        <w:t xml:space="preserve">tel.: 274 051 111 | </w:t>
                      </w:r>
                      <w:r w:rsidRPr="007D40DF">
                        <w:rPr>
                          <w:color w:val="auto"/>
                        </w:rPr>
                        <w:t>www.czso.cz</w:t>
                      </w:r>
                    </w:p>
                    <w:p w14:paraId="62EB1A13" w14:textId="77777777" w:rsidR="00EC4603" w:rsidRPr="00D235B7" w:rsidRDefault="00EC4603" w:rsidP="000B30FA">
                      <w:pPr>
                        <w:pStyle w:val="TLKontakty"/>
                        <w:spacing w:after="80" w:line="240" w:lineRule="auto"/>
                        <w:contextualSpacing w:val="0"/>
                        <w:rPr>
                          <w:b w:val="0"/>
                          <w:color w:val="auto"/>
                        </w:rPr>
                      </w:pPr>
                      <w:r w:rsidRPr="00D235B7">
                        <w:rPr>
                          <w:color w:val="auto"/>
                        </w:rPr>
                        <w:t>Oddělení informačních služeb</w:t>
                      </w:r>
                      <w:r w:rsidRPr="00D235B7">
                        <w:rPr>
                          <w:b w:val="0"/>
                          <w:color w:val="auto"/>
                        </w:rPr>
                        <w:t xml:space="preserve"> | tel.: 274 052 304, 274 052 451 | e-mail: infoservis@czso.cz</w:t>
                      </w:r>
                    </w:p>
                    <w:p w14:paraId="705446E8" w14:textId="77777777" w:rsidR="00EC4603" w:rsidRPr="00D235B7" w:rsidRDefault="00EC4603" w:rsidP="000B30FA">
                      <w:pPr>
                        <w:pStyle w:val="TLKontakty"/>
                        <w:spacing w:after="80" w:line="240" w:lineRule="auto"/>
                        <w:contextualSpacing w:val="0"/>
                        <w:rPr>
                          <w:b w:val="0"/>
                          <w:color w:val="auto"/>
                        </w:rPr>
                      </w:pPr>
                      <w:r w:rsidRPr="00D235B7">
                        <w:rPr>
                          <w:color w:val="auto"/>
                        </w:rPr>
                        <w:t>Prodejna publikací ČSÚ</w:t>
                      </w:r>
                      <w:r w:rsidRPr="00D235B7">
                        <w:rPr>
                          <w:b w:val="0"/>
                          <w:color w:val="auto"/>
                        </w:rPr>
                        <w:t xml:space="preserve"> | tel.: 274 052 361 | e-mail: prodejna@czso.cz</w:t>
                      </w:r>
                    </w:p>
                    <w:p w14:paraId="6C3123B8" w14:textId="77777777" w:rsidR="00EC4603" w:rsidRPr="00D235B7" w:rsidRDefault="00EC4603" w:rsidP="000B30FA">
                      <w:pPr>
                        <w:pStyle w:val="TLKontakty"/>
                        <w:spacing w:after="80" w:line="240" w:lineRule="auto"/>
                        <w:contextualSpacing w:val="0"/>
                        <w:rPr>
                          <w:b w:val="0"/>
                          <w:color w:val="auto"/>
                        </w:rPr>
                      </w:pPr>
                      <w:r w:rsidRPr="00D235B7">
                        <w:rPr>
                          <w:color w:val="auto"/>
                        </w:rPr>
                        <w:t>Evropská data (ESDS), mezinárodní srovnání</w:t>
                      </w:r>
                      <w:r w:rsidRPr="00D235B7">
                        <w:rPr>
                          <w:b w:val="0"/>
                          <w:color w:val="auto"/>
                        </w:rPr>
                        <w:t xml:space="preserve"> | tel.: 274 052 347, 274 052 757 | e-mail: esds@czso.cz</w:t>
                      </w:r>
                    </w:p>
                    <w:p w14:paraId="34344A59" w14:textId="77777777" w:rsidR="00EC4603" w:rsidRPr="00D235B7" w:rsidRDefault="00EC4603" w:rsidP="000B30FA">
                      <w:pPr>
                        <w:pStyle w:val="TLKontakty"/>
                        <w:spacing w:after="80" w:line="240" w:lineRule="auto"/>
                        <w:contextualSpacing w:val="0"/>
                        <w:rPr>
                          <w:b w:val="0"/>
                          <w:color w:val="auto"/>
                        </w:rPr>
                      </w:pPr>
                      <w:r w:rsidRPr="00D235B7">
                        <w:rPr>
                          <w:color w:val="auto"/>
                        </w:rPr>
                        <w:t>Ústřední statistická knihovna</w:t>
                      </w:r>
                      <w:r w:rsidRPr="00D235B7">
                        <w:rPr>
                          <w:b w:val="0"/>
                          <w:color w:val="auto"/>
                        </w:rPr>
                        <w:t xml:space="preserve"> | tel.: 274 052 361 | e-mail: knihovna@czso.cz</w:t>
                      </w:r>
                    </w:p>
                    <w:p w14:paraId="5514FF96" w14:textId="77777777" w:rsidR="00EC4603" w:rsidRPr="004A61C5" w:rsidRDefault="00EC4603" w:rsidP="000B30FA">
                      <w:pPr>
                        <w:pStyle w:val="TLKontakty"/>
                        <w:spacing w:after="80" w:line="240" w:lineRule="auto"/>
                        <w:contextualSpacing w:val="0"/>
                        <w:rPr>
                          <w:color w:val="auto"/>
                        </w:rPr>
                      </w:pPr>
                    </w:p>
                    <w:p w14:paraId="219E13BB" w14:textId="77777777" w:rsidR="00EC4603" w:rsidRPr="00D66223" w:rsidRDefault="00EC4603" w:rsidP="000B30FA">
                      <w:pPr>
                        <w:pStyle w:val="TLKontaktyerven"/>
                      </w:pPr>
                      <w:r w:rsidRPr="00D66223">
                        <w:t>INFORMAČNÍ SLUŽBY V REGIONECH</w:t>
                      </w:r>
                    </w:p>
                    <w:p w14:paraId="4867B889" w14:textId="77777777" w:rsidR="00EC4603" w:rsidRPr="00992CF3" w:rsidRDefault="00EC4603" w:rsidP="000B30FA">
                      <w:pPr>
                        <w:pStyle w:val="TLKontakty"/>
                        <w:spacing w:after="80" w:line="240" w:lineRule="auto"/>
                        <w:rPr>
                          <w:b w:val="0"/>
                          <w:color w:val="auto"/>
                        </w:rPr>
                      </w:pPr>
                      <w:r w:rsidRPr="00D66223">
                        <w:t>Hl. m. Praha</w:t>
                      </w:r>
                      <w:r w:rsidRPr="00992CF3">
                        <w:rPr>
                          <w:b w:val="0"/>
                          <w:color w:val="auto"/>
                        </w:rPr>
                        <w:t xml:space="preserve"> | Na</w:t>
                      </w:r>
                      <w:r>
                        <w:rPr>
                          <w:b w:val="0"/>
                          <w:color w:val="auto"/>
                        </w:rPr>
                        <w:t xml:space="preserve"> padesátém 81, 100 82 Praha 10, </w:t>
                      </w:r>
                      <w:r w:rsidRPr="00992CF3">
                        <w:rPr>
                          <w:b w:val="0"/>
                          <w:color w:val="auto"/>
                        </w:rPr>
                        <w:t>tel.</w:t>
                      </w:r>
                      <w:r w:rsidRPr="007D40DF">
                        <w:rPr>
                          <w:b w:val="0"/>
                          <w:color w:val="auto"/>
                        </w:rPr>
                        <w:t>:</w:t>
                      </w:r>
                      <w:r>
                        <w:rPr>
                          <w:b w:val="0"/>
                          <w:color w:val="auto"/>
                        </w:rPr>
                        <w:t xml:space="preserve"> 274 052 673, </w:t>
                      </w:r>
                      <w:r w:rsidRPr="00992CF3">
                        <w:rPr>
                          <w:b w:val="0"/>
                          <w:color w:val="auto"/>
                        </w:rPr>
                        <w:t>274 054 223</w:t>
                      </w:r>
                    </w:p>
                    <w:p w14:paraId="4E1F442C" w14:textId="77777777" w:rsidR="00EC4603" w:rsidRPr="00992CF3" w:rsidRDefault="00EC4603" w:rsidP="000B30FA">
                      <w:pPr>
                        <w:pStyle w:val="TLKontakty"/>
                        <w:spacing w:after="80" w:line="240" w:lineRule="auto"/>
                        <w:rPr>
                          <w:b w:val="0"/>
                          <w:color w:val="auto"/>
                        </w:rPr>
                      </w:pPr>
                      <w:r w:rsidRPr="00992CF3">
                        <w:rPr>
                          <w:b w:val="0"/>
                          <w:color w:val="auto"/>
                        </w:rPr>
                        <w:t xml:space="preserve">e-mail: infoservispraha@czso.cz | </w:t>
                      </w:r>
                      <w:r w:rsidRPr="00992CF3">
                        <w:rPr>
                          <w:color w:val="auto"/>
                        </w:rPr>
                        <w:t>www.praha.czso.cz</w:t>
                      </w:r>
                    </w:p>
                    <w:p w14:paraId="2087351C" w14:textId="77777777" w:rsidR="00EC4603" w:rsidRPr="004A61C5" w:rsidRDefault="00EC4603" w:rsidP="000B30FA">
                      <w:pPr>
                        <w:pStyle w:val="TLKontakty"/>
                        <w:spacing w:after="80" w:line="240" w:lineRule="auto"/>
                        <w:rPr>
                          <w:color w:val="auto"/>
                        </w:rPr>
                      </w:pPr>
                    </w:p>
                    <w:p w14:paraId="7E0D46F0" w14:textId="77777777" w:rsidR="00EC4603" w:rsidRPr="00992CF3" w:rsidRDefault="00EC4603" w:rsidP="000B30FA">
                      <w:pPr>
                        <w:pStyle w:val="TLKontakty"/>
                        <w:spacing w:after="80" w:line="240" w:lineRule="auto"/>
                        <w:rPr>
                          <w:b w:val="0"/>
                          <w:color w:val="auto"/>
                        </w:rPr>
                      </w:pPr>
                      <w:r w:rsidRPr="00D66223">
                        <w:t>Středočeský kraj</w:t>
                      </w:r>
                      <w:r w:rsidRPr="00992CF3">
                        <w:rPr>
                          <w:b w:val="0"/>
                          <w:color w:val="auto"/>
                        </w:rPr>
                        <w:t xml:space="preserve"> | Na padesátém 81, 100 82 Praha 10, tel.</w:t>
                      </w:r>
                      <w:r>
                        <w:rPr>
                          <w:b w:val="0"/>
                          <w:color w:val="auto"/>
                        </w:rPr>
                        <w:t xml:space="preserve">: </w:t>
                      </w:r>
                      <w:r w:rsidRPr="00992CF3">
                        <w:rPr>
                          <w:b w:val="0"/>
                          <w:color w:val="auto"/>
                        </w:rPr>
                        <w:t>274 054 175</w:t>
                      </w:r>
                    </w:p>
                    <w:p w14:paraId="5E67683C" w14:textId="77777777" w:rsidR="00EC4603" w:rsidRPr="00992CF3" w:rsidRDefault="00EC4603" w:rsidP="000B30FA">
                      <w:pPr>
                        <w:pStyle w:val="TLKontakty"/>
                        <w:spacing w:after="80" w:line="240" w:lineRule="auto"/>
                        <w:rPr>
                          <w:color w:val="auto"/>
                        </w:rPr>
                      </w:pPr>
                      <w:r w:rsidRPr="00992CF3">
                        <w:rPr>
                          <w:b w:val="0"/>
                          <w:color w:val="auto"/>
                        </w:rPr>
                        <w:t xml:space="preserve">e-mail: infoservisstc@czso.cz | </w:t>
                      </w:r>
                      <w:r w:rsidRPr="00992CF3">
                        <w:rPr>
                          <w:color w:val="auto"/>
                        </w:rPr>
                        <w:t>www.stredocesky.czso.cz</w:t>
                      </w:r>
                    </w:p>
                    <w:p w14:paraId="4016BA29" w14:textId="77777777" w:rsidR="00EC4603" w:rsidRPr="004A61C5" w:rsidRDefault="00EC4603" w:rsidP="000B30FA">
                      <w:pPr>
                        <w:pStyle w:val="TLKontakty"/>
                        <w:spacing w:after="80" w:line="240" w:lineRule="auto"/>
                        <w:rPr>
                          <w:color w:val="auto"/>
                        </w:rPr>
                      </w:pPr>
                    </w:p>
                    <w:p w14:paraId="42F0941B" w14:textId="77777777" w:rsidR="00EC4603" w:rsidRPr="00992CF3" w:rsidRDefault="00EC4603" w:rsidP="000B30FA">
                      <w:pPr>
                        <w:pStyle w:val="TLKontakty"/>
                        <w:spacing w:after="80" w:line="240" w:lineRule="auto"/>
                        <w:rPr>
                          <w:b w:val="0"/>
                          <w:color w:val="auto"/>
                        </w:rPr>
                      </w:pPr>
                      <w:r w:rsidRPr="00D66223">
                        <w:t>České Budějovice</w:t>
                      </w:r>
                      <w:r w:rsidRPr="00992CF3">
                        <w:rPr>
                          <w:b w:val="0"/>
                          <w:color w:val="auto"/>
                        </w:rPr>
                        <w:t xml:space="preserve"> | Žižkova 1, 370 77 České Budějovice</w:t>
                      </w:r>
                      <w:r>
                        <w:rPr>
                          <w:b w:val="0"/>
                          <w:color w:val="auto"/>
                        </w:rPr>
                        <w:t xml:space="preserve">, </w:t>
                      </w:r>
                      <w:r w:rsidRPr="00992CF3">
                        <w:rPr>
                          <w:b w:val="0"/>
                          <w:color w:val="auto"/>
                        </w:rPr>
                        <w:t>tel.</w:t>
                      </w:r>
                      <w:r>
                        <w:rPr>
                          <w:b w:val="0"/>
                          <w:color w:val="auto"/>
                        </w:rPr>
                        <w:t xml:space="preserve">: </w:t>
                      </w:r>
                      <w:r w:rsidRPr="00992CF3">
                        <w:rPr>
                          <w:b w:val="0"/>
                          <w:color w:val="auto"/>
                        </w:rPr>
                        <w:t>386 718 440</w:t>
                      </w:r>
                    </w:p>
                    <w:p w14:paraId="226EA827" w14:textId="77777777" w:rsidR="00EC4603" w:rsidRPr="00992CF3" w:rsidRDefault="00EC4603" w:rsidP="000B30FA">
                      <w:pPr>
                        <w:pStyle w:val="TLKontakty"/>
                        <w:spacing w:after="80" w:line="240" w:lineRule="auto"/>
                        <w:rPr>
                          <w:b w:val="0"/>
                          <w:color w:val="auto"/>
                        </w:rPr>
                      </w:pPr>
                      <w:r w:rsidRPr="00992CF3">
                        <w:rPr>
                          <w:b w:val="0"/>
                          <w:color w:val="auto"/>
                        </w:rPr>
                        <w:t xml:space="preserve">e-mail: infoserviscb@czso.cz | </w:t>
                      </w:r>
                      <w:r w:rsidRPr="00992CF3">
                        <w:rPr>
                          <w:color w:val="auto"/>
                        </w:rPr>
                        <w:t>www.cbudejovice.czso.cz</w:t>
                      </w:r>
                    </w:p>
                    <w:p w14:paraId="0A359991" w14:textId="77777777" w:rsidR="00EC4603" w:rsidRPr="004A61C5" w:rsidRDefault="00EC4603" w:rsidP="000B30FA">
                      <w:pPr>
                        <w:pStyle w:val="TLKontakty"/>
                        <w:spacing w:after="80" w:line="240" w:lineRule="auto"/>
                        <w:rPr>
                          <w:color w:val="auto"/>
                        </w:rPr>
                      </w:pPr>
                    </w:p>
                    <w:p w14:paraId="45510866" w14:textId="77777777" w:rsidR="00EC4603" w:rsidRPr="00BC731E" w:rsidRDefault="00EC4603" w:rsidP="000B30FA">
                      <w:pPr>
                        <w:pStyle w:val="TLKontakty"/>
                        <w:spacing w:after="80" w:line="240" w:lineRule="auto"/>
                        <w:rPr>
                          <w:b w:val="0"/>
                          <w:color w:val="auto"/>
                        </w:rPr>
                      </w:pPr>
                      <w:r w:rsidRPr="00D66223">
                        <w:t>Plzeň</w:t>
                      </w:r>
                      <w:r w:rsidRPr="004A61C5">
                        <w:rPr>
                          <w:b w:val="0"/>
                          <w:color w:val="auto"/>
                        </w:rPr>
                        <w:t xml:space="preserve"> | Slovanská alej 36, 326 64 Plzeň</w:t>
                      </w:r>
                      <w:r>
                        <w:rPr>
                          <w:b w:val="0"/>
                          <w:color w:val="auto"/>
                        </w:rPr>
                        <w:t xml:space="preserve">, </w:t>
                      </w:r>
                      <w:r w:rsidRPr="004A61C5">
                        <w:rPr>
                          <w:b w:val="0"/>
                          <w:color w:val="auto"/>
                        </w:rPr>
                        <w:t>tel.</w:t>
                      </w:r>
                      <w:r>
                        <w:rPr>
                          <w:b w:val="0"/>
                          <w:color w:val="auto"/>
                        </w:rPr>
                        <w:t xml:space="preserve">: </w:t>
                      </w:r>
                      <w:r w:rsidRPr="004A61C5">
                        <w:rPr>
                          <w:b w:val="0"/>
                          <w:color w:val="auto"/>
                        </w:rPr>
                        <w:t>377 612 108</w:t>
                      </w:r>
                      <w:r w:rsidRPr="00BC731E">
                        <w:rPr>
                          <w:b w:val="0"/>
                          <w:color w:val="auto"/>
                        </w:rPr>
                        <w:t>, 377 612 145</w:t>
                      </w:r>
                    </w:p>
                    <w:p w14:paraId="50BBF7C9" w14:textId="77777777" w:rsidR="00EC4603" w:rsidRPr="004A61C5" w:rsidRDefault="00EC4603" w:rsidP="000B30FA">
                      <w:pPr>
                        <w:pStyle w:val="TLKontakty"/>
                        <w:spacing w:after="80" w:line="240" w:lineRule="auto"/>
                        <w:rPr>
                          <w:b w:val="0"/>
                          <w:color w:val="auto"/>
                        </w:rPr>
                      </w:pPr>
                      <w:r w:rsidRPr="004A61C5">
                        <w:rPr>
                          <w:b w:val="0"/>
                          <w:color w:val="auto"/>
                        </w:rPr>
                        <w:t xml:space="preserve">e-mail: infoservisplzen@czso.cz | </w:t>
                      </w:r>
                      <w:r w:rsidRPr="004A61C5">
                        <w:rPr>
                          <w:color w:val="auto"/>
                        </w:rPr>
                        <w:t>www.plzen.czso.cz</w:t>
                      </w:r>
                    </w:p>
                    <w:p w14:paraId="561DC5D7" w14:textId="77777777" w:rsidR="00EC4603" w:rsidRPr="004A61C5" w:rsidRDefault="00EC4603" w:rsidP="000B30FA">
                      <w:pPr>
                        <w:pStyle w:val="TLKontakty"/>
                        <w:spacing w:after="80" w:line="240" w:lineRule="auto"/>
                        <w:rPr>
                          <w:color w:val="auto"/>
                        </w:rPr>
                      </w:pPr>
                    </w:p>
                    <w:p w14:paraId="4F3BB18E" w14:textId="77777777" w:rsidR="00EC4603" w:rsidRPr="004A61C5" w:rsidRDefault="00EC4603" w:rsidP="000B30FA">
                      <w:pPr>
                        <w:pStyle w:val="TLKontakty"/>
                        <w:spacing w:after="80" w:line="240" w:lineRule="auto"/>
                        <w:rPr>
                          <w:b w:val="0"/>
                          <w:color w:val="auto"/>
                        </w:rPr>
                      </w:pPr>
                      <w:r w:rsidRPr="00D66223">
                        <w:t>Karlovy Vary</w:t>
                      </w:r>
                      <w:r w:rsidRPr="004A61C5">
                        <w:rPr>
                          <w:b w:val="0"/>
                          <w:color w:val="auto"/>
                        </w:rPr>
                        <w:t xml:space="preserve"> | </w:t>
                      </w:r>
                      <w:r w:rsidRPr="00095135">
                        <w:rPr>
                          <w:b w:val="0"/>
                          <w:color w:val="auto"/>
                        </w:rPr>
                        <w:t>Závodní 360/94, 360 06 Karlovy Vary</w:t>
                      </w:r>
                      <w:r w:rsidRPr="004A61C5">
                        <w:rPr>
                          <w:b w:val="0"/>
                          <w:color w:val="auto"/>
                        </w:rPr>
                        <w:t>, tel.</w:t>
                      </w:r>
                      <w:r>
                        <w:rPr>
                          <w:b w:val="0"/>
                          <w:color w:val="auto"/>
                        </w:rPr>
                        <w:t xml:space="preserve">: </w:t>
                      </w:r>
                      <w:r w:rsidRPr="004A61C5">
                        <w:rPr>
                          <w:b w:val="0"/>
                          <w:color w:val="auto"/>
                        </w:rPr>
                        <w:t>353 114 529, 353 114 525</w:t>
                      </w:r>
                    </w:p>
                    <w:p w14:paraId="4017765E" w14:textId="77777777" w:rsidR="00EC4603" w:rsidRPr="004A61C5" w:rsidRDefault="00EC4603" w:rsidP="000B30FA">
                      <w:pPr>
                        <w:pStyle w:val="TLKontakty"/>
                        <w:spacing w:after="80" w:line="240" w:lineRule="auto"/>
                        <w:rPr>
                          <w:b w:val="0"/>
                          <w:color w:val="auto"/>
                        </w:rPr>
                      </w:pPr>
                      <w:r w:rsidRPr="004A61C5">
                        <w:rPr>
                          <w:b w:val="0"/>
                          <w:color w:val="auto"/>
                        </w:rPr>
                        <w:t xml:space="preserve">e-mail: infoserviskv@czso.cz | </w:t>
                      </w:r>
                      <w:r w:rsidRPr="004A61C5">
                        <w:rPr>
                          <w:color w:val="auto"/>
                        </w:rPr>
                        <w:t>www.kvary.czso.cz</w:t>
                      </w:r>
                    </w:p>
                    <w:p w14:paraId="5F24CF8F" w14:textId="77777777" w:rsidR="00EC4603" w:rsidRPr="004A61C5" w:rsidRDefault="00EC4603" w:rsidP="000B30FA">
                      <w:pPr>
                        <w:pStyle w:val="TLKontakty"/>
                        <w:spacing w:after="80" w:line="240" w:lineRule="auto"/>
                        <w:rPr>
                          <w:color w:val="auto"/>
                        </w:rPr>
                      </w:pPr>
                    </w:p>
                    <w:p w14:paraId="223B91DE" w14:textId="77777777" w:rsidR="00EC4603" w:rsidRPr="004A61C5" w:rsidRDefault="00EC4603" w:rsidP="000B30FA">
                      <w:pPr>
                        <w:pStyle w:val="TLKontakty"/>
                        <w:spacing w:after="80" w:line="240" w:lineRule="auto"/>
                        <w:rPr>
                          <w:b w:val="0"/>
                          <w:color w:val="auto"/>
                        </w:rPr>
                      </w:pPr>
                      <w:r w:rsidRPr="00D66223">
                        <w:t>Ústí nad Labem</w:t>
                      </w:r>
                      <w:r w:rsidRPr="004A61C5">
                        <w:rPr>
                          <w:b w:val="0"/>
                          <w:color w:val="auto"/>
                        </w:rPr>
                        <w:t xml:space="preserve"> | Špálova 2684, 400 11 Ústí nad Labem</w:t>
                      </w:r>
                      <w:r>
                        <w:rPr>
                          <w:b w:val="0"/>
                          <w:color w:val="auto"/>
                        </w:rPr>
                        <w:t xml:space="preserve">, </w:t>
                      </w:r>
                      <w:r w:rsidRPr="004A61C5">
                        <w:rPr>
                          <w:b w:val="0"/>
                          <w:color w:val="auto"/>
                        </w:rPr>
                        <w:t>tel.</w:t>
                      </w:r>
                      <w:r>
                        <w:rPr>
                          <w:b w:val="0"/>
                          <w:color w:val="auto"/>
                        </w:rPr>
                        <w:t xml:space="preserve">: </w:t>
                      </w:r>
                      <w:r w:rsidRPr="004A61C5">
                        <w:rPr>
                          <w:b w:val="0"/>
                          <w:color w:val="auto"/>
                        </w:rPr>
                        <w:t>472 706 176,</w:t>
                      </w:r>
                      <w:r>
                        <w:rPr>
                          <w:b w:val="0"/>
                          <w:color w:val="auto"/>
                        </w:rPr>
                        <w:t xml:space="preserve"> </w:t>
                      </w:r>
                      <w:r w:rsidRPr="004A61C5">
                        <w:rPr>
                          <w:b w:val="0"/>
                          <w:color w:val="auto"/>
                        </w:rPr>
                        <w:t>472 706 121</w:t>
                      </w:r>
                    </w:p>
                    <w:p w14:paraId="6257C138" w14:textId="77777777" w:rsidR="00EC4603" w:rsidRPr="004A61C5" w:rsidRDefault="00EC4603" w:rsidP="000B30FA">
                      <w:pPr>
                        <w:pStyle w:val="TLKontakty"/>
                        <w:spacing w:after="80" w:line="240" w:lineRule="auto"/>
                        <w:rPr>
                          <w:b w:val="0"/>
                          <w:color w:val="auto"/>
                        </w:rPr>
                      </w:pPr>
                      <w:r w:rsidRPr="004A61C5">
                        <w:rPr>
                          <w:b w:val="0"/>
                          <w:color w:val="auto"/>
                        </w:rPr>
                        <w:t xml:space="preserve">e-mail: infoservisul@czso.cz | </w:t>
                      </w:r>
                      <w:r w:rsidRPr="004A61C5">
                        <w:rPr>
                          <w:color w:val="auto"/>
                        </w:rPr>
                        <w:t>www.ustinadlabem.czso.cz</w:t>
                      </w:r>
                    </w:p>
                    <w:p w14:paraId="5B9C7DCC" w14:textId="77777777" w:rsidR="00EC4603" w:rsidRPr="004A61C5" w:rsidRDefault="00EC4603" w:rsidP="000B30FA">
                      <w:pPr>
                        <w:pStyle w:val="TLKontakty"/>
                        <w:spacing w:after="80" w:line="240" w:lineRule="auto"/>
                        <w:rPr>
                          <w:color w:val="auto"/>
                        </w:rPr>
                      </w:pPr>
                    </w:p>
                    <w:p w14:paraId="1D92F000" w14:textId="77777777" w:rsidR="00EC4603" w:rsidRPr="004A61C5" w:rsidRDefault="00EC4603" w:rsidP="000B30FA">
                      <w:pPr>
                        <w:pStyle w:val="TLKontakty"/>
                        <w:spacing w:after="80" w:line="240" w:lineRule="auto"/>
                        <w:rPr>
                          <w:b w:val="0"/>
                          <w:color w:val="auto"/>
                        </w:rPr>
                      </w:pPr>
                      <w:r w:rsidRPr="00D66223">
                        <w:t>Liberec</w:t>
                      </w:r>
                      <w:r w:rsidRPr="004A61C5">
                        <w:rPr>
                          <w:b w:val="0"/>
                          <w:color w:val="auto"/>
                        </w:rPr>
                        <w:t xml:space="preserve"> | Nám. Dr. Edvarda Beneše 585/26, 460 01 Liberec 1, tel.</w:t>
                      </w:r>
                      <w:r>
                        <w:rPr>
                          <w:b w:val="0"/>
                          <w:color w:val="auto"/>
                        </w:rPr>
                        <w:t xml:space="preserve">: </w:t>
                      </w:r>
                      <w:r w:rsidRPr="004A61C5">
                        <w:rPr>
                          <w:b w:val="0"/>
                          <w:color w:val="auto"/>
                        </w:rPr>
                        <w:t>485 238 811</w:t>
                      </w:r>
                    </w:p>
                    <w:p w14:paraId="290DF144" w14:textId="77777777" w:rsidR="00EC4603" w:rsidRPr="004A61C5" w:rsidRDefault="00EC4603" w:rsidP="000B30FA">
                      <w:pPr>
                        <w:pStyle w:val="TLKontakty"/>
                        <w:spacing w:after="80" w:line="240" w:lineRule="auto"/>
                        <w:rPr>
                          <w:b w:val="0"/>
                          <w:color w:val="auto"/>
                        </w:rPr>
                      </w:pPr>
                      <w:r w:rsidRPr="004A61C5">
                        <w:rPr>
                          <w:b w:val="0"/>
                          <w:color w:val="auto"/>
                        </w:rPr>
                        <w:t xml:space="preserve">e-mail: infoservislbc@czso.cz | </w:t>
                      </w:r>
                      <w:r w:rsidRPr="004A61C5">
                        <w:rPr>
                          <w:color w:val="auto"/>
                        </w:rPr>
                        <w:t>www.liberec.czso.cz</w:t>
                      </w:r>
                    </w:p>
                    <w:p w14:paraId="16ED7933" w14:textId="77777777" w:rsidR="00EC4603" w:rsidRPr="004A61C5" w:rsidRDefault="00EC4603" w:rsidP="000B30FA">
                      <w:pPr>
                        <w:pStyle w:val="TLKontakty"/>
                        <w:spacing w:after="80" w:line="240" w:lineRule="auto"/>
                        <w:rPr>
                          <w:b w:val="0"/>
                          <w:color w:val="auto"/>
                        </w:rPr>
                      </w:pPr>
                    </w:p>
                    <w:p w14:paraId="2F4F558C" w14:textId="77777777" w:rsidR="00EC4603" w:rsidRPr="004A61C5" w:rsidRDefault="00EC4603" w:rsidP="000B30FA">
                      <w:pPr>
                        <w:pStyle w:val="TLKontakty"/>
                        <w:spacing w:after="80" w:line="240" w:lineRule="auto"/>
                        <w:rPr>
                          <w:b w:val="0"/>
                          <w:color w:val="auto"/>
                        </w:rPr>
                      </w:pPr>
                      <w:r w:rsidRPr="00D66223">
                        <w:t>Hradec Králové</w:t>
                      </w:r>
                      <w:r w:rsidRPr="004A61C5">
                        <w:rPr>
                          <w:b w:val="0"/>
                          <w:color w:val="auto"/>
                        </w:rPr>
                        <w:t xml:space="preserve"> | Myslivečkova 914, 500 03 Hradec Králové 3, </w:t>
                      </w:r>
                      <w:r>
                        <w:rPr>
                          <w:b w:val="0"/>
                          <w:color w:val="auto"/>
                        </w:rPr>
                        <w:t>tel.</w:t>
                      </w:r>
                      <w:r w:rsidRPr="007D40DF">
                        <w:rPr>
                          <w:b w:val="0"/>
                          <w:color w:val="auto"/>
                        </w:rPr>
                        <w:t>:</w:t>
                      </w:r>
                      <w:r>
                        <w:rPr>
                          <w:b w:val="0"/>
                          <w:color w:val="auto"/>
                        </w:rPr>
                        <w:t xml:space="preserve"> </w:t>
                      </w:r>
                      <w:r w:rsidRPr="004A61C5">
                        <w:rPr>
                          <w:b w:val="0"/>
                          <w:color w:val="auto"/>
                        </w:rPr>
                        <w:t>495 762 322,</w:t>
                      </w:r>
                      <w:r>
                        <w:rPr>
                          <w:b w:val="0"/>
                          <w:color w:val="auto"/>
                        </w:rPr>
                        <w:t xml:space="preserve"> </w:t>
                      </w:r>
                      <w:r w:rsidRPr="004A61C5">
                        <w:rPr>
                          <w:b w:val="0"/>
                          <w:color w:val="auto"/>
                        </w:rPr>
                        <w:t>495 762 317</w:t>
                      </w:r>
                    </w:p>
                    <w:p w14:paraId="1191A24C" w14:textId="77777777" w:rsidR="00EC4603" w:rsidRPr="004A61C5" w:rsidRDefault="00EC4603" w:rsidP="000B30FA">
                      <w:pPr>
                        <w:pStyle w:val="TLKontakty"/>
                        <w:spacing w:after="80" w:line="240" w:lineRule="auto"/>
                        <w:rPr>
                          <w:b w:val="0"/>
                          <w:color w:val="auto"/>
                        </w:rPr>
                      </w:pPr>
                      <w:r w:rsidRPr="004A61C5">
                        <w:rPr>
                          <w:b w:val="0"/>
                          <w:color w:val="auto"/>
                        </w:rPr>
                        <w:t xml:space="preserve">e-mail: infoservishk@czso.cz | </w:t>
                      </w:r>
                      <w:r w:rsidRPr="004A61C5">
                        <w:rPr>
                          <w:color w:val="auto"/>
                        </w:rPr>
                        <w:t>www.hradeckralove.czso.cz</w:t>
                      </w:r>
                    </w:p>
                    <w:p w14:paraId="1B0BE732" w14:textId="77777777" w:rsidR="00EC4603" w:rsidRPr="004A61C5" w:rsidRDefault="00EC4603" w:rsidP="000B30FA">
                      <w:pPr>
                        <w:pStyle w:val="TLKontakty"/>
                        <w:spacing w:after="80" w:line="240" w:lineRule="auto"/>
                        <w:rPr>
                          <w:color w:val="auto"/>
                        </w:rPr>
                      </w:pPr>
                    </w:p>
                    <w:p w14:paraId="32B13BBC" w14:textId="77777777" w:rsidR="00EC4603" w:rsidRPr="004A61C5" w:rsidRDefault="00EC4603" w:rsidP="000B30FA">
                      <w:pPr>
                        <w:pStyle w:val="TLKontakty"/>
                        <w:spacing w:after="80" w:line="240" w:lineRule="auto"/>
                        <w:rPr>
                          <w:b w:val="0"/>
                          <w:color w:val="auto"/>
                        </w:rPr>
                      </w:pPr>
                      <w:r w:rsidRPr="00D66223">
                        <w:t>Pardubice</w:t>
                      </w:r>
                      <w:r w:rsidRPr="004A61C5">
                        <w:rPr>
                          <w:b w:val="0"/>
                          <w:color w:val="auto"/>
                        </w:rPr>
                        <w:t xml:space="preserve"> | V Ráji 872, 531 53 Pardubice</w:t>
                      </w:r>
                      <w:r>
                        <w:rPr>
                          <w:b w:val="0"/>
                          <w:color w:val="auto"/>
                        </w:rPr>
                        <w:t xml:space="preserve">, </w:t>
                      </w:r>
                      <w:r w:rsidRPr="004A61C5">
                        <w:rPr>
                          <w:b w:val="0"/>
                          <w:color w:val="auto"/>
                        </w:rPr>
                        <w:t>tel.</w:t>
                      </w:r>
                      <w:r>
                        <w:rPr>
                          <w:b w:val="0"/>
                          <w:color w:val="auto"/>
                        </w:rPr>
                        <w:t>:</w:t>
                      </w:r>
                      <w:r w:rsidRPr="004A61C5">
                        <w:rPr>
                          <w:b w:val="0"/>
                          <w:color w:val="auto"/>
                        </w:rPr>
                        <w:t xml:space="preserve"> 466 743 480, 466 743 418</w:t>
                      </w:r>
                    </w:p>
                    <w:p w14:paraId="544D7B94" w14:textId="77777777" w:rsidR="00EC4603" w:rsidRPr="004A61C5" w:rsidRDefault="00EC4603" w:rsidP="000B30FA">
                      <w:pPr>
                        <w:pStyle w:val="TLKontakty"/>
                        <w:spacing w:after="80" w:line="240" w:lineRule="auto"/>
                        <w:rPr>
                          <w:b w:val="0"/>
                          <w:color w:val="auto"/>
                        </w:rPr>
                      </w:pPr>
                      <w:r w:rsidRPr="004A61C5">
                        <w:rPr>
                          <w:b w:val="0"/>
                          <w:color w:val="auto"/>
                        </w:rPr>
                        <w:t xml:space="preserve">e-mail: infoservispa@czso.cz | </w:t>
                      </w:r>
                      <w:r w:rsidRPr="004A61C5">
                        <w:rPr>
                          <w:color w:val="auto"/>
                        </w:rPr>
                        <w:t>www.pardubice.czso.cz</w:t>
                      </w:r>
                    </w:p>
                    <w:p w14:paraId="3B8AC644" w14:textId="77777777" w:rsidR="00EC4603" w:rsidRPr="004A61C5" w:rsidRDefault="00EC4603" w:rsidP="000B30FA">
                      <w:pPr>
                        <w:pStyle w:val="TLKontakty"/>
                        <w:spacing w:after="80" w:line="240" w:lineRule="auto"/>
                        <w:rPr>
                          <w:b w:val="0"/>
                          <w:color w:val="auto"/>
                        </w:rPr>
                      </w:pPr>
                    </w:p>
                    <w:p w14:paraId="55E4EEF3" w14:textId="77777777" w:rsidR="00EC4603" w:rsidRPr="004A61C5" w:rsidRDefault="00EC4603" w:rsidP="000B30FA">
                      <w:pPr>
                        <w:pStyle w:val="TLKontakty"/>
                        <w:spacing w:after="80" w:line="240" w:lineRule="auto"/>
                        <w:rPr>
                          <w:b w:val="0"/>
                          <w:color w:val="auto"/>
                        </w:rPr>
                      </w:pPr>
                      <w:r w:rsidRPr="00D66223">
                        <w:t>Jihlava</w:t>
                      </w:r>
                      <w:r w:rsidRPr="004A61C5">
                        <w:rPr>
                          <w:b w:val="0"/>
                          <w:color w:val="auto"/>
                        </w:rPr>
                        <w:t xml:space="preserve"> | Ke Skalce 30,</w:t>
                      </w:r>
                      <w:r>
                        <w:rPr>
                          <w:b w:val="0"/>
                          <w:color w:val="auto"/>
                        </w:rPr>
                        <w:t xml:space="preserve"> 586 01 Jihlava, tel.: </w:t>
                      </w:r>
                      <w:r w:rsidRPr="004A61C5">
                        <w:rPr>
                          <w:b w:val="0"/>
                          <w:color w:val="auto"/>
                        </w:rPr>
                        <w:t xml:space="preserve">567 109 </w:t>
                      </w:r>
                      <w:r w:rsidRPr="00BC731E">
                        <w:rPr>
                          <w:b w:val="0"/>
                          <w:color w:val="auto"/>
                        </w:rPr>
                        <w:t>062, 567 109 073</w:t>
                      </w:r>
                    </w:p>
                    <w:p w14:paraId="4AAFCEB9" w14:textId="77777777" w:rsidR="00EC4603" w:rsidRPr="004A61C5" w:rsidRDefault="00EC4603" w:rsidP="000B30FA">
                      <w:pPr>
                        <w:pStyle w:val="TLKontakty"/>
                        <w:spacing w:after="80" w:line="240" w:lineRule="auto"/>
                        <w:rPr>
                          <w:b w:val="0"/>
                          <w:color w:val="auto"/>
                        </w:rPr>
                      </w:pPr>
                      <w:r w:rsidRPr="004A61C5">
                        <w:rPr>
                          <w:b w:val="0"/>
                          <w:color w:val="auto"/>
                        </w:rPr>
                        <w:t xml:space="preserve">e-mail: infoservisvys@czso.cz | </w:t>
                      </w:r>
                      <w:r w:rsidRPr="004A61C5">
                        <w:rPr>
                          <w:color w:val="auto"/>
                        </w:rPr>
                        <w:t>www.jihlava.czso.cz</w:t>
                      </w:r>
                    </w:p>
                    <w:p w14:paraId="559A5F01" w14:textId="77777777" w:rsidR="00EC4603" w:rsidRDefault="00EC4603" w:rsidP="000B30FA">
                      <w:pPr>
                        <w:pStyle w:val="TLKontakty"/>
                        <w:spacing w:after="80" w:line="240" w:lineRule="auto"/>
                      </w:pPr>
                    </w:p>
                    <w:p w14:paraId="1E3B945D" w14:textId="77777777" w:rsidR="00EC4603" w:rsidRPr="00BC731E" w:rsidRDefault="00EC4603" w:rsidP="000B30FA">
                      <w:pPr>
                        <w:pStyle w:val="TLKontakty"/>
                        <w:spacing w:after="80" w:line="240" w:lineRule="auto"/>
                        <w:rPr>
                          <w:b w:val="0"/>
                          <w:color w:val="auto"/>
                        </w:rPr>
                      </w:pPr>
                      <w:r w:rsidRPr="00D66223">
                        <w:t>Brno</w:t>
                      </w:r>
                      <w:r w:rsidRPr="004A61C5">
                        <w:rPr>
                          <w:b w:val="0"/>
                          <w:color w:val="auto"/>
                        </w:rPr>
                        <w:t xml:space="preserve"> | Jezuitská 2, 601 59 Brno, </w:t>
                      </w:r>
                      <w:r>
                        <w:rPr>
                          <w:b w:val="0"/>
                          <w:color w:val="auto"/>
                        </w:rPr>
                        <w:t xml:space="preserve">tel: </w:t>
                      </w:r>
                      <w:r w:rsidRPr="004A61C5">
                        <w:rPr>
                          <w:b w:val="0"/>
                          <w:color w:val="auto"/>
                        </w:rPr>
                        <w:t xml:space="preserve">542 528 </w:t>
                      </w:r>
                      <w:r w:rsidRPr="00BC731E">
                        <w:rPr>
                          <w:b w:val="0"/>
                          <w:color w:val="auto"/>
                        </w:rPr>
                        <w:t>115, 542 528 200</w:t>
                      </w:r>
                    </w:p>
                    <w:p w14:paraId="6EB775F2" w14:textId="77777777" w:rsidR="00EC4603" w:rsidRPr="004A61C5" w:rsidRDefault="00EC4603" w:rsidP="000B30FA">
                      <w:pPr>
                        <w:pStyle w:val="TLKontakty"/>
                        <w:spacing w:after="80" w:line="240" w:lineRule="auto"/>
                        <w:rPr>
                          <w:color w:val="auto"/>
                        </w:rPr>
                      </w:pPr>
                      <w:r w:rsidRPr="004A61C5">
                        <w:rPr>
                          <w:b w:val="0"/>
                          <w:color w:val="auto"/>
                        </w:rPr>
                        <w:t xml:space="preserve">e-mail: infoservisbrno@czso.cz | </w:t>
                      </w:r>
                      <w:r w:rsidRPr="004A61C5">
                        <w:rPr>
                          <w:color w:val="auto"/>
                        </w:rPr>
                        <w:t>www.brno.czso.cz</w:t>
                      </w:r>
                    </w:p>
                    <w:p w14:paraId="0F34ADAB" w14:textId="77777777" w:rsidR="00EC4603" w:rsidRPr="004A61C5" w:rsidRDefault="00EC4603" w:rsidP="000B30FA">
                      <w:pPr>
                        <w:pStyle w:val="TLKontakty"/>
                        <w:spacing w:after="80" w:line="240" w:lineRule="auto"/>
                        <w:rPr>
                          <w:b w:val="0"/>
                          <w:color w:val="auto"/>
                        </w:rPr>
                      </w:pPr>
                    </w:p>
                    <w:p w14:paraId="72F72A32" w14:textId="77777777" w:rsidR="00EC4603" w:rsidRPr="005E7C78" w:rsidRDefault="00EC4603" w:rsidP="000B30FA">
                      <w:pPr>
                        <w:pStyle w:val="TLKontakty"/>
                        <w:spacing w:after="80" w:line="240" w:lineRule="auto"/>
                        <w:rPr>
                          <w:b w:val="0"/>
                          <w:color w:val="auto"/>
                        </w:rPr>
                      </w:pPr>
                      <w:r w:rsidRPr="00D66223">
                        <w:t>Olomouc</w:t>
                      </w:r>
                      <w:r w:rsidRPr="005E7C78">
                        <w:rPr>
                          <w:b w:val="0"/>
                          <w:color w:val="auto"/>
                        </w:rPr>
                        <w:t xml:space="preserve"> | Jeremenkova 1142/42, 772 11 Olomouc, </w:t>
                      </w:r>
                      <w:r>
                        <w:rPr>
                          <w:b w:val="0"/>
                          <w:color w:val="auto"/>
                        </w:rPr>
                        <w:t xml:space="preserve">tel.: </w:t>
                      </w:r>
                      <w:r w:rsidRPr="005E7C78">
                        <w:rPr>
                          <w:b w:val="0"/>
                          <w:color w:val="auto"/>
                        </w:rPr>
                        <w:t xml:space="preserve">585 731 </w:t>
                      </w:r>
                      <w:r w:rsidRPr="00BC731E">
                        <w:rPr>
                          <w:b w:val="0"/>
                          <w:color w:val="auto"/>
                        </w:rPr>
                        <w:t>516, 585 731 511</w:t>
                      </w:r>
                    </w:p>
                    <w:p w14:paraId="0F1ABF65" w14:textId="77777777" w:rsidR="00EC4603" w:rsidRPr="005E7C78" w:rsidRDefault="00EC4603" w:rsidP="000B30FA">
                      <w:pPr>
                        <w:pStyle w:val="TLKontakty"/>
                        <w:spacing w:after="80" w:line="240" w:lineRule="auto"/>
                        <w:rPr>
                          <w:b w:val="0"/>
                          <w:color w:val="auto"/>
                        </w:rPr>
                      </w:pPr>
                      <w:r w:rsidRPr="005E7C78">
                        <w:rPr>
                          <w:b w:val="0"/>
                          <w:color w:val="auto"/>
                        </w:rPr>
                        <w:t xml:space="preserve">e-mail: infoservisolom@czso.cz | </w:t>
                      </w:r>
                      <w:r w:rsidRPr="005E7C78">
                        <w:rPr>
                          <w:color w:val="auto"/>
                        </w:rPr>
                        <w:t>www.olomouc.czso.cz</w:t>
                      </w:r>
                    </w:p>
                    <w:p w14:paraId="102D49A8" w14:textId="77777777" w:rsidR="00EC4603" w:rsidRPr="005E7C78" w:rsidRDefault="00EC4603" w:rsidP="000B30FA">
                      <w:pPr>
                        <w:pStyle w:val="TLKontakty"/>
                        <w:spacing w:after="80" w:line="240" w:lineRule="auto"/>
                        <w:rPr>
                          <w:b w:val="0"/>
                          <w:color w:val="auto"/>
                        </w:rPr>
                      </w:pPr>
                    </w:p>
                    <w:p w14:paraId="346F5BD8" w14:textId="77777777" w:rsidR="00EC4603" w:rsidRPr="005E7C78" w:rsidRDefault="00EC4603" w:rsidP="000B30FA">
                      <w:pPr>
                        <w:pStyle w:val="TLKontakty"/>
                        <w:spacing w:after="80" w:line="240" w:lineRule="auto"/>
                        <w:rPr>
                          <w:b w:val="0"/>
                          <w:color w:val="auto"/>
                        </w:rPr>
                      </w:pPr>
                      <w:r w:rsidRPr="00D66223">
                        <w:t>Zlín</w:t>
                      </w:r>
                      <w:r w:rsidRPr="005E7C78">
                        <w:rPr>
                          <w:b w:val="0"/>
                          <w:color w:val="auto"/>
                        </w:rPr>
                        <w:t xml:space="preserve"> | tř. Tomáše Bati 1565, 761 76 Zlín, </w:t>
                      </w:r>
                      <w:r w:rsidRPr="00BC731E">
                        <w:rPr>
                          <w:b w:val="0"/>
                          <w:color w:val="auto"/>
                        </w:rPr>
                        <w:t>tel.: 577 004 932, 5</w:t>
                      </w:r>
                      <w:r w:rsidRPr="005E7C78">
                        <w:rPr>
                          <w:b w:val="0"/>
                          <w:color w:val="auto"/>
                        </w:rPr>
                        <w:t>77 004 935</w:t>
                      </w:r>
                    </w:p>
                    <w:p w14:paraId="2F232E95" w14:textId="77777777" w:rsidR="00EC4603" w:rsidRDefault="00EC4603" w:rsidP="000B30FA">
                      <w:pPr>
                        <w:pStyle w:val="TLKontakty"/>
                        <w:spacing w:after="80" w:line="240" w:lineRule="auto"/>
                        <w:rPr>
                          <w:color w:val="auto"/>
                        </w:rPr>
                      </w:pPr>
                      <w:r w:rsidRPr="005E7C78">
                        <w:rPr>
                          <w:b w:val="0"/>
                          <w:color w:val="auto"/>
                        </w:rPr>
                        <w:t xml:space="preserve">e-mail: infoservis-zl@czso.cz | </w:t>
                      </w:r>
                      <w:r w:rsidRPr="00227A53">
                        <w:rPr>
                          <w:color w:val="auto"/>
                        </w:rPr>
                        <w:t>www.zlin.czso.cz</w:t>
                      </w:r>
                    </w:p>
                    <w:p w14:paraId="73BEDE0C" w14:textId="77777777" w:rsidR="00EC4603" w:rsidRPr="005E7C78" w:rsidRDefault="00EC4603" w:rsidP="000B30FA">
                      <w:pPr>
                        <w:pStyle w:val="TLKontakty"/>
                        <w:spacing w:after="80" w:line="240" w:lineRule="auto"/>
                        <w:rPr>
                          <w:b w:val="0"/>
                          <w:color w:val="auto"/>
                        </w:rPr>
                      </w:pPr>
                    </w:p>
                    <w:p w14:paraId="7C595CFB" w14:textId="77777777" w:rsidR="00EC4603" w:rsidRPr="005E7C78" w:rsidRDefault="00EC4603" w:rsidP="000B30FA">
                      <w:pPr>
                        <w:pStyle w:val="TLKontakty"/>
                        <w:spacing w:after="80" w:line="240" w:lineRule="auto"/>
                        <w:rPr>
                          <w:b w:val="0"/>
                          <w:color w:val="auto"/>
                        </w:rPr>
                      </w:pPr>
                      <w:r w:rsidRPr="00D66223">
                        <w:t>Ostrava</w:t>
                      </w:r>
                      <w:r w:rsidRPr="005E7C78">
                        <w:rPr>
                          <w:b w:val="0"/>
                          <w:color w:val="auto"/>
                        </w:rPr>
                        <w:t xml:space="preserve"> | Repinova 17, 702 03 Ostrava,</w:t>
                      </w:r>
                      <w:r>
                        <w:rPr>
                          <w:b w:val="0"/>
                          <w:color w:val="auto"/>
                        </w:rPr>
                        <w:t xml:space="preserve"> tel: </w:t>
                      </w:r>
                      <w:r w:rsidRPr="005E7C78">
                        <w:rPr>
                          <w:b w:val="0"/>
                          <w:color w:val="auto"/>
                        </w:rPr>
                        <w:t>595 131 230, 595 131 232</w:t>
                      </w:r>
                    </w:p>
                    <w:p w14:paraId="0B50F54F" w14:textId="77777777" w:rsidR="00EC4603" w:rsidRPr="0010437D" w:rsidRDefault="00EC4603" w:rsidP="00825C4D">
                      <w:pPr>
                        <w:pStyle w:val="TLKontakty"/>
                        <w:spacing w:after="80" w:line="240" w:lineRule="auto"/>
                        <w:rPr>
                          <w:b w:val="0"/>
                          <w:color w:val="auto"/>
                        </w:rPr>
                      </w:pPr>
                      <w:r w:rsidRPr="005E7C78">
                        <w:rPr>
                          <w:b w:val="0"/>
                          <w:color w:val="auto"/>
                        </w:rPr>
                        <w:t xml:space="preserve">e-mail: infoservis_ov@czso.cz | </w:t>
                      </w:r>
                      <w:r w:rsidRPr="005E7C78">
                        <w:rPr>
                          <w:color w:val="auto"/>
                        </w:rPr>
                        <w:t>www.ostrava.czso.cz</w:t>
                      </w:r>
                    </w:p>
                  </w:txbxContent>
                </v:textbox>
                <w10:wrap anchorx="page" anchory="page"/>
                <w10:anchorlock/>
              </v:shape>
            </w:pict>
          </mc:Fallback>
        </mc:AlternateContent>
      </w:r>
      <w:r>
        <w:rPr>
          <w:noProof/>
        </w:rPr>
        <mc:AlternateContent>
          <mc:Choice Requires="wps">
            <w:drawing>
              <wp:anchor distT="0" distB="0" distL="114300" distR="114300" simplePos="0" relativeHeight="251661824" behindDoc="0" locked="1" layoutInCell="1" allowOverlap="1" wp14:anchorId="2C3A61A8" wp14:editId="56C12A65">
                <wp:simplePos x="0" y="0"/>
                <wp:positionH relativeFrom="page">
                  <wp:posOffset>720090</wp:posOffset>
                </wp:positionH>
                <wp:positionV relativeFrom="page">
                  <wp:posOffset>9486900</wp:posOffset>
                </wp:positionV>
                <wp:extent cx="6120130" cy="360045"/>
                <wp:effectExtent l="0" t="0" r="1270" b="20955"/>
                <wp:wrapNone/>
                <wp:docPr id="2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6004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txbx>
                        <w:txbxContent>
                          <w:p w14:paraId="0A8C07C8" w14:textId="6A915CCC" w:rsidR="00EC4603" w:rsidRPr="00321924" w:rsidRDefault="00EC4603" w:rsidP="008F029B">
                            <w:r w:rsidRPr="00321924">
                              <w:br/>
                              <w:t xml:space="preserve">© Český statistický úřad, </w:t>
                            </w:r>
                            <w:r>
                              <w:t>Praha</w:t>
                            </w:r>
                            <w:r w:rsidRPr="00321924">
                              <w:t xml:space="preserve">, </w:t>
                            </w:r>
                            <w:r>
                              <w:t>2023</w:t>
                            </w:r>
                          </w:p>
                          <w:p w14:paraId="39133615" w14:textId="77777777" w:rsidR="00EC4603" w:rsidRDefault="00EC4603"/>
                          <w:p w14:paraId="310EA6D6" w14:textId="77777777" w:rsidR="00EC4603" w:rsidRPr="00841D9F" w:rsidRDefault="00EC4603" w:rsidP="000A3A2C">
                            <w:r w:rsidRPr="00841D9F">
                              <w:rPr>
                                <w:szCs w:val="26"/>
                              </w:rPr>
                              <w:t xml:space="preserve">ISBN XX-XXXX-XXX-X  </w:t>
                            </w:r>
                            <w:r w:rsidRPr="00841D9F">
                              <w:t>(pouze u nepravidelných a ročních publikací)</w:t>
                            </w:r>
                          </w:p>
                          <w:p w14:paraId="1A23261A" w14:textId="77777777" w:rsidR="00EC4603" w:rsidRPr="00AF2852" w:rsidRDefault="00EC4603" w:rsidP="000A3A2C">
                            <w:r w:rsidRPr="00841D9F">
                              <w:t>© Český sta</w:t>
                            </w:r>
                            <w:r>
                              <w:t xml:space="preserve">tistický úřad / </w:t>
                            </w:r>
                            <w:r w:rsidRPr="009A1902">
                              <w:rPr>
                                <w:i/>
                              </w:rPr>
                              <w:t xml:space="preserve">Czech </w:t>
                            </w:r>
                            <w:proofErr w:type="spellStart"/>
                            <w:r w:rsidRPr="009A1902">
                              <w:rPr>
                                <w:rFonts w:cs="Arial"/>
                                <w:i/>
                                <w:szCs w:val="20"/>
                              </w:rPr>
                              <w:t>Statistical</w:t>
                            </w:r>
                            <w:proofErr w:type="spellEnd"/>
                            <w:r w:rsidRPr="009A1902">
                              <w:rPr>
                                <w:rFonts w:cs="Arial"/>
                                <w:i/>
                                <w:szCs w:val="20"/>
                              </w:rPr>
                              <w:t xml:space="preserve"> Office</w:t>
                            </w:r>
                            <w:r>
                              <w:t>, místo, rok vydání</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3A61A8" id="_x0000_s1031" type="#_x0000_t202" style="position:absolute;margin-left:56.7pt;margin-top:747pt;width:481.9pt;height:28.35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" filled="f" stroked="f">
                <v:textbox inset="0,0,0,0">
                  <w:txbxContent>
                    <w:p w14:paraId="0A8C07C8" w14:textId="6A915CCC" w:rsidR="00EC4603" w:rsidRPr="00321924" w:rsidRDefault="00EC4603" w:rsidP="008F029B">
                      <w:r w:rsidRPr="00321924">
                        <w:br/>
                        <w:t xml:space="preserve">© Český statistický úřad, </w:t>
                      </w:r>
                      <w:r>
                        <w:t>Praha</w:t>
                      </w:r>
                      <w:r w:rsidRPr="00321924">
                        <w:t xml:space="preserve">, </w:t>
                      </w:r>
                      <w:r>
                        <w:t>2023</w:t>
                      </w:r>
                    </w:p>
                    <w:p w14:paraId="39133615" w14:textId="77777777" w:rsidR="00EC4603" w:rsidRDefault="00EC4603"/>
                    <w:p w14:paraId="310EA6D6" w14:textId="77777777" w:rsidR="00EC4603" w:rsidRPr="00841D9F" w:rsidRDefault="00EC4603" w:rsidP="000A3A2C">
                      <w:r w:rsidRPr="00841D9F">
                        <w:rPr>
                          <w:szCs w:val="26"/>
                        </w:rPr>
                        <w:t xml:space="preserve">ISBN XX-XXXX-XXX-X  </w:t>
                      </w:r>
                      <w:r w:rsidRPr="00841D9F">
                        <w:t>(pouze u nepravidelných a ročních publikací)</w:t>
                      </w:r>
                    </w:p>
                    <w:p w14:paraId="1A23261A" w14:textId="77777777" w:rsidR="00EC4603" w:rsidRPr="00AF2852" w:rsidRDefault="00EC4603" w:rsidP="000A3A2C">
                      <w:r w:rsidRPr="00841D9F">
                        <w:t>© Český sta</w:t>
                      </w:r>
                      <w:r>
                        <w:t xml:space="preserve">tistický úřad / </w:t>
                      </w:r>
                      <w:r w:rsidRPr="009A1902">
                        <w:rPr>
                          <w:i/>
                        </w:rPr>
                        <w:t xml:space="preserve">Czech </w:t>
                      </w:r>
                      <w:r w:rsidRPr="009A1902">
                        <w:rPr>
                          <w:rFonts w:cs="Arial"/>
                          <w:i/>
                          <w:szCs w:val="20"/>
                        </w:rPr>
                        <w:t>Statistical Office</w:t>
                      </w:r>
                      <w:r>
                        <w:t>, místo, rok vydání</w:t>
                      </w:r>
                    </w:p>
                  </w:txbxContent>
                </v:textbox>
                <w10:wrap anchorx="page" anchory="page"/>
                <w10:anchorlock/>
              </v:shape>
            </w:pict>
          </mc:Fallback>
        </mc:AlternateContent>
      </w:r>
      <w:r>
        <w:rPr>
          <w:noProof/>
        </w:rPr>
        <mc:AlternateContent>
          <mc:Choice Requires="wps">
            <w:drawing>
              <wp:anchor distT="0" distB="0" distL="114300" distR="114300" simplePos="0" relativeHeight="251660800" behindDoc="0" locked="1" layoutInCell="1" allowOverlap="1" wp14:anchorId="4B843FA7" wp14:editId="2B8AD724">
                <wp:simplePos x="0" y="0"/>
                <wp:positionH relativeFrom="page">
                  <wp:posOffset>723265</wp:posOffset>
                </wp:positionH>
                <wp:positionV relativeFrom="page">
                  <wp:posOffset>723265</wp:posOffset>
                </wp:positionV>
                <wp:extent cx="6119495" cy="572770"/>
                <wp:effectExtent l="0" t="0" r="2540" b="0"/>
                <wp:wrapNone/>
                <wp:docPr id="1"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9495" cy="57277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9525">
                              <a:solidFill>
                                <a:srgbClr val="000000"/>
                              </a:solidFill>
                              <a:miter lim="800000"/>
                              <a:headEnd/>
                              <a:tailEnd/>
                            </a14:hiddenLine>
                          </a:ext>
                        </a:extLst>
                      </wps:spPr>
                      <wps:txbx>
                        <w:txbxContent>
                          <w:p w14:paraId="3CA7384A" w14:textId="77777777" w:rsidR="00EC4603" w:rsidRPr="009A1902" w:rsidRDefault="00EC4603" w:rsidP="000A3A2C">
                            <w:pPr>
                              <w:rPr>
                                <w:b/>
                                <w:bCs/>
                                <w:i/>
                                <w:sz w:val="24"/>
                              </w:rPr>
                            </w:pPr>
                            <w:r w:rsidRPr="00B95F50">
                              <w:rPr>
                                <w:b/>
                                <w:color w:val="0071BC"/>
                                <w:sz w:val="24"/>
                              </w:rPr>
                              <w:t xml:space="preserve">Zajímají Vás nejnovější údaje o inflaci, HDP, obyvatelstvu, průměrných mzdách </w:t>
                            </w:r>
                            <w:r>
                              <w:rPr>
                                <w:b/>
                                <w:color w:val="0071BC"/>
                                <w:sz w:val="24"/>
                              </w:rPr>
                              <w:br/>
                            </w:r>
                            <w:r w:rsidRPr="00B95F50">
                              <w:rPr>
                                <w:b/>
                                <w:color w:val="0071BC"/>
                                <w:sz w:val="24"/>
                              </w:rPr>
                              <w:t xml:space="preserve">a mnohé další? Najdete je na stránkách ČSÚ na internetu: </w:t>
                            </w:r>
                            <w:r>
                              <w:rPr>
                                <w:b/>
                                <w:bCs/>
                                <w:sz w:val="24"/>
                              </w:rPr>
                              <w:t>www.czso.cz</w:t>
                            </w:r>
                          </w:p>
                        </w:txbxContent>
                      </wps:txbx>
                      <wps:bodyPr rot="0" vert="horz" wrap="square" lIns="0" tIns="0" rIns="0" bIns="0" anchor="t" anchorCtr="0" upright="1">
                        <a:spAutoFit/>
                      </wps:bodyPr>
                    </wps:wsp>
                  </a:graphicData>
                </a:graphic>
                <wp14:sizeRelH relativeFrom="margin">
                  <wp14:pctWidth>0</wp14:pctWidth>
                </wp14:sizeRelH>
                <wp14:sizeRelV relativeFrom="margin">
                  <wp14:pctHeight>0</wp14:pctHeight>
                </wp14:sizeRelV>
              </wp:anchor>
            </w:drawing>
          </mc:Choice>
          <mc:Fallback>
            <w:pict>
              <v:shape w14:anchorId="4B843FA7" id="_x0000_s1032" type="#_x0000_t202" style="position:absolute;margin-left:56.95pt;margin-top:56.95pt;width:481.85pt;height:45.1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" filled="f" stroked="f">
                <v:textbox style="mso-fit-shape-to-text:t" inset="0,0,0,0">
                  <w:txbxContent>
                    <w:p w14:paraId="3CA7384A" w14:textId="77777777" w:rsidR="00EC4603" w:rsidRPr="009A1902" w:rsidRDefault="00EC4603" w:rsidP="000A3A2C">
                      <w:pPr>
                        <w:rPr>
                          <w:b/>
                          <w:bCs/>
                          <w:i/>
                          <w:sz w:val="24"/>
                        </w:rPr>
                      </w:pPr>
                      <w:r w:rsidRPr="00B95F50">
                        <w:rPr>
                          <w:b/>
                          <w:color w:val="0071BC"/>
                          <w:sz w:val="24"/>
                        </w:rPr>
                        <w:t xml:space="preserve">Zajímají Vás nejnovější údaje o inflaci, HDP, obyvatelstvu, průměrných mzdách </w:t>
                      </w:r>
                      <w:r>
                        <w:rPr>
                          <w:b/>
                          <w:color w:val="0071BC"/>
                          <w:sz w:val="24"/>
                        </w:rPr>
                        <w:br/>
                      </w:r>
                      <w:r w:rsidRPr="00B95F50">
                        <w:rPr>
                          <w:b/>
                          <w:color w:val="0071BC"/>
                          <w:sz w:val="24"/>
                        </w:rPr>
                        <w:t xml:space="preserve">a mnohé další? Najdete je na stránkách ČSÚ na internetu: </w:t>
                      </w:r>
                      <w:r>
                        <w:rPr>
                          <w:b/>
                          <w:bCs/>
                          <w:sz w:val="24"/>
                        </w:rPr>
                        <w:t>www.czso.cz</w:t>
                      </w:r>
                    </w:p>
                  </w:txbxContent>
                </v:textbox>
                <w10:wrap anchorx="page" anchory="page"/>
                <w10:anchorlock/>
              </v:shape>
            </w:pict>
          </mc:Fallback>
        </mc:AlternateContent>
      </w:r>
    </w:p>
    <w:p w14:paraId="09E79853" w14:textId="77777777" w:rsidR="00EE4B1B" w:rsidRPr="006F5416" w:rsidRDefault="00EE4B1B" w:rsidP="006F5416">
      <w:pPr>
        <w:pStyle w:val="Obsah"/>
      </w:pPr>
      <w:r w:rsidRPr="006F5416">
        <w:lastRenderedPageBreak/>
        <w:t>Obsah</w:t>
      </w:r>
    </w:p>
    <w:p w14:paraId="62762F74" w14:textId="3BA431E4" w:rsidR="0098040A" w:rsidRDefault="00841DC4">
      <w:pPr>
        <w:pStyle w:val="Obsah2"/>
        <w:rPr>
          <w:rFonts w:asciiTheme="minorHAnsi" w:eastAsiaTheme="minorEastAsia" w:hAnsiTheme="minorHAnsi" w:cstheme="minorBidi"/>
          <w:noProof/>
          <w:sz w:val="22"/>
          <w:szCs w:val="22"/>
        </w:rPr>
      </w:pPr>
      <w:r>
        <w:rPr>
          <w:b/>
        </w:rPr>
        <w:fldChar w:fldCharType="begin"/>
      </w:r>
      <w:r>
        <w:rPr>
          <w:b/>
        </w:rPr>
        <w:instrText xml:space="preserve"> TOC \o "1-4" \h \z \u </w:instrText>
      </w:r>
      <w:r>
        <w:rPr>
          <w:b/>
        </w:rPr>
        <w:fldChar w:fldCharType="separate"/>
      </w:r>
      <w:hyperlink w:anchor="_Toc136412138" w:history="1">
        <w:r w:rsidR="0098040A" w:rsidRPr="00184340">
          <w:rPr>
            <w:rStyle w:val="Hypertextovodkaz"/>
            <w:noProof/>
          </w:rPr>
          <w:t>1. Úvod</w:t>
        </w:r>
        <w:r w:rsidR="0098040A">
          <w:rPr>
            <w:noProof/>
            <w:webHidden/>
          </w:rPr>
          <w:tab/>
        </w:r>
        <w:r w:rsidR="0098040A">
          <w:rPr>
            <w:noProof/>
            <w:webHidden/>
          </w:rPr>
          <w:fldChar w:fldCharType="begin"/>
        </w:r>
        <w:r w:rsidR="0098040A">
          <w:rPr>
            <w:noProof/>
            <w:webHidden/>
          </w:rPr>
          <w:instrText xml:space="preserve"> PAGEREF _Toc136412138 \h </w:instrText>
        </w:r>
        <w:r w:rsidR="0098040A">
          <w:rPr>
            <w:noProof/>
            <w:webHidden/>
          </w:rPr>
        </w:r>
        <w:r w:rsidR="0098040A">
          <w:rPr>
            <w:noProof/>
            <w:webHidden/>
          </w:rPr>
          <w:fldChar w:fldCharType="separate"/>
        </w:r>
        <w:r w:rsidR="0098040A">
          <w:rPr>
            <w:noProof/>
            <w:webHidden/>
          </w:rPr>
          <w:t>4</w:t>
        </w:r>
        <w:r w:rsidR="0098040A">
          <w:rPr>
            <w:noProof/>
            <w:webHidden/>
          </w:rPr>
          <w:fldChar w:fldCharType="end"/>
        </w:r>
      </w:hyperlink>
    </w:p>
    <w:p w14:paraId="6B0754E6" w14:textId="77223116" w:rsidR="0098040A" w:rsidRDefault="001E511A">
      <w:pPr>
        <w:pStyle w:val="Obsah2"/>
        <w:rPr>
          <w:rFonts w:asciiTheme="minorHAnsi" w:eastAsiaTheme="minorEastAsia" w:hAnsiTheme="minorHAnsi" w:cstheme="minorBidi"/>
          <w:noProof/>
          <w:sz w:val="22"/>
          <w:szCs w:val="22"/>
        </w:rPr>
      </w:pPr>
      <w:hyperlink w:anchor="_Toc136412139" w:history="1">
        <w:r w:rsidR="0098040A" w:rsidRPr="00184340">
          <w:rPr>
            <w:rStyle w:val="Hypertextovodkaz"/>
            <w:noProof/>
          </w:rPr>
          <w:t>2. Legislativní úprava nemocenského pojištění</w:t>
        </w:r>
        <w:r w:rsidR="0098040A">
          <w:rPr>
            <w:noProof/>
            <w:webHidden/>
          </w:rPr>
          <w:tab/>
        </w:r>
        <w:r w:rsidR="0098040A">
          <w:rPr>
            <w:noProof/>
            <w:webHidden/>
          </w:rPr>
          <w:fldChar w:fldCharType="begin"/>
        </w:r>
        <w:r w:rsidR="0098040A">
          <w:rPr>
            <w:noProof/>
            <w:webHidden/>
          </w:rPr>
          <w:instrText xml:space="preserve"> PAGEREF _Toc136412139 \h </w:instrText>
        </w:r>
        <w:r w:rsidR="0098040A">
          <w:rPr>
            <w:noProof/>
            <w:webHidden/>
          </w:rPr>
        </w:r>
        <w:r w:rsidR="0098040A">
          <w:rPr>
            <w:noProof/>
            <w:webHidden/>
          </w:rPr>
          <w:fldChar w:fldCharType="separate"/>
        </w:r>
        <w:r w:rsidR="0098040A">
          <w:rPr>
            <w:noProof/>
            <w:webHidden/>
          </w:rPr>
          <w:t>6</w:t>
        </w:r>
        <w:r w:rsidR="0098040A">
          <w:rPr>
            <w:noProof/>
            <w:webHidden/>
          </w:rPr>
          <w:fldChar w:fldCharType="end"/>
        </w:r>
      </w:hyperlink>
    </w:p>
    <w:p w14:paraId="1350DAA4" w14:textId="198C7FC8" w:rsidR="0098040A" w:rsidRDefault="001E511A">
      <w:pPr>
        <w:pStyle w:val="Obsah3"/>
        <w:rPr>
          <w:rFonts w:asciiTheme="minorHAnsi" w:eastAsiaTheme="minorEastAsia" w:hAnsiTheme="minorHAnsi" w:cstheme="minorBidi"/>
          <w:noProof/>
          <w:sz w:val="22"/>
          <w:szCs w:val="22"/>
        </w:rPr>
      </w:pPr>
      <w:hyperlink w:anchor="_Toc136412140" w:history="1">
        <w:r w:rsidR="0098040A" w:rsidRPr="00184340">
          <w:rPr>
            <w:rStyle w:val="Hypertextovodkaz"/>
            <w:noProof/>
          </w:rPr>
          <w:t>2.1 Účast na nemocenském pojištění</w:t>
        </w:r>
        <w:r w:rsidR="0098040A">
          <w:rPr>
            <w:noProof/>
            <w:webHidden/>
          </w:rPr>
          <w:tab/>
        </w:r>
        <w:r w:rsidR="0098040A">
          <w:rPr>
            <w:noProof/>
            <w:webHidden/>
          </w:rPr>
          <w:fldChar w:fldCharType="begin"/>
        </w:r>
        <w:r w:rsidR="0098040A">
          <w:rPr>
            <w:noProof/>
            <w:webHidden/>
          </w:rPr>
          <w:instrText xml:space="preserve"> PAGEREF _Toc136412140 \h </w:instrText>
        </w:r>
        <w:r w:rsidR="0098040A">
          <w:rPr>
            <w:noProof/>
            <w:webHidden/>
          </w:rPr>
        </w:r>
        <w:r w:rsidR="0098040A">
          <w:rPr>
            <w:noProof/>
            <w:webHidden/>
          </w:rPr>
          <w:fldChar w:fldCharType="separate"/>
        </w:r>
        <w:r w:rsidR="0098040A">
          <w:rPr>
            <w:noProof/>
            <w:webHidden/>
          </w:rPr>
          <w:t>6</w:t>
        </w:r>
        <w:r w:rsidR="0098040A">
          <w:rPr>
            <w:noProof/>
            <w:webHidden/>
          </w:rPr>
          <w:fldChar w:fldCharType="end"/>
        </w:r>
      </w:hyperlink>
    </w:p>
    <w:p w14:paraId="1FE08C63" w14:textId="6992EAD5" w:rsidR="0098040A" w:rsidRDefault="001E511A">
      <w:pPr>
        <w:pStyle w:val="Obsah3"/>
        <w:rPr>
          <w:rFonts w:asciiTheme="minorHAnsi" w:eastAsiaTheme="minorEastAsia" w:hAnsiTheme="minorHAnsi" w:cstheme="minorBidi"/>
          <w:noProof/>
          <w:sz w:val="22"/>
          <w:szCs w:val="22"/>
        </w:rPr>
      </w:pPr>
      <w:hyperlink w:anchor="_Toc136412141" w:history="1">
        <w:r w:rsidR="0098040A" w:rsidRPr="00184340">
          <w:rPr>
            <w:rStyle w:val="Hypertextovodkaz"/>
            <w:noProof/>
          </w:rPr>
          <w:t>2.2 Nemocenské</w:t>
        </w:r>
        <w:r w:rsidR="0098040A">
          <w:rPr>
            <w:noProof/>
            <w:webHidden/>
          </w:rPr>
          <w:tab/>
        </w:r>
        <w:r w:rsidR="0098040A">
          <w:rPr>
            <w:noProof/>
            <w:webHidden/>
          </w:rPr>
          <w:fldChar w:fldCharType="begin"/>
        </w:r>
        <w:r w:rsidR="0098040A">
          <w:rPr>
            <w:noProof/>
            <w:webHidden/>
          </w:rPr>
          <w:instrText xml:space="preserve"> PAGEREF _Toc136412141 \h </w:instrText>
        </w:r>
        <w:r w:rsidR="0098040A">
          <w:rPr>
            <w:noProof/>
            <w:webHidden/>
          </w:rPr>
        </w:r>
        <w:r w:rsidR="0098040A">
          <w:rPr>
            <w:noProof/>
            <w:webHidden/>
          </w:rPr>
          <w:fldChar w:fldCharType="separate"/>
        </w:r>
        <w:r w:rsidR="0098040A">
          <w:rPr>
            <w:noProof/>
            <w:webHidden/>
          </w:rPr>
          <w:t>7</w:t>
        </w:r>
        <w:r w:rsidR="0098040A">
          <w:rPr>
            <w:noProof/>
            <w:webHidden/>
          </w:rPr>
          <w:fldChar w:fldCharType="end"/>
        </w:r>
      </w:hyperlink>
    </w:p>
    <w:p w14:paraId="04767E65" w14:textId="6577A1C9" w:rsidR="0098040A" w:rsidRDefault="001E511A">
      <w:pPr>
        <w:pStyle w:val="Obsah3"/>
        <w:rPr>
          <w:rFonts w:asciiTheme="minorHAnsi" w:eastAsiaTheme="minorEastAsia" w:hAnsiTheme="minorHAnsi" w:cstheme="minorBidi"/>
          <w:noProof/>
          <w:sz w:val="22"/>
          <w:szCs w:val="22"/>
        </w:rPr>
      </w:pPr>
      <w:hyperlink w:anchor="_Toc136412142" w:history="1">
        <w:r w:rsidR="0098040A" w:rsidRPr="00184340">
          <w:rPr>
            <w:rStyle w:val="Hypertextovodkaz"/>
            <w:noProof/>
          </w:rPr>
          <w:t>2.3 Uplatnění nároku na dávku nemocenského</w:t>
        </w:r>
        <w:r w:rsidR="0098040A">
          <w:rPr>
            <w:noProof/>
            <w:webHidden/>
          </w:rPr>
          <w:tab/>
        </w:r>
        <w:r w:rsidR="0098040A">
          <w:rPr>
            <w:noProof/>
            <w:webHidden/>
          </w:rPr>
          <w:fldChar w:fldCharType="begin"/>
        </w:r>
        <w:r w:rsidR="0098040A">
          <w:rPr>
            <w:noProof/>
            <w:webHidden/>
          </w:rPr>
          <w:instrText xml:space="preserve"> PAGEREF _Toc136412142 \h </w:instrText>
        </w:r>
        <w:r w:rsidR="0098040A">
          <w:rPr>
            <w:noProof/>
            <w:webHidden/>
          </w:rPr>
        </w:r>
        <w:r w:rsidR="0098040A">
          <w:rPr>
            <w:noProof/>
            <w:webHidden/>
          </w:rPr>
          <w:fldChar w:fldCharType="separate"/>
        </w:r>
        <w:r w:rsidR="0098040A">
          <w:rPr>
            <w:noProof/>
            <w:webHidden/>
          </w:rPr>
          <w:t>8</w:t>
        </w:r>
        <w:r w:rsidR="0098040A">
          <w:rPr>
            <w:noProof/>
            <w:webHidden/>
          </w:rPr>
          <w:fldChar w:fldCharType="end"/>
        </w:r>
      </w:hyperlink>
    </w:p>
    <w:p w14:paraId="50DBA6A8" w14:textId="6D3807D7" w:rsidR="0098040A" w:rsidRDefault="001E511A">
      <w:pPr>
        <w:pStyle w:val="Obsah3"/>
        <w:rPr>
          <w:rFonts w:asciiTheme="minorHAnsi" w:eastAsiaTheme="minorEastAsia" w:hAnsiTheme="minorHAnsi" w:cstheme="minorBidi"/>
          <w:noProof/>
          <w:sz w:val="22"/>
          <w:szCs w:val="22"/>
        </w:rPr>
      </w:pPr>
      <w:hyperlink w:anchor="_Toc136412143" w:history="1">
        <w:r w:rsidR="0098040A" w:rsidRPr="00184340">
          <w:rPr>
            <w:rStyle w:val="Hypertextovodkaz"/>
            <w:noProof/>
          </w:rPr>
          <w:t>2.4 Uplatnění nároku na ostatní dávky nemocenského pojištění včetně nemocenského z důvodu nařízené karantény</w:t>
        </w:r>
        <w:r w:rsidR="0098040A">
          <w:rPr>
            <w:noProof/>
            <w:webHidden/>
          </w:rPr>
          <w:tab/>
        </w:r>
        <w:r w:rsidR="0098040A">
          <w:rPr>
            <w:noProof/>
            <w:webHidden/>
          </w:rPr>
          <w:fldChar w:fldCharType="begin"/>
        </w:r>
        <w:r w:rsidR="0098040A">
          <w:rPr>
            <w:noProof/>
            <w:webHidden/>
          </w:rPr>
          <w:instrText xml:space="preserve"> PAGEREF _Toc136412143 \h </w:instrText>
        </w:r>
        <w:r w:rsidR="0098040A">
          <w:rPr>
            <w:noProof/>
            <w:webHidden/>
          </w:rPr>
        </w:r>
        <w:r w:rsidR="0098040A">
          <w:rPr>
            <w:noProof/>
            <w:webHidden/>
          </w:rPr>
          <w:fldChar w:fldCharType="separate"/>
        </w:r>
        <w:r w:rsidR="0098040A">
          <w:rPr>
            <w:noProof/>
            <w:webHidden/>
          </w:rPr>
          <w:t>9</w:t>
        </w:r>
        <w:r w:rsidR="0098040A">
          <w:rPr>
            <w:noProof/>
            <w:webHidden/>
          </w:rPr>
          <w:fldChar w:fldCharType="end"/>
        </w:r>
      </w:hyperlink>
    </w:p>
    <w:p w14:paraId="15955D31" w14:textId="62AA4C13" w:rsidR="0098040A" w:rsidRDefault="001E511A">
      <w:pPr>
        <w:pStyle w:val="Obsah3"/>
        <w:rPr>
          <w:rFonts w:asciiTheme="minorHAnsi" w:eastAsiaTheme="minorEastAsia" w:hAnsiTheme="minorHAnsi" w:cstheme="minorBidi"/>
          <w:noProof/>
          <w:sz w:val="22"/>
          <w:szCs w:val="22"/>
        </w:rPr>
      </w:pPr>
      <w:hyperlink w:anchor="_Toc136412144" w:history="1">
        <w:r w:rsidR="0098040A" w:rsidRPr="00184340">
          <w:rPr>
            <w:rStyle w:val="Hypertextovodkaz"/>
            <w:noProof/>
          </w:rPr>
          <w:t>2.5 Výpočet dávky nemocenského</w:t>
        </w:r>
        <w:r w:rsidR="0098040A">
          <w:rPr>
            <w:noProof/>
            <w:webHidden/>
          </w:rPr>
          <w:tab/>
        </w:r>
        <w:r w:rsidR="0098040A">
          <w:rPr>
            <w:noProof/>
            <w:webHidden/>
          </w:rPr>
          <w:fldChar w:fldCharType="begin"/>
        </w:r>
        <w:r w:rsidR="0098040A">
          <w:rPr>
            <w:noProof/>
            <w:webHidden/>
          </w:rPr>
          <w:instrText xml:space="preserve"> PAGEREF _Toc136412144 \h </w:instrText>
        </w:r>
        <w:r w:rsidR="0098040A">
          <w:rPr>
            <w:noProof/>
            <w:webHidden/>
          </w:rPr>
        </w:r>
        <w:r w:rsidR="0098040A">
          <w:rPr>
            <w:noProof/>
            <w:webHidden/>
          </w:rPr>
          <w:fldChar w:fldCharType="separate"/>
        </w:r>
        <w:r w:rsidR="0098040A">
          <w:rPr>
            <w:noProof/>
            <w:webHidden/>
          </w:rPr>
          <w:t>9</w:t>
        </w:r>
        <w:r w:rsidR="0098040A">
          <w:rPr>
            <w:noProof/>
            <w:webHidden/>
          </w:rPr>
          <w:fldChar w:fldCharType="end"/>
        </w:r>
      </w:hyperlink>
    </w:p>
    <w:p w14:paraId="1E24D255" w14:textId="0CDBDAF0" w:rsidR="0098040A" w:rsidRDefault="001E511A">
      <w:pPr>
        <w:pStyle w:val="Obsah3"/>
        <w:rPr>
          <w:rFonts w:asciiTheme="minorHAnsi" w:eastAsiaTheme="minorEastAsia" w:hAnsiTheme="minorHAnsi" w:cstheme="minorBidi"/>
          <w:noProof/>
          <w:sz w:val="22"/>
          <w:szCs w:val="22"/>
        </w:rPr>
      </w:pPr>
      <w:hyperlink w:anchor="_Toc136412145" w:history="1">
        <w:r w:rsidR="0098040A" w:rsidRPr="00184340">
          <w:rPr>
            <w:rStyle w:val="Hypertextovodkaz"/>
            <w:noProof/>
          </w:rPr>
          <w:t>2.6 Nejvýznamnější legislativní změny v oblasti nemocenského pojištění</w:t>
        </w:r>
        <w:r w:rsidR="0098040A">
          <w:rPr>
            <w:noProof/>
            <w:webHidden/>
          </w:rPr>
          <w:tab/>
        </w:r>
        <w:r w:rsidR="0098040A">
          <w:rPr>
            <w:noProof/>
            <w:webHidden/>
          </w:rPr>
          <w:fldChar w:fldCharType="begin"/>
        </w:r>
        <w:r w:rsidR="0098040A">
          <w:rPr>
            <w:noProof/>
            <w:webHidden/>
          </w:rPr>
          <w:instrText xml:space="preserve"> PAGEREF _Toc136412145 \h </w:instrText>
        </w:r>
        <w:r w:rsidR="0098040A">
          <w:rPr>
            <w:noProof/>
            <w:webHidden/>
          </w:rPr>
        </w:r>
        <w:r w:rsidR="0098040A">
          <w:rPr>
            <w:noProof/>
            <w:webHidden/>
          </w:rPr>
          <w:fldChar w:fldCharType="separate"/>
        </w:r>
        <w:r w:rsidR="0098040A">
          <w:rPr>
            <w:noProof/>
            <w:webHidden/>
          </w:rPr>
          <w:t>10</w:t>
        </w:r>
        <w:r w:rsidR="0098040A">
          <w:rPr>
            <w:noProof/>
            <w:webHidden/>
          </w:rPr>
          <w:fldChar w:fldCharType="end"/>
        </w:r>
      </w:hyperlink>
    </w:p>
    <w:p w14:paraId="05A5BCD5" w14:textId="3BAFFBA6" w:rsidR="0098040A" w:rsidRDefault="001E511A">
      <w:pPr>
        <w:pStyle w:val="Obsah2"/>
        <w:rPr>
          <w:rFonts w:asciiTheme="minorHAnsi" w:eastAsiaTheme="minorEastAsia" w:hAnsiTheme="minorHAnsi" w:cstheme="minorBidi"/>
          <w:noProof/>
          <w:sz w:val="22"/>
          <w:szCs w:val="22"/>
        </w:rPr>
      </w:pPr>
      <w:hyperlink w:anchor="_Toc136412146" w:history="1">
        <w:r w:rsidR="0098040A" w:rsidRPr="00184340">
          <w:rPr>
            <w:rStyle w:val="Hypertextovodkaz"/>
            <w:noProof/>
          </w:rPr>
          <w:t>3. Metodika a zdroje dat</w:t>
        </w:r>
        <w:r w:rsidR="0098040A">
          <w:rPr>
            <w:noProof/>
            <w:webHidden/>
          </w:rPr>
          <w:tab/>
        </w:r>
        <w:r w:rsidR="0098040A">
          <w:rPr>
            <w:noProof/>
            <w:webHidden/>
          </w:rPr>
          <w:fldChar w:fldCharType="begin"/>
        </w:r>
        <w:r w:rsidR="0098040A">
          <w:rPr>
            <w:noProof/>
            <w:webHidden/>
          </w:rPr>
          <w:instrText xml:space="preserve"> PAGEREF _Toc136412146 \h </w:instrText>
        </w:r>
        <w:r w:rsidR="0098040A">
          <w:rPr>
            <w:noProof/>
            <w:webHidden/>
          </w:rPr>
        </w:r>
        <w:r w:rsidR="0098040A">
          <w:rPr>
            <w:noProof/>
            <w:webHidden/>
          </w:rPr>
          <w:fldChar w:fldCharType="separate"/>
        </w:r>
        <w:r w:rsidR="0098040A">
          <w:rPr>
            <w:noProof/>
            <w:webHidden/>
          </w:rPr>
          <w:t>14</w:t>
        </w:r>
        <w:r w:rsidR="0098040A">
          <w:rPr>
            <w:noProof/>
            <w:webHidden/>
          </w:rPr>
          <w:fldChar w:fldCharType="end"/>
        </w:r>
      </w:hyperlink>
    </w:p>
    <w:p w14:paraId="4249E276" w14:textId="77B4ED85" w:rsidR="0098040A" w:rsidRDefault="001E511A">
      <w:pPr>
        <w:pStyle w:val="Obsah2"/>
        <w:rPr>
          <w:rFonts w:asciiTheme="minorHAnsi" w:eastAsiaTheme="minorEastAsia" w:hAnsiTheme="minorHAnsi" w:cstheme="minorBidi"/>
          <w:noProof/>
          <w:sz w:val="22"/>
          <w:szCs w:val="22"/>
        </w:rPr>
      </w:pPr>
      <w:hyperlink w:anchor="_Toc136412147" w:history="1">
        <w:r w:rsidR="0098040A" w:rsidRPr="00184340">
          <w:rPr>
            <w:rStyle w:val="Hypertextovodkaz"/>
            <w:noProof/>
          </w:rPr>
          <w:t>4. Analytická část</w:t>
        </w:r>
        <w:r w:rsidR="0098040A">
          <w:rPr>
            <w:noProof/>
            <w:webHidden/>
          </w:rPr>
          <w:tab/>
        </w:r>
        <w:r w:rsidR="0098040A">
          <w:rPr>
            <w:noProof/>
            <w:webHidden/>
          </w:rPr>
          <w:fldChar w:fldCharType="begin"/>
        </w:r>
        <w:r w:rsidR="0098040A">
          <w:rPr>
            <w:noProof/>
            <w:webHidden/>
          </w:rPr>
          <w:instrText xml:space="preserve"> PAGEREF _Toc136412147 \h </w:instrText>
        </w:r>
        <w:r w:rsidR="0098040A">
          <w:rPr>
            <w:noProof/>
            <w:webHidden/>
          </w:rPr>
        </w:r>
        <w:r w:rsidR="0098040A">
          <w:rPr>
            <w:noProof/>
            <w:webHidden/>
          </w:rPr>
          <w:fldChar w:fldCharType="separate"/>
        </w:r>
        <w:r w:rsidR="0098040A">
          <w:rPr>
            <w:noProof/>
            <w:webHidden/>
          </w:rPr>
          <w:t>17</w:t>
        </w:r>
        <w:r w:rsidR="0098040A">
          <w:rPr>
            <w:noProof/>
            <w:webHidden/>
          </w:rPr>
          <w:fldChar w:fldCharType="end"/>
        </w:r>
      </w:hyperlink>
    </w:p>
    <w:p w14:paraId="2781B3B7" w14:textId="32F343E3" w:rsidR="0098040A" w:rsidRDefault="001E511A">
      <w:pPr>
        <w:pStyle w:val="Obsah3"/>
        <w:rPr>
          <w:rFonts w:asciiTheme="minorHAnsi" w:eastAsiaTheme="minorEastAsia" w:hAnsiTheme="minorHAnsi" w:cstheme="minorBidi"/>
          <w:noProof/>
          <w:sz w:val="22"/>
          <w:szCs w:val="22"/>
        </w:rPr>
      </w:pPr>
      <w:hyperlink w:anchor="_Toc136412148" w:history="1">
        <w:r w:rsidR="0098040A" w:rsidRPr="00184340">
          <w:rPr>
            <w:rStyle w:val="Hypertextovodkaz"/>
            <w:noProof/>
          </w:rPr>
          <w:t>4.1 Nemocensky pojištěné osoby</w:t>
        </w:r>
        <w:r w:rsidR="0098040A">
          <w:rPr>
            <w:noProof/>
            <w:webHidden/>
          </w:rPr>
          <w:tab/>
        </w:r>
        <w:r w:rsidR="0098040A">
          <w:rPr>
            <w:noProof/>
            <w:webHidden/>
          </w:rPr>
          <w:fldChar w:fldCharType="begin"/>
        </w:r>
        <w:r w:rsidR="0098040A">
          <w:rPr>
            <w:noProof/>
            <w:webHidden/>
          </w:rPr>
          <w:instrText xml:space="preserve"> PAGEREF _Toc136412148 \h </w:instrText>
        </w:r>
        <w:r w:rsidR="0098040A">
          <w:rPr>
            <w:noProof/>
            <w:webHidden/>
          </w:rPr>
        </w:r>
        <w:r w:rsidR="0098040A">
          <w:rPr>
            <w:noProof/>
            <w:webHidden/>
          </w:rPr>
          <w:fldChar w:fldCharType="separate"/>
        </w:r>
        <w:r w:rsidR="0098040A">
          <w:rPr>
            <w:noProof/>
            <w:webHidden/>
          </w:rPr>
          <w:t>17</w:t>
        </w:r>
        <w:r w:rsidR="0098040A">
          <w:rPr>
            <w:noProof/>
            <w:webHidden/>
          </w:rPr>
          <w:fldChar w:fldCharType="end"/>
        </w:r>
      </w:hyperlink>
    </w:p>
    <w:p w14:paraId="35D84E12" w14:textId="2D1A2E7C" w:rsidR="0098040A" w:rsidRDefault="001E511A">
      <w:pPr>
        <w:pStyle w:val="Obsah3"/>
        <w:rPr>
          <w:rFonts w:asciiTheme="minorHAnsi" w:eastAsiaTheme="minorEastAsia" w:hAnsiTheme="minorHAnsi" w:cstheme="minorBidi"/>
          <w:noProof/>
          <w:sz w:val="22"/>
          <w:szCs w:val="22"/>
        </w:rPr>
      </w:pPr>
      <w:hyperlink w:anchor="_Toc136412149" w:history="1">
        <w:r w:rsidR="0098040A" w:rsidRPr="00184340">
          <w:rPr>
            <w:rStyle w:val="Hypertextovodkaz"/>
            <w:noProof/>
          </w:rPr>
          <w:t>4.2 Nově hlášené případy dočasné pracovní neschopnosti</w:t>
        </w:r>
        <w:r w:rsidR="0098040A">
          <w:rPr>
            <w:noProof/>
            <w:webHidden/>
          </w:rPr>
          <w:tab/>
        </w:r>
        <w:r w:rsidR="0098040A">
          <w:rPr>
            <w:noProof/>
            <w:webHidden/>
          </w:rPr>
          <w:fldChar w:fldCharType="begin"/>
        </w:r>
        <w:r w:rsidR="0098040A">
          <w:rPr>
            <w:noProof/>
            <w:webHidden/>
          </w:rPr>
          <w:instrText xml:space="preserve"> PAGEREF _Toc136412149 \h </w:instrText>
        </w:r>
        <w:r w:rsidR="0098040A">
          <w:rPr>
            <w:noProof/>
            <w:webHidden/>
          </w:rPr>
        </w:r>
        <w:r w:rsidR="0098040A">
          <w:rPr>
            <w:noProof/>
            <w:webHidden/>
          </w:rPr>
          <w:fldChar w:fldCharType="separate"/>
        </w:r>
        <w:r w:rsidR="0098040A">
          <w:rPr>
            <w:noProof/>
            <w:webHidden/>
          </w:rPr>
          <w:t>20</w:t>
        </w:r>
        <w:r w:rsidR="0098040A">
          <w:rPr>
            <w:noProof/>
            <w:webHidden/>
          </w:rPr>
          <w:fldChar w:fldCharType="end"/>
        </w:r>
      </w:hyperlink>
    </w:p>
    <w:p w14:paraId="4637D32B" w14:textId="65F26B07" w:rsidR="0098040A" w:rsidRDefault="001E511A">
      <w:pPr>
        <w:pStyle w:val="Obsah4"/>
        <w:rPr>
          <w:rFonts w:asciiTheme="minorHAnsi" w:eastAsiaTheme="minorEastAsia" w:hAnsiTheme="minorHAnsi" w:cstheme="minorBidi"/>
          <w:noProof/>
          <w:sz w:val="22"/>
          <w:szCs w:val="22"/>
        </w:rPr>
      </w:pPr>
      <w:hyperlink w:anchor="_Toc136412150" w:history="1">
        <w:r w:rsidR="0098040A" w:rsidRPr="00184340">
          <w:rPr>
            <w:rStyle w:val="Hypertextovodkaz"/>
            <w:noProof/>
          </w:rPr>
          <w:t>4.2.1 Počet případů dočasné pracovní neschopnosti</w:t>
        </w:r>
        <w:r w:rsidR="0098040A">
          <w:rPr>
            <w:noProof/>
            <w:webHidden/>
          </w:rPr>
          <w:tab/>
        </w:r>
        <w:r w:rsidR="0098040A">
          <w:rPr>
            <w:noProof/>
            <w:webHidden/>
          </w:rPr>
          <w:fldChar w:fldCharType="begin"/>
        </w:r>
        <w:r w:rsidR="0098040A">
          <w:rPr>
            <w:noProof/>
            <w:webHidden/>
          </w:rPr>
          <w:instrText xml:space="preserve"> PAGEREF _Toc136412150 \h </w:instrText>
        </w:r>
        <w:r w:rsidR="0098040A">
          <w:rPr>
            <w:noProof/>
            <w:webHidden/>
          </w:rPr>
        </w:r>
        <w:r w:rsidR="0098040A">
          <w:rPr>
            <w:noProof/>
            <w:webHidden/>
          </w:rPr>
          <w:fldChar w:fldCharType="separate"/>
        </w:r>
        <w:r w:rsidR="0098040A">
          <w:rPr>
            <w:noProof/>
            <w:webHidden/>
          </w:rPr>
          <w:t>20</w:t>
        </w:r>
        <w:r w:rsidR="0098040A">
          <w:rPr>
            <w:noProof/>
            <w:webHidden/>
          </w:rPr>
          <w:fldChar w:fldCharType="end"/>
        </w:r>
      </w:hyperlink>
    </w:p>
    <w:p w14:paraId="66ACEF29" w14:textId="3077EFA6" w:rsidR="0098040A" w:rsidRDefault="001E511A">
      <w:pPr>
        <w:pStyle w:val="Obsah4"/>
        <w:rPr>
          <w:rFonts w:asciiTheme="minorHAnsi" w:eastAsiaTheme="minorEastAsia" w:hAnsiTheme="minorHAnsi" w:cstheme="minorBidi"/>
          <w:noProof/>
          <w:sz w:val="22"/>
          <w:szCs w:val="22"/>
        </w:rPr>
      </w:pPr>
      <w:hyperlink w:anchor="_Toc136412151" w:history="1">
        <w:r w:rsidR="0098040A" w:rsidRPr="00184340">
          <w:rPr>
            <w:rStyle w:val="Hypertextovodkaz"/>
            <w:noProof/>
          </w:rPr>
          <w:t>4.2.2 Délka trvání dočasné pracovní neschopnosti</w:t>
        </w:r>
        <w:r w:rsidR="0098040A">
          <w:rPr>
            <w:noProof/>
            <w:webHidden/>
          </w:rPr>
          <w:tab/>
        </w:r>
        <w:r w:rsidR="0098040A">
          <w:rPr>
            <w:noProof/>
            <w:webHidden/>
          </w:rPr>
          <w:fldChar w:fldCharType="begin"/>
        </w:r>
        <w:r w:rsidR="0098040A">
          <w:rPr>
            <w:noProof/>
            <w:webHidden/>
          </w:rPr>
          <w:instrText xml:space="preserve"> PAGEREF _Toc136412151 \h </w:instrText>
        </w:r>
        <w:r w:rsidR="0098040A">
          <w:rPr>
            <w:noProof/>
            <w:webHidden/>
          </w:rPr>
        </w:r>
        <w:r w:rsidR="0098040A">
          <w:rPr>
            <w:noProof/>
            <w:webHidden/>
          </w:rPr>
          <w:fldChar w:fldCharType="separate"/>
        </w:r>
        <w:r w:rsidR="0098040A">
          <w:rPr>
            <w:noProof/>
            <w:webHidden/>
          </w:rPr>
          <w:t>29</w:t>
        </w:r>
        <w:r w:rsidR="0098040A">
          <w:rPr>
            <w:noProof/>
            <w:webHidden/>
          </w:rPr>
          <w:fldChar w:fldCharType="end"/>
        </w:r>
      </w:hyperlink>
    </w:p>
    <w:p w14:paraId="135FF03B" w14:textId="3733CDE8" w:rsidR="0098040A" w:rsidRDefault="001E511A">
      <w:pPr>
        <w:pStyle w:val="Obsah4"/>
        <w:rPr>
          <w:rFonts w:asciiTheme="minorHAnsi" w:eastAsiaTheme="minorEastAsia" w:hAnsiTheme="minorHAnsi" w:cstheme="minorBidi"/>
          <w:noProof/>
          <w:sz w:val="22"/>
          <w:szCs w:val="22"/>
        </w:rPr>
      </w:pPr>
      <w:hyperlink w:anchor="_Toc136412152" w:history="1">
        <w:r w:rsidR="0098040A" w:rsidRPr="00184340">
          <w:rPr>
            <w:rStyle w:val="Hypertextovodkaz"/>
            <w:noProof/>
          </w:rPr>
          <w:t>4.2.3 Průměrné procento dočasné pracovní neschopnosti a průměrný denní stav dočasně práce neschopných</w:t>
        </w:r>
        <w:r w:rsidR="0098040A">
          <w:rPr>
            <w:noProof/>
            <w:webHidden/>
          </w:rPr>
          <w:tab/>
        </w:r>
        <w:r w:rsidR="0098040A">
          <w:rPr>
            <w:noProof/>
            <w:webHidden/>
          </w:rPr>
          <w:fldChar w:fldCharType="begin"/>
        </w:r>
        <w:r w:rsidR="0098040A">
          <w:rPr>
            <w:noProof/>
            <w:webHidden/>
          </w:rPr>
          <w:instrText xml:space="preserve"> PAGEREF _Toc136412152 \h </w:instrText>
        </w:r>
        <w:r w:rsidR="0098040A">
          <w:rPr>
            <w:noProof/>
            <w:webHidden/>
          </w:rPr>
        </w:r>
        <w:r w:rsidR="0098040A">
          <w:rPr>
            <w:noProof/>
            <w:webHidden/>
          </w:rPr>
          <w:fldChar w:fldCharType="separate"/>
        </w:r>
        <w:r w:rsidR="0098040A">
          <w:rPr>
            <w:noProof/>
            <w:webHidden/>
          </w:rPr>
          <w:t>36</w:t>
        </w:r>
        <w:r w:rsidR="0098040A">
          <w:rPr>
            <w:noProof/>
            <w:webHidden/>
          </w:rPr>
          <w:fldChar w:fldCharType="end"/>
        </w:r>
      </w:hyperlink>
    </w:p>
    <w:p w14:paraId="628FD655" w14:textId="1310428E" w:rsidR="0098040A" w:rsidRDefault="001E511A">
      <w:pPr>
        <w:pStyle w:val="Obsah3"/>
        <w:rPr>
          <w:rFonts w:asciiTheme="minorHAnsi" w:eastAsiaTheme="minorEastAsia" w:hAnsiTheme="minorHAnsi" w:cstheme="minorBidi"/>
          <w:noProof/>
          <w:sz w:val="22"/>
          <w:szCs w:val="22"/>
        </w:rPr>
      </w:pPr>
      <w:hyperlink w:anchor="_Toc136412153" w:history="1">
        <w:r w:rsidR="0098040A" w:rsidRPr="00184340">
          <w:rPr>
            <w:rStyle w:val="Hypertextovodkaz"/>
            <w:noProof/>
          </w:rPr>
          <w:t>4.3 Ukončené případy dočasné pracovní neschopnosti</w:t>
        </w:r>
        <w:r w:rsidR="0098040A">
          <w:rPr>
            <w:noProof/>
            <w:webHidden/>
          </w:rPr>
          <w:tab/>
        </w:r>
        <w:r w:rsidR="0098040A">
          <w:rPr>
            <w:noProof/>
            <w:webHidden/>
          </w:rPr>
          <w:fldChar w:fldCharType="begin"/>
        </w:r>
        <w:r w:rsidR="0098040A">
          <w:rPr>
            <w:noProof/>
            <w:webHidden/>
          </w:rPr>
          <w:instrText xml:space="preserve"> PAGEREF _Toc136412153 \h </w:instrText>
        </w:r>
        <w:r w:rsidR="0098040A">
          <w:rPr>
            <w:noProof/>
            <w:webHidden/>
          </w:rPr>
        </w:r>
        <w:r w:rsidR="0098040A">
          <w:rPr>
            <w:noProof/>
            <w:webHidden/>
          </w:rPr>
          <w:fldChar w:fldCharType="separate"/>
        </w:r>
        <w:r w:rsidR="0098040A">
          <w:rPr>
            <w:noProof/>
            <w:webHidden/>
          </w:rPr>
          <w:t>41</w:t>
        </w:r>
        <w:r w:rsidR="0098040A">
          <w:rPr>
            <w:noProof/>
            <w:webHidden/>
          </w:rPr>
          <w:fldChar w:fldCharType="end"/>
        </w:r>
      </w:hyperlink>
    </w:p>
    <w:p w14:paraId="431E5EFC" w14:textId="3D239904" w:rsidR="0098040A" w:rsidRDefault="001E511A">
      <w:pPr>
        <w:pStyle w:val="Obsah3"/>
        <w:rPr>
          <w:rFonts w:asciiTheme="minorHAnsi" w:eastAsiaTheme="minorEastAsia" w:hAnsiTheme="minorHAnsi" w:cstheme="minorBidi"/>
          <w:noProof/>
          <w:sz w:val="22"/>
          <w:szCs w:val="22"/>
        </w:rPr>
      </w:pPr>
      <w:hyperlink w:anchor="_Toc136412154" w:history="1">
        <w:r w:rsidR="0098040A" w:rsidRPr="00184340">
          <w:rPr>
            <w:rStyle w:val="Hypertextovodkaz"/>
            <w:noProof/>
          </w:rPr>
          <w:t>4.4 Výdaje na dávky nemocenského pojištění</w:t>
        </w:r>
        <w:r w:rsidR="0098040A">
          <w:rPr>
            <w:noProof/>
            <w:webHidden/>
          </w:rPr>
          <w:tab/>
        </w:r>
        <w:r w:rsidR="0098040A">
          <w:rPr>
            <w:noProof/>
            <w:webHidden/>
          </w:rPr>
          <w:fldChar w:fldCharType="begin"/>
        </w:r>
        <w:r w:rsidR="0098040A">
          <w:rPr>
            <w:noProof/>
            <w:webHidden/>
          </w:rPr>
          <w:instrText xml:space="preserve"> PAGEREF _Toc136412154 \h </w:instrText>
        </w:r>
        <w:r w:rsidR="0098040A">
          <w:rPr>
            <w:noProof/>
            <w:webHidden/>
          </w:rPr>
        </w:r>
        <w:r w:rsidR="0098040A">
          <w:rPr>
            <w:noProof/>
            <w:webHidden/>
          </w:rPr>
          <w:fldChar w:fldCharType="separate"/>
        </w:r>
        <w:r w:rsidR="0098040A">
          <w:rPr>
            <w:noProof/>
            <w:webHidden/>
          </w:rPr>
          <w:t>44</w:t>
        </w:r>
        <w:r w:rsidR="0098040A">
          <w:rPr>
            <w:noProof/>
            <w:webHidden/>
          </w:rPr>
          <w:fldChar w:fldCharType="end"/>
        </w:r>
      </w:hyperlink>
    </w:p>
    <w:p w14:paraId="7F2EB6CB" w14:textId="1BFAAF5A" w:rsidR="0098040A" w:rsidRDefault="001E511A">
      <w:pPr>
        <w:pStyle w:val="Obsah4"/>
        <w:rPr>
          <w:rFonts w:asciiTheme="minorHAnsi" w:eastAsiaTheme="minorEastAsia" w:hAnsiTheme="minorHAnsi" w:cstheme="minorBidi"/>
          <w:noProof/>
          <w:sz w:val="22"/>
          <w:szCs w:val="22"/>
        </w:rPr>
      </w:pPr>
      <w:hyperlink w:anchor="_Toc136412155" w:history="1">
        <w:r w:rsidR="0098040A" w:rsidRPr="00184340">
          <w:rPr>
            <w:rStyle w:val="Hypertextovodkaz"/>
            <w:noProof/>
          </w:rPr>
          <w:t>4.4.1 Vliv pandemie covid-19 na dávky nemocenského pojištění</w:t>
        </w:r>
        <w:r w:rsidR="0098040A">
          <w:rPr>
            <w:noProof/>
            <w:webHidden/>
          </w:rPr>
          <w:tab/>
        </w:r>
        <w:r w:rsidR="0098040A">
          <w:rPr>
            <w:noProof/>
            <w:webHidden/>
          </w:rPr>
          <w:fldChar w:fldCharType="begin"/>
        </w:r>
        <w:r w:rsidR="0098040A">
          <w:rPr>
            <w:noProof/>
            <w:webHidden/>
          </w:rPr>
          <w:instrText xml:space="preserve"> PAGEREF _Toc136412155 \h </w:instrText>
        </w:r>
        <w:r w:rsidR="0098040A">
          <w:rPr>
            <w:noProof/>
            <w:webHidden/>
          </w:rPr>
        </w:r>
        <w:r w:rsidR="0098040A">
          <w:rPr>
            <w:noProof/>
            <w:webHidden/>
          </w:rPr>
          <w:fldChar w:fldCharType="separate"/>
        </w:r>
        <w:r w:rsidR="0098040A">
          <w:rPr>
            <w:noProof/>
            <w:webHidden/>
          </w:rPr>
          <w:t>46</w:t>
        </w:r>
        <w:r w:rsidR="0098040A">
          <w:rPr>
            <w:noProof/>
            <w:webHidden/>
          </w:rPr>
          <w:fldChar w:fldCharType="end"/>
        </w:r>
      </w:hyperlink>
    </w:p>
    <w:p w14:paraId="3E27945D" w14:textId="5A46F8A1" w:rsidR="0098040A" w:rsidRDefault="001E511A">
      <w:pPr>
        <w:pStyle w:val="Obsah3"/>
        <w:rPr>
          <w:rFonts w:asciiTheme="minorHAnsi" w:eastAsiaTheme="minorEastAsia" w:hAnsiTheme="minorHAnsi" w:cstheme="minorBidi"/>
          <w:noProof/>
          <w:sz w:val="22"/>
          <w:szCs w:val="22"/>
        </w:rPr>
      </w:pPr>
      <w:hyperlink w:anchor="_Toc136412156" w:history="1">
        <w:r w:rsidR="0098040A" w:rsidRPr="00184340">
          <w:rPr>
            <w:rStyle w:val="Hypertextovodkaz"/>
            <w:noProof/>
          </w:rPr>
          <w:t>4.5 Pracovní úrazy</w:t>
        </w:r>
        <w:r w:rsidR="0098040A">
          <w:rPr>
            <w:noProof/>
            <w:webHidden/>
          </w:rPr>
          <w:tab/>
        </w:r>
        <w:r w:rsidR="0098040A">
          <w:rPr>
            <w:noProof/>
            <w:webHidden/>
          </w:rPr>
          <w:fldChar w:fldCharType="begin"/>
        </w:r>
        <w:r w:rsidR="0098040A">
          <w:rPr>
            <w:noProof/>
            <w:webHidden/>
          </w:rPr>
          <w:instrText xml:space="preserve"> PAGEREF _Toc136412156 \h </w:instrText>
        </w:r>
        <w:r w:rsidR="0098040A">
          <w:rPr>
            <w:noProof/>
            <w:webHidden/>
          </w:rPr>
        </w:r>
        <w:r w:rsidR="0098040A">
          <w:rPr>
            <w:noProof/>
            <w:webHidden/>
          </w:rPr>
          <w:fldChar w:fldCharType="separate"/>
        </w:r>
        <w:r w:rsidR="0098040A">
          <w:rPr>
            <w:noProof/>
            <w:webHidden/>
          </w:rPr>
          <w:t>48</w:t>
        </w:r>
        <w:r w:rsidR="0098040A">
          <w:rPr>
            <w:noProof/>
            <w:webHidden/>
          </w:rPr>
          <w:fldChar w:fldCharType="end"/>
        </w:r>
      </w:hyperlink>
    </w:p>
    <w:p w14:paraId="0F738F20" w14:textId="7CFE3C08" w:rsidR="0098040A" w:rsidRDefault="001E511A">
      <w:pPr>
        <w:pStyle w:val="Obsah3"/>
        <w:rPr>
          <w:rFonts w:asciiTheme="minorHAnsi" w:eastAsiaTheme="minorEastAsia" w:hAnsiTheme="minorHAnsi" w:cstheme="minorBidi"/>
          <w:noProof/>
          <w:sz w:val="22"/>
          <w:szCs w:val="22"/>
        </w:rPr>
      </w:pPr>
      <w:hyperlink w:anchor="_Toc136412157" w:history="1">
        <w:r w:rsidR="0098040A" w:rsidRPr="00184340">
          <w:rPr>
            <w:rStyle w:val="Hypertextovodkaz"/>
            <w:noProof/>
          </w:rPr>
          <w:t>4.6 Evropská statistika pracovních úrazů (ESAW)</w:t>
        </w:r>
        <w:r w:rsidR="0098040A">
          <w:rPr>
            <w:noProof/>
            <w:webHidden/>
          </w:rPr>
          <w:tab/>
        </w:r>
        <w:r w:rsidR="0098040A">
          <w:rPr>
            <w:noProof/>
            <w:webHidden/>
          </w:rPr>
          <w:fldChar w:fldCharType="begin"/>
        </w:r>
        <w:r w:rsidR="0098040A">
          <w:rPr>
            <w:noProof/>
            <w:webHidden/>
          </w:rPr>
          <w:instrText xml:space="preserve"> PAGEREF _Toc136412157 \h </w:instrText>
        </w:r>
        <w:r w:rsidR="0098040A">
          <w:rPr>
            <w:noProof/>
            <w:webHidden/>
          </w:rPr>
        </w:r>
        <w:r w:rsidR="0098040A">
          <w:rPr>
            <w:noProof/>
            <w:webHidden/>
          </w:rPr>
          <w:fldChar w:fldCharType="separate"/>
        </w:r>
        <w:r w:rsidR="0098040A">
          <w:rPr>
            <w:noProof/>
            <w:webHidden/>
          </w:rPr>
          <w:t>51</w:t>
        </w:r>
        <w:r w:rsidR="0098040A">
          <w:rPr>
            <w:noProof/>
            <w:webHidden/>
          </w:rPr>
          <w:fldChar w:fldCharType="end"/>
        </w:r>
      </w:hyperlink>
    </w:p>
    <w:p w14:paraId="5F468235" w14:textId="27A8F936" w:rsidR="0098040A" w:rsidRDefault="001E511A">
      <w:pPr>
        <w:pStyle w:val="Obsah3"/>
        <w:rPr>
          <w:rFonts w:asciiTheme="minorHAnsi" w:eastAsiaTheme="minorEastAsia" w:hAnsiTheme="minorHAnsi" w:cstheme="minorBidi"/>
          <w:noProof/>
          <w:sz w:val="22"/>
          <w:szCs w:val="22"/>
        </w:rPr>
      </w:pPr>
      <w:hyperlink w:anchor="_Toc136412158" w:history="1">
        <w:r w:rsidR="0098040A" w:rsidRPr="00184340">
          <w:rPr>
            <w:rStyle w:val="Hypertextovodkaz"/>
            <w:noProof/>
          </w:rPr>
          <w:t>4.7 Závěrečné shrnutí</w:t>
        </w:r>
        <w:r w:rsidR="0098040A">
          <w:rPr>
            <w:noProof/>
            <w:webHidden/>
          </w:rPr>
          <w:tab/>
        </w:r>
        <w:r w:rsidR="0098040A">
          <w:rPr>
            <w:noProof/>
            <w:webHidden/>
          </w:rPr>
          <w:fldChar w:fldCharType="begin"/>
        </w:r>
        <w:r w:rsidR="0098040A">
          <w:rPr>
            <w:noProof/>
            <w:webHidden/>
          </w:rPr>
          <w:instrText xml:space="preserve"> PAGEREF _Toc136412158 \h </w:instrText>
        </w:r>
        <w:r w:rsidR="0098040A">
          <w:rPr>
            <w:noProof/>
            <w:webHidden/>
          </w:rPr>
        </w:r>
        <w:r w:rsidR="0098040A">
          <w:rPr>
            <w:noProof/>
            <w:webHidden/>
          </w:rPr>
          <w:fldChar w:fldCharType="separate"/>
        </w:r>
        <w:r w:rsidR="0098040A">
          <w:rPr>
            <w:noProof/>
            <w:webHidden/>
          </w:rPr>
          <w:t>57</w:t>
        </w:r>
        <w:r w:rsidR="0098040A">
          <w:rPr>
            <w:noProof/>
            <w:webHidden/>
          </w:rPr>
          <w:fldChar w:fldCharType="end"/>
        </w:r>
      </w:hyperlink>
    </w:p>
    <w:p w14:paraId="2EFE2550" w14:textId="7B9912EF" w:rsidR="0098040A" w:rsidRDefault="001E511A">
      <w:pPr>
        <w:pStyle w:val="Obsah2"/>
        <w:rPr>
          <w:rFonts w:asciiTheme="minorHAnsi" w:eastAsiaTheme="minorEastAsia" w:hAnsiTheme="minorHAnsi" w:cstheme="minorBidi"/>
          <w:noProof/>
          <w:sz w:val="22"/>
          <w:szCs w:val="22"/>
        </w:rPr>
      </w:pPr>
      <w:hyperlink w:anchor="_Toc136412159" w:history="1">
        <w:r w:rsidR="0098040A" w:rsidRPr="00184340">
          <w:rPr>
            <w:rStyle w:val="Hypertextovodkaz"/>
            <w:noProof/>
          </w:rPr>
          <w:t>5. Použité zkratky a značky</w:t>
        </w:r>
        <w:r w:rsidR="0098040A">
          <w:rPr>
            <w:noProof/>
            <w:webHidden/>
          </w:rPr>
          <w:tab/>
        </w:r>
        <w:r w:rsidR="0098040A">
          <w:rPr>
            <w:noProof/>
            <w:webHidden/>
          </w:rPr>
          <w:fldChar w:fldCharType="begin"/>
        </w:r>
        <w:r w:rsidR="0098040A">
          <w:rPr>
            <w:noProof/>
            <w:webHidden/>
          </w:rPr>
          <w:instrText xml:space="preserve"> PAGEREF _Toc136412159 \h </w:instrText>
        </w:r>
        <w:r w:rsidR="0098040A">
          <w:rPr>
            <w:noProof/>
            <w:webHidden/>
          </w:rPr>
        </w:r>
        <w:r w:rsidR="0098040A">
          <w:rPr>
            <w:noProof/>
            <w:webHidden/>
          </w:rPr>
          <w:fldChar w:fldCharType="separate"/>
        </w:r>
        <w:r w:rsidR="0098040A">
          <w:rPr>
            <w:noProof/>
            <w:webHidden/>
          </w:rPr>
          <w:t>58</w:t>
        </w:r>
        <w:r w:rsidR="0098040A">
          <w:rPr>
            <w:noProof/>
            <w:webHidden/>
          </w:rPr>
          <w:fldChar w:fldCharType="end"/>
        </w:r>
      </w:hyperlink>
    </w:p>
    <w:p w14:paraId="66EA43C7" w14:textId="13B69B2A" w:rsidR="0098040A" w:rsidRDefault="001E511A">
      <w:pPr>
        <w:pStyle w:val="Obsah2"/>
        <w:rPr>
          <w:rFonts w:asciiTheme="minorHAnsi" w:eastAsiaTheme="minorEastAsia" w:hAnsiTheme="minorHAnsi" w:cstheme="minorBidi"/>
          <w:noProof/>
          <w:sz w:val="22"/>
          <w:szCs w:val="22"/>
        </w:rPr>
      </w:pPr>
      <w:hyperlink w:anchor="_Toc136412160" w:history="1">
        <w:r w:rsidR="0098040A" w:rsidRPr="00184340">
          <w:rPr>
            <w:rStyle w:val="Hypertextovodkaz"/>
            <w:noProof/>
          </w:rPr>
          <w:t>6. Tabulková část – seznam tabulek</w:t>
        </w:r>
        <w:r w:rsidR="0098040A">
          <w:rPr>
            <w:noProof/>
            <w:webHidden/>
          </w:rPr>
          <w:tab/>
        </w:r>
        <w:r w:rsidR="0098040A">
          <w:rPr>
            <w:noProof/>
            <w:webHidden/>
          </w:rPr>
          <w:fldChar w:fldCharType="begin"/>
        </w:r>
        <w:r w:rsidR="0098040A">
          <w:rPr>
            <w:noProof/>
            <w:webHidden/>
          </w:rPr>
          <w:instrText xml:space="preserve"> PAGEREF _Toc136412160 \h </w:instrText>
        </w:r>
        <w:r w:rsidR="0098040A">
          <w:rPr>
            <w:noProof/>
            <w:webHidden/>
          </w:rPr>
        </w:r>
        <w:r w:rsidR="0098040A">
          <w:rPr>
            <w:noProof/>
            <w:webHidden/>
          </w:rPr>
          <w:fldChar w:fldCharType="separate"/>
        </w:r>
        <w:r w:rsidR="0098040A">
          <w:rPr>
            <w:noProof/>
            <w:webHidden/>
          </w:rPr>
          <w:t>59</w:t>
        </w:r>
        <w:r w:rsidR="0098040A">
          <w:rPr>
            <w:noProof/>
            <w:webHidden/>
          </w:rPr>
          <w:fldChar w:fldCharType="end"/>
        </w:r>
      </w:hyperlink>
    </w:p>
    <w:p w14:paraId="7964CC5E" w14:textId="3F8167C1" w:rsidR="008E2C57" w:rsidRPr="006F5416" w:rsidRDefault="00841DC4" w:rsidP="006F5416">
      <w:pPr>
        <w:pStyle w:val="Obsahpoloky"/>
      </w:pPr>
      <w:r>
        <w:rPr>
          <w:b/>
        </w:rPr>
        <w:fldChar w:fldCharType="end"/>
      </w:r>
    </w:p>
    <w:p w14:paraId="2B01343A" w14:textId="77777777" w:rsidR="00EE4B1B" w:rsidRDefault="00852217" w:rsidP="003D2972">
      <w:pPr>
        <w:pStyle w:val="Nadpis2"/>
      </w:pPr>
      <w:r>
        <w:br w:type="page"/>
      </w:r>
      <w:bookmarkStart w:id="0" w:name="_Toc136412138"/>
      <w:r w:rsidR="00A403BA" w:rsidRPr="00BD6D2F">
        <w:lastRenderedPageBreak/>
        <w:t>1. Úvod</w:t>
      </w:r>
      <w:bookmarkEnd w:id="0"/>
    </w:p>
    <w:p w14:paraId="683D5522" w14:textId="77777777" w:rsidR="00A403BA" w:rsidRPr="00D92E20" w:rsidRDefault="00A403BA" w:rsidP="00A403BA">
      <w:pPr>
        <w:pStyle w:val="Odstavecseseznamem"/>
        <w:spacing w:before="60"/>
        <w:ind w:left="0"/>
        <w:jc w:val="both"/>
        <w:rPr>
          <w:rFonts w:cs="Arial"/>
        </w:rPr>
      </w:pPr>
      <w:bookmarkStart w:id="1" w:name="_Toc444112495"/>
      <w:r w:rsidRPr="00D92E20">
        <w:rPr>
          <w:rFonts w:cs="Arial"/>
          <w:b/>
        </w:rPr>
        <w:t>Problematika pracovní neschopnosti pro nemoc a úraz</w:t>
      </w:r>
      <w:r w:rsidRPr="00D92E20">
        <w:rPr>
          <w:rFonts w:cs="Arial"/>
        </w:rPr>
        <w:t xml:space="preserve"> je závažná a z pohledu hodnocení vývoje v čase také zajímavá nejméně ze dvou následujících důvodů. </w:t>
      </w:r>
    </w:p>
    <w:p w14:paraId="13F7DECF" w14:textId="77777777" w:rsidR="00A403BA" w:rsidRPr="00D92E20" w:rsidRDefault="00A403BA" w:rsidP="00A403BA">
      <w:pPr>
        <w:pStyle w:val="Odstavecseseznamem"/>
        <w:numPr>
          <w:ilvl w:val="0"/>
          <w:numId w:val="16"/>
        </w:numPr>
        <w:spacing w:before="60"/>
        <w:jc w:val="both"/>
        <w:rPr>
          <w:rFonts w:cs="Arial"/>
        </w:rPr>
      </w:pPr>
      <w:r w:rsidRPr="00D92E20">
        <w:rPr>
          <w:rFonts w:cs="Arial"/>
          <w:b/>
        </w:rPr>
        <w:t xml:space="preserve">ze zdravotního </w:t>
      </w:r>
      <w:r w:rsidRPr="00D92E20">
        <w:rPr>
          <w:rFonts w:cs="Arial"/>
        </w:rPr>
        <w:t xml:space="preserve">– souvisí se zdravotním stavem zaměstnanců v návaznosti na určitou pracovní činnost, prostředí, pracovní podmínky, používanou techniku a technologii, bezpečnost a hygienu práce apod. </w:t>
      </w:r>
    </w:p>
    <w:p w14:paraId="272B5C6E" w14:textId="77777777" w:rsidR="00A403BA" w:rsidRPr="00D92E20" w:rsidRDefault="00A403BA" w:rsidP="00A403BA">
      <w:pPr>
        <w:pStyle w:val="Odstavecseseznamem"/>
        <w:numPr>
          <w:ilvl w:val="0"/>
          <w:numId w:val="16"/>
        </w:numPr>
        <w:spacing w:before="60" w:after="120"/>
        <w:ind w:left="714" w:hanging="357"/>
        <w:jc w:val="both"/>
        <w:rPr>
          <w:rFonts w:cs="Arial"/>
        </w:rPr>
      </w:pPr>
      <w:r w:rsidRPr="00D92E20">
        <w:rPr>
          <w:rFonts w:cs="Arial"/>
          <w:b/>
        </w:rPr>
        <w:t xml:space="preserve">z ekonomického </w:t>
      </w:r>
      <w:r w:rsidRPr="00D92E20">
        <w:rPr>
          <w:rFonts w:cs="Arial"/>
        </w:rPr>
        <w:t>– vztahuje se totiž k důsledkům nepřítomnosti dočasně práce neschopných v zaměstnání, ke snížení tvorby zdrojů, k čerpání fondu nemocenského pojištění a v neposlední řadě i k vyvolaným nákladům zdravotní péče.</w:t>
      </w:r>
    </w:p>
    <w:p w14:paraId="4585A866" w14:textId="77777777" w:rsidR="00A403BA" w:rsidRPr="00D92E20" w:rsidRDefault="00A403BA" w:rsidP="00A403BA">
      <w:pPr>
        <w:spacing w:before="60" w:after="120"/>
        <w:jc w:val="both"/>
        <w:rPr>
          <w:rFonts w:cs="Arial"/>
        </w:rPr>
      </w:pPr>
      <w:r w:rsidRPr="00D92E20">
        <w:rPr>
          <w:rFonts w:cs="Arial"/>
        </w:rPr>
        <w:t xml:space="preserve">Statistiky pracovní neschopnosti sice nabízí dlouhodobé časové řady, které ukazují mnohé souvislosti a trendy, nicméně je třeba si dobře uvědomit faktory, které zde působí. Zjednodušeně lze říci, že v průběhu času dochází ke změnám dvojího druhu. Jedny jsou projevem „přirozeného“ vývoje, zatímco druhé vycházejí z určitého vědomého rozhodnutí. Oba tyto druhy změn v různé míře ovlivňují hodnoty ukazatelů pracovní neschopnosti a je nutné k nim při analytickém hodnocení přihlížet. </w:t>
      </w:r>
    </w:p>
    <w:p w14:paraId="339A32FD" w14:textId="77777777" w:rsidR="00A403BA" w:rsidRPr="00D92E20" w:rsidRDefault="00A403BA" w:rsidP="00A403BA">
      <w:pPr>
        <w:pStyle w:val="Odstavecseseznamem"/>
        <w:numPr>
          <w:ilvl w:val="0"/>
          <w:numId w:val="17"/>
        </w:numPr>
        <w:spacing w:before="60" w:after="120"/>
        <w:jc w:val="both"/>
        <w:rPr>
          <w:rFonts w:cs="Arial"/>
        </w:rPr>
      </w:pPr>
      <w:r w:rsidRPr="00D92E20">
        <w:rPr>
          <w:rFonts w:cs="Arial"/>
        </w:rPr>
        <w:t xml:space="preserve">Přirozené vlivy jsou např. změny </w:t>
      </w:r>
      <w:r w:rsidRPr="00D92E20">
        <w:rPr>
          <w:rFonts w:cs="Arial"/>
          <w:b/>
        </w:rPr>
        <w:t>demografické</w:t>
      </w:r>
      <w:r w:rsidRPr="00D92E20">
        <w:rPr>
          <w:rFonts w:cs="Arial"/>
        </w:rPr>
        <w:t xml:space="preserve"> (změny počtu </w:t>
      </w:r>
      <w:proofErr w:type="spellStart"/>
      <w:r w:rsidRPr="00D92E20">
        <w:rPr>
          <w:rFonts w:cs="Arial"/>
        </w:rPr>
        <w:t>nemocensky</w:t>
      </w:r>
      <w:proofErr w:type="spellEnd"/>
      <w:r w:rsidRPr="00D92E20">
        <w:rPr>
          <w:rFonts w:cs="Arial"/>
        </w:rPr>
        <w:t xml:space="preserve"> pojištěných, stárnutí obyvatelstva) či </w:t>
      </w:r>
      <w:r w:rsidRPr="00D92E20">
        <w:rPr>
          <w:rFonts w:cs="Arial"/>
          <w:b/>
        </w:rPr>
        <w:t>ekonomické</w:t>
      </w:r>
      <w:r w:rsidRPr="00D92E20">
        <w:rPr>
          <w:rFonts w:cs="Arial"/>
        </w:rPr>
        <w:t xml:space="preserve"> (vývoj nezaměstnanosti, inflace), podobně jako technický a technologický rozvoj (mající dopad na bezpečnost a náročnost práce). </w:t>
      </w:r>
    </w:p>
    <w:p w14:paraId="3DA2D6E6" w14:textId="77777777" w:rsidR="00A403BA" w:rsidRPr="00D92E20" w:rsidRDefault="00A403BA" w:rsidP="00A403BA">
      <w:pPr>
        <w:pStyle w:val="Odstavecseseznamem"/>
        <w:numPr>
          <w:ilvl w:val="0"/>
          <w:numId w:val="17"/>
        </w:numPr>
        <w:spacing w:after="120"/>
        <w:ind w:left="714" w:hanging="357"/>
        <w:jc w:val="both"/>
        <w:rPr>
          <w:rFonts w:cs="Arial"/>
        </w:rPr>
      </w:pPr>
      <w:r w:rsidRPr="00D92E20">
        <w:rPr>
          <w:rFonts w:cs="Arial"/>
        </w:rPr>
        <w:t xml:space="preserve">Vedle toho působí i vědomě prováděná opatření v oblasti </w:t>
      </w:r>
      <w:r w:rsidRPr="00D92E20">
        <w:rPr>
          <w:rFonts w:cs="Arial"/>
          <w:b/>
        </w:rPr>
        <w:t xml:space="preserve">legislativy </w:t>
      </w:r>
      <w:r w:rsidRPr="00D92E20">
        <w:rPr>
          <w:rFonts w:cs="Arial"/>
        </w:rPr>
        <w:t>(např. změny výše dávek a</w:t>
      </w:r>
      <w:r>
        <w:rPr>
          <w:rFonts w:cs="Arial"/>
        </w:rPr>
        <w:t> </w:t>
      </w:r>
      <w:r w:rsidRPr="00D92E20">
        <w:rPr>
          <w:rFonts w:cs="Arial"/>
        </w:rPr>
        <w:t xml:space="preserve">jiných nároků, úpravy pojištění apod.), ale rovněž změny </w:t>
      </w:r>
      <w:r w:rsidRPr="00D92E20">
        <w:rPr>
          <w:rFonts w:cs="Arial"/>
          <w:b/>
        </w:rPr>
        <w:t>metodické</w:t>
      </w:r>
      <w:r w:rsidRPr="00D92E20">
        <w:rPr>
          <w:rFonts w:cs="Arial"/>
        </w:rPr>
        <w:t xml:space="preserve"> (způsob sběru dat, změny klasifikací).</w:t>
      </w:r>
    </w:p>
    <w:p w14:paraId="2B1AF7DE" w14:textId="77777777" w:rsidR="00A403BA" w:rsidRPr="00D92E20" w:rsidRDefault="00A403BA" w:rsidP="00A403BA">
      <w:pPr>
        <w:autoSpaceDE w:val="0"/>
        <w:autoSpaceDN w:val="0"/>
        <w:adjustRightInd w:val="0"/>
        <w:spacing w:after="120"/>
        <w:jc w:val="both"/>
        <w:rPr>
          <w:rFonts w:cs="Arial"/>
        </w:rPr>
      </w:pPr>
      <w:r w:rsidRPr="00D92E20">
        <w:rPr>
          <w:rFonts w:cs="Arial"/>
        </w:rPr>
        <w:t>Údaje o pracovní neschopnosti pro nemoc a úraz vycházejí ze společného zpracování dat</w:t>
      </w:r>
      <w:r w:rsidRPr="00D92E20">
        <w:rPr>
          <w:rFonts w:cs="Arial"/>
          <w:b/>
        </w:rPr>
        <w:t xml:space="preserve"> České správy sociálního zabezpečení </w:t>
      </w:r>
      <w:r w:rsidRPr="00D92E20">
        <w:rPr>
          <w:rFonts w:cs="Arial"/>
        </w:rPr>
        <w:t>(ČSSZ)</w:t>
      </w:r>
      <w:r w:rsidRPr="00D92E20">
        <w:rPr>
          <w:rFonts w:cs="Arial"/>
          <w:b/>
        </w:rPr>
        <w:t xml:space="preserve"> </w:t>
      </w:r>
      <w:r w:rsidRPr="00D92E20">
        <w:rPr>
          <w:rFonts w:cs="Arial"/>
        </w:rPr>
        <w:t>a</w:t>
      </w:r>
      <w:r w:rsidRPr="00D92E20">
        <w:rPr>
          <w:rFonts w:cs="Arial"/>
          <w:b/>
        </w:rPr>
        <w:t xml:space="preserve"> Českého statistického úřadu </w:t>
      </w:r>
      <w:r w:rsidRPr="00D92E20">
        <w:rPr>
          <w:rFonts w:cs="Arial"/>
        </w:rPr>
        <w:t>(ČSÚ) a jsou publikovány vždy za 1. pololetí (na konci října sledovaného roku)</w:t>
      </w:r>
      <w:r w:rsidRPr="00D92E20">
        <w:rPr>
          <w:rFonts w:cs="Arial"/>
          <w:vertAlign w:val="superscript"/>
        </w:rPr>
        <w:t xml:space="preserve"> </w:t>
      </w:r>
      <w:r w:rsidRPr="00D92E20">
        <w:rPr>
          <w:rFonts w:cs="Arial"/>
        </w:rPr>
        <w:t>a za celý rok (na konci května následujícího roku)</w:t>
      </w:r>
      <w:r w:rsidRPr="00D92E20">
        <w:rPr>
          <w:rStyle w:val="Znakapoznpodarou"/>
          <w:rFonts w:cs="Arial"/>
        </w:rPr>
        <w:footnoteReference w:id="1"/>
      </w:r>
      <w:r w:rsidRPr="00D92E20">
        <w:rPr>
          <w:rFonts w:cs="Arial"/>
        </w:rPr>
        <w:t>.</w:t>
      </w:r>
    </w:p>
    <w:p w14:paraId="44A3CFF9" w14:textId="68626AA9" w:rsidR="00A403BA" w:rsidRPr="00D92E20" w:rsidRDefault="00A403BA" w:rsidP="00A403BA">
      <w:pPr>
        <w:spacing w:after="120"/>
        <w:jc w:val="both"/>
      </w:pPr>
      <w:r w:rsidRPr="00D92E20">
        <w:t xml:space="preserve">Tato publikace přináší základní údaje o dočasné pracovní neschopnosti pracujících obyvatel ČR z důvodu nemoci či úrazu </w:t>
      </w:r>
      <w:r w:rsidRPr="00D92E20">
        <w:rPr>
          <w:b/>
        </w:rPr>
        <w:t>v</w:t>
      </w:r>
      <w:r>
        <w:rPr>
          <w:b/>
        </w:rPr>
        <w:t xml:space="preserve"> roce </w:t>
      </w:r>
      <w:r w:rsidRPr="00D92E20">
        <w:rPr>
          <w:b/>
        </w:rPr>
        <w:t>202</w:t>
      </w:r>
      <w:r w:rsidR="0040391F">
        <w:rPr>
          <w:b/>
        </w:rPr>
        <w:t>2</w:t>
      </w:r>
      <w:r w:rsidRPr="00D92E20">
        <w:t xml:space="preserve"> a u vybraných ukazatelů jejich vývoj v delší </w:t>
      </w:r>
      <w:r w:rsidRPr="00D92E20">
        <w:rPr>
          <w:b/>
        </w:rPr>
        <w:t>časové řadě (201</w:t>
      </w:r>
      <w:r w:rsidR="0040391F">
        <w:rPr>
          <w:b/>
        </w:rPr>
        <w:t>2</w:t>
      </w:r>
      <w:r w:rsidRPr="00D92E20">
        <w:rPr>
          <w:b/>
        </w:rPr>
        <w:t>–202</w:t>
      </w:r>
      <w:r w:rsidR="0040391F">
        <w:rPr>
          <w:b/>
        </w:rPr>
        <w:t>2</w:t>
      </w:r>
      <w:r w:rsidRPr="00D92E20">
        <w:rPr>
          <w:b/>
        </w:rPr>
        <w:t>).</w:t>
      </w:r>
    </w:p>
    <w:p w14:paraId="5B6E5281" w14:textId="77777777" w:rsidR="00A403BA" w:rsidRPr="00D92E20" w:rsidRDefault="00A403BA" w:rsidP="00A403BA">
      <w:pPr>
        <w:autoSpaceDE w:val="0"/>
        <w:autoSpaceDN w:val="0"/>
        <w:adjustRightInd w:val="0"/>
        <w:spacing w:after="120"/>
        <w:jc w:val="both"/>
        <w:rPr>
          <w:rFonts w:cs="Arial"/>
        </w:rPr>
      </w:pPr>
      <w:r w:rsidRPr="00D92E20">
        <w:rPr>
          <w:rFonts w:cs="Arial"/>
        </w:rPr>
        <w:t xml:space="preserve">Publikace je členěna na textovou a tabulkovou část. </w:t>
      </w:r>
      <w:r w:rsidRPr="00D92E20">
        <w:rPr>
          <w:rFonts w:cs="Arial"/>
          <w:b/>
        </w:rPr>
        <w:t>Textová část</w:t>
      </w:r>
      <w:r w:rsidRPr="00D92E20">
        <w:rPr>
          <w:rFonts w:cs="Arial"/>
        </w:rPr>
        <w:t xml:space="preserve"> nejprve obsahuje stručné seznámení s legislativní úpravou nemocenského pojištění, vč. významných legislativních změn ovlivňujících podstatným způsobem vývoj ukazatelů pracovní neschopnosti. Dále textová část pokračuje popisem metodiky zpracování dat dočasné pracovní neschopnosti prostřednictvím systémů ČSSZ a ČSÚ a výčtem dalších možných </w:t>
      </w:r>
      <w:r>
        <w:rPr>
          <w:rFonts w:cs="Arial"/>
        </w:rPr>
        <w:t xml:space="preserve">zdrojů dat v oblasti statistiky </w:t>
      </w:r>
      <w:r w:rsidRPr="00D92E20">
        <w:rPr>
          <w:rFonts w:cs="Arial"/>
        </w:rPr>
        <w:t xml:space="preserve">nemocnosti a úrazovosti. Stěžejní část tvoří </w:t>
      </w:r>
      <w:r w:rsidRPr="00D92E20">
        <w:rPr>
          <w:rFonts w:cs="Arial"/>
          <w:b/>
        </w:rPr>
        <w:t>analýza</w:t>
      </w:r>
      <w:r w:rsidRPr="00D92E20">
        <w:rPr>
          <w:rFonts w:cs="Arial"/>
        </w:rPr>
        <w:t>, která přináší rozbor vývoje a intenzity základních ukazatelů dočasné pracovní neschopnosti pro nemoc a úraz v ČR vč</w:t>
      </w:r>
      <w:r>
        <w:rPr>
          <w:rFonts w:cs="Arial"/>
        </w:rPr>
        <w:t>etně</w:t>
      </w:r>
      <w:r w:rsidRPr="00D92E20">
        <w:rPr>
          <w:rFonts w:cs="Arial"/>
        </w:rPr>
        <w:t xml:space="preserve"> definic sledovaných indikátorů. Je doplněna i daty z jiných dostupných zdrojů. Data z ČSSZ do</w:t>
      </w:r>
      <w:r>
        <w:rPr>
          <w:rFonts w:cs="Arial"/>
        </w:rPr>
        <w:t>kreslují</w:t>
      </w:r>
      <w:r w:rsidRPr="00D92E20">
        <w:rPr>
          <w:rFonts w:cs="Arial"/>
        </w:rPr>
        <w:t xml:space="preserve"> pohled na tuto oblast statistiky pomocí ukončených případů dočasné pracovní neschopnosti, </w:t>
      </w:r>
      <w:r w:rsidRPr="00BD6D2F">
        <w:rPr>
          <w:rFonts w:cs="Arial"/>
        </w:rPr>
        <w:t>počtu karantén</w:t>
      </w:r>
      <w:r w:rsidRPr="00D92E20">
        <w:rPr>
          <w:rFonts w:cs="Arial"/>
        </w:rPr>
        <w:t xml:space="preserve"> a výdajů na dávky nemocenského pojištění. Údaje ze Státního úřadu inspekce práce (SÚIP) </w:t>
      </w:r>
      <w:r>
        <w:rPr>
          <w:rFonts w:cs="Arial"/>
        </w:rPr>
        <w:t>a</w:t>
      </w:r>
      <w:r w:rsidR="003D2972">
        <w:rPr>
          <w:rFonts w:cs="Arial"/>
        </w:rPr>
        <w:t> </w:t>
      </w:r>
      <w:proofErr w:type="spellStart"/>
      <w:r>
        <w:rPr>
          <w:rFonts w:cs="Arial"/>
        </w:rPr>
        <w:t>Eurostatu</w:t>
      </w:r>
      <w:proofErr w:type="spellEnd"/>
      <w:r>
        <w:rPr>
          <w:rFonts w:cs="Arial"/>
        </w:rPr>
        <w:t xml:space="preserve"> popisují</w:t>
      </w:r>
      <w:r w:rsidRPr="00D92E20">
        <w:rPr>
          <w:rFonts w:cs="Arial"/>
        </w:rPr>
        <w:t xml:space="preserve"> pracovní</w:t>
      </w:r>
      <w:r>
        <w:rPr>
          <w:rFonts w:cs="Arial"/>
        </w:rPr>
        <w:t xml:space="preserve"> úrazovost</w:t>
      </w:r>
      <w:r w:rsidRPr="00D92E20">
        <w:rPr>
          <w:rFonts w:cs="Arial"/>
        </w:rPr>
        <w:t>.</w:t>
      </w:r>
    </w:p>
    <w:p w14:paraId="326010E8" w14:textId="77777777" w:rsidR="00A403BA" w:rsidRPr="00D92E20" w:rsidRDefault="00A403BA" w:rsidP="00A403BA">
      <w:pPr>
        <w:autoSpaceDE w:val="0"/>
        <w:autoSpaceDN w:val="0"/>
        <w:adjustRightInd w:val="0"/>
        <w:spacing w:after="60"/>
        <w:jc w:val="both"/>
        <w:rPr>
          <w:rFonts w:cs="Arial"/>
        </w:rPr>
      </w:pPr>
      <w:r w:rsidRPr="00D92E20">
        <w:rPr>
          <w:rFonts w:cs="Arial"/>
        </w:rPr>
        <w:t xml:space="preserve">Publikace nabízí zejména údaje o </w:t>
      </w:r>
      <w:r w:rsidRPr="00D92E20">
        <w:rPr>
          <w:rFonts w:cs="Arial"/>
          <w:b/>
        </w:rPr>
        <w:t>nově hlášených případech dočasné pracovní neschopnosti pro nemoc a úraz</w:t>
      </w:r>
      <w:r w:rsidRPr="00D92E20">
        <w:rPr>
          <w:rFonts w:cs="Arial"/>
        </w:rPr>
        <w:t xml:space="preserve"> (kapitola 4.2) a související ukazatele:</w:t>
      </w:r>
    </w:p>
    <w:p w14:paraId="2A75594B" w14:textId="77777777" w:rsidR="00A403BA" w:rsidRPr="00D92E20" w:rsidRDefault="00A403BA" w:rsidP="00A403BA">
      <w:pPr>
        <w:pStyle w:val="Odstavecseseznamem"/>
        <w:numPr>
          <w:ilvl w:val="0"/>
          <w:numId w:val="14"/>
        </w:numPr>
        <w:autoSpaceDE w:val="0"/>
        <w:autoSpaceDN w:val="0"/>
        <w:adjustRightInd w:val="0"/>
        <w:jc w:val="both"/>
        <w:rPr>
          <w:rFonts w:cs="Arial"/>
        </w:rPr>
      </w:pPr>
      <w:r w:rsidRPr="00D92E20">
        <w:rPr>
          <w:rFonts w:cs="Arial"/>
        </w:rPr>
        <w:t xml:space="preserve">průměrný počet </w:t>
      </w:r>
      <w:proofErr w:type="spellStart"/>
      <w:r w:rsidRPr="00D92E20">
        <w:rPr>
          <w:rFonts w:cs="Arial"/>
        </w:rPr>
        <w:t>nemocensky</w:t>
      </w:r>
      <w:proofErr w:type="spellEnd"/>
      <w:r w:rsidRPr="00D92E20">
        <w:rPr>
          <w:rFonts w:cs="Arial"/>
        </w:rPr>
        <w:t xml:space="preserve"> pojištěných osob,</w:t>
      </w:r>
    </w:p>
    <w:p w14:paraId="72EF50E2" w14:textId="77777777" w:rsidR="00A403BA" w:rsidRPr="00D92E20" w:rsidRDefault="00A403BA" w:rsidP="00A403BA">
      <w:pPr>
        <w:pStyle w:val="Odstavecseseznamem"/>
        <w:numPr>
          <w:ilvl w:val="0"/>
          <w:numId w:val="14"/>
        </w:numPr>
        <w:autoSpaceDE w:val="0"/>
        <w:autoSpaceDN w:val="0"/>
        <w:adjustRightInd w:val="0"/>
        <w:jc w:val="both"/>
        <w:rPr>
          <w:rFonts w:cs="Arial"/>
        </w:rPr>
      </w:pPr>
      <w:r w:rsidRPr="00D92E20">
        <w:rPr>
          <w:rFonts w:cs="Arial"/>
        </w:rPr>
        <w:t xml:space="preserve">počet nově hlášených případů pracovní neschopnosti na 100 </w:t>
      </w:r>
      <w:proofErr w:type="spellStart"/>
      <w:r w:rsidRPr="00D92E20">
        <w:rPr>
          <w:rFonts w:cs="Arial"/>
        </w:rPr>
        <w:t>nemocensky</w:t>
      </w:r>
      <w:proofErr w:type="spellEnd"/>
      <w:r w:rsidRPr="00D92E20">
        <w:rPr>
          <w:rFonts w:cs="Arial"/>
        </w:rPr>
        <w:t xml:space="preserve"> pojištěných osob,</w:t>
      </w:r>
    </w:p>
    <w:p w14:paraId="61FEE89C" w14:textId="77777777" w:rsidR="00A403BA" w:rsidRPr="00D92E20" w:rsidRDefault="00A403BA" w:rsidP="00A403BA">
      <w:pPr>
        <w:pStyle w:val="Odstavecseseznamem"/>
        <w:numPr>
          <w:ilvl w:val="0"/>
          <w:numId w:val="14"/>
        </w:numPr>
        <w:autoSpaceDE w:val="0"/>
        <w:autoSpaceDN w:val="0"/>
        <w:adjustRightInd w:val="0"/>
        <w:jc w:val="both"/>
        <w:rPr>
          <w:rFonts w:cs="Arial"/>
        </w:rPr>
      </w:pPr>
      <w:r w:rsidRPr="00D92E20">
        <w:rPr>
          <w:rFonts w:cs="Arial"/>
        </w:rPr>
        <w:t>počet kalendářních dnů pracovní neschopnosti,</w:t>
      </w:r>
    </w:p>
    <w:p w14:paraId="0B2E81EA" w14:textId="77777777" w:rsidR="00A403BA" w:rsidRPr="00D92E20" w:rsidRDefault="00A403BA" w:rsidP="00A403BA">
      <w:pPr>
        <w:pStyle w:val="Odstavecseseznamem"/>
        <w:numPr>
          <w:ilvl w:val="0"/>
          <w:numId w:val="14"/>
        </w:numPr>
        <w:autoSpaceDE w:val="0"/>
        <w:autoSpaceDN w:val="0"/>
        <w:adjustRightInd w:val="0"/>
        <w:jc w:val="both"/>
        <w:rPr>
          <w:rFonts w:cs="Arial"/>
        </w:rPr>
      </w:pPr>
      <w:r w:rsidRPr="00D92E20">
        <w:rPr>
          <w:rFonts w:cs="Arial"/>
        </w:rPr>
        <w:t>průměrná délka trvání jednoho případu pracovní neschopnosti,</w:t>
      </w:r>
    </w:p>
    <w:p w14:paraId="123AAE4D" w14:textId="77777777" w:rsidR="00A403BA" w:rsidRPr="00D92E20" w:rsidRDefault="00A403BA" w:rsidP="00A403BA">
      <w:pPr>
        <w:pStyle w:val="Odstavecseseznamem"/>
        <w:numPr>
          <w:ilvl w:val="0"/>
          <w:numId w:val="14"/>
        </w:numPr>
        <w:autoSpaceDE w:val="0"/>
        <w:autoSpaceDN w:val="0"/>
        <w:adjustRightInd w:val="0"/>
        <w:jc w:val="both"/>
        <w:rPr>
          <w:rFonts w:cs="Arial"/>
        </w:rPr>
      </w:pPr>
      <w:r w:rsidRPr="00D92E20">
        <w:rPr>
          <w:rFonts w:cs="Arial"/>
        </w:rPr>
        <w:t>průměrné procento pracovní neschopnosti,</w:t>
      </w:r>
    </w:p>
    <w:p w14:paraId="703D6D9A" w14:textId="77777777" w:rsidR="00A403BA" w:rsidRPr="00D92E20" w:rsidRDefault="00A403BA" w:rsidP="00A403BA">
      <w:pPr>
        <w:pStyle w:val="Odstavecseseznamem"/>
        <w:numPr>
          <w:ilvl w:val="0"/>
          <w:numId w:val="14"/>
        </w:numPr>
        <w:autoSpaceDE w:val="0"/>
        <w:autoSpaceDN w:val="0"/>
        <w:adjustRightInd w:val="0"/>
        <w:jc w:val="both"/>
        <w:rPr>
          <w:rFonts w:cs="Arial"/>
        </w:rPr>
      </w:pPr>
      <w:r w:rsidRPr="00D92E20">
        <w:rPr>
          <w:rFonts w:cs="Arial"/>
        </w:rPr>
        <w:t>průměrný denní stav dočasně práce neschopných,</w:t>
      </w:r>
    </w:p>
    <w:p w14:paraId="7FA29E88" w14:textId="77777777" w:rsidR="00A403BA" w:rsidRPr="00D92E20" w:rsidRDefault="00A403BA" w:rsidP="00A403BA">
      <w:pPr>
        <w:pStyle w:val="Odstavecseseznamem"/>
        <w:numPr>
          <w:ilvl w:val="0"/>
          <w:numId w:val="14"/>
        </w:numPr>
        <w:autoSpaceDE w:val="0"/>
        <w:autoSpaceDN w:val="0"/>
        <w:adjustRightInd w:val="0"/>
        <w:spacing w:after="120"/>
        <w:ind w:left="714" w:hanging="357"/>
        <w:jc w:val="both"/>
        <w:rPr>
          <w:rFonts w:cs="Arial"/>
        </w:rPr>
      </w:pPr>
      <w:r w:rsidRPr="00D92E20">
        <w:rPr>
          <w:rFonts w:cs="Arial"/>
        </w:rPr>
        <w:t>počet pracovních úrazů s pracovní neschopností delší než 3 dny</w:t>
      </w:r>
      <w:r>
        <w:rPr>
          <w:rFonts w:cs="Arial"/>
        </w:rPr>
        <w:t xml:space="preserve"> (kap. 4.5)</w:t>
      </w:r>
      <w:r w:rsidRPr="00D92E20">
        <w:rPr>
          <w:rFonts w:cs="Arial"/>
        </w:rPr>
        <w:t>.</w:t>
      </w:r>
    </w:p>
    <w:p w14:paraId="1CA8D5B3" w14:textId="77777777" w:rsidR="00A403BA" w:rsidRPr="00D92E20" w:rsidRDefault="00A403BA" w:rsidP="00A403BA">
      <w:pPr>
        <w:autoSpaceDE w:val="0"/>
        <w:autoSpaceDN w:val="0"/>
        <w:adjustRightInd w:val="0"/>
        <w:spacing w:after="120"/>
        <w:jc w:val="both"/>
        <w:rPr>
          <w:rFonts w:cs="Arial"/>
          <w:szCs w:val="20"/>
        </w:rPr>
      </w:pPr>
      <w:r w:rsidRPr="00D92E20">
        <w:rPr>
          <w:rFonts w:cs="Arial"/>
          <w:szCs w:val="20"/>
        </w:rPr>
        <w:lastRenderedPageBreak/>
        <w:t>Předkládané ukazatele jsou k dispozici v celé řadě třídění</w:t>
      </w:r>
      <w:r>
        <w:rPr>
          <w:rFonts w:cs="Arial"/>
          <w:szCs w:val="20"/>
        </w:rPr>
        <w:t>:</w:t>
      </w:r>
      <w:r w:rsidRPr="00D92E20">
        <w:rPr>
          <w:rFonts w:cs="Arial"/>
          <w:szCs w:val="20"/>
        </w:rPr>
        <w:t xml:space="preserve"> např. podle kraje a okresu, velikosti podniku, převažující ekonomické činnosti a sektoru zaměstnavatele </w:t>
      </w:r>
      <w:proofErr w:type="spellStart"/>
      <w:r w:rsidRPr="00D92E20">
        <w:rPr>
          <w:rFonts w:cs="Arial"/>
          <w:szCs w:val="20"/>
        </w:rPr>
        <w:t>nemocensky</w:t>
      </w:r>
      <w:proofErr w:type="spellEnd"/>
      <w:r w:rsidRPr="00D92E20">
        <w:rPr>
          <w:rFonts w:cs="Arial"/>
          <w:szCs w:val="20"/>
        </w:rPr>
        <w:t xml:space="preserve"> pojištěných osob. Členění do krajů a okresů vychází z údaje o sídle útvaru, </w:t>
      </w:r>
      <w:r w:rsidR="001E0F29">
        <w:rPr>
          <w:rFonts w:cs="Arial"/>
          <w:szCs w:val="20"/>
        </w:rPr>
        <w:t xml:space="preserve">kde je vedena evidence mezd </w:t>
      </w:r>
      <w:r w:rsidRPr="00D92E20">
        <w:rPr>
          <w:rFonts w:cs="Arial"/>
          <w:szCs w:val="20"/>
        </w:rPr>
        <w:t xml:space="preserve">zaměstnavateli osoby, která je v pracovní neschopnosti. Vedle údajů o zaměstnancích publikace poskytuje také data o </w:t>
      </w:r>
      <w:proofErr w:type="spellStart"/>
      <w:r w:rsidRPr="00D92E20">
        <w:rPr>
          <w:rFonts w:cs="Arial"/>
          <w:szCs w:val="20"/>
        </w:rPr>
        <w:t>nemocensky</w:t>
      </w:r>
      <w:proofErr w:type="spellEnd"/>
      <w:r w:rsidRPr="00D92E20">
        <w:rPr>
          <w:rFonts w:cs="Arial"/>
          <w:szCs w:val="20"/>
        </w:rPr>
        <w:t xml:space="preserve"> pojištěných osobách samostatně výdělečně činných (OSVČ).</w:t>
      </w:r>
    </w:p>
    <w:p w14:paraId="141AE51C" w14:textId="0B9CFCC4" w:rsidR="00A403BA" w:rsidRPr="00D92E20" w:rsidRDefault="00A403BA" w:rsidP="00A403BA">
      <w:pPr>
        <w:autoSpaceDE w:val="0"/>
        <w:autoSpaceDN w:val="0"/>
        <w:adjustRightInd w:val="0"/>
        <w:spacing w:after="120"/>
        <w:jc w:val="both"/>
        <w:rPr>
          <w:rFonts w:cs="Arial"/>
          <w:szCs w:val="20"/>
        </w:rPr>
      </w:pPr>
      <w:r w:rsidRPr="00D92E20">
        <w:rPr>
          <w:rFonts w:cs="Arial"/>
          <w:szCs w:val="20"/>
        </w:rPr>
        <w:t xml:space="preserve">Kromě podrobných dat o nově hlášených případech, přináší publikace v kapitole 4.3 i údaje o </w:t>
      </w:r>
      <w:r w:rsidRPr="00D92E20">
        <w:rPr>
          <w:rFonts w:cs="Arial"/>
          <w:b/>
          <w:szCs w:val="20"/>
        </w:rPr>
        <w:t>ukončených případech</w:t>
      </w:r>
      <w:r w:rsidRPr="00D92E20">
        <w:rPr>
          <w:rFonts w:cs="Arial"/>
          <w:szCs w:val="20"/>
        </w:rPr>
        <w:t xml:space="preserve"> podle pohlaví a věku osob dočasně práce neschopných. Počty ukončených případů jsou dostupné také podle příčiny pracovní neschopnosti dle </w:t>
      </w:r>
      <w:r w:rsidR="00934CF9">
        <w:rPr>
          <w:rFonts w:cs="Arial"/>
          <w:szCs w:val="20"/>
        </w:rPr>
        <w:t>skupin</w:t>
      </w:r>
      <w:r w:rsidR="00934CF9" w:rsidRPr="00D92E20">
        <w:rPr>
          <w:rFonts w:cs="Arial"/>
          <w:szCs w:val="20"/>
        </w:rPr>
        <w:t xml:space="preserve"> </w:t>
      </w:r>
      <w:r w:rsidRPr="00D92E20">
        <w:rPr>
          <w:rFonts w:cs="Arial"/>
          <w:szCs w:val="20"/>
        </w:rPr>
        <w:t>diagnóz či délky jejího trvání.</w:t>
      </w:r>
    </w:p>
    <w:p w14:paraId="66D415AC" w14:textId="54357533" w:rsidR="00A403BA" w:rsidRPr="00D92E20" w:rsidRDefault="00A403BA" w:rsidP="00A403BA">
      <w:pPr>
        <w:autoSpaceDE w:val="0"/>
        <w:autoSpaceDN w:val="0"/>
        <w:adjustRightInd w:val="0"/>
        <w:spacing w:after="120"/>
        <w:jc w:val="both"/>
        <w:rPr>
          <w:rFonts w:cs="Arial"/>
          <w:szCs w:val="20"/>
        </w:rPr>
      </w:pPr>
      <w:r w:rsidRPr="00D92E20">
        <w:rPr>
          <w:rFonts w:cs="Arial"/>
          <w:szCs w:val="20"/>
        </w:rPr>
        <w:t xml:space="preserve">Kapitola 4.4 je věnována výši výdajů na jednotlivé dávky placené z nemocenského pojištění. Následuje kapitola </w:t>
      </w:r>
      <w:r>
        <w:rPr>
          <w:rFonts w:cs="Arial"/>
          <w:szCs w:val="20"/>
        </w:rPr>
        <w:t xml:space="preserve">4.5 </w:t>
      </w:r>
      <w:r w:rsidRPr="00D92E20">
        <w:rPr>
          <w:rFonts w:cs="Arial"/>
          <w:szCs w:val="20"/>
        </w:rPr>
        <w:t>o pracovních úrazech.</w:t>
      </w:r>
      <w:r w:rsidR="003D2972">
        <w:rPr>
          <w:rFonts w:cs="Arial"/>
          <w:szCs w:val="20"/>
        </w:rPr>
        <w:t xml:space="preserve"> Nejprve v národním pojetí, poté v evropském srovnání.</w:t>
      </w:r>
    </w:p>
    <w:p w14:paraId="715051A8" w14:textId="77777777" w:rsidR="00A403BA" w:rsidRPr="00D92E20" w:rsidRDefault="00A403BA" w:rsidP="00A403BA">
      <w:pPr>
        <w:autoSpaceDE w:val="0"/>
        <w:autoSpaceDN w:val="0"/>
        <w:adjustRightInd w:val="0"/>
        <w:spacing w:after="60"/>
        <w:jc w:val="both"/>
        <w:rPr>
          <w:rFonts w:cs="Arial"/>
          <w:szCs w:val="20"/>
        </w:rPr>
      </w:pPr>
      <w:r w:rsidRPr="00D92E20">
        <w:rPr>
          <w:rFonts w:cs="Arial"/>
          <w:b/>
          <w:szCs w:val="20"/>
        </w:rPr>
        <w:t>Tabulková část</w:t>
      </w:r>
      <w:r w:rsidRPr="00D92E20">
        <w:rPr>
          <w:rFonts w:cs="Arial"/>
          <w:szCs w:val="20"/>
        </w:rPr>
        <w:t xml:space="preserve"> publikace obsahuje datové výstupy ze zpracování nově hlášených případů dočasné pracovní neschopnosti zaměstnanců a OSVČ v členění dle:</w:t>
      </w:r>
    </w:p>
    <w:p w14:paraId="315982A2" w14:textId="77777777" w:rsidR="00A403BA" w:rsidRPr="00D92E20" w:rsidRDefault="00A403BA" w:rsidP="00A403BA">
      <w:pPr>
        <w:pStyle w:val="Odstavecseseznamem"/>
        <w:numPr>
          <w:ilvl w:val="0"/>
          <w:numId w:val="15"/>
        </w:numPr>
        <w:autoSpaceDE w:val="0"/>
        <w:autoSpaceDN w:val="0"/>
        <w:adjustRightInd w:val="0"/>
        <w:jc w:val="both"/>
        <w:rPr>
          <w:rFonts w:cs="Arial"/>
          <w:szCs w:val="20"/>
        </w:rPr>
      </w:pPr>
      <w:r w:rsidRPr="00D92E20">
        <w:rPr>
          <w:rFonts w:cs="Arial"/>
          <w:szCs w:val="20"/>
        </w:rPr>
        <w:t xml:space="preserve">pohlaví </w:t>
      </w:r>
      <w:proofErr w:type="spellStart"/>
      <w:r w:rsidRPr="00D92E20">
        <w:rPr>
          <w:rFonts w:cs="Arial"/>
          <w:szCs w:val="20"/>
        </w:rPr>
        <w:t>nemocensky</w:t>
      </w:r>
      <w:proofErr w:type="spellEnd"/>
      <w:r w:rsidRPr="00D92E20">
        <w:rPr>
          <w:rFonts w:cs="Arial"/>
          <w:szCs w:val="20"/>
        </w:rPr>
        <w:t xml:space="preserve"> pojištěných osob,</w:t>
      </w:r>
    </w:p>
    <w:p w14:paraId="51F54A35" w14:textId="77777777" w:rsidR="00A403BA" w:rsidRPr="00D92E20" w:rsidRDefault="00A403BA" w:rsidP="00A403BA">
      <w:pPr>
        <w:pStyle w:val="Odstavecseseznamem"/>
        <w:numPr>
          <w:ilvl w:val="0"/>
          <w:numId w:val="15"/>
        </w:numPr>
        <w:autoSpaceDE w:val="0"/>
        <w:autoSpaceDN w:val="0"/>
        <w:adjustRightInd w:val="0"/>
        <w:jc w:val="both"/>
        <w:rPr>
          <w:rFonts w:cs="Arial"/>
          <w:szCs w:val="20"/>
        </w:rPr>
      </w:pPr>
      <w:r w:rsidRPr="00D92E20">
        <w:rPr>
          <w:rFonts w:cs="Arial"/>
          <w:szCs w:val="20"/>
        </w:rPr>
        <w:t xml:space="preserve">postavení v zaměstnání </w:t>
      </w:r>
      <w:proofErr w:type="spellStart"/>
      <w:r w:rsidRPr="00D92E20">
        <w:rPr>
          <w:rFonts w:cs="Arial"/>
          <w:szCs w:val="20"/>
        </w:rPr>
        <w:t>nemocensky</w:t>
      </w:r>
      <w:proofErr w:type="spellEnd"/>
      <w:r w:rsidRPr="00D92E20">
        <w:rPr>
          <w:rFonts w:cs="Arial"/>
          <w:szCs w:val="20"/>
        </w:rPr>
        <w:t xml:space="preserve"> pojištěných osob (zaměstnanci, OSVČ),</w:t>
      </w:r>
    </w:p>
    <w:p w14:paraId="4A2CA66D" w14:textId="77777777" w:rsidR="00A403BA" w:rsidRPr="00D92E20" w:rsidRDefault="00A403BA" w:rsidP="00A403BA">
      <w:pPr>
        <w:pStyle w:val="Odstavecseseznamem"/>
        <w:numPr>
          <w:ilvl w:val="0"/>
          <w:numId w:val="15"/>
        </w:numPr>
        <w:autoSpaceDE w:val="0"/>
        <w:autoSpaceDN w:val="0"/>
        <w:adjustRightInd w:val="0"/>
        <w:jc w:val="both"/>
        <w:rPr>
          <w:rFonts w:cs="Arial"/>
          <w:szCs w:val="20"/>
        </w:rPr>
      </w:pPr>
      <w:r w:rsidRPr="00D92E20">
        <w:rPr>
          <w:rFonts w:cs="Arial"/>
          <w:szCs w:val="20"/>
        </w:rPr>
        <w:t>velikosti ekonomického subjektu (dle počtu zaměstnanců),</w:t>
      </w:r>
    </w:p>
    <w:p w14:paraId="2DF96EE7" w14:textId="77777777" w:rsidR="00A403BA" w:rsidRPr="00D92E20" w:rsidRDefault="00A403BA" w:rsidP="00A403BA">
      <w:pPr>
        <w:pStyle w:val="Odstavecseseznamem"/>
        <w:numPr>
          <w:ilvl w:val="0"/>
          <w:numId w:val="15"/>
        </w:numPr>
        <w:autoSpaceDE w:val="0"/>
        <w:autoSpaceDN w:val="0"/>
        <w:adjustRightInd w:val="0"/>
        <w:jc w:val="both"/>
        <w:rPr>
          <w:rFonts w:cs="Arial"/>
          <w:szCs w:val="20"/>
        </w:rPr>
      </w:pPr>
      <w:r w:rsidRPr="00D92E20">
        <w:rPr>
          <w:rFonts w:cs="Arial"/>
          <w:szCs w:val="20"/>
        </w:rPr>
        <w:t xml:space="preserve">sektoru zaměstnavatele (dle klasifikace institucionálních sektorů a </w:t>
      </w:r>
      <w:proofErr w:type="spellStart"/>
      <w:r w:rsidRPr="00D92E20">
        <w:rPr>
          <w:rFonts w:cs="Arial"/>
          <w:szCs w:val="20"/>
        </w:rPr>
        <w:t>subsektorů</w:t>
      </w:r>
      <w:proofErr w:type="spellEnd"/>
      <w:r w:rsidRPr="00D92E20">
        <w:rPr>
          <w:rFonts w:cs="Arial"/>
          <w:szCs w:val="20"/>
        </w:rPr>
        <w:t xml:space="preserve"> ESA 2010),</w:t>
      </w:r>
    </w:p>
    <w:p w14:paraId="55205C73" w14:textId="77777777" w:rsidR="00A403BA" w:rsidRPr="00D92E20" w:rsidRDefault="00A403BA" w:rsidP="00A403BA">
      <w:pPr>
        <w:pStyle w:val="Odstavecseseznamem"/>
        <w:numPr>
          <w:ilvl w:val="0"/>
          <w:numId w:val="15"/>
        </w:numPr>
        <w:autoSpaceDE w:val="0"/>
        <w:autoSpaceDN w:val="0"/>
        <w:adjustRightInd w:val="0"/>
        <w:spacing w:after="120"/>
        <w:ind w:left="714" w:hanging="357"/>
        <w:jc w:val="both"/>
        <w:rPr>
          <w:rFonts w:cs="Arial"/>
          <w:szCs w:val="20"/>
        </w:rPr>
      </w:pPr>
      <w:r w:rsidRPr="00D92E20">
        <w:rPr>
          <w:rFonts w:cs="Arial"/>
          <w:szCs w:val="20"/>
        </w:rPr>
        <w:t>převažující ekonomické činnosti (na úrovni sekcí či oddílů klasifikace CZ-NACE),</w:t>
      </w:r>
    </w:p>
    <w:p w14:paraId="55877B06" w14:textId="77777777" w:rsidR="00A403BA" w:rsidRPr="00D92E20" w:rsidRDefault="00A403BA" w:rsidP="00A403BA">
      <w:pPr>
        <w:pStyle w:val="Odstavecseseznamem"/>
        <w:numPr>
          <w:ilvl w:val="0"/>
          <w:numId w:val="15"/>
        </w:numPr>
        <w:autoSpaceDE w:val="0"/>
        <w:autoSpaceDN w:val="0"/>
        <w:adjustRightInd w:val="0"/>
        <w:spacing w:after="120"/>
        <w:ind w:left="714" w:hanging="357"/>
        <w:jc w:val="both"/>
        <w:rPr>
          <w:rFonts w:cs="Arial"/>
          <w:szCs w:val="20"/>
        </w:rPr>
      </w:pPr>
      <w:r w:rsidRPr="00D92E20">
        <w:rPr>
          <w:rFonts w:cs="Arial"/>
          <w:szCs w:val="20"/>
        </w:rPr>
        <w:t>sídla zaměstnavatele (kraje a okresy ČR dle klasifikace CZ-NUTS).</w:t>
      </w:r>
    </w:p>
    <w:p w14:paraId="49876773" w14:textId="77777777" w:rsidR="003D2972" w:rsidRDefault="00A403BA" w:rsidP="00A403BA">
      <w:pPr>
        <w:autoSpaceDE w:val="0"/>
        <w:autoSpaceDN w:val="0"/>
        <w:adjustRightInd w:val="0"/>
        <w:spacing w:after="120"/>
        <w:jc w:val="both"/>
        <w:rPr>
          <w:rFonts w:cs="Arial"/>
          <w:szCs w:val="20"/>
        </w:rPr>
      </w:pPr>
      <w:r w:rsidRPr="00D92E20">
        <w:rPr>
          <w:rFonts w:cs="Arial"/>
          <w:szCs w:val="20"/>
        </w:rPr>
        <w:t xml:space="preserve">Tabulková část dále obsahuje data o pracovní úrazovosti s dočasnou pracovní neschopností delší než 3 dny, se samostatným výstupem o pracovní úrazovosti mladistvých (tj. </w:t>
      </w:r>
      <w:proofErr w:type="spellStart"/>
      <w:r w:rsidRPr="00D92E20">
        <w:rPr>
          <w:rFonts w:cs="Arial"/>
          <w:szCs w:val="20"/>
        </w:rPr>
        <w:t>nemocensky</w:t>
      </w:r>
      <w:proofErr w:type="spellEnd"/>
      <w:r w:rsidRPr="00D92E20">
        <w:rPr>
          <w:rFonts w:cs="Arial"/>
          <w:szCs w:val="20"/>
        </w:rPr>
        <w:t xml:space="preserve"> pojištěných osob do 18 let).</w:t>
      </w:r>
    </w:p>
    <w:p w14:paraId="6A98918C" w14:textId="77777777" w:rsidR="003D2972" w:rsidRDefault="003D2972">
      <w:pPr>
        <w:spacing w:after="0" w:line="240" w:lineRule="auto"/>
        <w:rPr>
          <w:rFonts w:cs="Arial"/>
          <w:szCs w:val="20"/>
        </w:rPr>
      </w:pPr>
      <w:r>
        <w:rPr>
          <w:rFonts w:cs="Arial"/>
          <w:szCs w:val="20"/>
        </w:rPr>
        <w:br w:type="page"/>
      </w:r>
    </w:p>
    <w:p w14:paraId="7A14A1D7" w14:textId="77777777" w:rsidR="00A403BA" w:rsidRPr="00323E10" w:rsidRDefault="003D2972" w:rsidP="003D2972">
      <w:pPr>
        <w:pStyle w:val="Nadpis2"/>
      </w:pPr>
      <w:bookmarkStart w:id="2" w:name="_Toc136412139"/>
      <w:r w:rsidRPr="00323E10">
        <w:lastRenderedPageBreak/>
        <w:t>2. Legislativní úprava nemocenského pojištění</w:t>
      </w:r>
      <w:bookmarkEnd w:id="2"/>
    </w:p>
    <w:p w14:paraId="0491AA39" w14:textId="77777777" w:rsidR="003D2972" w:rsidRPr="00166BEB" w:rsidRDefault="003D2972" w:rsidP="003D2972">
      <w:pPr>
        <w:spacing w:after="120"/>
        <w:jc w:val="both"/>
      </w:pPr>
      <w:r w:rsidRPr="00166BEB">
        <w:t>Systém nemocenského pojištění je určen pro výdělečně činné osoby, které při ztrátě příjmu v případech tzv. krátkodobých sociálních událostí (dočasné pracovní neschopnosti z důvodu nemoci nebo úrazu či karantény, ošetřování člena rodiny, těhotenství a mateřství, péče o dítě) zabezpečuje peněžitými dávkami nemocenského pojištění.</w:t>
      </w:r>
    </w:p>
    <w:p w14:paraId="633BFC96" w14:textId="77777777" w:rsidR="003D2972" w:rsidRPr="00166BEB" w:rsidRDefault="003D2972" w:rsidP="003D2972">
      <w:pPr>
        <w:spacing w:after="120"/>
        <w:jc w:val="both"/>
      </w:pPr>
      <w:r w:rsidRPr="00166BEB">
        <w:t xml:space="preserve">Od 1. ledna 2009 je nemocenské pojištění upraveno </w:t>
      </w:r>
      <w:r w:rsidRPr="00166BEB">
        <w:rPr>
          <w:b/>
          <w:bCs/>
        </w:rPr>
        <w:t>zákonem č. 187/2006 Sb., o nemocenském pojištění</w:t>
      </w:r>
      <w:r w:rsidRPr="00166BEB">
        <w:t>, ve znění pozdějších předpisů (dále též „zákon o nemocenském pojištění“). Jde o komplexní úpravu nemocenského pojištění, která zahrnuje jak okruh osob účastných nemocenského pojištění, jejich nároky z tohoto pojištění a stanovení výše poskytovaných dávek, posuzování zdravotního stavu pro účely nemocenského pojištění, tak organizační uspořádání nemocenského pojištění, jakož i řízení v tomto pojištění.</w:t>
      </w:r>
    </w:p>
    <w:p w14:paraId="0F55E2F5" w14:textId="77777777" w:rsidR="003D2972" w:rsidRPr="00166BEB" w:rsidRDefault="003D2972" w:rsidP="003D2972">
      <w:pPr>
        <w:pStyle w:val="Seznam"/>
        <w:spacing w:after="60"/>
        <w:jc w:val="both"/>
        <w:rPr>
          <w:b/>
          <w:bCs/>
        </w:rPr>
      </w:pPr>
      <w:r w:rsidRPr="00166BEB">
        <w:t>K oblasti nemocenského pojištění se kromě zákona o nemocenském pojištění dále vztahují následující právní předpisy:</w:t>
      </w:r>
    </w:p>
    <w:p w14:paraId="6CF08A06" w14:textId="77777777" w:rsidR="003D2972" w:rsidRPr="00166BEB" w:rsidRDefault="003D2972" w:rsidP="003D2972">
      <w:pPr>
        <w:pStyle w:val="Seznam"/>
        <w:numPr>
          <w:ilvl w:val="0"/>
          <w:numId w:val="18"/>
        </w:numPr>
        <w:jc w:val="both"/>
      </w:pPr>
      <w:r w:rsidRPr="00166BEB">
        <w:t>zákon č. 589/1992 Sb., o pojistném na sociální zabezpečení a příspěvku na státní politiku zaměstnanosti, ve znění pozdějších předpisů (upravuje pojistné na nemocenské pojištění),</w:t>
      </w:r>
    </w:p>
    <w:p w14:paraId="62EBEAC9" w14:textId="77777777" w:rsidR="003D2972" w:rsidRPr="00166BEB" w:rsidRDefault="003D2972" w:rsidP="003D2972">
      <w:pPr>
        <w:pStyle w:val="Seznam"/>
        <w:numPr>
          <w:ilvl w:val="0"/>
          <w:numId w:val="18"/>
        </w:numPr>
        <w:jc w:val="both"/>
      </w:pPr>
      <w:r w:rsidRPr="00166BEB">
        <w:t>zákon č. 262/2006 Sb., zákoník práce, ve znění pozdějších předpisů (upravuje náhradu mzdy nebo platu při pracovní neschopnosti),</w:t>
      </w:r>
    </w:p>
    <w:p w14:paraId="0F9AFC5C" w14:textId="77777777" w:rsidR="003D2972" w:rsidRPr="00166BEB" w:rsidRDefault="003D2972" w:rsidP="003D2972">
      <w:pPr>
        <w:pStyle w:val="Seznam"/>
        <w:numPr>
          <w:ilvl w:val="0"/>
          <w:numId w:val="18"/>
        </w:numPr>
        <w:jc w:val="both"/>
      </w:pPr>
      <w:r w:rsidRPr="00166BEB">
        <w:t>zákon č. 234/2014 Sb., o státní službě, ve znění pozdějších předpisů (upravuje náhradu platu při dočasné neschopnosti k výkonu služby),</w:t>
      </w:r>
    </w:p>
    <w:p w14:paraId="47D01902" w14:textId="4EBCC418" w:rsidR="003D2972" w:rsidRPr="00214BDC" w:rsidRDefault="003D2972" w:rsidP="003D2972">
      <w:pPr>
        <w:pStyle w:val="Seznam"/>
        <w:numPr>
          <w:ilvl w:val="0"/>
          <w:numId w:val="18"/>
        </w:numPr>
        <w:jc w:val="both"/>
      </w:pPr>
      <w:r w:rsidRPr="00214BDC">
        <w:rPr>
          <w:bCs/>
        </w:rPr>
        <w:t>nařízení vlády č. 3</w:t>
      </w:r>
      <w:r w:rsidR="00166BEB" w:rsidRPr="00214BDC">
        <w:rPr>
          <w:bCs/>
        </w:rPr>
        <w:t>65</w:t>
      </w:r>
      <w:r w:rsidRPr="00214BDC">
        <w:rPr>
          <w:bCs/>
        </w:rPr>
        <w:t>/202</w:t>
      </w:r>
      <w:r w:rsidR="00166BEB" w:rsidRPr="00214BDC">
        <w:rPr>
          <w:bCs/>
        </w:rPr>
        <w:t>1</w:t>
      </w:r>
      <w:r w:rsidRPr="00214BDC">
        <w:rPr>
          <w:bCs/>
        </w:rPr>
        <w:t xml:space="preserve"> Sb., o výši všeobecného vyměřovacího základu za rok 20</w:t>
      </w:r>
      <w:r w:rsidR="00166BEB" w:rsidRPr="00214BDC">
        <w:rPr>
          <w:bCs/>
        </w:rPr>
        <w:t>20</w:t>
      </w:r>
      <w:r w:rsidRPr="00214BDC">
        <w:rPr>
          <w:bCs/>
        </w:rPr>
        <w:t>, přepočítacího koeficientu pro úpravu všeobecného vyměřovacího základu za rok 20</w:t>
      </w:r>
      <w:r w:rsidR="00214BDC" w:rsidRPr="00214BDC">
        <w:rPr>
          <w:bCs/>
        </w:rPr>
        <w:t>20</w:t>
      </w:r>
      <w:r w:rsidRPr="00214BDC">
        <w:rPr>
          <w:bCs/>
        </w:rPr>
        <w:t>, redukčních hranic pro stanovení výpočtového základu pro rok 202</w:t>
      </w:r>
      <w:r w:rsidR="00214BDC" w:rsidRPr="00214BDC">
        <w:rPr>
          <w:bCs/>
        </w:rPr>
        <w:t>2</w:t>
      </w:r>
      <w:r w:rsidRPr="00214BDC">
        <w:rPr>
          <w:bCs/>
        </w:rPr>
        <w:t xml:space="preserve"> a základní výměry důchodu stanovené pro rok 202</w:t>
      </w:r>
      <w:r w:rsidR="00214BDC" w:rsidRPr="00214BDC">
        <w:rPr>
          <w:bCs/>
        </w:rPr>
        <w:t>2</w:t>
      </w:r>
      <w:r w:rsidRPr="00214BDC">
        <w:rPr>
          <w:bCs/>
        </w:rPr>
        <w:t xml:space="preserve"> a o zvýšení důchodů v roce 202</w:t>
      </w:r>
      <w:r w:rsidR="00214BDC" w:rsidRPr="00214BDC">
        <w:rPr>
          <w:bCs/>
        </w:rPr>
        <w:t>2</w:t>
      </w:r>
      <w:r w:rsidRPr="00214BDC">
        <w:rPr>
          <w:bCs/>
        </w:rPr>
        <w:t>,</w:t>
      </w:r>
    </w:p>
    <w:p w14:paraId="155C356D" w14:textId="6F72BE7A" w:rsidR="003D2972" w:rsidRPr="00214BDC" w:rsidRDefault="003D2972" w:rsidP="003D2972">
      <w:pPr>
        <w:pStyle w:val="Seznam"/>
        <w:numPr>
          <w:ilvl w:val="0"/>
          <w:numId w:val="18"/>
        </w:numPr>
        <w:spacing w:after="120"/>
        <w:jc w:val="both"/>
        <w:rPr>
          <w:i/>
        </w:rPr>
      </w:pPr>
      <w:r w:rsidRPr="00214BDC">
        <w:rPr>
          <w:bCs/>
        </w:rPr>
        <w:t xml:space="preserve">sdělení Ministerstva práce a sociálních věcí č. </w:t>
      </w:r>
      <w:r w:rsidR="00214BDC" w:rsidRPr="00214BDC">
        <w:rPr>
          <w:bCs/>
        </w:rPr>
        <w:t>380/2021</w:t>
      </w:r>
      <w:r w:rsidRPr="00214BDC">
        <w:rPr>
          <w:bCs/>
        </w:rPr>
        <w:t xml:space="preserve"> Sb., kterým se vyhlašuje pro účely nemocenského pojištění výše redukčních hranic pro úpravu denního vyměřovacího základu platných v roce 202</w:t>
      </w:r>
      <w:r w:rsidR="00214BDC" w:rsidRPr="00214BDC">
        <w:rPr>
          <w:bCs/>
        </w:rPr>
        <w:t>2</w:t>
      </w:r>
      <w:r w:rsidRPr="00214BDC">
        <w:rPr>
          <w:bCs/>
        </w:rPr>
        <w:t>,</w:t>
      </w:r>
    </w:p>
    <w:p w14:paraId="0D7A45F5" w14:textId="77777777" w:rsidR="003D2972" w:rsidRPr="005669FF" w:rsidRDefault="003D2972" w:rsidP="003D2972">
      <w:pPr>
        <w:pStyle w:val="Seznam"/>
        <w:numPr>
          <w:ilvl w:val="0"/>
          <w:numId w:val="18"/>
        </w:numPr>
        <w:spacing w:after="120"/>
        <w:jc w:val="both"/>
      </w:pPr>
      <w:r w:rsidRPr="005669FF">
        <w:t>sdělení Ministerstva práce a sociálních věcí č. 436/2020 Sb., kterým se vyhlašuje zvýšení částky rozhodné pro účast zaměstnanců na nemocenském pojištění.</w:t>
      </w:r>
    </w:p>
    <w:p w14:paraId="26DA73B0" w14:textId="77777777" w:rsidR="00F71F74" w:rsidRPr="00EE02F9" w:rsidRDefault="00F71F74" w:rsidP="00F71F74">
      <w:pPr>
        <w:pStyle w:val="Nadpis3"/>
      </w:pPr>
      <w:bookmarkStart w:id="3" w:name="_Toc136412140"/>
      <w:r w:rsidRPr="00EE02F9">
        <w:t>2.1 Účast na nemocenském pojištění</w:t>
      </w:r>
      <w:bookmarkEnd w:id="3"/>
    </w:p>
    <w:p w14:paraId="2594FCCF" w14:textId="77777777" w:rsidR="00F71F74" w:rsidRPr="00214BDC" w:rsidRDefault="00F71F74" w:rsidP="00F71F74">
      <w:pPr>
        <w:spacing w:after="120"/>
        <w:jc w:val="both"/>
      </w:pPr>
      <w:r w:rsidRPr="00214BDC">
        <w:t xml:space="preserve">Nemocenského pojištění jsou účastni </w:t>
      </w:r>
      <w:r w:rsidRPr="00214BDC">
        <w:rPr>
          <w:b/>
        </w:rPr>
        <w:t xml:space="preserve">zaměstnanci </w:t>
      </w:r>
      <w:r w:rsidRPr="00214BDC">
        <w:t>(bližší určení viz § 5 zákona o nemocenském pojištění) a </w:t>
      </w:r>
      <w:r w:rsidRPr="00214BDC">
        <w:rPr>
          <w:b/>
        </w:rPr>
        <w:t>osoby samostatně výdělečně činné</w:t>
      </w:r>
      <w:r w:rsidRPr="00214BDC">
        <w:t xml:space="preserve"> (dále též „OSVČ“). </w:t>
      </w:r>
      <w:r w:rsidRPr="00214BDC">
        <w:rPr>
          <w:b/>
        </w:rPr>
        <w:t>Zaměstnanci</w:t>
      </w:r>
      <w:r w:rsidRPr="00214BDC">
        <w:t xml:space="preserve"> jsou </w:t>
      </w:r>
      <w:r w:rsidRPr="00214BDC">
        <w:rPr>
          <w:b/>
        </w:rPr>
        <w:t>povinně</w:t>
      </w:r>
      <w:r w:rsidRPr="00214BDC">
        <w:t xml:space="preserve"> účastni nemocenského pojištění, na rozdíl od </w:t>
      </w:r>
      <w:r w:rsidRPr="00214BDC">
        <w:rPr>
          <w:b/>
        </w:rPr>
        <w:t>OSVČ</w:t>
      </w:r>
      <w:r w:rsidRPr="00214BDC">
        <w:t xml:space="preserve">, jejichž nemocenské pojištění je </w:t>
      </w:r>
      <w:r w:rsidRPr="00214BDC">
        <w:rPr>
          <w:b/>
        </w:rPr>
        <w:t>dobrovolné</w:t>
      </w:r>
      <w:r w:rsidRPr="00214BDC">
        <w:t>.</w:t>
      </w:r>
    </w:p>
    <w:p w14:paraId="5FB34AD1" w14:textId="77777777" w:rsidR="00F71F74" w:rsidRPr="00152E88" w:rsidRDefault="00F71F74" w:rsidP="00F71F74">
      <w:pPr>
        <w:spacing w:after="120"/>
        <w:jc w:val="both"/>
      </w:pPr>
      <w:r w:rsidRPr="00152E88">
        <w:t xml:space="preserve">Za </w:t>
      </w:r>
      <w:r w:rsidRPr="00152E88">
        <w:rPr>
          <w:b/>
        </w:rPr>
        <w:t>zaměstnání</w:t>
      </w:r>
      <w:r w:rsidRPr="00152E88">
        <w:t xml:space="preserve"> se pro účely nemocenského pojištění považuje činnost zaměstnance pro zaměstnavatele, z níž mu plynou nebo by mohly plynout od zaměstnavatele příjmy ze závislé činnosti bez ohledu na druh pracovního vztahu.</w:t>
      </w:r>
    </w:p>
    <w:p w14:paraId="7C4A27E9" w14:textId="77777777" w:rsidR="00F71F74" w:rsidRPr="00152E88" w:rsidRDefault="00F71F74" w:rsidP="00F71F74">
      <w:pPr>
        <w:spacing w:after="120"/>
        <w:jc w:val="both"/>
      </w:pPr>
      <w:r w:rsidRPr="00152E88">
        <w:rPr>
          <w:b/>
        </w:rPr>
        <w:t>Povinná účast na nemocenském pojištění</w:t>
      </w:r>
      <w:r w:rsidRPr="00152E88">
        <w:t xml:space="preserve"> vzniká u zaměstnance (s výjimkou zaměstnance činného na základě dohody o provedení práce), pokud splňuje podmínky stanovené zákonem o nemocenském pojištění.</w:t>
      </w:r>
    </w:p>
    <w:p w14:paraId="43EA1CBE" w14:textId="77777777" w:rsidR="00F71F74" w:rsidRPr="00152E88" w:rsidRDefault="00F71F74" w:rsidP="00F71F74">
      <w:pPr>
        <w:spacing w:after="60"/>
        <w:jc w:val="both"/>
      </w:pPr>
      <w:r w:rsidRPr="00152E88">
        <w:t>Jedná se o dvě základní podmínky, a to o:</w:t>
      </w:r>
    </w:p>
    <w:p w14:paraId="075D6BAF" w14:textId="77777777" w:rsidR="00F71F74" w:rsidRPr="00152E88" w:rsidRDefault="00F71F74" w:rsidP="00F71F74">
      <w:pPr>
        <w:pStyle w:val="Odstavecseseznamem"/>
        <w:numPr>
          <w:ilvl w:val="0"/>
          <w:numId w:val="20"/>
        </w:numPr>
        <w:jc w:val="both"/>
      </w:pPr>
      <w:r w:rsidRPr="00152E88">
        <w:rPr>
          <w:b/>
        </w:rPr>
        <w:t>výkon práce</w:t>
      </w:r>
      <w:r w:rsidRPr="00152E88">
        <w:t xml:space="preserve"> na území České republiky (dále též „ČR“) v zaměstnání vykonávaném v </w:t>
      </w:r>
      <w:r w:rsidRPr="00152E88">
        <w:rPr>
          <w:b/>
          <w:bCs/>
        </w:rPr>
        <w:t>pracovním vztahu</w:t>
      </w:r>
      <w:r w:rsidRPr="00152E88">
        <w:t>, který může účast na nemocenském pojištění založit,</w:t>
      </w:r>
    </w:p>
    <w:p w14:paraId="25F8D711" w14:textId="24668AB1" w:rsidR="00F71F74" w:rsidRPr="00152E88" w:rsidRDefault="00F71F74" w:rsidP="00F71F74">
      <w:pPr>
        <w:pStyle w:val="Odstavecseseznamem"/>
        <w:numPr>
          <w:ilvl w:val="0"/>
          <w:numId w:val="19"/>
        </w:numPr>
        <w:spacing w:after="120"/>
        <w:ind w:left="714" w:hanging="357"/>
        <w:jc w:val="both"/>
      </w:pPr>
      <w:r w:rsidRPr="00152E88">
        <w:rPr>
          <w:b/>
        </w:rPr>
        <w:t>minimální výši sjednaného příjmu</w:t>
      </w:r>
      <w:r w:rsidRPr="00152E88">
        <w:t xml:space="preserve"> (jedná se o tzv. rozhodný příjem, jehož hranice byla od 1. 1. 2021 stanovena na</w:t>
      </w:r>
      <w:r w:rsidRPr="00152E88">
        <w:rPr>
          <w:b/>
        </w:rPr>
        <w:t xml:space="preserve"> 3 500 Kč</w:t>
      </w:r>
      <w:r w:rsidRPr="00152E88">
        <w:t>/kalendářní měsíc</w:t>
      </w:r>
      <w:r w:rsidR="00B61714">
        <w:rPr>
          <w:rStyle w:val="Znakapoznpodarou"/>
        </w:rPr>
        <w:footnoteReference w:id="2"/>
      </w:r>
      <w:r w:rsidR="008929E5" w:rsidRPr="00152E88">
        <w:t>)</w:t>
      </w:r>
    </w:p>
    <w:p w14:paraId="565F6D62" w14:textId="77777777" w:rsidR="00F71F74" w:rsidRPr="00152E88" w:rsidRDefault="00F71F74" w:rsidP="00E71A8F">
      <w:pPr>
        <w:spacing w:after="120"/>
        <w:jc w:val="both"/>
      </w:pPr>
      <w:r w:rsidRPr="00152E88">
        <w:rPr>
          <w:rFonts w:cs="Arial"/>
          <w:szCs w:val="20"/>
        </w:rPr>
        <w:t xml:space="preserve">Zvláštní podmínky účasti zaměstnanců na nemocenském pojištění jsou stanoveny při výkonu </w:t>
      </w:r>
      <w:r w:rsidRPr="00152E88">
        <w:rPr>
          <w:rFonts w:cs="Arial"/>
          <w:b/>
          <w:bCs/>
          <w:szCs w:val="20"/>
        </w:rPr>
        <w:t>zaměstnání malého rozsahu</w:t>
      </w:r>
      <w:r w:rsidRPr="00152E88">
        <w:rPr>
          <w:rFonts w:cs="Arial"/>
          <w:szCs w:val="20"/>
        </w:rPr>
        <w:t xml:space="preserve">. Zaměstnáním malého rozsahu se rozumí zaměstnání, v němž jsou splněny podmínky výkonu zaměstnání na území ČR, avšak není splněna podmínka sjednání příjmu ze zaměstnání ve stanovené </w:t>
      </w:r>
      <w:r w:rsidRPr="00152E88">
        <w:rPr>
          <w:rFonts w:cs="Arial"/>
          <w:szCs w:val="20"/>
        </w:rPr>
        <w:lastRenderedPageBreak/>
        <w:t xml:space="preserve">výši. Jde o situace, kdy je sjednaná měsíční částka započitatelného příjmu nižší než rozhodný příjem, anebo měsíční příjem nebyl sjednán vůbec. Při výkonu zaměstnání malého rozsahu je zaměstnanec pojištěn jen v těch kalendářních měsících, v nichž dosáhl příjmu </w:t>
      </w:r>
      <w:r w:rsidR="00366388" w:rsidRPr="00152E88">
        <w:rPr>
          <w:rFonts w:cs="Arial"/>
          <w:szCs w:val="20"/>
        </w:rPr>
        <w:t xml:space="preserve">alespoň </w:t>
      </w:r>
      <w:r w:rsidRPr="00152E88">
        <w:rPr>
          <w:rFonts w:cs="Arial"/>
          <w:szCs w:val="20"/>
        </w:rPr>
        <w:t>v příslušné rozhodné výši.</w:t>
      </w:r>
    </w:p>
    <w:p w14:paraId="25F42A03" w14:textId="77777777" w:rsidR="00F71F74" w:rsidRPr="00152E88" w:rsidRDefault="00F71F74" w:rsidP="00F71F74">
      <w:pPr>
        <w:pStyle w:val="Seznam"/>
        <w:jc w:val="both"/>
      </w:pPr>
      <w:r w:rsidRPr="00152E88">
        <w:t xml:space="preserve">U zaměstnance činného na základě </w:t>
      </w:r>
      <w:r w:rsidRPr="00152E88">
        <w:rPr>
          <w:b/>
          <w:bCs/>
        </w:rPr>
        <w:t>dohody o provedení práce</w:t>
      </w:r>
      <w:r w:rsidRPr="00152E88">
        <w:t xml:space="preserve"> vzniká povinná účast na nemocenském pojištění, pokud splňuje dvě podmínky, a to:</w:t>
      </w:r>
    </w:p>
    <w:p w14:paraId="22FC6DAA" w14:textId="77777777" w:rsidR="00F71F74" w:rsidRPr="00152E88" w:rsidRDefault="00F71F74" w:rsidP="00F71F74">
      <w:pPr>
        <w:pStyle w:val="Seznam"/>
        <w:numPr>
          <w:ilvl w:val="0"/>
          <w:numId w:val="21"/>
        </w:numPr>
        <w:jc w:val="both"/>
      </w:pPr>
      <w:r w:rsidRPr="00152E88">
        <w:t>výkon práce na území ČR a</w:t>
      </w:r>
    </w:p>
    <w:p w14:paraId="4907CB8E" w14:textId="77777777" w:rsidR="00F71F74" w:rsidRPr="00152E88" w:rsidRDefault="00F71F74" w:rsidP="00F71F74">
      <w:pPr>
        <w:pStyle w:val="Seznam"/>
        <w:numPr>
          <w:ilvl w:val="0"/>
          <w:numId w:val="21"/>
        </w:numPr>
        <w:spacing w:after="120"/>
        <w:ind w:left="714" w:hanging="357"/>
        <w:jc w:val="both"/>
      </w:pPr>
      <w:r w:rsidRPr="00152E88">
        <w:t>v kalendářním měsíci, v němž dohoda o provedení práce trvá, dosáhl započitatelného příjmu v částce vyšší než 10 000 Kč.</w:t>
      </w:r>
    </w:p>
    <w:p w14:paraId="4B18D449" w14:textId="77777777" w:rsidR="00F71F74" w:rsidRPr="00152E88" w:rsidRDefault="00F71F74" w:rsidP="00F71F74">
      <w:pPr>
        <w:spacing w:after="120"/>
        <w:jc w:val="both"/>
      </w:pPr>
      <w:r w:rsidRPr="00152E88">
        <w:t xml:space="preserve">Účast </w:t>
      </w:r>
      <w:r w:rsidRPr="00152E88">
        <w:rPr>
          <w:b/>
        </w:rPr>
        <w:t>OSVČ</w:t>
      </w:r>
      <w:r w:rsidRPr="00152E88">
        <w:t xml:space="preserve"> na nemocenském pojištění vzniká na základě přihlášky k nemocenskému pojištění a zaplacením pojistného na nemocenské pojištění.</w:t>
      </w:r>
    </w:p>
    <w:p w14:paraId="1294DC39" w14:textId="05335A64" w:rsidR="00F71F74" w:rsidRPr="00152E88" w:rsidRDefault="00F71F74" w:rsidP="00F71F74">
      <w:pPr>
        <w:pStyle w:val="Normlnweb"/>
        <w:spacing w:before="120" w:beforeAutospacing="0" w:after="120" w:afterAutospacing="0" w:line="288" w:lineRule="auto"/>
        <w:jc w:val="both"/>
        <w:rPr>
          <w:rFonts w:ascii="Arial" w:hAnsi="Arial"/>
          <w:sz w:val="20"/>
        </w:rPr>
      </w:pPr>
      <w:r w:rsidRPr="00152E88">
        <w:rPr>
          <w:rFonts w:ascii="Arial" w:hAnsi="Arial" w:cs="Arial"/>
          <w:sz w:val="20"/>
          <w:szCs w:val="20"/>
        </w:rPr>
        <w:t xml:space="preserve">Minimální měsíční základ, který si může OSVČ určit pro placení pojistného na nemocenské pojištění od 1. 1. 2021 </w:t>
      </w:r>
      <w:r w:rsidR="00E71A8F" w:rsidRPr="00152E88">
        <w:rPr>
          <w:rFonts w:ascii="Arial" w:hAnsi="Arial" w:cs="Arial"/>
          <w:sz w:val="20"/>
          <w:szCs w:val="20"/>
        </w:rPr>
        <w:t>dosahuje</w:t>
      </w:r>
      <w:r w:rsidRPr="00152E88">
        <w:rPr>
          <w:rFonts w:ascii="Arial" w:hAnsi="Arial" w:cs="Arial"/>
          <w:sz w:val="20"/>
          <w:szCs w:val="20"/>
        </w:rPr>
        <w:t xml:space="preserve"> 7 000 Kč. </w:t>
      </w:r>
      <w:r w:rsidRPr="00152E88">
        <w:rPr>
          <w:rFonts w:ascii="Arial" w:hAnsi="Arial"/>
          <w:sz w:val="20"/>
        </w:rPr>
        <w:t xml:space="preserve">Sazba pojistného činí 2,1 % a minimální pojistné na nemocenské pojištění je </w:t>
      </w:r>
      <w:r w:rsidR="0039783A">
        <w:rPr>
          <w:rFonts w:ascii="Arial" w:hAnsi="Arial"/>
          <w:sz w:val="20"/>
        </w:rPr>
        <w:t>od roku</w:t>
      </w:r>
      <w:r w:rsidRPr="00152E88">
        <w:rPr>
          <w:rFonts w:ascii="Arial" w:hAnsi="Arial"/>
          <w:sz w:val="20"/>
        </w:rPr>
        <w:t xml:space="preserve"> 2021</w:t>
      </w:r>
      <w:r w:rsidR="0039783A">
        <w:rPr>
          <w:rStyle w:val="Znakapoznpodarou"/>
          <w:rFonts w:ascii="Arial" w:hAnsi="Arial"/>
          <w:sz w:val="20"/>
        </w:rPr>
        <w:footnoteReference w:id="3"/>
      </w:r>
      <w:r w:rsidRPr="00152E88">
        <w:rPr>
          <w:rFonts w:ascii="Arial" w:hAnsi="Arial"/>
          <w:sz w:val="20"/>
        </w:rPr>
        <w:t xml:space="preserve"> stanoveno na </w:t>
      </w:r>
      <w:r w:rsidRPr="00152E88">
        <w:rPr>
          <w:rFonts w:ascii="Arial" w:hAnsi="Arial"/>
          <w:b/>
          <w:bCs/>
          <w:sz w:val="20"/>
        </w:rPr>
        <w:t>147 Kč</w:t>
      </w:r>
      <w:r w:rsidRPr="00152E88">
        <w:rPr>
          <w:rFonts w:ascii="Arial" w:hAnsi="Arial"/>
          <w:sz w:val="20"/>
        </w:rPr>
        <w:t>.</w:t>
      </w:r>
    </w:p>
    <w:p w14:paraId="73D1392A" w14:textId="77777777" w:rsidR="00F71F74" w:rsidRPr="00152E88" w:rsidRDefault="00F71F74" w:rsidP="00F71F74">
      <w:pPr>
        <w:jc w:val="both"/>
      </w:pPr>
      <w:r w:rsidRPr="00152E88">
        <w:t xml:space="preserve">Další informace k účasti na nemocenském pojištění získáte na adrese: </w:t>
      </w:r>
      <w:hyperlink r:id="rId8" w:anchor="_blank" w:history="1">
        <w:r w:rsidRPr="00152E88">
          <w:rPr>
            <w:rStyle w:val="Hypertextovodkaz"/>
            <w:rFonts w:eastAsia="MS Gothic" w:cs="Arial"/>
            <w:szCs w:val="20"/>
          </w:rPr>
          <w:t>http://www.cssz.cz/cz/nemocenske-pojisteni/ucast-na-pojisteni/</w:t>
        </w:r>
      </w:hyperlink>
      <w:r w:rsidRPr="00152E88">
        <w:t xml:space="preserve"> nebo </w:t>
      </w:r>
      <w:hyperlink r:id="rId9" w:history="1">
        <w:r w:rsidRPr="00152E88">
          <w:rPr>
            <w:rStyle w:val="Hypertextovodkaz"/>
          </w:rPr>
          <w:t>https://www.cssz.cz/web/cz/osvc-nemocenske-pojisteni-ucast-na-pojisteni</w:t>
        </w:r>
      </w:hyperlink>
      <w:r w:rsidRPr="00152E88">
        <w:t>.</w:t>
      </w:r>
    </w:p>
    <w:p w14:paraId="3C8B04E2" w14:textId="77777777" w:rsidR="003D2972" w:rsidRPr="00323E10" w:rsidRDefault="00E71A8F" w:rsidP="00E71A8F">
      <w:pPr>
        <w:pStyle w:val="Nadpis3"/>
      </w:pPr>
      <w:bookmarkStart w:id="4" w:name="_Toc136412141"/>
      <w:r w:rsidRPr="00323E10">
        <w:t>2.2 Nemocenské</w:t>
      </w:r>
      <w:bookmarkEnd w:id="4"/>
    </w:p>
    <w:p w14:paraId="3C47190F" w14:textId="77777777" w:rsidR="00E71A8F" w:rsidRPr="00077304" w:rsidRDefault="00E71A8F" w:rsidP="00E71A8F">
      <w:pPr>
        <w:pStyle w:val="Seznam"/>
        <w:jc w:val="both"/>
      </w:pPr>
      <w:r w:rsidRPr="00094A63">
        <w:rPr>
          <w:b/>
        </w:rPr>
        <w:t>Dočasná pracovní neschopnost</w:t>
      </w:r>
      <w:r w:rsidRPr="00094A63">
        <w:t xml:space="preserve"> je stav člověka, který je </w:t>
      </w:r>
      <w:r w:rsidRPr="00094A63">
        <w:rPr>
          <w:b/>
        </w:rPr>
        <w:t>lékařem ze zdravotních důvodů dočasně uznán neschopným k výkonu</w:t>
      </w:r>
      <w:r w:rsidRPr="00094A63">
        <w:t xml:space="preserve"> svého dosavadního </w:t>
      </w:r>
      <w:r w:rsidRPr="00094A63">
        <w:rPr>
          <w:b/>
        </w:rPr>
        <w:t>zaměstnání</w:t>
      </w:r>
      <w:r w:rsidRPr="00094A63">
        <w:t xml:space="preserve">. </w:t>
      </w:r>
      <w:r w:rsidRPr="00077304">
        <w:t xml:space="preserve">O vzniku dočasné pracovní neschopnosti rozhoduje ošetřující lékař, a to vystavením </w:t>
      </w:r>
      <w:r w:rsidRPr="00077304">
        <w:rPr>
          <w:i/>
          <w:iCs/>
        </w:rPr>
        <w:t>Rozhodnutí o dočasné pracovní neschopnosti</w:t>
      </w:r>
      <w:r w:rsidRPr="00077304">
        <w:t xml:space="preserve"> (tzv. e-neschopenky). Kategorie jsou následující:</w:t>
      </w:r>
    </w:p>
    <w:p w14:paraId="0E992ED1" w14:textId="77777777" w:rsidR="00E71A8F" w:rsidRPr="00077304" w:rsidRDefault="00E71A8F" w:rsidP="00E71A8F">
      <w:pPr>
        <w:pStyle w:val="Seznam"/>
        <w:numPr>
          <w:ilvl w:val="0"/>
          <w:numId w:val="22"/>
        </w:numPr>
        <w:jc w:val="both"/>
      </w:pPr>
      <w:r w:rsidRPr="00077304">
        <w:rPr>
          <w:b/>
          <w:bCs/>
        </w:rPr>
        <w:t xml:space="preserve">nemoc </w:t>
      </w:r>
      <w:r w:rsidRPr="00077304">
        <w:rPr>
          <w:bCs/>
        </w:rPr>
        <w:t xml:space="preserve">– </w:t>
      </w:r>
      <w:r w:rsidRPr="00077304">
        <w:t xml:space="preserve">za případy dočasné pracovní neschopnosti pro nemoc jsou považovány všechny případy nemocí podle </w:t>
      </w:r>
      <w:r w:rsidRPr="00077304">
        <w:rPr>
          <w:b/>
        </w:rPr>
        <w:t>Mezinárodní statistické klasifikace nemocí a přidružených zdravotních problémů</w:t>
      </w:r>
      <w:r w:rsidRPr="00077304">
        <w:t xml:space="preserve"> (MKN-10). </w:t>
      </w:r>
    </w:p>
    <w:p w14:paraId="25A5BDA7" w14:textId="77777777" w:rsidR="00E71A8F" w:rsidRPr="00077304" w:rsidRDefault="00E71A8F" w:rsidP="00E71A8F">
      <w:pPr>
        <w:pStyle w:val="Seznam"/>
        <w:numPr>
          <w:ilvl w:val="0"/>
          <w:numId w:val="22"/>
        </w:numPr>
        <w:jc w:val="both"/>
        <w:rPr>
          <w:b/>
          <w:bCs/>
        </w:rPr>
      </w:pPr>
      <w:r w:rsidRPr="00077304">
        <w:rPr>
          <w:b/>
          <w:bCs/>
        </w:rPr>
        <w:t xml:space="preserve">pracovní úraz </w:t>
      </w:r>
      <w:r w:rsidRPr="00077304">
        <w:rPr>
          <w:bCs/>
        </w:rPr>
        <w:t>–</w:t>
      </w:r>
      <w:r w:rsidRPr="00077304">
        <w:rPr>
          <w:b/>
          <w:bCs/>
        </w:rPr>
        <w:t xml:space="preserve"> </w:t>
      </w:r>
      <w:r w:rsidRPr="00077304">
        <w:t xml:space="preserve">pracovním úrazem se rozumí </w:t>
      </w:r>
      <w:r w:rsidRPr="00077304">
        <w:rPr>
          <w:b/>
        </w:rPr>
        <w:t>poškození zdraví nebo smrt zaměstnance</w:t>
      </w:r>
      <w:r w:rsidRPr="00077304">
        <w:t xml:space="preserve">, došlo-li k nim nezávisle na jeho vůli krátkodobým, náhlým a násilným </w:t>
      </w:r>
      <w:r w:rsidRPr="00077304">
        <w:rPr>
          <w:b/>
        </w:rPr>
        <w:t>působením zevních vlivů</w:t>
      </w:r>
      <w:r w:rsidRPr="00077304">
        <w:t xml:space="preserve"> při plnění pracovních úkolů nebo v přímé souvislosti s ním (viz § 271k odst. 1 až 3 zákona č. 262/2006 Sb., zákoník práce, ve znění pozdějších předpisů).</w:t>
      </w:r>
    </w:p>
    <w:p w14:paraId="62696C35" w14:textId="77777777" w:rsidR="00E71A8F" w:rsidRPr="00077304" w:rsidRDefault="00E71A8F" w:rsidP="00E71A8F">
      <w:pPr>
        <w:pStyle w:val="Seznam"/>
        <w:numPr>
          <w:ilvl w:val="0"/>
          <w:numId w:val="22"/>
        </w:numPr>
        <w:spacing w:after="120"/>
        <w:ind w:left="714" w:hanging="357"/>
        <w:jc w:val="both"/>
      </w:pPr>
      <w:r w:rsidRPr="00077304">
        <w:rPr>
          <w:b/>
          <w:bCs/>
        </w:rPr>
        <w:t xml:space="preserve">ostatní úrazy </w:t>
      </w:r>
      <w:r w:rsidRPr="00077304">
        <w:rPr>
          <w:bCs/>
        </w:rPr>
        <w:t>–</w:t>
      </w:r>
      <w:r w:rsidRPr="00077304">
        <w:rPr>
          <w:b/>
          <w:bCs/>
        </w:rPr>
        <w:t xml:space="preserve"> </w:t>
      </w:r>
      <w:r w:rsidRPr="00077304">
        <w:rPr>
          <w:bCs/>
        </w:rPr>
        <w:t xml:space="preserve">za ostatní úrazy jsou považovány případy </w:t>
      </w:r>
      <w:r w:rsidRPr="00077304">
        <w:rPr>
          <w:b/>
        </w:rPr>
        <w:t>poškození zdraví</w:t>
      </w:r>
      <w:r w:rsidRPr="00077304">
        <w:t xml:space="preserve">, na jehož následky je postižený v dočasné pracovní neschopnosti, které však lékařem </w:t>
      </w:r>
      <w:r w:rsidRPr="00077304">
        <w:rPr>
          <w:b/>
        </w:rPr>
        <w:t xml:space="preserve">nebyly vyhodnoceny </w:t>
      </w:r>
      <w:r w:rsidRPr="00077304">
        <w:rPr>
          <w:b/>
          <w:spacing w:val="-4"/>
        </w:rPr>
        <w:t>jako</w:t>
      </w:r>
      <w:r w:rsidRPr="00077304">
        <w:rPr>
          <w:b/>
        </w:rPr>
        <w:t xml:space="preserve"> pracovní úraz</w:t>
      </w:r>
      <w:r w:rsidRPr="00077304">
        <w:t>.</w:t>
      </w:r>
    </w:p>
    <w:p w14:paraId="01692478" w14:textId="77777777" w:rsidR="00E71A8F" w:rsidRPr="00B7660C" w:rsidRDefault="00E71A8F" w:rsidP="00E71A8F">
      <w:pPr>
        <w:spacing w:after="120"/>
        <w:jc w:val="both"/>
        <w:rPr>
          <w:bCs/>
        </w:rPr>
      </w:pPr>
      <w:r w:rsidRPr="00B7660C">
        <w:rPr>
          <w:bCs/>
        </w:rPr>
        <w:t xml:space="preserve">Zaměstnanec nebo OSVČ, který je uznán ošetřujícím lékařem dočasně práce neschopným (nebo mu byla nařízena karanténa), má nárok na </w:t>
      </w:r>
      <w:r w:rsidRPr="00B7660C">
        <w:rPr>
          <w:b/>
          <w:bCs/>
        </w:rPr>
        <w:t>nemocenské od 15. kalendářního dne</w:t>
      </w:r>
      <w:r w:rsidRPr="00B7660C">
        <w:rPr>
          <w:bCs/>
        </w:rPr>
        <w:t xml:space="preserve"> trvání dočasné pracovní neschopnosti do konce dočasné pracovní neschopnosti, </w:t>
      </w:r>
      <w:r w:rsidRPr="00B7660C">
        <w:rPr>
          <w:b/>
          <w:bCs/>
        </w:rPr>
        <w:t>maximálně však 380 kalendářních dnů</w:t>
      </w:r>
      <w:r w:rsidRPr="00B7660C">
        <w:rPr>
          <w:bCs/>
        </w:rPr>
        <w:t xml:space="preserve"> počítaných od vzniku dočasné pracovní neschopnosti (včetně zápočtů předchozí doby trvání dočasné pracovní neschopnosti). OSVČ však pro získání nároku na nemocenské musí být účastna dobrovolného nemocenského pojištění OSVČ alespoň po dobu 3 měsíců bezprostředně předcházejících dni vzniku dočasné pracovní neschopnosti.</w:t>
      </w:r>
    </w:p>
    <w:p w14:paraId="39A8C2B2" w14:textId="77777777" w:rsidR="00E71A8F" w:rsidRPr="00B7660C" w:rsidRDefault="00E71A8F" w:rsidP="00E71A8F">
      <w:pPr>
        <w:spacing w:after="120"/>
        <w:jc w:val="both"/>
      </w:pPr>
      <w:r w:rsidRPr="00B7660C">
        <w:t xml:space="preserve">Po dobu </w:t>
      </w:r>
      <w:r w:rsidRPr="00B7660C">
        <w:rPr>
          <w:b/>
        </w:rPr>
        <w:t xml:space="preserve">prvních 14 kalendářních dnů </w:t>
      </w:r>
      <w:r w:rsidRPr="00B7660C">
        <w:t xml:space="preserve">je zaměstnanec (nikoli OSVČ), kterému trvá pracovní vztah zakládající účast na nemocenském pojištění, zabezpečen </w:t>
      </w:r>
      <w:r w:rsidRPr="00B7660C">
        <w:rPr>
          <w:b/>
        </w:rPr>
        <w:t>náhradou mzdy nebo platu</w:t>
      </w:r>
      <w:r w:rsidRPr="00B7660C">
        <w:t>, kterou poskytuje zaměstnavatel podle zákoníku práce. Náhrada mzdy náleží za pracovní dny, a to při dočasné pracovní neschopnosti od 1. pracovního dne.</w:t>
      </w:r>
    </w:p>
    <w:p w14:paraId="1A41FBDC" w14:textId="77777777" w:rsidR="00E71A8F" w:rsidRPr="00B7660C" w:rsidRDefault="00E71A8F" w:rsidP="00E71A8F">
      <w:pPr>
        <w:spacing w:after="120"/>
        <w:jc w:val="both"/>
        <w:rPr>
          <w:b/>
          <w:bCs/>
        </w:rPr>
      </w:pPr>
      <w:r w:rsidRPr="00B7660C">
        <w:rPr>
          <w:rFonts w:cs="Arial"/>
          <w:b/>
          <w:bCs/>
          <w:szCs w:val="20"/>
        </w:rPr>
        <w:t>Příjemci starobního důchodu nebo invalidního důchodu pro invaliditu 3. stupně</w:t>
      </w:r>
      <w:r w:rsidRPr="00B7660C">
        <w:rPr>
          <w:rFonts w:cs="Arial"/>
          <w:szCs w:val="20"/>
        </w:rPr>
        <w:t xml:space="preserve"> se nemocenské vyplácí od 15. kalendářního dne trvání dočasné pracovní neschopnosti (karantény) po dobu nejvýše 70 kalendářních dnů, nejdéle však do dne, jímž končí pojištěná činnost.</w:t>
      </w:r>
    </w:p>
    <w:p w14:paraId="7067FA04" w14:textId="77777777" w:rsidR="00E71A8F" w:rsidRPr="00B7660C" w:rsidRDefault="00E71A8F" w:rsidP="00E71A8F">
      <w:pPr>
        <w:pStyle w:val="Normlnweb"/>
        <w:spacing w:before="0" w:beforeAutospacing="0" w:after="120" w:afterAutospacing="0" w:line="288" w:lineRule="auto"/>
        <w:jc w:val="both"/>
        <w:rPr>
          <w:rFonts w:ascii="Arial" w:hAnsi="Arial" w:cs="Arial"/>
          <w:sz w:val="20"/>
          <w:szCs w:val="20"/>
        </w:rPr>
      </w:pPr>
      <w:r w:rsidRPr="00B7660C">
        <w:rPr>
          <w:rFonts w:ascii="Arial" w:hAnsi="Arial" w:cs="Arial"/>
          <w:b/>
          <w:sz w:val="20"/>
          <w:szCs w:val="20"/>
        </w:rPr>
        <w:lastRenderedPageBreak/>
        <w:t>Nemocenské</w:t>
      </w:r>
      <w:r w:rsidRPr="00B7660C">
        <w:rPr>
          <w:rFonts w:ascii="Arial" w:hAnsi="Arial" w:cs="Arial"/>
          <w:sz w:val="20"/>
          <w:szCs w:val="20"/>
        </w:rPr>
        <w:t xml:space="preserve"> náleží rovněž ve stanovených případech, jestliže ke vzniku dočasné pracovní neschopnosti (karantény) došlo po skončení pojištěného zaměstnání v tzv. </w:t>
      </w:r>
      <w:r w:rsidRPr="00B7660C">
        <w:rPr>
          <w:rFonts w:ascii="Arial" w:hAnsi="Arial" w:cs="Arial"/>
          <w:b/>
          <w:sz w:val="20"/>
          <w:szCs w:val="20"/>
        </w:rPr>
        <w:t>ochranné lhůtě</w:t>
      </w:r>
      <w:r w:rsidRPr="00B7660C">
        <w:rPr>
          <w:rFonts w:ascii="Arial" w:hAnsi="Arial" w:cs="Arial"/>
          <w:sz w:val="20"/>
          <w:szCs w:val="20"/>
        </w:rPr>
        <w:t>. Účelem ochranné lhůty je zajistit bývalého zaměstnance po stanovenou dobu po skončení pojištění pro případ vzniku sociální události (dočasné pracovní neschopnosti) dříve, než opět nastoupí do dalšího zaměstnání. Ochranná lhůta v případě uplatňování nároku na nemocenské činí 7 kalendářních dnů ode dne skončení zaměstnání, které zakládalo účast na nemocenském pojištění. U </w:t>
      </w:r>
      <w:r w:rsidRPr="00B7660C">
        <w:rPr>
          <w:rFonts w:ascii="Arial" w:hAnsi="Arial" w:cs="Arial"/>
          <w:b/>
          <w:sz w:val="20"/>
          <w:szCs w:val="20"/>
        </w:rPr>
        <w:t>zaměstnání kratších</w:t>
      </w:r>
      <w:r w:rsidRPr="00B7660C">
        <w:rPr>
          <w:rFonts w:ascii="Arial" w:hAnsi="Arial" w:cs="Arial"/>
          <w:sz w:val="20"/>
          <w:szCs w:val="20"/>
        </w:rPr>
        <w:t xml:space="preserve"> </w:t>
      </w:r>
      <w:r w:rsidRPr="00B7660C">
        <w:rPr>
          <w:rFonts w:ascii="Arial" w:hAnsi="Arial" w:cs="Arial"/>
          <w:b/>
          <w:sz w:val="20"/>
          <w:szCs w:val="20"/>
        </w:rPr>
        <w:t>než 7 kalendářních dnů</w:t>
      </w:r>
      <w:r w:rsidRPr="00B7660C">
        <w:rPr>
          <w:rFonts w:ascii="Arial" w:hAnsi="Arial" w:cs="Arial"/>
          <w:sz w:val="20"/>
          <w:szCs w:val="20"/>
        </w:rPr>
        <w:t xml:space="preserve"> činí</w:t>
      </w:r>
      <w:r w:rsidRPr="00B7660C">
        <w:rPr>
          <w:rFonts w:ascii="Arial" w:hAnsi="Arial" w:cs="Arial"/>
          <w:b/>
          <w:sz w:val="20"/>
          <w:szCs w:val="20"/>
        </w:rPr>
        <w:t xml:space="preserve"> ochranná lhůta</w:t>
      </w:r>
      <w:r w:rsidRPr="00B7660C">
        <w:rPr>
          <w:rFonts w:ascii="Arial" w:hAnsi="Arial" w:cs="Arial"/>
          <w:sz w:val="20"/>
          <w:szCs w:val="20"/>
        </w:rPr>
        <w:t xml:space="preserve"> pouze tolik dnů, kolik činilo toto poslední zaměstnání.</w:t>
      </w:r>
    </w:p>
    <w:p w14:paraId="5FEF5626" w14:textId="77777777" w:rsidR="00E71A8F" w:rsidRPr="00B7660C" w:rsidRDefault="00E71A8F" w:rsidP="00E71A8F">
      <w:pPr>
        <w:pStyle w:val="Normlnweb"/>
        <w:spacing w:before="120" w:beforeAutospacing="0" w:after="60" w:afterAutospacing="0" w:line="288" w:lineRule="auto"/>
        <w:jc w:val="both"/>
        <w:rPr>
          <w:rFonts w:ascii="Arial" w:hAnsi="Arial" w:cs="Arial"/>
          <w:sz w:val="20"/>
          <w:szCs w:val="20"/>
        </w:rPr>
      </w:pPr>
      <w:r w:rsidRPr="00B7660C">
        <w:rPr>
          <w:rFonts w:ascii="Arial" w:hAnsi="Arial" w:cs="Arial"/>
          <w:b/>
          <w:bCs/>
          <w:sz w:val="20"/>
          <w:szCs w:val="20"/>
        </w:rPr>
        <w:t>Ochranná lhůta neplyne</w:t>
      </w:r>
    </w:p>
    <w:p w14:paraId="7BC8E2D1" w14:textId="77777777" w:rsidR="00E71A8F" w:rsidRPr="00B7660C" w:rsidRDefault="00E71A8F" w:rsidP="00E71A8F">
      <w:pPr>
        <w:numPr>
          <w:ilvl w:val="0"/>
          <w:numId w:val="23"/>
        </w:numPr>
        <w:spacing w:after="100" w:afterAutospacing="1"/>
        <w:ind w:left="714" w:hanging="357"/>
        <w:jc w:val="both"/>
      </w:pPr>
      <w:r w:rsidRPr="00B7660C">
        <w:t>z pojištěné činnosti poživatele starobního důchodu nebo invalidního důchodu pro invaliditu 3. stupně,</w:t>
      </w:r>
    </w:p>
    <w:p w14:paraId="64B26528" w14:textId="77777777" w:rsidR="00E71A8F" w:rsidRPr="00B7660C" w:rsidRDefault="00E71A8F" w:rsidP="00E71A8F">
      <w:pPr>
        <w:numPr>
          <w:ilvl w:val="0"/>
          <w:numId w:val="23"/>
        </w:numPr>
        <w:spacing w:before="100" w:beforeAutospacing="1" w:after="100" w:afterAutospacing="1"/>
        <w:jc w:val="both"/>
      </w:pPr>
      <w:r w:rsidRPr="00B7660C">
        <w:t>z dalšího zaměstnání sjednaného jen na dobu dovolené v jiném zaměstnání,</w:t>
      </w:r>
    </w:p>
    <w:p w14:paraId="2ADFABD7" w14:textId="77777777" w:rsidR="00E71A8F" w:rsidRPr="00B7660C" w:rsidRDefault="00E71A8F" w:rsidP="00E71A8F">
      <w:pPr>
        <w:numPr>
          <w:ilvl w:val="0"/>
          <w:numId w:val="23"/>
        </w:numPr>
        <w:spacing w:before="100" w:beforeAutospacing="1" w:after="100" w:afterAutospacing="1"/>
        <w:jc w:val="both"/>
      </w:pPr>
      <w:r w:rsidRPr="00B7660C">
        <w:t>ze zaměstnání zaměstnance činného na základě dohody o provedení práce,</w:t>
      </w:r>
    </w:p>
    <w:p w14:paraId="61D017B1" w14:textId="77777777" w:rsidR="00E71A8F" w:rsidRPr="00B7660C" w:rsidRDefault="00E71A8F" w:rsidP="00E71A8F">
      <w:pPr>
        <w:numPr>
          <w:ilvl w:val="0"/>
          <w:numId w:val="23"/>
        </w:numPr>
        <w:spacing w:before="100" w:beforeAutospacing="1" w:after="100" w:afterAutospacing="1"/>
        <w:jc w:val="both"/>
      </w:pPr>
      <w:r w:rsidRPr="00B7660C">
        <w:t>ze zaměstnání malého rozsahu,</w:t>
      </w:r>
    </w:p>
    <w:p w14:paraId="0729D12C" w14:textId="77777777" w:rsidR="00E71A8F" w:rsidRPr="00B7660C" w:rsidRDefault="00E71A8F" w:rsidP="00E71A8F">
      <w:pPr>
        <w:numPr>
          <w:ilvl w:val="0"/>
          <w:numId w:val="23"/>
        </w:numPr>
        <w:spacing w:before="100" w:beforeAutospacing="1" w:after="100" w:afterAutospacing="1"/>
        <w:jc w:val="both"/>
      </w:pPr>
      <w:r w:rsidRPr="00B7660C">
        <w:t>ze zaměstnání, které si žák nebo student sjednali výlučně na dobu školních prázdnin nebo jejich část,</w:t>
      </w:r>
    </w:p>
    <w:p w14:paraId="6A4A3FBA" w14:textId="77777777" w:rsidR="00E71A8F" w:rsidRPr="00B7660C" w:rsidRDefault="00E71A8F" w:rsidP="00E71A8F">
      <w:pPr>
        <w:numPr>
          <w:ilvl w:val="0"/>
          <w:numId w:val="23"/>
        </w:numPr>
        <w:spacing w:before="100" w:beforeAutospacing="1" w:after="120"/>
        <w:ind w:left="714" w:hanging="357"/>
        <w:jc w:val="both"/>
      </w:pPr>
      <w:r w:rsidRPr="00B7660C">
        <w:t>v případě, že pojištění odsouzeného skončí v době jeho útěku z místa výkonu trestu odnětí svobody.</w:t>
      </w:r>
    </w:p>
    <w:p w14:paraId="3D7BABFF" w14:textId="77777777" w:rsidR="00E71A8F" w:rsidRPr="00B7660C" w:rsidRDefault="00E71A8F" w:rsidP="00E71A8F">
      <w:pPr>
        <w:spacing w:before="120" w:after="120"/>
        <w:jc w:val="both"/>
        <w:rPr>
          <w:rFonts w:cs="Arial"/>
          <w:szCs w:val="20"/>
        </w:rPr>
      </w:pPr>
      <w:r w:rsidRPr="00B7660C">
        <w:rPr>
          <w:rFonts w:cs="Arial"/>
          <w:b/>
          <w:szCs w:val="20"/>
        </w:rPr>
        <w:t>Jestliže si pojištěnec přivodil dočasnou pracovní neschopnost</w:t>
      </w:r>
      <w:r w:rsidRPr="00B7660C">
        <w:rPr>
          <w:rFonts w:cs="Arial"/>
          <w:szCs w:val="20"/>
        </w:rPr>
        <w:t xml:space="preserve"> zaviněnou účastí ve rvačce nebo jako bezprostřední následek své opilosti, zneužití omamných prostředků nebo psychotropních látek, při spáchání úmyslného trestného činu nebo úmyslně zaviněného přestupku, </w:t>
      </w:r>
      <w:r w:rsidRPr="00B7660C">
        <w:rPr>
          <w:rFonts w:cs="Arial"/>
          <w:b/>
          <w:szCs w:val="20"/>
        </w:rPr>
        <w:t>náleží mu nemocenské za kalendářní den v poloviční výši</w:t>
      </w:r>
      <w:r w:rsidRPr="00B7660C">
        <w:rPr>
          <w:rFonts w:cs="Arial"/>
          <w:szCs w:val="20"/>
        </w:rPr>
        <w:t xml:space="preserve">. </w:t>
      </w:r>
    </w:p>
    <w:p w14:paraId="4C821EEB" w14:textId="77777777" w:rsidR="00E71A8F" w:rsidRPr="00B7660C" w:rsidRDefault="00E71A8F" w:rsidP="00E71A8F">
      <w:pPr>
        <w:spacing w:before="120" w:after="120"/>
        <w:jc w:val="both"/>
        <w:rPr>
          <w:rFonts w:cs="Arial"/>
          <w:szCs w:val="20"/>
        </w:rPr>
      </w:pPr>
      <w:r w:rsidRPr="00B7660C">
        <w:rPr>
          <w:rFonts w:cs="Arial"/>
          <w:b/>
          <w:szCs w:val="20"/>
        </w:rPr>
        <w:t>Nárok na nemocenské nemá pojištěnec</w:t>
      </w:r>
      <w:r w:rsidRPr="00B7660C">
        <w:rPr>
          <w:rFonts w:cs="Arial"/>
          <w:szCs w:val="20"/>
        </w:rPr>
        <w:t xml:space="preserve">, který si dočasnou pracovní neschopnost </w:t>
      </w:r>
      <w:r w:rsidRPr="00B7660C">
        <w:rPr>
          <w:rFonts w:cs="Arial"/>
          <w:b/>
          <w:szCs w:val="20"/>
        </w:rPr>
        <w:t>přivodil úmyslně</w:t>
      </w:r>
      <w:r w:rsidRPr="00B7660C">
        <w:rPr>
          <w:rFonts w:cs="Arial"/>
          <w:szCs w:val="20"/>
        </w:rPr>
        <w:t xml:space="preserve">. Dále jestliže </w:t>
      </w:r>
      <w:r w:rsidRPr="00B7660C">
        <w:t xml:space="preserve">občanovi vznikl v době dočasné pracovní neschopnosti nebo nařízené karantény nárok na výplatu starobního důchodu, pokud pojištěná činnost skončila přede dnem, od něhož vznikl nárok na výplatu důchodu. </w:t>
      </w:r>
      <w:r w:rsidRPr="00B7660C">
        <w:rPr>
          <w:rFonts w:cs="Arial"/>
          <w:szCs w:val="20"/>
        </w:rPr>
        <w:t>Pojištěnec nemá nárok na nemocenské ani v případě, kdy vznikla dočasná pracovní neschopnost nebo mu byla nařízena karanténa v době útěku z vazby nebo z místa výkonu trestu odnětí svobody.</w:t>
      </w:r>
    </w:p>
    <w:p w14:paraId="36E8E993" w14:textId="77777777" w:rsidR="00E71A8F" w:rsidRPr="005761BF" w:rsidRDefault="007A319D" w:rsidP="007A319D">
      <w:pPr>
        <w:pStyle w:val="Nadpis3"/>
      </w:pPr>
      <w:bookmarkStart w:id="5" w:name="_Toc136412142"/>
      <w:r w:rsidRPr="005761BF">
        <w:t>2.3 Uplatnění nároku na dávku nemocenského</w:t>
      </w:r>
      <w:bookmarkEnd w:id="5"/>
    </w:p>
    <w:p w14:paraId="20557BD4" w14:textId="0EF42E08" w:rsidR="007A319D" w:rsidRPr="005761BF" w:rsidRDefault="0039783A" w:rsidP="007A319D">
      <w:pPr>
        <w:pStyle w:val="Seznam"/>
        <w:spacing w:after="120"/>
        <w:contextualSpacing w:val="0"/>
        <w:jc w:val="both"/>
      </w:pPr>
      <w:r>
        <w:t>Hlášen</w:t>
      </w:r>
      <w:r w:rsidR="007A319D" w:rsidRPr="005761BF">
        <w:t>í o dočasné pracovní neschopnosti probíhá od 1. 1. 2020 elektronicky</w:t>
      </w:r>
      <w:r w:rsidR="007A319D" w:rsidRPr="005761BF">
        <w:rPr>
          <w:rStyle w:val="Znakapoznpodarou"/>
        </w:rPr>
        <w:footnoteReference w:id="4"/>
      </w:r>
      <w:r w:rsidR="007A319D" w:rsidRPr="005761BF">
        <w:t>. Bylo tak upuštěno od zdlouhavého oběhu listinných dokumentů, který byl nahrazen elektronickým zpracováním.</w:t>
      </w:r>
    </w:p>
    <w:p w14:paraId="0A7C3C2D" w14:textId="04321129" w:rsidR="007A319D" w:rsidRPr="005761BF" w:rsidRDefault="007A319D" w:rsidP="007A319D">
      <w:pPr>
        <w:pStyle w:val="Seznam"/>
        <w:spacing w:after="120"/>
        <w:contextualSpacing w:val="0"/>
        <w:jc w:val="both"/>
      </w:pPr>
      <w:r w:rsidRPr="005761BF">
        <w:t>Ošetřující lékař od 1. 1. 2020 hlásí vznik, trvání a ukončení dočasné pracovní neschopnosti přímo správě sociálního zabezpečení pouze elektronicky. Ošetřující lékař již nevydává zaměstnanci žádné papírové díly neschopenky určené pro zaměstnavatele. Zachován zůstal pouze „Průkaz dočasně práce neschopného pojištěnce“</w:t>
      </w:r>
      <w:r w:rsidR="005761BF" w:rsidRPr="005761BF">
        <w:t>, který má u sebe zaměstnanec pro své potřeby a k informaci.</w:t>
      </w:r>
      <w:r w:rsidRPr="005761BF">
        <w:t xml:space="preserve"> </w:t>
      </w:r>
      <w:r w:rsidRPr="005761BF">
        <w:rPr>
          <w:b/>
          <w:bCs/>
        </w:rPr>
        <w:t xml:space="preserve">Hlášení </w:t>
      </w:r>
      <w:r w:rsidRPr="005761BF">
        <w:rPr>
          <w:bCs/>
        </w:rPr>
        <w:t>správě sociálního zabezpečení</w:t>
      </w:r>
      <w:r w:rsidRPr="005761BF">
        <w:rPr>
          <w:b/>
          <w:bCs/>
        </w:rPr>
        <w:t xml:space="preserve"> o vzniku dočasné pracovní neschopnosti je při </w:t>
      </w:r>
      <w:r w:rsidRPr="005761BF">
        <w:rPr>
          <w:bCs/>
        </w:rPr>
        <w:t>dočasné pracovní</w:t>
      </w:r>
      <w:r w:rsidRPr="005761BF">
        <w:rPr>
          <w:b/>
          <w:bCs/>
        </w:rPr>
        <w:t xml:space="preserve"> neschopnosti přesahující 14 kalendářních dnů </w:t>
      </w:r>
      <w:r w:rsidRPr="005761BF">
        <w:rPr>
          <w:bCs/>
        </w:rPr>
        <w:t xml:space="preserve">automaticky </w:t>
      </w:r>
      <w:r w:rsidRPr="005761BF">
        <w:rPr>
          <w:b/>
          <w:bCs/>
        </w:rPr>
        <w:t>považováno za žádost o nemocenské.</w:t>
      </w:r>
      <w:r w:rsidRPr="005761BF">
        <w:t xml:space="preserve"> Ošetřující lékař hlásí trvání dočasné pracovní neschopnosti přímo správě sociálního zabezpečení. Hlášení o ukončení dočasné pracovní neschopnosti, které ošetřující lékař rovněž zasílá přímo správě sociálního zabezpečení, je automaticky i dokladem pro ukončení výplaty nemocenského. </w:t>
      </w:r>
    </w:p>
    <w:p w14:paraId="5B1D3AC0" w14:textId="77777777" w:rsidR="007A319D" w:rsidRPr="005761BF" w:rsidRDefault="007A319D" w:rsidP="007A319D">
      <w:pPr>
        <w:pStyle w:val="Seznam"/>
        <w:spacing w:after="120"/>
        <w:contextualSpacing w:val="0"/>
        <w:jc w:val="both"/>
      </w:pPr>
      <w:r w:rsidRPr="005761BF">
        <w:t xml:space="preserve">Pro zaměstnavatele se tedy již nevystavuje žádný listinný díl rozhodnutí o dočasné pracovní neschopnosti. </w:t>
      </w:r>
      <w:r w:rsidRPr="005761BF">
        <w:rPr>
          <w:bCs/>
        </w:rPr>
        <w:t>I nadále však</w:t>
      </w:r>
      <w:r w:rsidRPr="005761BF">
        <w:rPr>
          <w:b/>
          <w:bCs/>
        </w:rPr>
        <w:t xml:space="preserve"> zůstává </w:t>
      </w:r>
      <w:r w:rsidRPr="005761BF">
        <w:rPr>
          <w:bCs/>
        </w:rPr>
        <w:t>zachována</w:t>
      </w:r>
      <w:r w:rsidRPr="005761BF">
        <w:rPr>
          <w:b/>
          <w:bCs/>
        </w:rPr>
        <w:t xml:space="preserve"> povinnost zaměstnance, aby o </w:t>
      </w:r>
      <w:r w:rsidRPr="005761BF">
        <w:rPr>
          <w:bCs/>
        </w:rPr>
        <w:t>své dočasné</w:t>
      </w:r>
      <w:r w:rsidRPr="005761BF">
        <w:rPr>
          <w:b/>
          <w:bCs/>
        </w:rPr>
        <w:t xml:space="preserve"> pracovní neschopnosti </w:t>
      </w:r>
      <w:r w:rsidRPr="005761BF">
        <w:rPr>
          <w:bCs/>
        </w:rPr>
        <w:t>neprodleně</w:t>
      </w:r>
      <w:r w:rsidRPr="005761BF">
        <w:rPr>
          <w:b/>
          <w:bCs/>
        </w:rPr>
        <w:t xml:space="preserve"> informoval </w:t>
      </w:r>
      <w:r w:rsidRPr="005761BF">
        <w:rPr>
          <w:bCs/>
        </w:rPr>
        <w:t>svého</w:t>
      </w:r>
      <w:r w:rsidRPr="005761BF">
        <w:rPr>
          <w:b/>
          <w:bCs/>
        </w:rPr>
        <w:t xml:space="preserve"> zaměstnavatele</w:t>
      </w:r>
      <w:r w:rsidRPr="005761BF">
        <w:t xml:space="preserve"> (např. telefonicky, e-mailem). </w:t>
      </w:r>
    </w:p>
    <w:p w14:paraId="0B63BEA1" w14:textId="77777777" w:rsidR="007A319D" w:rsidRPr="005761BF" w:rsidRDefault="007A319D" w:rsidP="007A319D">
      <w:pPr>
        <w:pStyle w:val="Seznam"/>
        <w:spacing w:before="60" w:after="60"/>
        <w:contextualSpacing w:val="0"/>
        <w:jc w:val="both"/>
      </w:pPr>
      <w:r w:rsidRPr="005761BF">
        <w:t>Zaměstnavatel může využít nové způsoby zjišťování informací o pracovních neschopnostech (PN) svých zaměstnanců:</w:t>
      </w:r>
    </w:p>
    <w:p w14:paraId="0C94E907" w14:textId="45F9D92E" w:rsidR="007A319D" w:rsidRPr="005761BF" w:rsidRDefault="007A319D" w:rsidP="007A319D">
      <w:pPr>
        <w:pStyle w:val="Seznam"/>
        <w:spacing w:after="120"/>
        <w:ind w:firstLine="284"/>
        <w:jc w:val="both"/>
      </w:pPr>
      <w:r w:rsidRPr="005761BF">
        <w:t xml:space="preserve">1) </w:t>
      </w:r>
      <w:r w:rsidR="005761BF" w:rsidRPr="005761BF">
        <w:t>p</w:t>
      </w:r>
      <w:r w:rsidRPr="005761BF">
        <w:t xml:space="preserve">řes službu </w:t>
      </w:r>
      <w:proofErr w:type="spellStart"/>
      <w:r w:rsidRPr="005761BF">
        <w:t>ePortálu</w:t>
      </w:r>
      <w:proofErr w:type="spellEnd"/>
      <w:r w:rsidRPr="005761BF">
        <w:t xml:space="preserve"> ČSSZ pro ověření či stažení údajů o</w:t>
      </w:r>
      <w:r w:rsidR="005761BF" w:rsidRPr="005761BF">
        <w:t xml:space="preserve"> dočasných PN svých zaměstnanců,</w:t>
      </w:r>
      <w:r w:rsidRPr="005761BF">
        <w:t xml:space="preserve"> </w:t>
      </w:r>
    </w:p>
    <w:p w14:paraId="47BC7068" w14:textId="44567380" w:rsidR="007A319D" w:rsidRPr="005761BF" w:rsidRDefault="007A319D" w:rsidP="007A319D">
      <w:pPr>
        <w:pStyle w:val="Seznam"/>
        <w:spacing w:after="120"/>
        <w:ind w:firstLine="284"/>
        <w:jc w:val="both"/>
      </w:pPr>
      <w:r w:rsidRPr="005761BF">
        <w:t xml:space="preserve">2) </w:t>
      </w:r>
      <w:r w:rsidR="005761BF" w:rsidRPr="005761BF">
        <w:t>ž</w:t>
      </w:r>
      <w:r w:rsidRPr="005761BF">
        <w:t>ádostí o zasílání elektronických notifikací o</w:t>
      </w:r>
      <w:r w:rsidR="005761BF" w:rsidRPr="005761BF">
        <w:t xml:space="preserve"> dočasných PN svých zaměstnanců,</w:t>
      </w:r>
    </w:p>
    <w:p w14:paraId="23312ED5" w14:textId="10B2BE8D" w:rsidR="007A319D" w:rsidRPr="005761BF" w:rsidRDefault="007A319D" w:rsidP="007A319D">
      <w:pPr>
        <w:pStyle w:val="Seznam"/>
        <w:spacing w:after="120"/>
        <w:ind w:firstLine="284"/>
        <w:contextualSpacing w:val="0"/>
        <w:jc w:val="both"/>
      </w:pPr>
      <w:r w:rsidRPr="005761BF">
        <w:t xml:space="preserve">3) </w:t>
      </w:r>
      <w:r w:rsidR="005761BF" w:rsidRPr="005761BF">
        <w:t>p</w:t>
      </w:r>
      <w:r w:rsidRPr="005761BF">
        <w:t>řes kanál veřejného rozhraní pro elektronické podání.</w:t>
      </w:r>
    </w:p>
    <w:p w14:paraId="30DE6E2F" w14:textId="77777777" w:rsidR="007A319D" w:rsidRPr="005761BF" w:rsidRDefault="007A319D" w:rsidP="007A319D">
      <w:pPr>
        <w:pStyle w:val="Seznam"/>
        <w:spacing w:after="120"/>
        <w:contextualSpacing w:val="0"/>
        <w:jc w:val="both"/>
      </w:pPr>
      <w:r w:rsidRPr="005761BF">
        <w:lastRenderedPageBreak/>
        <w:t xml:space="preserve">Zaměstnavatel je povinen po 14 dnech trvání neschopnosti zaslat ČSSZ </w:t>
      </w:r>
      <w:r w:rsidRPr="005761BF">
        <w:rPr>
          <w:b/>
          <w:bCs/>
        </w:rPr>
        <w:t>Přílohu k žádosti o dávku</w:t>
      </w:r>
      <w:r w:rsidRPr="005761BF">
        <w:t xml:space="preserve">, která obsahuje údaje potřebné pro posouzení nároku, výpočet a výplatu nemocenského, </w:t>
      </w:r>
      <w:r w:rsidRPr="005761BF">
        <w:rPr>
          <w:b/>
          <w:bCs/>
        </w:rPr>
        <w:t>a to v elektronické formě</w:t>
      </w:r>
      <w:r w:rsidRPr="005761BF">
        <w:t xml:space="preserve"> (papírový tiskopis je možno použít pouze v případě technického výpadku). Do </w:t>
      </w:r>
      <w:r w:rsidR="005D15AE" w:rsidRPr="005761BF">
        <w:t>p</w:t>
      </w:r>
      <w:r w:rsidRPr="005761BF">
        <w:t>řílohy k žádosti o dávku zaměstnavatel nově uvede informaci o tom, kam je zaměstnanci vyplácena mzda nebo plat (stejným způsobem se zpravidla bude zaměstnanci vyplácet nemocenské). Podklady ke srážkám z dávek se mohou zasílat stále stejným způsobem, buď poštou, nebo přes datovou schránku. Při skončení dočasné pracovní neschopnosti zaměstnavatel zašle hlášení s údaji potřebnými pro výplatu poslední dávky nemocenského.</w:t>
      </w:r>
    </w:p>
    <w:p w14:paraId="6035BB84" w14:textId="77777777" w:rsidR="007A319D" w:rsidRPr="00544C6C" w:rsidRDefault="00021A3B" w:rsidP="005402D7">
      <w:pPr>
        <w:pStyle w:val="Nadpis3"/>
        <w:jc w:val="both"/>
      </w:pPr>
      <w:bookmarkStart w:id="6" w:name="_Toc136412143"/>
      <w:r w:rsidRPr="00544C6C">
        <w:t>2.4 Uplatnění nároku na ostatní dávky nemocenského pojištění včetně nemocenského z důvodu nařízené karantény</w:t>
      </w:r>
      <w:bookmarkEnd w:id="6"/>
    </w:p>
    <w:p w14:paraId="0867AADF" w14:textId="77777777" w:rsidR="00021A3B" w:rsidRPr="00544C6C" w:rsidRDefault="00021A3B" w:rsidP="00021A3B">
      <w:pPr>
        <w:spacing w:after="120"/>
        <w:jc w:val="both"/>
      </w:pPr>
      <w:r w:rsidRPr="00544C6C">
        <w:t>Zaměstnanec předá žádost o dávku, kterou zpravidla vystavuje lékař, svému zaměstnavateli, který ji spolu s podklady pro stanovení nároku na dávku a její výplatu zašle elektronicky příslušné okresní správě sociálního zabezpečení</w:t>
      </w:r>
      <w:r w:rsidR="00E0156A" w:rsidRPr="00544C6C">
        <w:t xml:space="preserve"> (OSSZ)</w:t>
      </w:r>
      <w:r w:rsidRPr="00544C6C">
        <w:t xml:space="preserve">, která provádí nemocenské pojištění zaměstnanců. K žádosti zaměstnance o dávku nemocenského pojištění je zaměstnavatel povinen vyplnit zákonem předepsaný tiskopis, jehož vydávání zajišťuje Česká správa sociálního zabezpečení. Jedná se o přílohu k žádosti o dávku nemocenského pojištění. Tato příloha je uveřejněna na webových stránkách České správy sociálního zabezpečení. Na tiskopisu zaměstnavatel uvede především započitatelné příjmy zaměstnance v rozhodném období a počet tzv. „nezapočitatelných dnů“ v tomto rozhodném období, aby </w:t>
      </w:r>
      <w:r w:rsidR="00E0156A" w:rsidRPr="00544C6C">
        <w:t>OSSZ</w:t>
      </w:r>
      <w:r w:rsidRPr="00544C6C">
        <w:t xml:space="preserve"> mohla vypočítat denní výši dávky. Zaměstnavatelé přijímají žádosti o dávku i od svých bývalých zaměstnanců.</w:t>
      </w:r>
    </w:p>
    <w:p w14:paraId="0C12E06B" w14:textId="77777777" w:rsidR="00021A3B" w:rsidRPr="00544C6C" w:rsidRDefault="00021A3B" w:rsidP="00021A3B">
      <w:pPr>
        <w:spacing w:after="120"/>
        <w:jc w:val="both"/>
      </w:pPr>
      <w:r w:rsidRPr="00544C6C">
        <w:t>Služební útvary provádějí nemocenské pojištění příslušníků Policie České republiky, Hasičského záchranného sboru České republiky, Celní správy České republiky, Vězeňské služby České republiky, Bezpečnostní informační služby a Úřadu pro zahraniční styky a informace, vojáků z povolání, odsouzených ve výkonu trestu, kteří vykonávají práci ve výkonu trestu, a osob obviněných vykonávajících práci ve vazbě.</w:t>
      </w:r>
    </w:p>
    <w:p w14:paraId="4B380D36" w14:textId="77777777" w:rsidR="00E71A8F" w:rsidRPr="00544C6C" w:rsidRDefault="00021A3B" w:rsidP="00021A3B">
      <w:pPr>
        <w:pStyle w:val="Nadpis3"/>
      </w:pPr>
      <w:bookmarkStart w:id="7" w:name="_Toc136412144"/>
      <w:r w:rsidRPr="00544C6C">
        <w:t>2.5 Výpočet dávky nemocenského</w:t>
      </w:r>
      <w:bookmarkEnd w:id="7"/>
    </w:p>
    <w:p w14:paraId="405FAE21" w14:textId="77777777" w:rsidR="00021A3B" w:rsidRPr="00544C6C" w:rsidRDefault="00021A3B" w:rsidP="00021A3B">
      <w:pPr>
        <w:spacing w:after="120"/>
        <w:jc w:val="both"/>
      </w:pPr>
      <w:r w:rsidRPr="00544C6C">
        <w:t xml:space="preserve">Výše dávky nemocenského se počítá z denního vyměřovacího základu. </w:t>
      </w:r>
      <w:r w:rsidR="004B5EE7" w:rsidRPr="00544C6C">
        <w:t>Z</w:t>
      </w:r>
      <w:r w:rsidRPr="00544C6C">
        <w:t>apočitatelný příjem zúčtovaný zaměstnanci v rozhodném období (zpravidla období 12 kalendářních měsíců před kalendářním měsícem, ve kterém vznikla sociální událost – v případě výplaty nemocenského dočasná pracovní neschopnost) se dělí počtem započitatelných kalendářních dnů připadajících na toto rozhodné období. Takto stanovený průměrný denní příjem se upravuje (redukuje) pomocí tří redukčních hranic na denní vyměřovací základ.</w:t>
      </w:r>
    </w:p>
    <w:p w14:paraId="31A7F5D7" w14:textId="77777777" w:rsidR="00021A3B" w:rsidRPr="00544C6C" w:rsidRDefault="00021A3B" w:rsidP="00021A3B">
      <w:pPr>
        <w:spacing w:after="120"/>
        <w:jc w:val="both"/>
        <w:rPr>
          <w:lang w:eastAsia="ar-SA"/>
        </w:rPr>
      </w:pPr>
      <w:r w:rsidRPr="00544C6C">
        <w:rPr>
          <w:lang w:eastAsia="ar-SA"/>
        </w:rPr>
        <w:t xml:space="preserve">Výši tří </w:t>
      </w:r>
      <w:r w:rsidRPr="00544C6C">
        <w:rPr>
          <w:b/>
          <w:lang w:eastAsia="ar-SA"/>
        </w:rPr>
        <w:t>redukčních hranic</w:t>
      </w:r>
      <w:r w:rsidRPr="00544C6C">
        <w:rPr>
          <w:lang w:eastAsia="ar-SA"/>
        </w:rPr>
        <w:t xml:space="preserve"> platných od 1. ledna kalendářního roku vyhlašuje Ministerstvo práce a sociálních věcí formou Sdělení ve Sbírce zákonů. </w:t>
      </w:r>
    </w:p>
    <w:p w14:paraId="138F0862" w14:textId="71DD9A43" w:rsidR="00021A3B" w:rsidRPr="00544C6C" w:rsidRDefault="00021A3B" w:rsidP="00021A3B">
      <w:pPr>
        <w:spacing w:after="120"/>
        <w:jc w:val="both"/>
        <w:rPr>
          <w:lang w:eastAsia="ar-SA"/>
        </w:rPr>
      </w:pPr>
      <w:r w:rsidRPr="00544C6C">
        <w:rPr>
          <w:lang w:eastAsia="ar-SA"/>
        </w:rPr>
        <w:t xml:space="preserve">V roce </w:t>
      </w:r>
      <w:r w:rsidRPr="00544C6C">
        <w:rPr>
          <w:b/>
          <w:lang w:eastAsia="ar-SA"/>
        </w:rPr>
        <w:t>202</w:t>
      </w:r>
      <w:r w:rsidR="00544C6C" w:rsidRPr="00544C6C">
        <w:rPr>
          <w:b/>
          <w:lang w:eastAsia="ar-SA"/>
        </w:rPr>
        <w:t>2</w:t>
      </w:r>
      <w:r w:rsidRPr="00544C6C">
        <w:rPr>
          <w:lang w:eastAsia="ar-SA"/>
        </w:rPr>
        <w:t xml:space="preserve"> činila 1. redukční hranice </w:t>
      </w:r>
      <w:r w:rsidRPr="00544C6C">
        <w:rPr>
          <w:b/>
        </w:rPr>
        <w:t>1 </w:t>
      </w:r>
      <w:r w:rsidR="00544C6C" w:rsidRPr="00544C6C">
        <w:rPr>
          <w:b/>
        </w:rPr>
        <w:t>298</w:t>
      </w:r>
      <w:r w:rsidRPr="00544C6C">
        <w:t xml:space="preserve"> </w:t>
      </w:r>
      <w:r w:rsidRPr="00544C6C">
        <w:rPr>
          <w:b/>
          <w:lang w:eastAsia="ar-SA"/>
        </w:rPr>
        <w:t>Kč</w:t>
      </w:r>
      <w:r w:rsidRPr="00544C6C">
        <w:rPr>
          <w:lang w:eastAsia="ar-SA"/>
        </w:rPr>
        <w:t xml:space="preserve">, 2. redukční hranice </w:t>
      </w:r>
      <w:r w:rsidRPr="00544C6C">
        <w:rPr>
          <w:b/>
        </w:rPr>
        <w:t xml:space="preserve">1 </w:t>
      </w:r>
      <w:r w:rsidR="00544C6C" w:rsidRPr="00544C6C">
        <w:rPr>
          <w:b/>
        </w:rPr>
        <w:t>946</w:t>
      </w:r>
      <w:r w:rsidRPr="00544C6C">
        <w:rPr>
          <w:b/>
          <w:lang w:eastAsia="ar-SA"/>
        </w:rPr>
        <w:t xml:space="preserve"> Kč</w:t>
      </w:r>
      <w:r w:rsidRPr="00544C6C">
        <w:rPr>
          <w:lang w:eastAsia="ar-SA"/>
        </w:rPr>
        <w:t xml:space="preserve">, 3. redukční hranice </w:t>
      </w:r>
      <w:r w:rsidRPr="00544C6C">
        <w:rPr>
          <w:b/>
        </w:rPr>
        <w:t xml:space="preserve">3 </w:t>
      </w:r>
      <w:r w:rsidR="00544C6C" w:rsidRPr="00544C6C">
        <w:rPr>
          <w:b/>
        </w:rPr>
        <w:t>892</w:t>
      </w:r>
      <w:r w:rsidRPr="00544C6C">
        <w:t xml:space="preserve"> </w:t>
      </w:r>
      <w:r w:rsidRPr="00544C6C">
        <w:rPr>
          <w:b/>
          <w:lang w:eastAsia="ar-SA"/>
        </w:rPr>
        <w:t>Kč</w:t>
      </w:r>
      <w:r w:rsidRPr="00544C6C">
        <w:rPr>
          <w:lang w:eastAsia="ar-SA"/>
        </w:rPr>
        <w:t>.</w:t>
      </w:r>
    </w:p>
    <w:p w14:paraId="714151D1" w14:textId="77777777" w:rsidR="00021A3B" w:rsidRPr="00544C6C" w:rsidRDefault="00021A3B" w:rsidP="00021A3B">
      <w:pPr>
        <w:spacing w:after="60"/>
        <w:jc w:val="both"/>
      </w:pPr>
      <w:r w:rsidRPr="00544C6C">
        <w:rPr>
          <w:b/>
        </w:rPr>
        <w:t>Redukce u nemocenského</w:t>
      </w:r>
      <w:r w:rsidRPr="00544C6C">
        <w:t xml:space="preserve"> se provede následujícím způsobem.</w:t>
      </w:r>
    </w:p>
    <w:p w14:paraId="71ECC44C" w14:textId="77777777" w:rsidR="00021A3B" w:rsidRPr="00544C6C" w:rsidRDefault="00021A3B" w:rsidP="00021A3B">
      <w:pPr>
        <w:pStyle w:val="Odstavecseseznamem"/>
        <w:numPr>
          <w:ilvl w:val="0"/>
          <w:numId w:val="24"/>
        </w:numPr>
        <w:jc w:val="both"/>
      </w:pPr>
      <w:r w:rsidRPr="00544C6C">
        <w:rPr>
          <w:b/>
        </w:rPr>
        <w:t>do</w:t>
      </w:r>
      <w:r w:rsidRPr="00544C6C">
        <w:t xml:space="preserve"> </w:t>
      </w:r>
      <w:r w:rsidRPr="00544C6C">
        <w:rPr>
          <w:b/>
        </w:rPr>
        <w:t>první redukční hranice</w:t>
      </w:r>
      <w:r w:rsidRPr="00544C6C">
        <w:t xml:space="preserve"> se započte </w:t>
      </w:r>
      <w:r w:rsidRPr="00544C6C">
        <w:rPr>
          <w:b/>
        </w:rPr>
        <w:t>90 %</w:t>
      </w:r>
      <w:r w:rsidRPr="00544C6C">
        <w:t xml:space="preserve"> denního vyměřovacího základu,</w:t>
      </w:r>
    </w:p>
    <w:p w14:paraId="23337DBD" w14:textId="77777777" w:rsidR="00021A3B" w:rsidRPr="00544C6C" w:rsidRDefault="00021A3B" w:rsidP="00021A3B">
      <w:pPr>
        <w:pStyle w:val="Odstavecseseznamem"/>
        <w:numPr>
          <w:ilvl w:val="0"/>
          <w:numId w:val="24"/>
        </w:numPr>
        <w:jc w:val="both"/>
      </w:pPr>
      <w:r w:rsidRPr="00544C6C">
        <w:t xml:space="preserve">z části denního vyměřovacího základu </w:t>
      </w:r>
      <w:r w:rsidRPr="00544C6C">
        <w:rPr>
          <w:b/>
        </w:rPr>
        <w:t>mezi první a druhou redukční hranicí</w:t>
      </w:r>
      <w:r w:rsidRPr="00544C6C">
        <w:t xml:space="preserve"> se započte </w:t>
      </w:r>
      <w:r w:rsidRPr="00544C6C">
        <w:rPr>
          <w:b/>
        </w:rPr>
        <w:t>60 %</w:t>
      </w:r>
      <w:r w:rsidRPr="00544C6C">
        <w:t>,</w:t>
      </w:r>
    </w:p>
    <w:p w14:paraId="096B8551" w14:textId="77777777" w:rsidR="00021A3B" w:rsidRPr="00544C6C" w:rsidRDefault="00021A3B" w:rsidP="00021A3B">
      <w:pPr>
        <w:pStyle w:val="Odstavecseseznamem"/>
        <w:numPr>
          <w:ilvl w:val="0"/>
          <w:numId w:val="24"/>
        </w:numPr>
        <w:jc w:val="both"/>
      </w:pPr>
      <w:r w:rsidRPr="00544C6C">
        <w:t xml:space="preserve">z části </w:t>
      </w:r>
      <w:r w:rsidRPr="00544C6C">
        <w:rPr>
          <w:b/>
        </w:rPr>
        <w:t>mezi druhou a třetí</w:t>
      </w:r>
      <w:r w:rsidRPr="00544C6C">
        <w:t xml:space="preserve"> redukční hranicí se započte </w:t>
      </w:r>
      <w:r w:rsidRPr="00544C6C">
        <w:rPr>
          <w:b/>
        </w:rPr>
        <w:t>30 %</w:t>
      </w:r>
      <w:r w:rsidRPr="00544C6C">
        <w:t>,</w:t>
      </w:r>
    </w:p>
    <w:p w14:paraId="7CE63D1A" w14:textId="77777777" w:rsidR="00021A3B" w:rsidRPr="00544C6C" w:rsidRDefault="00021A3B" w:rsidP="00021A3B">
      <w:pPr>
        <w:pStyle w:val="Odstavecseseznamem"/>
        <w:numPr>
          <w:ilvl w:val="0"/>
          <w:numId w:val="24"/>
        </w:numPr>
        <w:spacing w:after="120"/>
        <w:ind w:left="714" w:hanging="357"/>
        <w:jc w:val="both"/>
      </w:pPr>
      <w:r w:rsidRPr="00544C6C">
        <w:t xml:space="preserve">k části </w:t>
      </w:r>
      <w:r w:rsidRPr="00544C6C">
        <w:rPr>
          <w:b/>
        </w:rPr>
        <w:t>nad třetí</w:t>
      </w:r>
      <w:r w:rsidRPr="00544C6C">
        <w:t xml:space="preserve"> redukční hranici </w:t>
      </w:r>
      <w:r w:rsidRPr="00544C6C">
        <w:rPr>
          <w:b/>
        </w:rPr>
        <w:t>se nepřihlédne</w:t>
      </w:r>
      <w:r w:rsidRPr="00544C6C">
        <w:t>.</w:t>
      </w:r>
    </w:p>
    <w:p w14:paraId="27C315FE" w14:textId="77777777" w:rsidR="00021A3B" w:rsidRPr="00544C6C" w:rsidRDefault="00021A3B" w:rsidP="00021A3B">
      <w:pPr>
        <w:spacing w:after="120"/>
        <w:jc w:val="both"/>
      </w:pPr>
      <w:r w:rsidRPr="00544C6C">
        <w:t xml:space="preserve">Výše </w:t>
      </w:r>
      <w:r w:rsidRPr="00544C6C">
        <w:rPr>
          <w:b/>
          <w:bCs/>
        </w:rPr>
        <w:t>nemocenského</w:t>
      </w:r>
      <w:r w:rsidRPr="00544C6C">
        <w:t xml:space="preserve"> činí </w:t>
      </w:r>
      <w:r w:rsidRPr="00544C6C">
        <w:rPr>
          <w:b/>
          <w:bCs/>
        </w:rPr>
        <w:t>60 %</w:t>
      </w:r>
      <w:r w:rsidRPr="00544C6C">
        <w:t xml:space="preserve"> denního vyměřovacího základu </w:t>
      </w:r>
      <w:r w:rsidRPr="00544C6C">
        <w:rPr>
          <w:b/>
        </w:rPr>
        <w:t>od 15. kalendářního dne</w:t>
      </w:r>
      <w:r w:rsidRPr="00544C6C">
        <w:t xml:space="preserve"> trvání dočasné pracovní neschopnosti nebo karantény, </w:t>
      </w:r>
      <w:r w:rsidRPr="00544C6C">
        <w:rPr>
          <w:b/>
        </w:rPr>
        <w:t>od 31. kalendářního dne</w:t>
      </w:r>
      <w:r w:rsidRPr="00544C6C">
        <w:t xml:space="preserve"> sazba činí </w:t>
      </w:r>
      <w:r w:rsidRPr="00544C6C">
        <w:rPr>
          <w:b/>
          <w:bCs/>
        </w:rPr>
        <w:t>66 %</w:t>
      </w:r>
      <w:r w:rsidRPr="00544C6C">
        <w:t xml:space="preserve"> denního vyměřovacího základu a dále </w:t>
      </w:r>
      <w:r w:rsidRPr="00544C6C">
        <w:rPr>
          <w:b/>
        </w:rPr>
        <w:t>od 61. kalendářního dne</w:t>
      </w:r>
      <w:r w:rsidRPr="00544C6C">
        <w:t xml:space="preserve"> sazba činí </w:t>
      </w:r>
      <w:r w:rsidRPr="00544C6C">
        <w:rPr>
          <w:b/>
          <w:bCs/>
        </w:rPr>
        <w:t>72 %</w:t>
      </w:r>
      <w:r w:rsidRPr="00544C6C">
        <w:t xml:space="preserve"> denního vyměřovacího základu.</w:t>
      </w:r>
    </w:p>
    <w:p w14:paraId="022F7B62" w14:textId="77777777" w:rsidR="00021A3B" w:rsidRPr="00544C6C" w:rsidRDefault="00021A3B" w:rsidP="00021A3B">
      <w:pPr>
        <w:spacing w:after="120"/>
        <w:jc w:val="both"/>
      </w:pPr>
      <w:r w:rsidRPr="00544C6C">
        <w:t>Výše nemocenského u </w:t>
      </w:r>
      <w:r w:rsidRPr="00544C6C">
        <w:rPr>
          <w:b/>
          <w:bCs/>
        </w:rPr>
        <w:t>dobrovolných členů integrovaného záchranného systému</w:t>
      </w:r>
      <w:r w:rsidRPr="00544C6C">
        <w:t xml:space="preserve"> (např. u dobrovolných hasičů) činí </w:t>
      </w:r>
      <w:r w:rsidRPr="00544C6C">
        <w:rPr>
          <w:b/>
          <w:bCs/>
        </w:rPr>
        <w:t>100 %</w:t>
      </w:r>
      <w:r w:rsidRPr="00544C6C">
        <w:t xml:space="preserve"> denního vyměřovacího základu, pokud tato dočasná pracovní neschopnost nebo karanténa vznikla v důsledku zásahu (tj. v důsledku provádění záchranných a likvidačních prací), k němuž byla jednotka nebo složka integrovaného záchranného systému povolána. Tuto skutečnost pojištěnci potvrdí operační středisko integrovaného záchranného systému.</w:t>
      </w:r>
    </w:p>
    <w:p w14:paraId="729D045D" w14:textId="2C5AACE8" w:rsidR="00021A3B" w:rsidRPr="00544C6C" w:rsidRDefault="00021A3B" w:rsidP="00021A3B">
      <w:pPr>
        <w:spacing w:after="120"/>
        <w:jc w:val="both"/>
        <w:rPr>
          <w:rStyle w:val="Hypertextovodkaz"/>
          <w:spacing w:val="-2"/>
        </w:rPr>
      </w:pPr>
      <w:r w:rsidRPr="00544C6C">
        <w:rPr>
          <w:spacing w:val="-2"/>
        </w:rPr>
        <w:t xml:space="preserve">Orientační výši dávky spočítá příslušná </w:t>
      </w:r>
      <w:hyperlink r:id="rId10" w:history="1">
        <w:r w:rsidRPr="00544C6C">
          <w:rPr>
            <w:rStyle w:val="Hypertextovodkaz"/>
            <w:spacing w:val="-2"/>
          </w:rPr>
          <w:t>kalkulačka MPSV</w:t>
        </w:r>
      </w:hyperlink>
      <w:r w:rsidRPr="00544C6C">
        <w:rPr>
          <w:spacing w:val="-2"/>
        </w:rPr>
        <w:t>. Další informace k nemocenskému pojištění na </w:t>
      </w:r>
      <w:hyperlink r:id="rId11" w:history="1">
        <w:r w:rsidR="00544C6C" w:rsidRPr="00544C6C">
          <w:rPr>
            <w:rStyle w:val="Hypertextovodkaz"/>
          </w:rPr>
          <w:t>https://www.mpsv.cz/web/cz/nemocenske-pojisteni-v-roce-2022</w:t>
        </w:r>
      </w:hyperlink>
      <w:r w:rsidR="00544C6C" w:rsidRPr="00544C6C">
        <w:t>,</w:t>
      </w:r>
      <w:r w:rsidRPr="00544C6C">
        <w:rPr>
          <w:spacing w:val="-2"/>
        </w:rPr>
        <w:t> </w:t>
      </w:r>
      <w:hyperlink r:id="rId12" w:history="1">
        <w:r w:rsidRPr="00544C6C">
          <w:rPr>
            <w:rStyle w:val="Hypertextovodkaz"/>
            <w:spacing w:val="-2"/>
          </w:rPr>
          <w:t>https://www.cssz.cz/web/cz/nemocenske</w:t>
        </w:r>
      </w:hyperlink>
      <w:r w:rsidRPr="00544C6C">
        <w:rPr>
          <w:rStyle w:val="Hypertextovodkaz"/>
          <w:spacing w:val="-2"/>
        </w:rPr>
        <w:t>.</w:t>
      </w:r>
    </w:p>
    <w:p w14:paraId="0CBD529C" w14:textId="77777777" w:rsidR="0011766E" w:rsidRPr="00323E10" w:rsidRDefault="0011766E" w:rsidP="0011766E">
      <w:pPr>
        <w:pStyle w:val="Nadpis3"/>
      </w:pPr>
      <w:bookmarkStart w:id="8" w:name="_Toc136412145"/>
      <w:r w:rsidRPr="00323E10">
        <w:lastRenderedPageBreak/>
        <w:t>2.6 Nejvýznamnější legislativní změny v oblasti nemocenského pojištění</w:t>
      </w:r>
      <w:bookmarkEnd w:id="8"/>
    </w:p>
    <w:p w14:paraId="5616E796" w14:textId="77777777" w:rsidR="0011766E" w:rsidRPr="00C74514" w:rsidRDefault="0011766E" w:rsidP="0011766E">
      <w:pPr>
        <w:pStyle w:val="Seznam"/>
        <w:spacing w:after="60"/>
        <w:contextualSpacing w:val="0"/>
        <w:jc w:val="both"/>
        <w:rPr>
          <w:bCs/>
          <w:szCs w:val="20"/>
        </w:rPr>
      </w:pPr>
      <w:r w:rsidRPr="00C74514">
        <w:t>Dlouhodobý vývoj dočasné pracovní neschopnosti je významně ovlivňován legislativními změnami, týkajícími se výše dávek nemocenského pojištění a počátku jejich poskytování</w:t>
      </w:r>
      <w:r w:rsidRPr="00C74514">
        <w:rPr>
          <w:bCs/>
          <w:szCs w:val="20"/>
        </w:rPr>
        <w:t xml:space="preserve">. Nejdůležitější legislativní změny, které byly přijaty v systému nemocenského pojištění přibližně v posledním desetiletí a které </w:t>
      </w:r>
      <w:r w:rsidR="0095252B" w:rsidRPr="00C74514">
        <w:rPr>
          <w:bCs/>
          <w:szCs w:val="20"/>
        </w:rPr>
        <w:t xml:space="preserve">zásadním </w:t>
      </w:r>
      <w:r w:rsidRPr="00C74514">
        <w:rPr>
          <w:bCs/>
          <w:szCs w:val="20"/>
        </w:rPr>
        <w:t xml:space="preserve">způsobem </w:t>
      </w:r>
      <w:r w:rsidR="0095252B" w:rsidRPr="00C74514">
        <w:rPr>
          <w:bCs/>
          <w:szCs w:val="20"/>
        </w:rPr>
        <w:t xml:space="preserve">působí </w:t>
      </w:r>
      <w:r w:rsidRPr="00C74514">
        <w:rPr>
          <w:bCs/>
          <w:szCs w:val="20"/>
        </w:rPr>
        <w:t xml:space="preserve">i </w:t>
      </w:r>
      <w:r w:rsidR="0095252B" w:rsidRPr="00C74514">
        <w:rPr>
          <w:bCs/>
          <w:szCs w:val="20"/>
        </w:rPr>
        <w:t xml:space="preserve">na </w:t>
      </w:r>
      <w:r w:rsidRPr="00C74514">
        <w:rPr>
          <w:bCs/>
          <w:szCs w:val="20"/>
        </w:rPr>
        <w:t>srovnatelnost dat zdravotnické statistiky, jsou následující:</w:t>
      </w:r>
    </w:p>
    <w:p w14:paraId="47BF592E" w14:textId="77777777" w:rsidR="00AF2E68" w:rsidRPr="00C74514" w:rsidRDefault="00AF2E68" w:rsidP="0011766E">
      <w:pPr>
        <w:pStyle w:val="Seznam"/>
        <w:numPr>
          <w:ilvl w:val="0"/>
          <w:numId w:val="25"/>
        </w:numPr>
        <w:spacing w:after="120"/>
        <w:ind w:left="777" w:hanging="357"/>
        <w:contextualSpacing w:val="0"/>
        <w:jc w:val="both"/>
        <w:rPr>
          <w:bCs/>
          <w:szCs w:val="20"/>
        </w:rPr>
      </w:pPr>
      <w:r w:rsidRPr="00C74514">
        <w:rPr>
          <w:bCs/>
          <w:szCs w:val="20"/>
        </w:rPr>
        <w:t xml:space="preserve">V období let </w:t>
      </w:r>
      <w:r w:rsidRPr="00C74514">
        <w:rPr>
          <w:b/>
          <w:bCs/>
          <w:szCs w:val="20"/>
        </w:rPr>
        <w:t>2010–2017</w:t>
      </w:r>
      <w:r w:rsidRPr="00C74514">
        <w:rPr>
          <w:bCs/>
          <w:szCs w:val="20"/>
        </w:rPr>
        <w:t xml:space="preserve"> činila výše dávky za kalendářní den </w:t>
      </w:r>
      <w:r w:rsidRPr="00C74514">
        <w:rPr>
          <w:b/>
          <w:bCs/>
          <w:szCs w:val="20"/>
        </w:rPr>
        <w:t>jednotně 60 %</w:t>
      </w:r>
      <w:r w:rsidRPr="00C74514">
        <w:rPr>
          <w:bCs/>
          <w:szCs w:val="20"/>
        </w:rPr>
        <w:t xml:space="preserve"> redukovaného denního vyměřovacího základu</w:t>
      </w:r>
      <w:r w:rsidR="005E7BD6" w:rsidRPr="00C74514">
        <w:rPr>
          <w:bCs/>
          <w:szCs w:val="20"/>
        </w:rPr>
        <w:t xml:space="preserve"> bez ohledu na délku trvání dočasné pracovní neschopnosti.</w:t>
      </w:r>
    </w:p>
    <w:p w14:paraId="12CD24F0" w14:textId="77777777" w:rsidR="0011766E" w:rsidRPr="00C74514" w:rsidRDefault="0011766E" w:rsidP="0011766E">
      <w:pPr>
        <w:pStyle w:val="Seznam"/>
        <w:numPr>
          <w:ilvl w:val="0"/>
          <w:numId w:val="25"/>
        </w:numPr>
        <w:spacing w:after="120"/>
        <w:ind w:left="777" w:hanging="357"/>
        <w:contextualSpacing w:val="0"/>
        <w:jc w:val="both"/>
        <w:rPr>
          <w:bCs/>
          <w:szCs w:val="20"/>
        </w:rPr>
      </w:pPr>
      <w:r w:rsidRPr="00C74514">
        <w:rPr>
          <w:b/>
          <w:bCs/>
          <w:szCs w:val="20"/>
        </w:rPr>
        <w:t>Od 1. 1. 2011 do 31. 12. 2013</w:t>
      </w:r>
      <w:r w:rsidRPr="00C74514">
        <w:rPr>
          <w:bCs/>
          <w:szCs w:val="20"/>
        </w:rPr>
        <w:t xml:space="preserve"> začínala </w:t>
      </w:r>
      <w:r w:rsidRPr="00C74514">
        <w:rPr>
          <w:b/>
          <w:bCs/>
          <w:szCs w:val="20"/>
        </w:rPr>
        <w:t>podpůrčí doba u nemocenského</w:t>
      </w:r>
      <w:r w:rsidRPr="00C74514">
        <w:rPr>
          <w:bCs/>
          <w:szCs w:val="20"/>
        </w:rPr>
        <w:t xml:space="preserve"> až </w:t>
      </w:r>
      <w:r w:rsidRPr="00C74514">
        <w:rPr>
          <w:b/>
          <w:bCs/>
          <w:szCs w:val="20"/>
        </w:rPr>
        <w:t>22. kalendářním dnem</w:t>
      </w:r>
      <w:r w:rsidRPr="00C74514">
        <w:rPr>
          <w:bCs/>
          <w:szCs w:val="20"/>
        </w:rPr>
        <w:t xml:space="preserve"> trvání dočasné pracovní neschopnosti, v období 4. až 21. kalendářního dne poskytoval náhradu mzdy nebo platu podle zákoníku práce</w:t>
      </w:r>
      <w:r w:rsidR="00000210" w:rsidRPr="00C74514">
        <w:rPr>
          <w:bCs/>
          <w:szCs w:val="20"/>
        </w:rPr>
        <w:t xml:space="preserve"> zaměstnanci zaměstnavatel</w:t>
      </w:r>
      <w:r w:rsidRPr="00C74514">
        <w:rPr>
          <w:bCs/>
          <w:szCs w:val="20"/>
        </w:rPr>
        <w:t>.</w:t>
      </w:r>
    </w:p>
    <w:p w14:paraId="630EBBE4" w14:textId="77777777" w:rsidR="0011766E" w:rsidRPr="00C74514" w:rsidRDefault="0011766E" w:rsidP="0011766E">
      <w:pPr>
        <w:pStyle w:val="Seznam"/>
        <w:numPr>
          <w:ilvl w:val="0"/>
          <w:numId w:val="25"/>
        </w:numPr>
        <w:spacing w:after="120"/>
        <w:ind w:left="777" w:hanging="357"/>
        <w:contextualSpacing w:val="0"/>
        <w:jc w:val="both"/>
        <w:rPr>
          <w:bCs/>
          <w:szCs w:val="20"/>
        </w:rPr>
      </w:pPr>
      <w:r w:rsidRPr="00C74514">
        <w:rPr>
          <w:b/>
          <w:bCs/>
          <w:szCs w:val="20"/>
        </w:rPr>
        <w:t>Od 1. 1. 2012</w:t>
      </w:r>
      <w:r w:rsidRPr="00C74514">
        <w:rPr>
          <w:bCs/>
          <w:szCs w:val="20"/>
        </w:rPr>
        <w:t xml:space="preserve"> byl novelou zákoníku práce a zákona o nemocenském pojištění </w:t>
      </w:r>
      <w:r w:rsidRPr="00C74514">
        <w:rPr>
          <w:b/>
          <w:bCs/>
          <w:szCs w:val="20"/>
        </w:rPr>
        <w:t xml:space="preserve">rozšířen okruh </w:t>
      </w:r>
      <w:proofErr w:type="spellStart"/>
      <w:r w:rsidRPr="00C74514">
        <w:rPr>
          <w:b/>
          <w:bCs/>
          <w:szCs w:val="20"/>
        </w:rPr>
        <w:t>nemocensky</w:t>
      </w:r>
      <w:proofErr w:type="spellEnd"/>
      <w:r w:rsidRPr="00C74514">
        <w:rPr>
          <w:b/>
          <w:bCs/>
          <w:szCs w:val="20"/>
        </w:rPr>
        <w:t xml:space="preserve"> pojištěných osob</w:t>
      </w:r>
      <w:r w:rsidRPr="00C74514">
        <w:rPr>
          <w:bCs/>
          <w:szCs w:val="20"/>
        </w:rPr>
        <w:t xml:space="preserve"> o zaměstnance činné na základě </w:t>
      </w:r>
      <w:r w:rsidRPr="00C74514">
        <w:rPr>
          <w:b/>
          <w:bCs/>
          <w:szCs w:val="20"/>
        </w:rPr>
        <w:t>dohody o provedení práce</w:t>
      </w:r>
      <w:r w:rsidRPr="00C74514">
        <w:rPr>
          <w:bCs/>
          <w:szCs w:val="20"/>
        </w:rPr>
        <w:t xml:space="preserve"> při výkonu práce na území ČR a při započitatelném </w:t>
      </w:r>
      <w:r w:rsidRPr="00C74514">
        <w:rPr>
          <w:b/>
          <w:bCs/>
          <w:szCs w:val="20"/>
        </w:rPr>
        <w:t>příjmu vyšším než 10 tis. Kč</w:t>
      </w:r>
      <w:r w:rsidRPr="00C74514">
        <w:rPr>
          <w:bCs/>
          <w:szCs w:val="20"/>
        </w:rPr>
        <w:t xml:space="preserve"> v kalendářním měsíci.</w:t>
      </w:r>
    </w:p>
    <w:p w14:paraId="474AF637" w14:textId="77777777" w:rsidR="0011766E" w:rsidRPr="00C74514" w:rsidRDefault="0011766E" w:rsidP="0011766E">
      <w:pPr>
        <w:pStyle w:val="Seznam"/>
        <w:numPr>
          <w:ilvl w:val="0"/>
          <w:numId w:val="25"/>
        </w:numPr>
        <w:spacing w:after="120"/>
        <w:ind w:left="777" w:hanging="357"/>
        <w:contextualSpacing w:val="0"/>
        <w:jc w:val="both"/>
        <w:rPr>
          <w:rFonts w:cs="Arial"/>
          <w:szCs w:val="20"/>
        </w:rPr>
      </w:pPr>
      <w:r w:rsidRPr="00C74514">
        <w:rPr>
          <w:b/>
          <w:bCs/>
          <w:szCs w:val="20"/>
        </w:rPr>
        <w:t>Od 1. 1. 2014</w:t>
      </w:r>
      <w:r w:rsidRPr="00C74514">
        <w:rPr>
          <w:bCs/>
          <w:szCs w:val="20"/>
        </w:rPr>
        <w:t xml:space="preserve"> byla ukončena platnost přechodného ustanovení o délce poskytování náhrady mzdy nebo platu; </w:t>
      </w:r>
      <w:r w:rsidRPr="00C74514">
        <w:rPr>
          <w:b/>
          <w:bCs/>
          <w:szCs w:val="20"/>
        </w:rPr>
        <w:t>nárok na nemocenské</w:t>
      </w:r>
      <w:r w:rsidRPr="00C74514">
        <w:rPr>
          <w:bCs/>
          <w:szCs w:val="20"/>
        </w:rPr>
        <w:t xml:space="preserve"> tedy vznikl </w:t>
      </w:r>
      <w:r w:rsidRPr="00C74514">
        <w:rPr>
          <w:b/>
          <w:bCs/>
          <w:szCs w:val="20"/>
        </w:rPr>
        <w:t>od 15. kalendářního dne</w:t>
      </w:r>
      <w:r w:rsidRPr="00C74514">
        <w:rPr>
          <w:bCs/>
          <w:szCs w:val="20"/>
        </w:rPr>
        <w:t xml:space="preserve"> trvání dočasné pracovní neschopnosti.</w:t>
      </w:r>
    </w:p>
    <w:p w14:paraId="21D47466" w14:textId="77777777" w:rsidR="0011766E" w:rsidRPr="00C74514" w:rsidRDefault="0011766E" w:rsidP="0011766E">
      <w:pPr>
        <w:pStyle w:val="Seznam"/>
        <w:numPr>
          <w:ilvl w:val="0"/>
          <w:numId w:val="25"/>
        </w:numPr>
        <w:spacing w:after="120"/>
        <w:contextualSpacing w:val="0"/>
        <w:jc w:val="both"/>
        <w:rPr>
          <w:bCs/>
          <w:szCs w:val="20"/>
        </w:rPr>
      </w:pPr>
      <w:r w:rsidRPr="00C74514">
        <w:rPr>
          <w:bCs/>
          <w:szCs w:val="20"/>
        </w:rPr>
        <w:t xml:space="preserve">Zvýšení nemocenského s účinností </w:t>
      </w:r>
      <w:r w:rsidRPr="00C74514">
        <w:rPr>
          <w:b/>
          <w:bCs/>
          <w:szCs w:val="20"/>
        </w:rPr>
        <w:t>od 1. ledna 2018</w:t>
      </w:r>
      <w:r w:rsidRPr="00C74514">
        <w:rPr>
          <w:bCs/>
          <w:szCs w:val="20"/>
        </w:rPr>
        <w:t xml:space="preserve">. </w:t>
      </w:r>
      <w:r w:rsidRPr="00C74514">
        <w:rPr>
          <w:b/>
          <w:bCs/>
          <w:szCs w:val="20"/>
        </w:rPr>
        <w:t>Od 31. kalendářního dne</w:t>
      </w:r>
      <w:r w:rsidRPr="00C74514">
        <w:rPr>
          <w:bCs/>
          <w:szCs w:val="20"/>
        </w:rPr>
        <w:t xml:space="preserve"> dočasné pracovní neschopnosti nebo karantény (dále jen „dočasná pracovní neschopnost“) </w:t>
      </w:r>
      <w:r w:rsidRPr="00C74514">
        <w:rPr>
          <w:b/>
          <w:bCs/>
          <w:szCs w:val="20"/>
        </w:rPr>
        <w:t>se zvýšila sazba</w:t>
      </w:r>
      <w:r w:rsidRPr="00C74514">
        <w:rPr>
          <w:bCs/>
          <w:szCs w:val="20"/>
        </w:rPr>
        <w:t xml:space="preserve"> z 60 % na </w:t>
      </w:r>
      <w:r w:rsidRPr="00C74514">
        <w:rPr>
          <w:b/>
          <w:bCs/>
          <w:szCs w:val="20"/>
        </w:rPr>
        <w:t xml:space="preserve">66 % redukovaného denního vyměřovacího základu </w:t>
      </w:r>
      <w:r w:rsidRPr="00C74514">
        <w:rPr>
          <w:bCs/>
          <w:szCs w:val="20"/>
        </w:rPr>
        <w:t xml:space="preserve">a dále </w:t>
      </w:r>
      <w:r w:rsidRPr="00C74514">
        <w:rPr>
          <w:b/>
          <w:bCs/>
          <w:szCs w:val="20"/>
        </w:rPr>
        <w:t>od 61. kalendářního dne</w:t>
      </w:r>
      <w:r w:rsidRPr="00C74514">
        <w:rPr>
          <w:bCs/>
          <w:szCs w:val="20"/>
        </w:rPr>
        <w:t xml:space="preserve"> dočasné pracovní neschopnosti </w:t>
      </w:r>
      <w:r w:rsidRPr="00C74514">
        <w:rPr>
          <w:b/>
          <w:bCs/>
          <w:szCs w:val="20"/>
        </w:rPr>
        <w:t>se zvýšila sazba</w:t>
      </w:r>
      <w:r w:rsidRPr="00C74514">
        <w:rPr>
          <w:bCs/>
          <w:szCs w:val="20"/>
        </w:rPr>
        <w:t xml:space="preserve"> z 60 % </w:t>
      </w:r>
      <w:r w:rsidRPr="00C74514">
        <w:rPr>
          <w:b/>
          <w:bCs/>
          <w:szCs w:val="20"/>
        </w:rPr>
        <w:t>na 72 %</w:t>
      </w:r>
      <w:r w:rsidRPr="00C74514">
        <w:rPr>
          <w:bCs/>
          <w:szCs w:val="20"/>
        </w:rPr>
        <w:t xml:space="preserve"> redukovaného denního vyměřovacího základu.</w:t>
      </w:r>
    </w:p>
    <w:p w14:paraId="6E822D6A" w14:textId="77777777" w:rsidR="005E7BD6" w:rsidRPr="00C74514" w:rsidRDefault="0011766E" w:rsidP="005E7BD6">
      <w:pPr>
        <w:pStyle w:val="Seznam"/>
        <w:numPr>
          <w:ilvl w:val="0"/>
          <w:numId w:val="25"/>
        </w:numPr>
        <w:spacing w:after="120"/>
        <w:contextualSpacing w:val="0"/>
        <w:jc w:val="both"/>
        <w:rPr>
          <w:bCs/>
          <w:szCs w:val="20"/>
        </w:rPr>
      </w:pPr>
      <w:r w:rsidRPr="00C74514">
        <w:rPr>
          <w:rFonts w:cs="Arial"/>
          <w:szCs w:val="20"/>
        </w:rPr>
        <w:t xml:space="preserve">S účinností </w:t>
      </w:r>
      <w:r w:rsidRPr="00C74514">
        <w:rPr>
          <w:rFonts w:cs="Arial"/>
          <w:b/>
          <w:szCs w:val="20"/>
        </w:rPr>
        <w:t>od 1. července 2019</w:t>
      </w:r>
      <w:r w:rsidRPr="00C74514">
        <w:rPr>
          <w:rFonts w:cs="Arial"/>
          <w:szCs w:val="20"/>
        </w:rPr>
        <w:t xml:space="preserve"> byla </w:t>
      </w:r>
      <w:r w:rsidRPr="00C74514">
        <w:rPr>
          <w:rFonts w:cs="Arial"/>
          <w:b/>
          <w:szCs w:val="20"/>
        </w:rPr>
        <w:t>snížena sazba pojistného na nemocenské pojištění</w:t>
      </w:r>
      <w:r w:rsidRPr="00C74514">
        <w:rPr>
          <w:rFonts w:cs="Arial"/>
          <w:szCs w:val="20"/>
        </w:rPr>
        <w:t xml:space="preserve"> pro zaměstnavatele a OSVČ </w:t>
      </w:r>
      <w:r w:rsidRPr="00C74514">
        <w:t>z 2,3 %</w:t>
      </w:r>
      <w:r w:rsidRPr="00C74514">
        <w:rPr>
          <w:b/>
        </w:rPr>
        <w:t xml:space="preserve"> na 2,1 % z vyměřovacího základu</w:t>
      </w:r>
      <w:r w:rsidRPr="00C74514">
        <w:t xml:space="preserve"> (</w:t>
      </w:r>
      <w:r w:rsidRPr="00C74514">
        <w:rPr>
          <w:rFonts w:cs="Arial"/>
          <w:szCs w:val="20"/>
        </w:rPr>
        <w:t xml:space="preserve">zákon č. 32/2019 </w:t>
      </w:r>
      <w:r w:rsidRPr="00C74514">
        <w:rPr>
          <w:bCs/>
          <w:szCs w:val="20"/>
        </w:rPr>
        <w:t>Sb.).</w:t>
      </w:r>
    </w:p>
    <w:p w14:paraId="76EF2E82" w14:textId="3FFABC1D" w:rsidR="001D667D" w:rsidRPr="00420349" w:rsidRDefault="0011766E" w:rsidP="001D667D">
      <w:pPr>
        <w:pStyle w:val="Seznam"/>
        <w:numPr>
          <w:ilvl w:val="0"/>
          <w:numId w:val="25"/>
        </w:numPr>
        <w:spacing w:after="120"/>
        <w:contextualSpacing w:val="0"/>
        <w:jc w:val="both"/>
      </w:pPr>
      <w:r w:rsidRPr="00C74514">
        <w:rPr>
          <w:bCs/>
          <w:szCs w:val="20"/>
        </w:rPr>
        <w:t xml:space="preserve">S účinností </w:t>
      </w:r>
      <w:r w:rsidRPr="00C74514">
        <w:rPr>
          <w:b/>
          <w:bCs/>
          <w:szCs w:val="20"/>
        </w:rPr>
        <w:t>od 1. července</w:t>
      </w:r>
      <w:r w:rsidR="005E7BD6" w:rsidRPr="00C74514">
        <w:rPr>
          <w:bCs/>
          <w:szCs w:val="20"/>
        </w:rPr>
        <w:t xml:space="preserve"> </w:t>
      </w:r>
      <w:r w:rsidR="005E7BD6" w:rsidRPr="00C74514">
        <w:rPr>
          <w:b/>
          <w:bCs/>
          <w:szCs w:val="20"/>
        </w:rPr>
        <w:t>2019</w:t>
      </w:r>
      <w:r w:rsidRPr="00C74514">
        <w:rPr>
          <w:bCs/>
          <w:szCs w:val="20"/>
        </w:rPr>
        <w:t xml:space="preserve"> náleží náhrada mzdy, platu nebo odměny z dohody ve</w:t>
      </w:r>
      <w:r w:rsidRPr="00C74514">
        <w:rPr>
          <w:rFonts w:cs="Arial"/>
          <w:szCs w:val="20"/>
        </w:rPr>
        <w:t xml:space="preserve"> výši 60 % redukovaného průměrného výdělku </w:t>
      </w:r>
      <w:r w:rsidRPr="00C74514">
        <w:rPr>
          <w:rFonts w:cs="Arial"/>
          <w:b/>
          <w:szCs w:val="20"/>
        </w:rPr>
        <w:t>i za první tři dny</w:t>
      </w:r>
      <w:r w:rsidRPr="00C74514">
        <w:rPr>
          <w:rFonts w:cs="Arial"/>
          <w:szCs w:val="20"/>
        </w:rPr>
        <w:t xml:space="preserve"> dočasné pracovní neschopnosti (</w:t>
      </w:r>
      <w:r w:rsidRPr="00C74514">
        <w:rPr>
          <w:rFonts w:cs="Arial"/>
          <w:b/>
          <w:szCs w:val="20"/>
        </w:rPr>
        <w:t>zrušení karenční doby</w:t>
      </w:r>
      <w:r w:rsidRPr="00C74514">
        <w:rPr>
          <w:rFonts w:cs="Arial"/>
          <w:szCs w:val="20"/>
        </w:rPr>
        <w:t>).</w:t>
      </w:r>
    </w:p>
    <w:p w14:paraId="7C1ABA80" w14:textId="77777777" w:rsidR="00892C0E" w:rsidRPr="00892C0E" w:rsidRDefault="00420349" w:rsidP="00892C0E">
      <w:pPr>
        <w:pStyle w:val="Seznam"/>
        <w:spacing w:after="120"/>
        <w:ind w:left="420"/>
        <w:contextualSpacing w:val="0"/>
        <w:jc w:val="both"/>
        <w:rPr>
          <w:b/>
        </w:rPr>
      </w:pPr>
      <w:r w:rsidRPr="00892C0E">
        <w:rPr>
          <w:b/>
        </w:rPr>
        <w:t>Změny v nemocenském pojištění s účinností od roku 2020</w:t>
      </w:r>
    </w:p>
    <w:p w14:paraId="7F8C2B45" w14:textId="66CA5B3A" w:rsidR="005669FF" w:rsidRPr="001D667D" w:rsidRDefault="005669FF" w:rsidP="001D667D">
      <w:pPr>
        <w:pStyle w:val="Seznam"/>
        <w:numPr>
          <w:ilvl w:val="0"/>
          <w:numId w:val="25"/>
        </w:numPr>
        <w:spacing w:after="120"/>
        <w:contextualSpacing w:val="0"/>
        <w:jc w:val="both"/>
      </w:pPr>
      <w:r>
        <w:t xml:space="preserve">Od </w:t>
      </w:r>
      <w:r w:rsidRPr="001D667D">
        <w:rPr>
          <w:b/>
        </w:rPr>
        <w:t>1. ledna 2020</w:t>
      </w:r>
      <w:r>
        <w:t xml:space="preserve"> byl zahájen provoz povinného elektronického systému vykazov</w:t>
      </w:r>
      <w:r w:rsidR="00B61714">
        <w:t>á</w:t>
      </w:r>
      <w:r>
        <w:t xml:space="preserve">ní dočasné pracovní neschopnosti – tzv. </w:t>
      </w:r>
      <w:proofErr w:type="spellStart"/>
      <w:r w:rsidRPr="001D667D">
        <w:rPr>
          <w:b/>
        </w:rPr>
        <w:t>eNeschopenky</w:t>
      </w:r>
      <w:proofErr w:type="spellEnd"/>
      <w:r>
        <w:t xml:space="preserve"> (zákon č. 187/2006 Sb., o nemocenském pojištění, ve znění zákona č. 259/2017 Sb. a zákona č. 164/2019 Sb.). </w:t>
      </w:r>
    </w:p>
    <w:p w14:paraId="6D6C6404" w14:textId="09F76D3C" w:rsidR="005669FF" w:rsidRPr="004032D4" w:rsidRDefault="005669FF" w:rsidP="005669FF">
      <w:pPr>
        <w:pStyle w:val="Seznam"/>
        <w:numPr>
          <w:ilvl w:val="0"/>
          <w:numId w:val="25"/>
        </w:numPr>
        <w:spacing w:after="120"/>
        <w:jc w:val="both"/>
      </w:pPr>
      <w:r w:rsidRPr="004032D4">
        <w:t xml:space="preserve">V reakci na epidemii onemocnění </w:t>
      </w:r>
      <w:r w:rsidR="008552E3">
        <w:t>covid</w:t>
      </w:r>
      <w:r w:rsidRPr="004032D4">
        <w:t xml:space="preserve">-19 a přijatá související opatření byly opakovaně upraveny podmínky pro poskytování ošetřovného, a to nejprve v období uzavření škol a dalších zařízení </w:t>
      </w:r>
      <w:r w:rsidRPr="004032D4">
        <w:rPr>
          <w:b/>
        </w:rPr>
        <w:t>od 11.</w:t>
      </w:r>
      <w:r w:rsidR="00935123">
        <w:rPr>
          <w:b/>
        </w:rPr>
        <w:t> </w:t>
      </w:r>
      <w:r w:rsidRPr="004032D4">
        <w:rPr>
          <w:b/>
        </w:rPr>
        <w:t>března do 30. června 2020</w:t>
      </w:r>
      <w:r w:rsidRPr="004032D4">
        <w:t xml:space="preserve"> – tzv. </w:t>
      </w:r>
      <w:r w:rsidRPr="004032D4">
        <w:rPr>
          <w:b/>
        </w:rPr>
        <w:t>krizové ošetřovné</w:t>
      </w:r>
      <w:r w:rsidR="007B1E33">
        <w:rPr>
          <w:b/>
        </w:rPr>
        <w:t>.</w:t>
      </w:r>
      <w:r w:rsidRPr="004032D4">
        <w:t xml:space="preserve"> </w:t>
      </w:r>
    </w:p>
    <w:p w14:paraId="699EEC2F" w14:textId="26AE26FA" w:rsidR="005669FF" w:rsidRPr="004032D4" w:rsidRDefault="005669FF" w:rsidP="005669FF">
      <w:pPr>
        <w:pStyle w:val="Seznam"/>
        <w:spacing w:after="120"/>
        <w:ind w:left="780"/>
        <w:jc w:val="both"/>
      </w:pPr>
      <w:r w:rsidRPr="004032D4">
        <w:t>Podmínky pro čerpání ošetřovného byly následující:</w:t>
      </w:r>
    </w:p>
    <w:p w14:paraId="533B814C" w14:textId="418AF117" w:rsidR="005669FF" w:rsidRPr="004032D4" w:rsidRDefault="005669FF" w:rsidP="0039783A">
      <w:pPr>
        <w:pStyle w:val="Seznam"/>
        <w:numPr>
          <w:ilvl w:val="1"/>
          <w:numId w:val="25"/>
        </w:numPr>
        <w:spacing w:after="120"/>
        <w:jc w:val="both"/>
      </w:pPr>
      <w:r w:rsidRPr="004032D4">
        <w:t xml:space="preserve">nárok na ošetřovné měli </w:t>
      </w:r>
      <w:proofErr w:type="spellStart"/>
      <w:r w:rsidRPr="004032D4">
        <w:t>nemocensky</w:t>
      </w:r>
      <w:proofErr w:type="spellEnd"/>
      <w:r w:rsidRPr="004032D4">
        <w:t xml:space="preserve"> pojištění zaměstnanci, včetně zaměstnanců činných na základě dohody o pracovní činnosti nebo dohody </w:t>
      </w:r>
      <w:r w:rsidR="001D667D" w:rsidRPr="004032D4">
        <w:t xml:space="preserve">o </w:t>
      </w:r>
      <w:r w:rsidRPr="004032D4">
        <w:t>provedení práce,</w:t>
      </w:r>
    </w:p>
    <w:p w14:paraId="2CDC2683" w14:textId="0B4A816B" w:rsidR="005669FF" w:rsidRPr="004032D4" w:rsidRDefault="005669FF" w:rsidP="005669FF">
      <w:pPr>
        <w:pStyle w:val="Seznam"/>
        <w:numPr>
          <w:ilvl w:val="1"/>
          <w:numId w:val="25"/>
        </w:numPr>
        <w:spacing w:after="120"/>
        <w:jc w:val="both"/>
      </w:pPr>
      <w:r w:rsidRPr="004032D4">
        <w:t>nárok na ošetřovné náležel zaměstnanci z důvodu péče o</w:t>
      </w:r>
    </w:p>
    <w:p w14:paraId="14BE4AA1" w14:textId="4C0B2E99" w:rsidR="005669FF" w:rsidRPr="004032D4" w:rsidRDefault="005669FF" w:rsidP="005669FF">
      <w:pPr>
        <w:pStyle w:val="Seznam"/>
        <w:spacing w:after="120"/>
        <w:ind w:left="2124"/>
        <w:jc w:val="both"/>
      </w:pPr>
      <w:r w:rsidRPr="004032D4">
        <w:t>▪ dítě mladší 13 let,</w:t>
      </w:r>
    </w:p>
    <w:p w14:paraId="6341D090" w14:textId="77777777" w:rsidR="005669FF" w:rsidRPr="004032D4" w:rsidRDefault="005669FF" w:rsidP="005669FF">
      <w:pPr>
        <w:pStyle w:val="Seznam"/>
        <w:spacing w:after="120"/>
        <w:ind w:left="2124"/>
        <w:jc w:val="both"/>
      </w:pPr>
      <w:r w:rsidRPr="004032D4">
        <w:t>▪ nezaopatřené dítě závislé na péči jiné osoby bez omezení věku,</w:t>
      </w:r>
    </w:p>
    <w:p w14:paraId="49B19DFE" w14:textId="5F5723CC" w:rsidR="005669FF" w:rsidRPr="004032D4" w:rsidRDefault="005669FF" w:rsidP="001D667D">
      <w:pPr>
        <w:pStyle w:val="Seznam"/>
        <w:spacing w:after="120"/>
        <w:ind w:left="2124"/>
        <w:jc w:val="both"/>
      </w:pPr>
      <w:r w:rsidRPr="004032D4">
        <w:t>▪ osobu ve věku nad 10 let závislou na péči jiné osoby využívající služby stacionářů nebo obdobných zařízení,</w:t>
      </w:r>
    </w:p>
    <w:p w14:paraId="1D4846FA" w14:textId="77777777" w:rsidR="005669FF" w:rsidRPr="004032D4" w:rsidRDefault="005669FF" w:rsidP="005669FF">
      <w:pPr>
        <w:pStyle w:val="Seznam"/>
        <w:numPr>
          <w:ilvl w:val="1"/>
          <w:numId w:val="25"/>
        </w:numPr>
        <w:spacing w:after="120"/>
        <w:jc w:val="both"/>
      </w:pPr>
      <w:r w:rsidRPr="004032D4">
        <w:t>dva pečující se mohli při péči o dítě nebo hendikepovanou osobu střídat vícekrát bez omezení,</w:t>
      </w:r>
    </w:p>
    <w:p w14:paraId="78D1CEB5" w14:textId="77777777" w:rsidR="005669FF" w:rsidRPr="004032D4" w:rsidRDefault="005669FF" w:rsidP="0039783A">
      <w:pPr>
        <w:pStyle w:val="Seznam"/>
        <w:numPr>
          <w:ilvl w:val="1"/>
          <w:numId w:val="25"/>
        </w:numPr>
        <w:spacing w:after="120"/>
        <w:jc w:val="both"/>
      </w:pPr>
      <w:r w:rsidRPr="004032D4">
        <w:t>podpůrčí doba u ošetřovného trvala po celou dobu, po kterou trvalo uzavření zařízení nebo školy z důvodu mimořádného opatření při epidemii,</w:t>
      </w:r>
    </w:p>
    <w:p w14:paraId="304C3948" w14:textId="3CC7019A" w:rsidR="005669FF" w:rsidRDefault="005669FF" w:rsidP="005863D9">
      <w:pPr>
        <w:pStyle w:val="Seznam"/>
        <w:numPr>
          <w:ilvl w:val="1"/>
          <w:numId w:val="25"/>
        </w:numPr>
        <w:spacing w:after="120"/>
        <w:ind w:left="1497" w:hanging="357"/>
        <w:contextualSpacing w:val="0"/>
        <w:jc w:val="both"/>
      </w:pPr>
      <w:r w:rsidRPr="004032D4">
        <w:lastRenderedPageBreak/>
        <w:t>ošetřovné bylo vypláceno v období od 11. března do 31. března 2020 ve výši 60 % a v období od 1. dubna do 30. června 2020 ve výši 80 % denního vyměřovacího základu.</w:t>
      </w:r>
    </w:p>
    <w:p w14:paraId="601CCE68" w14:textId="3CC7AF23" w:rsidR="005669FF" w:rsidRPr="004032D4" w:rsidRDefault="005669FF" w:rsidP="0039783A">
      <w:pPr>
        <w:pStyle w:val="Seznam"/>
        <w:numPr>
          <w:ilvl w:val="0"/>
          <w:numId w:val="25"/>
        </w:numPr>
        <w:spacing w:after="120"/>
        <w:jc w:val="both"/>
      </w:pPr>
      <w:r w:rsidRPr="004032D4">
        <w:t xml:space="preserve">Při tzv. druhé vlně epidemie onemocnění </w:t>
      </w:r>
      <w:r w:rsidR="008552E3">
        <w:t>covid</w:t>
      </w:r>
      <w:r w:rsidRPr="004032D4">
        <w:t xml:space="preserve">-19 bylo pro období </w:t>
      </w:r>
      <w:r w:rsidRPr="004032D4">
        <w:rPr>
          <w:b/>
        </w:rPr>
        <w:t>od</w:t>
      </w:r>
      <w:r w:rsidRPr="004032D4">
        <w:t xml:space="preserve"> </w:t>
      </w:r>
      <w:r w:rsidRPr="004032D4">
        <w:rPr>
          <w:b/>
        </w:rPr>
        <w:t>5. října 2020 do 31. prosince 2020</w:t>
      </w:r>
      <w:r w:rsidRPr="004032D4">
        <w:t xml:space="preserve"> znovu zavedeno </w:t>
      </w:r>
      <w:r w:rsidRPr="004032D4">
        <w:rPr>
          <w:b/>
        </w:rPr>
        <w:t>krizové ošetřovné</w:t>
      </w:r>
      <w:r w:rsidR="007B1E33">
        <w:rPr>
          <w:b/>
        </w:rPr>
        <w:t>.</w:t>
      </w:r>
      <w:r w:rsidRPr="004032D4">
        <w:t xml:space="preserve"> </w:t>
      </w:r>
    </w:p>
    <w:p w14:paraId="5B3FD126" w14:textId="70AE0C5A" w:rsidR="005669FF" w:rsidRPr="004032D4" w:rsidRDefault="005669FF" w:rsidP="00081811">
      <w:pPr>
        <w:pStyle w:val="Seznam"/>
        <w:spacing w:after="120"/>
        <w:ind w:left="780"/>
        <w:jc w:val="both"/>
      </w:pPr>
      <w:r w:rsidRPr="004032D4">
        <w:t>Podmínky pro čerpání ošetřovného byly následující:</w:t>
      </w:r>
    </w:p>
    <w:p w14:paraId="5D1E8BCC" w14:textId="2CFDADAA" w:rsidR="005669FF" w:rsidRPr="004032D4" w:rsidRDefault="005669FF" w:rsidP="00081811">
      <w:pPr>
        <w:pStyle w:val="Seznam"/>
        <w:numPr>
          <w:ilvl w:val="1"/>
          <w:numId w:val="25"/>
        </w:numPr>
        <w:spacing w:after="120"/>
        <w:jc w:val="both"/>
      </w:pPr>
      <w:r w:rsidRPr="004032D4">
        <w:t xml:space="preserve">nárok na ošetřovné měli </w:t>
      </w:r>
      <w:proofErr w:type="spellStart"/>
      <w:r w:rsidRPr="004032D4">
        <w:t>nemocensky</w:t>
      </w:r>
      <w:proofErr w:type="spellEnd"/>
      <w:r w:rsidRPr="004032D4">
        <w:t xml:space="preserve"> pojištění zaměstnanci, včetně</w:t>
      </w:r>
      <w:r w:rsidR="00081811" w:rsidRPr="004032D4">
        <w:t xml:space="preserve"> </w:t>
      </w:r>
      <w:r w:rsidRPr="004032D4">
        <w:t>zaměstnanců činných na základě dohody o pracovní činnosti nebo dohody</w:t>
      </w:r>
      <w:r w:rsidR="00081811" w:rsidRPr="004032D4">
        <w:t xml:space="preserve"> </w:t>
      </w:r>
      <w:r w:rsidRPr="004032D4">
        <w:t>o provedení práce,</w:t>
      </w:r>
    </w:p>
    <w:p w14:paraId="77E5F6B6" w14:textId="3BCBF720" w:rsidR="005669FF" w:rsidRPr="004032D4" w:rsidRDefault="005669FF" w:rsidP="00081811">
      <w:pPr>
        <w:pStyle w:val="Seznam"/>
        <w:numPr>
          <w:ilvl w:val="1"/>
          <w:numId w:val="25"/>
        </w:numPr>
        <w:spacing w:after="120"/>
        <w:jc w:val="both"/>
      </w:pPr>
      <w:r w:rsidRPr="004032D4">
        <w:t>nárok na ošetřovné náležel zaměstnanci z důvodu péče o</w:t>
      </w:r>
    </w:p>
    <w:p w14:paraId="4C3689A5" w14:textId="77777777" w:rsidR="005669FF" w:rsidRPr="004032D4" w:rsidRDefault="005669FF" w:rsidP="00081811">
      <w:pPr>
        <w:pStyle w:val="Seznam"/>
        <w:spacing w:after="120"/>
        <w:ind w:left="2220"/>
        <w:jc w:val="both"/>
      </w:pPr>
      <w:r w:rsidRPr="004032D4">
        <w:t>▪ dítě mladší 10 let,</w:t>
      </w:r>
    </w:p>
    <w:p w14:paraId="634B5D93" w14:textId="2DD3E482" w:rsidR="005669FF" w:rsidRPr="004032D4" w:rsidRDefault="005669FF" w:rsidP="004032D4">
      <w:pPr>
        <w:pStyle w:val="Seznam"/>
        <w:spacing w:after="120"/>
        <w:ind w:left="2220"/>
        <w:jc w:val="both"/>
      </w:pPr>
      <w:r w:rsidRPr="004032D4">
        <w:t>▪ nezaopatřené dítě závislé na péči jiné osoby bez omezení věku,</w:t>
      </w:r>
    </w:p>
    <w:p w14:paraId="4B286A28" w14:textId="77777777" w:rsidR="008552E3" w:rsidRDefault="005669FF" w:rsidP="004032D4">
      <w:pPr>
        <w:pStyle w:val="Seznam"/>
        <w:spacing w:after="120"/>
        <w:ind w:left="2220"/>
        <w:jc w:val="both"/>
      </w:pPr>
      <w:r w:rsidRPr="004032D4">
        <w:t>▪ osobu ve věku nad 10 let závislou na péči jiné osoby využívající služby</w:t>
      </w:r>
      <w:r w:rsidR="00081811" w:rsidRPr="004032D4">
        <w:t xml:space="preserve"> </w:t>
      </w:r>
      <w:r w:rsidRPr="004032D4">
        <w:t>sta</w:t>
      </w:r>
      <w:r w:rsidR="008552E3">
        <w:t xml:space="preserve">cionářů </w:t>
      </w:r>
    </w:p>
    <w:p w14:paraId="235B62E9" w14:textId="23418C3B" w:rsidR="005669FF" w:rsidRPr="004032D4" w:rsidRDefault="008552E3" w:rsidP="004032D4">
      <w:pPr>
        <w:pStyle w:val="Seznam"/>
        <w:spacing w:after="120"/>
        <w:ind w:left="2220"/>
        <w:jc w:val="both"/>
      </w:pPr>
      <w:r>
        <w:t xml:space="preserve">   nebo obdobných zařízení,</w:t>
      </w:r>
    </w:p>
    <w:p w14:paraId="42963BCF" w14:textId="5BE0D951" w:rsidR="00081811" w:rsidRPr="004032D4" w:rsidRDefault="008552E3" w:rsidP="00081811">
      <w:pPr>
        <w:pStyle w:val="Seznam"/>
        <w:spacing w:after="120"/>
        <w:ind w:left="2220"/>
        <w:jc w:val="both"/>
      </w:pPr>
      <w:r>
        <w:t xml:space="preserve">▪ </w:t>
      </w:r>
      <w:r w:rsidR="005669FF" w:rsidRPr="004032D4">
        <w:t>osoby uvedené v předchozích bodech pro nařízenou individuální</w:t>
      </w:r>
      <w:r w:rsidR="00081811" w:rsidRPr="004032D4">
        <w:t xml:space="preserve"> </w:t>
      </w:r>
      <w:r w:rsidR="005669FF" w:rsidRPr="004032D4">
        <w:t xml:space="preserve">karanténu </w:t>
      </w:r>
      <w:r w:rsidR="00081811" w:rsidRPr="004032D4">
        <w:t xml:space="preserve"> </w:t>
      </w:r>
    </w:p>
    <w:p w14:paraId="66C61998" w14:textId="499C8635" w:rsidR="005669FF" w:rsidRPr="004032D4" w:rsidRDefault="00081811" w:rsidP="008552E3">
      <w:pPr>
        <w:pStyle w:val="Seznam"/>
        <w:spacing w:after="120"/>
        <w:ind w:left="2220"/>
        <w:jc w:val="both"/>
      </w:pPr>
      <w:r w:rsidRPr="004032D4">
        <w:t xml:space="preserve">  </w:t>
      </w:r>
      <w:r w:rsidR="005669FF" w:rsidRPr="004032D4">
        <w:t>(izolaci).</w:t>
      </w:r>
    </w:p>
    <w:p w14:paraId="5B693DA9" w14:textId="000FA394" w:rsidR="005669FF" w:rsidRPr="004032D4" w:rsidRDefault="005669FF" w:rsidP="00081811">
      <w:pPr>
        <w:pStyle w:val="Seznam"/>
        <w:numPr>
          <w:ilvl w:val="1"/>
          <w:numId w:val="25"/>
        </w:numPr>
        <w:spacing w:after="120"/>
        <w:jc w:val="both"/>
      </w:pPr>
      <w:r w:rsidRPr="004032D4">
        <w:t>dva pečující se mohli při péči o dítě nebo hendikepovanou osobu střídat</w:t>
      </w:r>
      <w:r w:rsidR="00081811" w:rsidRPr="004032D4">
        <w:t xml:space="preserve"> </w:t>
      </w:r>
      <w:r w:rsidRPr="004032D4">
        <w:t>vícekrát bez omezení,</w:t>
      </w:r>
    </w:p>
    <w:p w14:paraId="4C2A8CD5" w14:textId="2CC7B2F6" w:rsidR="005669FF" w:rsidRPr="004032D4" w:rsidRDefault="005669FF" w:rsidP="00081811">
      <w:pPr>
        <w:pStyle w:val="Seznam"/>
        <w:numPr>
          <w:ilvl w:val="1"/>
          <w:numId w:val="25"/>
        </w:numPr>
        <w:spacing w:after="120"/>
        <w:jc w:val="both"/>
      </w:pPr>
      <w:r w:rsidRPr="004032D4">
        <w:t>podpůrčí doba trvala po celou dobu, po kterou trvalo uzavření zařízení nebo</w:t>
      </w:r>
      <w:r w:rsidR="00081811" w:rsidRPr="004032D4">
        <w:t xml:space="preserve"> </w:t>
      </w:r>
      <w:r w:rsidRPr="004032D4">
        <w:t>školy nebo jejich části z důvodu mimořádného opatření při epidemii, nebo</w:t>
      </w:r>
      <w:r w:rsidR="00081811" w:rsidRPr="004032D4">
        <w:t xml:space="preserve"> </w:t>
      </w:r>
      <w:r w:rsidRPr="004032D4">
        <w:t>dobu, po kterou trvalo nařízení karantény,</w:t>
      </w:r>
    </w:p>
    <w:p w14:paraId="4C23BE74" w14:textId="473C7B13" w:rsidR="005669FF" w:rsidRPr="004032D4" w:rsidRDefault="005669FF" w:rsidP="00081811">
      <w:pPr>
        <w:pStyle w:val="Seznam"/>
        <w:numPr>
          <w:ilvl w:val="1"/>
          <w:numId w:val="25"/>
        </w:numPr>
        <w:spacing w:after="120"/>
        <w:jc w:val="both"/>
      </w:pPr>
      <w:r w:rsidRPr="004032D4">
        <w:t>ošetřovné bylo vypláceno v období od 5. října ve výši 70 % denního</w:t>
      </w:r>
      <w:r w:rsidR="00081811" w:rsidRPr="004032D4">
        <w:t xml:space="preserve"> </w:t>
      </w:r>
      <w:r w:rsidRPr="004032D4">
        <w:t>vyměřovacího základu,</w:t>
      </w:r>
    </w:p>
    <w:p w14:paraId="4179B65E" w14:textId="3A08BCDE" w:rsidR="00081811" w:rsidRDefault="005669FF" w:rsidP="005863D9">
      <w:pPr>
        <w:pStyle w:val="Seznam"/>
        <w:numPr>
          <w:ilvl w:val="1"/>
          <w:numId w:val="25"/>
        </w:numPr>
        <w:spacing w:after="120"/>
        <w:ind w:left="1497" w:hanging="357"/>
        <w:contextualSpacing w:val="0"/>
        <w:jc w:val="both"/>
      </w:pPr>
      <w:r w:rsidRPr="004032D4">
        <w:t>minimální denní výše ošetřovného byla od 14. října 2020 nově stanovená na</w:t>
      </w:r>
      <w:r w:rsidR="00081811" w:rsidRPr="004032D4">
        <w:t xml:space="preserve"> </w:t>
      </w:r>
      <w:r w:rsidRPr="004032D4">
        <w:t>400 Kč, pro ty zaměstnance v pracovním poměru, kteří měli plný úvazek, ale</w:t>
      </w:r>
      <w:r w:rsidR="00081811" w:rsidRPr="004032D4">
        <w:t xml:space="preserve"> </w:t>
      </w:r>
      <w:r w:rsidRPr="004032D4">
        <w:t>výše denní vyplacené částky by byla nižší než tento limit.</w:t>
      </w:r>
    </w:p>
    <w:p w14:paraId="2D8B1246" w14:textId="77777777" w:rsidR="004032D4" w:rsidRDefault="00081811" w:rsidP="005863D9">
      <w:pPr>
        <w:pStyle w:val="Seznam"/>
        <w:numPr>
          <w:ilvl w:val="0"/>
          <w:numId w:val="25"/>
        </w:numPr>
        <w:spacing w:after="120"/>
        <w:ind w:left="777" w:hanging="357"/>
        <w:contextualSpacing w:val="0"/>
        <w:jc w:val="both"/>
      </w:pPr>
      <w:r w:rsidRPr="004032D4">
        <w:t xml:space="preserve">Zákon 438/2020 Sb., o úpravách </w:t>
      </w:r>
      <w:r w:rsidRPr="004032D4">
        <w:rPr>
          <w:b/>
        </w:rPr>
        <w:t>poskytování ošetřovného v souvislosti s mimořádnými opatřeními při epidemii</w:t>
      </w:r>
      <w:r w:rsidRPr="004032D4">
        <w:t xml:space="preserve"> a </w:t>
      </w:r>
      <w:r w:rsidRPr="004032D4">
        <w:rPr>
          <w:b/>
        </w:rPr>
        <w:t>o změně zákona</w:t>
      </w:r>
      <w:r w:rsidRPr="004032D4">
        <w:t xml:space="preserve"> č. 187/2006 Sb., </w:t>
      </w:r>
      <w:r w:rsidRPr="004032D4">
        <w:rPr>
          <w:b/>
        </w:rPr>
        <w:t>o nemocenském pojištění</w:t>
      </w:r>
      <w:r w:rsidRPr="004032D4">
        <w:t xml:space="preserve">, ve znění pozdějších předpisů platil až do 30. 6. 2021, jen některé </w:t>
      </w:r>
      <w:r w:rsidRPr="004032D4">
        <w:rPr>
          <w:b/>
        </w:rPr>
        <w:t>parametry byly</w:t>
      </w:r>
      <w:r w:rsidRPr="004032D4">
        <w:t xml:space="preserve"> postupně </w:t>
      </w:r>
      <w:r w:rsidRPr="004032D4">
        <w:rPr>
          <w:b/>
        </w:rPr>
        <w:t>upravovány</w:t>
      </w:r>
      <w:r w:rsidRPr="004032D4">
        <w:t>.</w:t>
      </w:r>
    </w:p>
    <w:p w14:paraId="0B0CBB1A" w14:textId="31953398" w:rsidR="00081811" w:rsidRPr="004032D4" w:rsidRDefault="00081811" w:rsidP="005863D9">
      <w:pPr>
        <w:pStyle w:val="Seznam"/>
        <w:numPr>
          <w:ilvl w:val="0"/>
          <w:numId w:val="25"/>
        </w:numPr>
        <w:spacing w:after="120"/>
        <w:ind w:left="777" w:hanging="357"/>
        <w:contextualSpacing w:val="0"/>
        <w:jc w:val="both"/>
      </w:pPr>
      <w:r w:rsidRPr="004032D4">
        <w:t xml:space="preserve">V souvislosti s epidemií </w:t>
      </w:r>
      <w:r w:rsidR="008552E3">
        <w:t>covid</w:t>
      </w:r>
      <w:r w:rsidRPr="004032D4">
        <w:t>-19 byla realizována řada omezujících opatření, která měla</w:t>
      </w:r>
      <w:r w:rsidR="004032D4" w:rsidRPr="004032D4">
        <w:t xml:space="preserve"> </w:t>
      </w:r>
      <w:r w:rsidRPr="004032D4">
        <w:t xml:space="preserve">negativní dopad na velký počet podnikatelských subjektů, zejména došlo k </w:t>
      </w:r>
      <w:r w:rsidRPr="004032D4">
        <w:rPr>
          <w:b/>
        </w:rPr>
        <w:t>omezení nebo</w:t>
      </w:r>
      <w:r w:rsidR="004032D4" w:rsidRPr="004032D4">
        <w:rPr>
          <w:b/>
        </w:rPr>
        <w:t xml:space="preserve"> </w:t>
      </w:r>
      <w:r w:rsidRPr="004032D4">
        <w:rPr>
          <w:b/>
        </w:rPr>
        <w:t>zastavení provozu</w:t>
      </w:r>
      <w:r w:rsidRPr="004032D4">
        <w:t xml:space="preserve"> a </w:t>
      </w:r>
      <w:r w:rsidRPr="004032D4">
        <w:rPr>
          <w:b/>
        </w:rPr>
        <w:t>obchodní činnosti</w:t>
      </w:r>
      <w:r w:rsidRPr="004032D4">
        <w:t xml:space="preserve"> velkého počtu těchto </w:t>
      </w:r>
      <w:r w:rsidRPr="004032D4">
        <w:rPr>
          <w:b/>
        </w:rPr>
        <w:t>subjektů</w:t>
      </w:r>
      <w:r w:rsidRPr="004032D4">
        <w:t xml:space="preserve">. </w:t>
      </w:r>
      <w:r w:rsidRPr="004032D4">
        <w:rPr>
          <w:b/>
        </w:rPr>
        <w:t>Na podporu</w:t>
      </w:r>
      <w:r w:rsidR="004032D4" w:rsidRPr="004032D4">
        <w:t xml:space="preserve"> </w:t>
      </w:r>
      <w:r w:rsidRPr="004032D4">
        <w:t xml:space="preserve">podnikatelských subjektů byla </w:t>
      </w:r>
      <w:r w:rsidRPr="004032D4">
        <w:rPr>
          <w:b/>
        </w:rPr>
        <w:t>přijata</w:t>
      </w:r>
      <w:r w:rsidRPr="004032D4">
        <w:t xml:space="preserve"> </w:t>
      </w:r>
      <w:r w:rsidRPr="004032D4">
        <w:rPr>
          <w:b/>
        </w:rPr>
        <w:t>mimořádná opatření v oblasti pojistného</w:t>
      </w:r>
      <w:r w:rsidRPr="004032D4">
        <w:t>.</w:t>
      </w:r>
    </w:p>
    <w:p w14:paraId="20A9A172" w14:textId="3BABACEB" w:rsidR="00081811" w:rsidRPr="005863D9" w:rsidRDefault="00081811" w:rsidP="007B1E33">
      <w:pPr>
        <w:pStyle w:val="Seznam"/>
        <w:numPr>
          <w:ilvl w:val="1"/>
          <w:numId w:val="25"/>
        </w:numPr>
        <w:spacing w:after="120"/>
        <w:ind w:left="1497" w:hanging="357"/>
        <w:contextualSpacing w:val="0"/>
        <w:jc w:val="both"/>
      </w:pPr>
      <w:r w:rsidRPr="007B1E33">
        <w:t>OSVČ</w:t>
      </w:r>
      <w:r w:rsidRPr="005863D9">
        <w:t xml:space="preserve"> </w:t>
      </w:r>
      <w:r w:rsidRPr="007B1E33">
        <w:t>nebyly</w:t>
      </w:r>
      <w:r w:rsidRPr="005863D9">
        <w:t xml:space="preserve"> </w:t>
      </w:r>
      <w:r w:rsidR="00420349">
        <w:t xml:space="preserve">díky opatření z března 2020 </w:t>
      </w:r>
      <w:r w:rsidRPr="007B1E33">
        <w:t>povinny platit předepsané zálohy</w:t>
      </w:r>
      <w:r w:rsidRPr="005863D9">
        <w:t xml:space="preserve"> na pojistné na důchodové pojištění a státní příspěvek na politiku zaměstnanosti za měsíce </w:t>
      </w:r>
      <w:r w:rsidRPr="007B1E33">
        <w:t>březen až srpen 2020</w:t>
      </w:r>
      <w:r w:rsidRPr="005863D9">
        <w:t>. Pojistné za kalendářní rok 2020 bylo sníženo o částky minimálních záloh na pojistné podle počtu kalendářních měsíců výkonu samostatné výdělečné činnosti a jejího charakteru za období březen až srpen 2020.</w:t>
      </w:r>
    </w:p>
    <w:p w14:paraId="720C4C7F" w14:textId="7057B24C" w:rsidR="00081811" w:rsidRPr="001B7F27" w:rsidRDefault="001B7F27" w:rsidP="00892C0E">
      <w:pPr>
        <w:pStyle w:val="Seznam"/>
        <w:numPr>
          <w:ilvl w:val="1"/>
          <w:numId w:val="25"/>
        </w:numPr>
        <w:spacing w:after="120"/>
        <w:ind w:left="1497" w:hanging="357"/>
        <w:contextualSpacing w:val="0"/>
        <w:jc w:val="both"/>
      </w:pPr>
      <w:r w:rsidRPr="001B7F27">
        <w:t>Zákon z května 2020 v souvislosti s mimořádnými opatřeními při epidemii</w:t>
      </w:r>
      <w:r w:rsidR="00081811" w:rsidRPr="001B7F27">
        <w:t xml:space="preserve"> umožnil </w:t>
      </w:r>
      <w:r w:rsidR="00081811" w:rsidRPr="00892C0E">
        <w:t>odklad placení pojistného</w:t>
      </w:r>
      <w:r w:rsidR="00081811" w:rsidRPr="001B7F27">
        <w:t xml:space="preserve"> </w:t>
      </w:r>
      <w:r w:rsidR="001A57FC">
        <w:t>(</w:t>
      </w:r>
      <w:r w:rsidR="00081811" w:rsidRPr="001B7F27">
        <w:t>které je povinen platit zaměstnavatel jako poplatník ze svého vyměřovacího základu</w:t>
      </w:r>
      <w:r w:rsidR="001A57FC">
        <w:t>)</w:t>
      </w:r>
      <w:r w:rsidR="00081811" w:rsidRPr="001B7F27">
        <w:t xml:space="preserve"> za měsíce květen, červen a červenec 2020. Pokud zaměstnavatel pojistné uhradil nejpozději do 20.</w:t>
      </w:r>
      <w:r w:rsidR="00935123">
        <w:t> </w:t>
      </w:r>
      <w:r w:rsidR="00081811" w:rsidRPr="001B7F27">
        <w:t>října 2020 a současně za měsíce květen, červen a červenec hradil pojistné za zaměstnance včas a ve stanovené výši, bylo penále, které z důvodu pozdní úhrady pojistného za zaměstnavatele vzniklo, sníženo o 80 %.</w:t>
      </w:r>
    </w:p>
    <w:p w14:paraId="0E9EF0FC" w14:textId="6227C305" w:rsidR="00081811" w:rsidRPr="001B7F27" w:rsidRDefault="00081811" w:rsidP="00892C0E">
      <w:pPr>
        <w:pStyle w:val="Seznam"/>
        <w:numPr>
          <w:ilvl w:val="1"/>
          <w:numId w:val="25"/>
        </w:numPr>
        <w:spacing w:after="120"/>
        <w:ind w:left="1497" w:hanging="357"/>
        <w:contextualSpacing w:val="0"/>
        <w:jc w:val="both"/>
      </w:pPr>
      <w:r w:rsidRPr="001B7F27">
        <w:t>Dne 16. června 2020 byl přijat zákon (tzv. „Antivirus C“)</w:t>
      </w:r>
      <w:r w:rsidR="001B7F27">
        <w:t xml:space="preserve"> upravující</w:t>
      </w:r>
      <w:r w:rsidRPr="001B7F27">
        <w:t xml:space="preserve"> </w:t>
      </w:r>
      <w:r w:rsidRPr="00892C0E">
        <w:t>prominutí pojistného</w:t>
      </w:r>
      <w:r w:rsidRPr="001B7F27">
        <w:t xml:space="preserve">, které platil </w:t>
      </w:r>
      <w:r w:rsidRPr="00892C0E">
        <w:t>zaměstnavatel</w:t>
      </w:r>
      <w:r w:rsidRPr="001B7F27">
        <w:t xml:space="preserve"> jako </w:t>
      </w:r>
      <w:r w:rsidRPr="00892C0E">
        <w:t>poplatník</w:t>
      </w:r>
      <w:r w:rsidRPr="001B7F27">
        <w:t xml:space="preserve"> </w:t>
      </w:r>
      <w:r w:rsidRPr="00892C0E">
        <w:t>pojistného ze svého vyměřovacího základu</w:t>
      </w:r>
      <w:r w:rsidRPr="001B7F27">
        <w:t xml:space="preserve"> za měsíce červen, červenec a srpen 2020. Snížit pojistné si mohl zaměstnavatel, který </w:t>
      </w:r>
      <w:r w:rsidR="00892C0E">
        <w:t>zaměstnával méně než 50 zaměstnanců, a nedošlo u něho k propouštění zaměstnanců ani ke snižování mezd.</w:t>
      </w:r>
      <w:r w:rsidRPr="001B7F27">
        <w:t xml:space="preserve"> Prominutím pojistného se rozumělo snížení vyměřovacího základu zaměstnavatele dle tohoto zákona.</w:t>
      </w:r>
    </w:p>
    <w:p w14:paraId="5CF99892" w14:textId="77777777" w:rsidR="00081811" w:rsidRDefault="00081811" w:rsidP="00081811">
      <w:pPr>
        <w:pStyle w:val="Seznam"/>
        <w:spacing w:after="120"/>
        <w:ind w:left="720"/>
        <w:jc w:val="both"/>
        <w:rPr>
          <w:highlight w:val="yellow"/>
        </w:rPr>
      </w:pPr>
    </w:p>
    <w:p w14:paraId="0974270D" w14:textId="77777777" w:rsidR="00323E10" w:rsidRPr="00892C0E" w:rsidRDefault="00323E10" w:rsidP="008552E3">
      <w:pPr>
        <w:pStyle w:val="Seznam"/>
        <w:spacing w:after="120"/>
        <w:ind w:left="420"/>
        <w:contextualSpacing w:val="0"/>
        <w:jc w:val="both"/>
        <w:rPr>
          <w:b/>
        </w:rPr>
      </w:pPr>
      <w:r w:rsidRPr="00892C0E">
        <w:rPr>
          <w:b/>
        </w:rPr>
        <w:lastRenderedPageBreak/>
        <w:t>Změny v nemocenském pojištění s účinností od roku 2021</w:t>
      </w:r>
    </w:p>
    <w:p w14:paraId="18F2DD3B" w14:textId="77777777" w:rsidR="00420349" w:rsidRDefault="00420349" w:rsidP="00420349">
      <w:pPr>
        <w:pStyle w:val="Seznam"/>
        <w:numPr>
          <w:ilvl w:val="0"/>
          <w:numId w:val="25"/>
        </w:numPr>
        <w:spacing w:after="120"/>
        <w:jc w:val="both"/>
      </w:pPr>
      <w:r>
        <w:t xml:space="preserve">V roce </w:t>
      </w:r>
      <w:r w:rsidRPr="001D667D">
        <w:rPr>
          <w:b/>
        </w:rPr>
        <w:t>2021</w:t>
      </w:r>
      <w:r>
        <w:t xml:space="preserve"> došlo ke </w:t>
      </w:r>
      <w:r w:rsidRPr="001D667D">
        <w:rPr>
          <w:b/>
        </w:rPr>
        <w:t>zvýšení minimální výše sjednaného příjmu</w:t>
      </w:r>
      <w:r>
        <w:t xml:space="preserve"> na částku 3 500 Kč (jedná se</w:t>
      </w:r>
    </w:p>
    <w:p w14:paraId="381DCF44" w14:textId="1B6383C8" w:rsidR="00420349" w:rsidRDefault="00420349" w:rsidP="00420349">
      <w:pPr>
        <w:pStyle w:val="Seznam"/>
        <w:spacing w:after="120"/>
        <w:ind w:left="780"/>
        <w:contextualSpacing w:val="0"/>
        <w:jc w:val="both"/>
      </w:pPr>
      <w:r>
        <w:t>o tzv. rozhodný příjem).</w:t>
      </w:r>
    </w:p>
    <w:p w14:paraId="0B38F03D" w14:textId="6F86188D" w:rsidR="00DF5351" w:rsidRDefault="00692822" w:rsidP="00692822">
      <w:pPr>
        <w:pStyle w:val="Seznam"/>
        <w:numPr>
          <w:ilvl w:val="0"/>
          <w:numId w:val="25"/>
        </w:numPr>
        <w:spacing w:after="120"/>
        <w:jc w:val="both"/>
      </w:pPr>
      <w:r>
        <w:t xml:space="preserve">V dubnu 2021 byl </w:t>
      </w:r>
      <w:r w:rsidRPr="00692822">
        <w:rPr>
          <w:b/>
        </w:rPr>
        <w:t>dvakrát novelizován zákon</w:t>
      </w:r>
      <w:r w:rsidR="00892C0E">
        <w:t xml:space="preserve"> </w:t>
      </w:r>
      <w:r w:rsidR="00DF5351" w:rsidRPr="00692822">
        <w:rPr>
          <w:b/>
        </w:rPr>
        <w:t>o úpravách poskytování ošetřovného v souvislosti s mimořádnými opatřeními při epidemii</w:t>
      </w:r>
      <w:r w:rsidR="00DF5351">
        <w:t xml:space="preserve"> </w:t>
      </w:r>
      <w:r w:rsidR="00DF5351" w:rsidRPr="00692822">
        <w:rPr>
          <w:b/>
        </w:rPr>
        <w:t>a o změně zákona</w:t>
      </w:r>
      <w:r w:rsidR="00DF5351">
        <w:t xml:space="preserve"> </w:t>
      </w:r>
      <w:r w:rsidR="00DF5351" w:rsidRPr="00692822">
        <w:rPr>
          <w:b/>
        </w:rPr>
        <w:t>o nemocenském pojištění</w:t>
      </w:r>
      <w:r w:rsidR="00DF5351">
        <w:t xml:space="preserve">. Důvodem byla další vlna epidemie onemocnění </w:t>
      </w:r>
      <w:r w:rsidR="008552E3">
        <w:t>covid</w:t>
      </w:r>
      <w:r w:rsidR="00DF5351">
        <w:t>-19, která v březnu 2021 znamenala další plošné uzavření škol. Podmínky pro čerpání ošetřovného byly následující:</w:t>
      </w:r>
    </w:p>
    <w:p w14:paraId="0983DCE8" w14:textId="77777777" w:rsidR="00DF5351" w:rsidRDefault="00DF5351" w:rsidP="00DF5351">
      <w:pPr>
        <w:pStyle w:val="Seznam"/>
        <w:numPr>
          <w:ilvl w:val="1"/>
          <w:numId w:val="25"/>
        </w:numPr>
        <w:spacing w:after="120"/>
        <w:jc w:val="both"/>
      </w:pPr>
      <w:r>
        <w:t xml:space="preserve">nárok na ošetřovné měli </w:t>
      </w:r>
      <w:proofErr w:type="spellStart"/>
      <w:r>
        <w:t>nemocensky</w:t>
      </w:r>
      <w:proofErr w:type="spellEnd"/>
      <w:r>
        <w:t xml:space="preserve"> pojištění zaměstnanci, včetně zaměstnanců činných na základě dohody o pracovní činnosti nebo dohody o provedení práce,</w:t>
      </w:r>
    </w:p>
    <w:p w14:paraId="70E028F5" w14:textId="0A9169FE" w:rsidR="00DF5351" w:rsidRDefault="00DF5351" w:rsidP="00DF5351">
      <w:pPr>
        <w:pStyle w:val="Seznam"/>
        <w:numPr>
          <w:ilvl w:val="1"/>
          <w:numId w:val="25"/>
        </w:numPr>
        <w:spacing w:after="120"/>
        <w:jc w:val="both"/>
      </w:pPr>
      <w:r>
        <w:t>nárok na ošetřovné náležel zaměstnanci z důvodu péče o</w:t>
      </w:r>
    </w:p>
    <w:p w14:paraId="62904340" w14:textId="1BACD098" w:rsidR="00DF5351" w:rsidRDefault="00DF5351" w:rsidP="00DF5351">
      <w:pPr>
        <w:pStyle w:val="Seznam"/>
        <w:spacing w:after="120"/>
        <w:ind w:left="1140" w:firstLine="636"/>
        <w:jc w:val="both"/>
      </w:pPr>
      <w:r>
        <w:t>▪ dítě mladší 10 let,</w:t>
      </w:r>
    </w:p>
    <w:p w14:paraId="5370DF04" w14:textId="77777777" w:rsidR="00DF5351" w:rsidRDefault="00DF5351" w:rsidP="00DF5351">
      <w:pPr>
        <w:pStyle w:val="Seznam"/>
        <w:spacing w:after="120"/>
        <w:ind w:left="1140" w:firstLine="636"/>
        <w:jc w:val="both"/>
      </w:pPr>
      <w:r>
        <w:t>▪ nezaopatřené dítě závislé na péči jiné osoby bez omezení věku,</w:t>
      </w:r>
    </w:p>
    <w:p w14:paraId="1B921811" w14:textId="77777777" w:rsidR="008552E3" w:rsidRDefault="00DF5351" w:rsidP="008552E3">
      <w:pPr>
        <w:pStyle w:val="Seznam"/>
        <w:spacing w:after="120"/>
        <w:ind w:left="1776"/>
        <w:jc w:val="both"/>
      </w:pPr>
      <w:r>
        <w:t xml:space="preserve">▪ osobu ve věku nad 10 let závislou na péči jiné osoby využívající služby stacionářů nebo </w:t>
      </w:r>
    </w:p>
    <w:p w14:paraId="187A8372" w14:textId="0154C014" w:rsidR="00DF5351" w:rsidRDefault="008552E3" w:rsidP="008552E3">
      <w:pPr>
        <w:pStyle w:val="Seznam"/>
        <w:spacing w:after="120"/>
        <w:ind w:left="1776"/>
        <w:jc w:val="both"/>
      </w:pPr>
      <w:r>
        <w:t xml:space="preserve">   </w:t>
      </w:r>
      <w:r w:rsidR="00DF5351">
        <w:t>obdobných zařízení,</w:t>
      </w:r>
    </w:p>
    <w:p w14:paraId="29870B26" w14:textId="77777777" w:rsidR="008552E3" w:rsidRDefault="00DF5351" w:rsidP="00DF5351">
      <w:pPr>
        <w:pStyle w:val="Seznam"/>
        <w:spacing w:after="120"/>
        <w:ind w:left="1776"/>
        <w:jc w:val="both"/>
      </w:pPr>
      <w:r>
        <w:t xml:space="preserve">▪ od 1. 3. 2021 i nezaopatřené starší děti se speciálními vzdělávacími potřebami </w:t>
      </w:r>
    </w:p>
    <w:p w14:paraId="50940FAB" w14:textId="47B4FC08" w:rsidR="00DF5351" w:rsidRDefault="008552E3" w:rsidP="00DF5351">
      <w:pPr>
        <w:pStyle w:val="Seznam"/>
        <w:spacing w:after="120"/>
        <w:ind w:left="1776"/>
        <w:jc w:val="both"/>
      </w:pPr>
      <w:r>
        <w:t xml:space="preserve">   </w:t>
      </w:r>
      <w:r w:rsidR="00DF5351">
        <w:t>a</w:t>
      </w:r>
      <w:r w:rsidR="00692822">
        <w:t> </w:t>
      </w:r>
      <w:r w:rsidR="00DF5351">
        <w:t>závažnými poruchami učení podle školského zákona,</w:t>
      </w:r>
    </w:p>
    <w:p w14:paraId="77221AED" w14:textId="77777777" w:rsidR="008552E3" w:rsidRDefault="00DF5351" w:rsidP="00DF5351">
      <w:pPr>
        <w:pStyle w:val="Seznam"/>
        <w:spacing w:after="120"/>
        <w:ind w:left="1776"/>
        <w:jc w:val="both"/>
      </w:pPr>
      <w:r>
        <w:t xml:space="preserve">▪ děti a osoby uvedené v předchozích bodech pro nařízenou individuální karanténu </w:t>
      </w:r>
    </w:p>
    <w:p w14:paraId="42B4FAEB" w14:textId="65FDAC82" w:rsidR="00DF5351" w:rsidRDefault="008552E3" w:rsidP="00DF5351">
      <w:pPr>
        <w:pStyle w:val="Seznam"/>
        <w:spacing w:after="120"/>
        <w:ind w:left="1776"/>
        <w:jc w:val="both"/>
      </w:pPr>
      <w:r>
        <w:t xml:space="preserve">   </w:t>
      </w:r>
      <w:r w:rsidR="00DF5351">
        <w:t>(izolaci).</w:t>
      </w:r>
    </w:p>
    <w:p w14:paraId="5FB9E29E" w14:textId="77777777" w:rsidR="00DF5351" w:rsidRDefault="00DF5351" w:rsidP="00DF5351">
      <w:pPr>
        <w:pStyle w:val="Seznam"/>
        <w:numPr>
          <w:ilvl w:val="1"/>
          <w:numId w:val="25"/>
        </w:numPr>
        <w:spacing w:after="120"/>
        <w:jc w:val="both"/>
      </w:pPr>
      <w:r>
        <w:t>dva pečující se mohli při péči o dítě nebo hendikepovanou osobu střídat vícekrát bez omezení,</w:t>
      </w:r>
    </w:p>
    <w:p w14:paraId="13A3A3FF" w14:textId="5D460ACE" w:rsidR="00DF5351" w:rsidRDefault="00DF5351" w:rsidP="00692822">
      <w:pPr>
        <w:pStyle w:val="Seznam"/>
        <w:numPr>
          <w:ilvl w:val="1"/>
          <w:numId w:val="25"/>
        </w:numPr>
        <w:spacing w:after="120"/>
        <w:jc w:val="both"/>
      </w:pPr>
      <w:r>
        <w:t xml:space="preserve">ošetřovné mohli od 30. 4. 2021 čerpat i </w:t>
      </w:r>
      <w:proofErr w:type="spellStart"/>
      <w:r>
        <w:t>nemocensky</w:t>
      </w:r>
      <w:proofErr w:type="spellEnd"/>
      <w:r>
        <w:t xml:space="preserve"> pojištěné osoby, které jsou</w:t>
      </w:r>
      <w:r w:rsidR="00692822">
        <w:t xml:space="preserve"> </w:t>
      </w:r>
      <w:r>
        <w:t>k dítěti v</w:t>
      </w:r>
      <w:r w:rsidR="00692822">
        <w:t> </w:t>
      </w:r>
      <w:r>
        <w:t>příbuzenském vztahu, bez ohledu na to, zda podmínku společné domácnosti splňují,</w:t>
      </w:r>
    </w:p>
    <w:p w14:paraId="2DB5753B" w14:textId="77777777" w:rsidR="00692822" w:rsidRDefault="00DF5351" w:rsidP="00692822">
      <w:pPr>
        <w:pStyle w:val="Seznam"/>
        <w:numPr>
          <w:ilvl w:val="1"/>
          <w:numId w:val="37"/>
        </w:numPr>
        <w:spacing w:after="120"/>
        <w:jc w:val="both"/>
      </w:pPr>
      <w:r>
        <w:t>podpůrčí doba u ošetřovného trvala po dobu, po kterou trvalo uzavření zařízení nebo školy nebo jejich části z důvodu mimořádného opatření při epidemii, nebo po dobu nařízení karantény,</w:t>
      </w:r>
    </w:p>
    <w:p w14:paraId="4CB11927" w14:textId="77777777" w:rsidR="00692822" w:rsidRDefault="00692822" w:rsidP="00692822">
      <w:pPr>
        <w:pStyle w:val="Seznam"/>
        <w:numPr>
          <w:ilvl w:val="1"/>
          <w:numId w:val="37"/>
        </w:numPr>
        <w:spacing w:after="120"/>
        <w:jc w:val="both"/>
      </w:pPr>
      <w:r>
        <w:t xml:space="preserve">ošetřovné </w:t>
      </w:r>
      <w:r w:rsidR="00DF5351">
        <w:t>bylo vypláceno v období od 1. ledna do 28. února 2021 ve výši 70 %</w:t>
      </w:r>
      <w:r>
        <w:t xml:space="preserve"> </w:t>
      </w:r>
      <w:r w:rsidR="00DF5351">
        <w:t>a v období od 1. března do 30. června 2021 ve výši 80 % denního vyměřovacího</w:t>
      </w:r>
      <w:r>
        <w:t xml:space="preserve"> </w:t>
      </w:r>
      <w:r w:rsidR="00DF5351">
        <w:t>základu,</w:t>
      </w:r>
    </w:p>
    <w:p w14:paraId="21C1FE32" w14:textId="13F4EDD0" w:rsidR="00DF5351" w:rsidRDefault="00DF5351" w:rsidP="00692822">
      <w:pPr>
        <w:pStyle w:val="Seznam"/>
        <w:numPr>
          <w:ilvl w:val="1"/>
          <w:numId w:val="37"/>
        </w:numPr>
        <w:spacing w:after="120"/>
        <w:jc w:val="both"/>
      </w:pPr>
      <w:r>
        <w:t>minimální denní výše ošetřovného byla stanovená na 400 Kč, pro ty</w:t>
      </w:r>
      <w:r w:rsidR="00692822">
        <w:t xml:space="preserve"> </w:t>
      </w:r>
      <w:r>
        <w:t>zaměstnance v</w:t>
      </w:r>
      <w:r w:rsidR="00692822">
        <w:t> </w:t>
      </w:r>
      <w:r>
        <w:t>pracovním poměru, kteří měli plný úvazek, ale výše denní</w:t>
      </w:r>
      <w:r w:rsidR="00692822">
        <w:t xml:space="preserve"> </w:t>
      </w:r>
      <w:r>
        <w:t>vyplacené částky by byla nižší než tento limit.</w:t>
      </w:r>
    </w:p>
    <w:p w14:paraId="4DD0F128" w14:textId="76A91FA6" w:rsidR="005669FF" w:rsidRDefault="005669FF" w:rsidP="005669FF">
      <w:pPr>
        <w:pStyle w:val="Seznam"/>
        <w:spacing w:after="120"/>
        <w:jc w:val="both"/>
      </w:pPr>
    </w:p>
    <w:p w14:paraId="44F4C9BC" w14:textId="07100BF3" w:rsidR="00A44881" w:rsidRDefault="00A44881" w:rsidP="00A44881">
      <w:pPr>
        <w:pStyle w:val="Seznam"/>
        <w:numPr>
          <w:ilvl w:val="0"/>
          <w:numId w:val="25"/>
        </w:numPr>
        <w:spacing w:after="120"/>
        <w:jc w:val="both"/>
      </w:pPr>
      <w:r>
        <w:t xml:space="preserve">Od 1. listopadu 2021, bylo zákonem </w:t>
      </w:r>
      <w:r w:rsidRPr="00A44881">
        <w:rPr>
          <w:b/>
        </w:rPr>
        <w:t>znovu zavedeno</w:t>
      </w:r>
      <w:r>
        <w:t xml:space="preserve"> tzv. </w:t>
      </w:r>
      <w:r w:rsidRPr="00A44881">
        <w:rPr>
          <w:b/>
        </w:rPr>
        <w:t>krizové ošetřovné</w:t>
      </w:r>
      <w:r w:rsidRPr="00A44881">
        <w:t>.</w:t>
      </w:r>
      <w:r w:rsidRPr="00A44881">
        <w:rPr>
          <w:b/>
        </w:rPr>
        <w:t xml:space="preserve"> </w:t>
      </w:r>
      <w:r>
        <w:t>Podmínky pro čerpání ošetřovného byly následující:</w:t>
      </w:r>
    </w:p>
    <w:p w14:paraId="12722370" w14:textId="77777777" w:rsidR="00A44881" w:rsidRDefault="00A44881" w:rsidP="00A44881">
      <w:pPr>
        <w:pStyle w:val="Seznam"/>
        <w:numPr>
          <w:ilvl w:val="1"/>
          <w:numId w:val="25"/>
        </w:numPr>
        <w:spacing w:after="120"/>
        <w:jc w:val="both"/>
      </w:pPr>
      <w:r>
        <w:t xml:space="preserve">nárok na ošetřovné měli </w:t>
      </w:r>
      <w:proofErr w:type="spellStart"/>
      <w:r>
        <w:t>nemocensky</w:t>
      </w:r>
      <w:proofErr w:type="spellEnd"/>
      <w:r>
        <w:t xml:space="preserve"> pojištění zaměstnanci, včetně zaměstnanců činných na základě dohody o pracovní činnosti nebo dohody o provedení práce,</w:t>
      </w:r>
    </w:p>
    <w:p w14:paraId="3FC633FD" w14:textId="77777777" w:rsidR="00A44881" w:rsidRDefault="00A44881" w:rsidP="00A44881">
      <w:pPr>
        <w:pStyle w:val="Seznam"/>
        <w:numPr>
          <w:ilvl w:val="1"/>
          <w:numId w:val="25"/>
        </w:numPr>
        <w:spacing w:after="120"/>
        <w:jc w:val="both"/>
      </w:pPr>
      <w:r>
        <w:t>nárok na ošetřovné náležel zaměstnanci z důvodu péče o</w:t>
      </w:r>
    </w:p>
    <w:p w14:paraId="31C54282" w14:textId="77777777" w:rsidR="00A44881" w:rsidRDefault="00A44881" w:rsidP="00A44881">
      <w:pPr>
        <w:pStyle w:val="Seznam"/>
        <w:spacing w:after="120"/>
        <w:ind w:left="1140" w:firstLine="636"/>
        <w:jc w:val="both"/>
      </w:pPr>
      <w:r>
        <w:t>▪ dítě mladší 10 let,</w:t>
      </w:r>
    </w:p>
    <w:p w14:paraId="0030C8F9" w14:textId="77777777" w:rsidR="00A44881" w:rsidRDefault="00A44881" w:rsidP="00A44881">
      <w:pPr>
        <w:pStyle w:val="Seznam"/>
        <w:spacing w:after="120"/>
        <w:ind w:left="1140" w:firstLine="636"/>
        <w:jc w:val="both"/>
      </w:pPr>
      <w:r>
        <w:t>▪ nezaopatřené dítě závislé na péči jiné osoby bez omezení věku,</w:t>
      </w:r>
    </w:p>
    <w:p w14:paraId="6A048082" w14:textId="77777777" w:rsidR="008552E3" w:rsidRDefault="00A44881" w:rsidP="00A44881">
      <w:pPr>
        <w:pStyle w:val="Seznam"/>
        <w:spacing w:after="120"/>
        <w:ind w:left="1140" w:firstLine="636"/>
        <w:jc w:val="both"/>
      </w:pPr>
      <w:r>
        <w:t xml:space="preserve">▪ osobu ve věku nad 10 let závislou na péči jiné osoby využívající služby stacionářů nebo </w:t>
      </w:r>
    </w:p>
    <w:p w14:paraId="3690BF97" w14:textId="68AD9DCC" w:rsidR="00A44881" w:rsidRDefault="008552E3" w:rsidP="00A44881">
      <w:pPr>
        <w:pStyle w:val="Seznam"/>
        <w:spacing w:after="120"/>
        <w:ind w:left="1140" w:firstLine="636"/>
        <w:jc w:val="both"/>
      </w:pPr>
      <w:r>
        <w:t xml:space="preserve">  </w:t>
      </w:r>
      <w:r w:rsidR="00A44881">
        <w:t>obdobných zařízení,</w:t>
      </w:r>
    </w:p>
    <w:p w14:paraId="5E664549" w14:textId="77777777" w:rsidR="008552E3" w:rsidRDefault="00A44881" w:rsidP="00A44881">
      <w:pPr>
        <w:pStyle w:val="Seznam"/>
        <w:spacing w:after="120"/>
        <w:ind w:left="1140" w:firstLine="636"/>
        <w:jc w:val="both"/>
      </w:pPr>
      <w:r>
        <w:t xml:space="preserve">▪ nezaopatřené starší děti se speciálními vzdělávacími potřebami a závažnými poruchami </w:t>
      </w:r>
    </w:p>
    <w:p w14:paraId="0566B6E4" w14:textId="47CB85D8" w:rsidR="00A44881" w:rsidRDefault="008552E3" w:rsidP="00A44881">
      <w:pPr>
        <w:pStyle w:val="Seznam"/>
        <w:spacing w:after="120"/>
        <w:ind w:left="1140" w:firstLine="636"/>
        <w:jc w:val="both"/>
      </w:pPr>
      <w:r>
        <w:t xml:space="preserve">  </w:t>
      </w:r>
      <w:r w:rsidR="00A44881">
        <w:t xml:space="preserve">učení podle školského zákona, </w:t>
      </w:r>
    </w:p>
    <w:p w14:paraId="0BC40BDD" w14:textId="77777777" w:rsidR="008552E3" w:rsidRDefault="00A44881" w:rsidP="00A44881">
      <w:pPr>
        <w:pStyle w:val="Seznam"/>
        <w:spacing w:after="120"/>
        <w:ind w:left="1140" w:firstLine="636"/>
        <w:jc w:val="both"/>
      </w:pPr>
      <w:r>
        <w:t xml:space="preserve">▪ děti a osoby uvedené v předchozích bodech pro nařízenou individuální karanténu </w:t>
      </w:r>
    </w:p>
    <w:p w14:paraId="64450EF8" w14:textId="6F40784D" w:rsidR="00A44881" w:rsidRDefault="008552E3" w:rsidP="00A44881">
      <w:pPr>
        <w:pStyle w:val="Seznam"/>
        <w:spacing w:after="120"/>
        <w:ind w:left="1140" w:firstLine="636"/>
        <w:jc w:val="both"/>
      </w:pPr>
      <w:r>
        <w:t xml:space="preserve">  </w:t>
      </w:r>
      <w:r w:rsidR="00A44881">
        <w:t>(izolaci).</w:t>
      </w:r>
    </w:p>
    <w:p w14:paraId="485C3E1F" w14:textId="77777777" w:rsidR="00A44881" w:rsidRDefault="00A44881" w:rsidP="00A44881">
      <w:pPr>
        <w:pStyle w:val="Seznam"/>
        <w:numPr>
          <w:ilvl w:val="1"/>
          <w:numId w:val="25"/>
        </w:numPr>
        <w:spacing w:after="120"/>
        <w:jc w:val="both"/>
      </w:pPr>
      <w:r>
        <w:t xml:space="preserve">ošetřovné mohli čerpat i </w:t>
      </w:r>
      <w:proofErr w:type="spellStart"/>
      <w:r>
        <w:t>nemocensky</w:t>
      </w:r>
      <w:proofErr w:type="spellEnd"/>
      <w:r>
        <w:t xml:space="preserve"> pojištěné osoby, které jsou k dítěti v příbuzenském vztahu, bez ohledu na to, zda podmínku společné domácnosti splňují,</w:t>
      </w:r>
    </w:p>
    <w:p w14:paraId="7948BE07" w14:textId="77777777" w:rsidR="008552E3" w:rsidRDefault="00A44881" w:rsidP="00A44881">
      <w:pPr>
        <w:pStyle w:val="Seznam"/>
        <w:spacing w:after="120"/>
        <w:ind w:left="1140" w:firstLine="636"/>
        <w:jc w:val="both"/>
      </w:pPr>
      <w:r>
        <w:t xml:space="preserve">▪ v péči o dítě nebo hendikepovanou osobu se mohl neomezený počet těchto osob střídat </w:t>
      </w:r>
    </w:p>
    <w:p w14:paraId="15C81909" w14:textId="7EA0CB6C" w:rsidR="00A44881" w:rsidRDefault="008552E3" w:rsidP="00A44881">
      <w:pPr>
        <w:pStyle w:val="Seznam"/>
        <w:spacing w:after="120"/>
        <w:ind w:left="1140" w:firstLine="636"/>
        <w:jc w:val="both"/>
      </w:pPr>
      <w:r>
        <w:t xml:space="preserve">  </w:t>
      </w:r>
      <w:r w:rsidR="00A44881">
        <w:t>bez omezení,</w:t>
      </w:r>
    </w:p>
    <w:p w14:paraId="387525B8" w14:textId="77777777" w:rsidR="00A44881" w:rsidRDefault="00A44881" w:rsidP="00A44881">
      <w:pPr>
        <w:pStyle w:val="Seznam"/>
        <w:numPr>
          <w:ilvl w:val="1"/>
          <w:numId w:val="25"/>
        </w:numPr>
        <w:spacing w:after="120"/>
        <w:jc w:val="both"/>
      </w:pPr>
      <w:r>
        <w:lastRenderedPageBreak/>
        <w:t>podpůrčí doba u ošetřovného trvala po dobu, po kterou trvalo uzavření zařízení nebo školy nebo jejich části z důvodu mimořádného opatření při epidemii, nebo po dobu nařízení karantény,</w:t>
      </w:r>
    </w:p>
    <w:p w14:paraId="0134C735" w14:textId="77777777" w:rsidR="00A44881" w:rsidRDefault="00A44881" w:rsidP="00A44881">
      <w:pPr>
        <w:pStyle w:val="Seznam"/>
        <w:numPr>
          <w:ilvl w:val="1"/>
          <w:numId w:val="25"/>
        </w:numPr>
        <w:spacing w:after="120"/>
        <w:jc w:val="both"/>
      </w:pPr>
      <w:r>
        <w:t>ošetřovné bylo vypláceno v období od 1. listopadu (nejdéle do 28. února 2022) ve výši 80 % denního vyměřovacího základu,</w:t>
      </w:r>
    </w:p>
    <w:p w14:paraId="60CAFB0B" w14:textId="3C72DF91" w:rsidR="00A44881" w:rsidRDefault="00A44881" w:rsidP="00A44881">
      <w:pPr>
        <w:pStyle w:val="Seznam"/>
        <w:numPr>
          <w:ilvl w:val="1"/>
          <w:numId w:val="25"/>
        </w:numPr>
        <w:spacing w:after="120"/>
        <w:jc w:val="both"/>
      </w:pPr>
      <w:r>
        <w:t>minimální denní výše ošetřovného byla stanovená na 400 Kč, pro ty zaměstnance v pracovním poměru, kteří měli plný úvazek, ale výše denní vyplacené částky by byla nižší než tento limit.</w:t>
      </w:r>
    </w:p>
    <w:p w14:paraId="49F9E1FC" w14:textId="6DB14A9A" w:rsidR="00492A4B" w:rsidRDefault="00B83777" w:rsidP="00492A4B">
      <w:pPr>
        <w:pStyle w:val="Seznam"/>
        <w:numPr>
          <w:ilvl w:val="0"/>
          <w:numId w:val="25"/>
        </w:numPr>
        <w:spacing w:after="120"/>
        <w:ind w:left="777" w:hanging="357"/>
        <w:contextualSpacing w:val="0"/>
        <w:jc w:val="both"/>
      </w:pPr>
      <w:r>
        <w:t xml:space="preserve">S účinností ode dne </w:t>
      </w:r>
      <w:r w:rsidRPr="00B83777">
        <w:rPr>
          <w:b/>
        </w:rPr>
        <w:t>4. března 2021</w:t>
      </w:r>
      <w:r>
        <w:t xml:space="preserve"> byl přijat zákon č. 121/2021 Sb., o mimořádném příspěvku</w:t>
      </w:r>
      <w:r w:rsidR="00492A4B">
        <w:t xml:space="preserve"> </w:t>
      </w:r>
      <w:r>
        <w:t xml:space="preserve">zaměstnanci při nařízené karanténě (tzv. </w:t>
      </w:r>
      <w:r w:rsidRPr="00492A4B">
        <w:rPr>
          <w:b/>
        </w:rPr>
        <w:t>„Izolačka“</w:t>
      </w:r>
      <w:r>
        <w:t xml:space="preserve">). Tento příspěvek zaměstnanci zvyšoval náhradu mzdy o 370 Kč za každý kalendářní den, nejdéle však po dobu prvních 14 kalendářních dnů trvání nařízené karantény nebo izolace, a to nejvýše na úroveň 90 </w:t>
      </w:r>
      <w:r w:rsidR="00517CDF">
        <w:t>%</w:t>
      </w:r>
      <w:r>
        <w:t xml:space="preserve"> průměrného hrubého výdělku. Na příspěvek měli nárok i zaměstnanci činní na základě dohody o pracovní činnosti nebo dohody o</w:t>
      </w:r>
      <w:r w:rsidR="00A5543F">
        <w:t> </w:t>
      </w:r>
      <w:r>
        <w:t>provedení práce, pokud byli účastni nemocenského pojištění. Toto opatření platilo do 30. června 2021.</w:t>
      </w:r>
    </w:p>
    <w:p w14:paraId="2A4F40FA" w14:textId="0D9C8397" w:rsidR="00433713" w:rsidRDefault="00B83777" w:rsidP="00433713">
      <w:pPr>
        <w:pStyle w:val="Seznam"/>
        <w:numPr>
          <w:ilvl w:val="0"/>
          <w:numId w:val="25"/>
        </w:numPr>
        <w:spacing w:after="120"/>
        <w:jc w:val="both"/>
      </w:pPr>
      <w:r>
        <w:t xml:space="preserve">V souvislosti s další silnou vlnou epidemie onemocnění </w:t>
      </w:r>
      <w:r w:rsidR="00517CDF">
        <w:t>covid</w:t>
      </w:r>
      <w:r>
        <w:t>-19, kdy od poloviny</w:t>
      </w:r>
      <w:r w:rsidR="00492A4B">
        <w:t xml:space="preserve"> </w:t>
      </w:r>
      <w:r>
        <w:t>listopadu 2021 docházelo k největšímu nárůstu počtu nakažených osob, bylo</w:t>
      </w:r>
      <w:r w:rsidR="00492A4B">
        <w:t xml:space="preserve"> </w:t>
      </w:r>
      <w:r>
        <w:t>nutné v závěru roku přijmout zákon č.</w:t>
      </w:r>
      <w:r w:rsidR="00A5543F">
        <w:t> </w:t>
      </w:r>
      <w:r>
        <w:t xml:space="preserve">518/2021 Sb., o </w:t>
      </w:r>
      <w:r w:rsidRPr="00433713">
        <w:t>mimořádném příspěvku</w:t>
      </w:r>
      <w:r w:rsidR="00492A4B" w:rsidRPr="00433713">
        <w:t xml:space="preserve"> </w:t>
      </w:r>
      <w:r w:rsidRPr="00433713">
        <w:t>zaměstnanci při nařízené karanténě</w:t>
      </w:r>
      <w:r>
        <w:t>. Tento příspěvek byl definován identicky a za</w:t>
      </w:r>
      <w:r w:rsidR="00492A4B">
        <w:t xml:space="preserve"> </w:t>
      </w:r>
      <w:r>
        <w:t>identických podmínek jako na jaře roku 2021</w:t>
      </w:r>
      <w:r w:rsidR="00492A4B">
        <w:t>, s účinností od 23. prosince 2021 do 28. února 2022.</w:t>
      </w:r>
    </w:p>
    <w:p w14:paraId="2E31D388" w14:textId="79180A47" w:rsidR="00492A4B" w:rsidRDefault="00492A4B" w:rsidP="00492A4B">
      <w:pPr>
        <w:pStyle w:val="Seznam"/>
        <w:spacing w:after="120"/>
        <w:jc w:val="both"/>
      </w:pPr>
      <w:r>
        <w:t xml:space="preserve"> </w:t>
      </w:r>
      <w:r w:rsidR="00B83777">
        <w:t xml:space="preserve"> </w:t>
      </w:r>
    </w:p>
    <w:p w14:paraId="72BFE7D1" w14:textId="767A4DD4" w:rsidR="005669FF" w:rsidRPr="005669FF" w:rsidRDefault="00492A4B" w:rsidP="005669FF">
      <w:pPr>
        <w:pStyle w:val="Seznam"/>
        <w:spacing w:after="120"/>
        <w:jc w:val="both"/>
      </w:pPr>
      <w:r>
        <w:t>Bližší informace ohledně legislativních změn v oblasti nemocenského pojištění na:</w:t>
      </w:r>
      <w:r w:rsidR="00433713">
        <w:br/>
      </w:r>
      <w:hyperlink r:id="rId13" w:history="1">
        <w:r w:rsidR="005669FF" w:rsidRPr="00492A4B">
          <w:rPr>
            <w:rStyle w:val="Hypertextovodkaz"/>
          </w:rPr>
          <w:t>https://www.mpsv.cz/documents/20142/225490/Anal%C3%BDza+NP_2022.pdf/cdd09219-aa75-cf4a-e039-5d65aafb28ab</w:t>
        </w:r>
      </w:hyperlink>
    </w:p>
    <w:p w14:paraId="642BB682" w14:textId="28422390" w:rsidR="001B4707" w:rsidRPr="005669FF" w:rsidRDefault="001B4707" w:rsidP="005669FF">
      <w:pPr>
        <w:pStyle w:val="Seznam"/>
        <w:numPr>
          <w:ilvl w:val="1"/>
          <w:numId w:val="25"/>
        </w:numPr>
        <w:spacing w:after="120"/>
        <w:jc w:val="both"/>
      </w:pPr>
      <w:r w:rsidRPr="005669FF">
        <w:rPr>
          <w:highlight w:val="yellow"/>
        </w:rPr>
        <w:br w:type="page"/>
      </w:r>
    </w:p>
    <w:p w14:paraId="30CBA500" w14:textId="0BA215D1" w:rsidR="0011766E" w:rsidRPr="0002086F" w:rsidRDefault="00AF2E68" w:rsidP="00AF2E68">
      <w:pPr>
        <w:pStyle w:val="Nadpis2"/>
      </w:pPr>
      <w:bookmarkStart w:id="9" w:name="_Toc136412146"/>
      <w:r w:rsidRPr="0002086F">
        <w:lastRenderedPageBreak/>
        <w:t>3. Metodika a zdroje dat</w:t>
      </w:r>
      <w:bookmarkEnd w:id="9"/>
    </w:p>
    <w:p w14:paraId="0F85C0E0" w14:textId="77777777" w:rsidR="00AF2E68" w:rsidRPr="00283AC5" w:rsidRDefault="00AF2E68" w:rsidP="00AF2E68">
      <w:pPr>
        <w:autoSpaceDE w:val="0"/>
        <w:autoSpaceDN w:val="0"/>
        <w:adjustRightInd w:val="0"/>
        <w:spacing w:after="120"/>
        <w:jc w:val="both"/>
        <w:rPr>
          <w:rFonts w:cs="Arial"/>
        </w:rPr>
      </w:pPr>
      <w:r w:rsidRPr="00283AC5">
        <w:rPr>
          <w:rFonts w:cs="Arial"/>
        </w:rPr>
        <w:t xml:space="preserve">Základní časové řady statistik dočasné pracovní neschopnosti pro nemoc a úraz v ČR jsou sledovány Českým statistickým úřadem (dále ČSÚ) již od roku 1963. Do roku 2011 byly statistické údaje o dočasné pracovní neschopnosti pro nemoc a úraz zjišťovány prostřednictvím státního statistického </w:t>
      </w:r>
      <w:r w:rsidRPr="00283AC5">
        <w:rPr>
          <w:rFonts w:cs="Arial"/>
          <w:b/>
        </w:rPr>
        <w:t xml:space="preserve">výkazu </w:t>
      </w:r>
      <w:proofErr w:type="spellStart"/>
      <w:r w:rsidRPr="00283AC5">
        <w:rPr>
          <w:rFonts w:cs="Arial"/>
          <w:b/>
        </w:rPr>
        <w:t>Nem</w:t>
      </w:r>
      <w:proofErr w:type="spellEnd"/>
      <w:r w:rsidRPr="00283AC5">
        <w:rPr>
          <w:rFonts w:cs="Arial"/>
          <w:b/>
        </w:rPr>
        <w:t xml:space="preserve"> </w:t>
      </w:r>
      <w:proofErr w:type="spellStart"/>
      <w:r w:rsidRPr="00283AC5">
        <w:rPr>
          <w:rFonts w:cs="Arial"/>
          <w:b/>
        </w:rPr>
        <w:t>Úr</w:t>
      </w:r>
      <w:proofErr w:type="spellEnd"/>
      <w:r w:rsidRPr="00283AC5">
        <w:rPr>
          <w:rFonts w:cs="Arial"/>
          <w:b/>
        </w:rPr>
        <w:t xml:space="preserve"> 1–02</w:t>
      </w:r>
      <w:r w:rsidRPr="00283AC5">
        <w:rPr>
          <w:rFonts w:cs="Arial"/>
        </w:rPr>
        <w:t xml:space="preserve">. V důsledku snižování administrativní náročnosti a zátěže zpravodajských jednotek byl Výkaz o pracovní neschopnosti pro nemoc a úraz </w:t>
      </w:r>
      <w:proofErr w:type="spellStart"/>
      <w:r w:rsidRPr="00283AC5">
        <w:rPr>
          <w:rFonts w:cs="Arial"/>
        </w:rPr>
        <w:t>Nem</w:t>
      </w:r>
      <w:proofErr w:type="spellEnd"/>
      <w:r w:rsidRPr="00283AC5">
        <w:rPr>
          <w:rFonts w:cs="Arial"/>
        </w:rPr>
        <w:t xml:space="preserve"> </w:t>
      </w:r>
      <w:proofErr w:type="spellStart"/>
      <w:r w:rsidRPr="00283AC5">
        <w:rPr>
          <w:rFonts w:cs="Arial"/>
        </w:rPr>
        <w:t>Úr</w:t>
      </w:r>
      <w:proofErr w:type="spellEnd"/>
      <w:r w:rsidRPr="00283AC5">
        <w:rPr>
          <w:rFonts w:cs="Arial"/>
        </w:rPr>
        <w:t xml:space="preserve"> 1–02 nahrazen údaji dostupnými z administrativních zdrojů. </w:t>
      </w:r>
    </w:p>
    <w:p w14:paraId="19451CFB" w14:textId="62B79029" w:rsidR="00AF2E68" w:rsidRPr="00283AC5" w:rsidRDefault="00AF2E68" w:rsidP="00AF2E68">
      <w:pPr>
        <w:autoSpaceDE w:val="0"/>
        <w:autoSpaceDN w:val="0"/>
        <w:adjustRightInd w:val="0"/>
        <w:spacing w:after="120"/>
        <w:jc w:val="both"/>
        <w:rPr>
          <w:rFonts w:cs="Arial"/>
        </w:rPr>
      </w:pPr>
      <w:r w:rsidRPr="00283AC5">
        <w:rPr>
          <w:rFonts w:cs="Arial"/>
          <w:b/>
        </w:rPr>
        <w:t>Počínaje rokem 2012</w:t>
      </w:r>
      <w:r w:rsidRPr="00283AC5">
        <w:rPr>
          <w:rFonts w:cs="Arial"/>
        </w:rPr>
        <w:t xml:space="preserve"> zajišťuje ČSÚ na základě smluvního ujednání s Ministerstvem práce a sociálních věcí (MPSV) a Českou správou sociálního zabezpečení (ČSSZ) údaje pro statistiku dočasné pracovní neschopnosti pro nemoc a úraz zpracováním dat z </w:t>
      </w:r>
      <w:r w:rsidRPr="00283AC5">
        <w:rPr>
          <w:rFonts w:cs="Arial"/>
          <w:b/>
        </w:rPr>
        <w:t>administrativního zdroje Informačního systému ČSSZ</w:t>
      </w:r>
      <w:r w:rsidR="0039783A" w:rsidRPr="00283AC5">
        <w:rPr>
          <w:rStyle w:val="Znakapoznpodarou"/>
          <w:rFonts w:cs="Arial"/>
          <w:b/>
        </w:rPr>
        <w:footnoteReference w:id="5"/>
      </w:r>
      <w:r w:rsidRPr="00283AC5">
        <w:rPr>
          <w:rFonts w:cs="Arial"/>
        </w:rPr>
        <w:t xml:space="preserve">. </w:t>
      </w:r>
    </w:p>
    <w:p w14:paraId="0B75873A" w14:textId="77777777" w:rsidR="00AF2E68" w:rsidRPr="00283AC5" w:rsidRDefault="00AF2E68" w:rsidP="00AF2E68">
      <w:pPr>
        <w:spacing w:after="120"/>
        <w:jc w:val="both"/>
      </w:pPr>
      <w:r w:rsidRPr="00283AC5">
        <w:t xml:space="preserve">Vstupním zdrojem a podkladem pro zpracování dat této publikace jsou údaje o dočasné pracovní neschopnosti pro nemoc a úraz nahlášené České správě sociálního zabezpečení prostřednictvím </w:t>
      </w:r>
      <w:r w:rsidRPr="00283AC5">
        <w:rPr>
          <w:b/>
        </w:rPr>
        <w:t>„Rozhodnutí o dočasné pracovní neschopnosti“</w:t>
      </w:r>
      <w:r w:rsidRPr="00283AC5">
        <w:t xml:space="preserve">, které elektronicky </w:t>
      </w:r>
      <w:r w:rsidRPr="00283AC5">
        <w:rPr>
          <w:b/>
        </w:rPr>
        <w:t>(tzv. „</w:t>
      </w:r>
      <w:proofErr w:type="spellStart"/>
      <w:r w:rsidRPr="00283AC5">
        <w:rPr>
          <w:b/>
        </w:rPr>
        <w:t>eNeschopenky</w:t>
      </w:r>
      <w:proofErr w:type="spellEnd"/>
      <w:r w:rsidRPr="00283AC5">
        <w:rPr>
          <w:b/>
        </w:rPr>
        <w:t xml:space="preserve">“) </w:t>
      </w:r>
      <w:r w:rsidRPr="00283AC5">
        <w:t>vystavuje ošetřující lékař. Používání elektronického systému pro vydávání neschopností je od 1. 1. 2020 povinné</w:t>
      </w:r>
      <w:r w:rsidRPr="00283AC5">
        <w:rPr>
          <w:rStyle w:val="Znakapoznpodarou"/>
        </w:rPr>
        <w:footnoteReference w:id="6"/>
      </w:r>
      <w:r w:rsidRPr="00283AC5">
        <w:t>.</w:t>
      </w:r>
    </w:p>
    <w:p w14:paraId="36D17ED5" w14:textId="77777777" w:rsidR="00AF2E68" w:rsidRPr="00283AC5" w:rsidRDefault="00AF2E68" w:rsidP="00AF2E68">
      <w:pPr>
        <w:spacing w:after="120"/>
        <w:jc w:val="both"/>
      </w:pPr>
      <w:r w:rsidRPr="00283AC5">
        <w:t xml:space="preserve">Díky evidenci jsou zaznamenána veškerá onemocnění a úrazy, které zapříčinily alespoň jednodenní pracovní neschopnost u </w:t>
      </w:r>
      <w:proofErr w:type="spellStart"/>
      <w:r w:rsidRPr="00283AC5">
        <w:t>nemocensky</w:t>
      </w:r>
      <w:proofErr w:type="spellEnd"/>
      <w:r w:rsidRPr="00283AC5">
        <w:t xml:space="preserve"> pojištěných osob. Administrativní data Informačního systému ČSSZ obsahují údaje za všechny zaměstnance</w:t>
      </w:r>
      <w:r w:rsidRPr="00283AC5">
        <w:rPr>
          <w:rStyle w:val="Znakapoznpodarou"/>
        </w:rPr>
        <w:footnoteReference w:id="7"/>
      </w:r>
      <w:r w:rsidRPr="00283AC5">
        <w:t>, ať již zaměstnané právnickou či fyzickou osobou, i data za osoby samostatně výdělečně činné (OSVČ). Zaměstnanci jsou povinně účastni nemocenského pojištění, na rozdíl od OSVČ, jejichž nemocenské pojištění je dobrovolné.</w:t>
      </w:r>
    </w:p>
    <w:p w14:paraId="1DFB8527" w14:textId="77777777" w:rsidR="00AF2E68" w:rsidRPr="00283AC5" w:rsidRDefault="00AF2E68" w:rsidP="00AF2E68">
      <w:pPr>
        <w:autoSpaceDE w:val="0"/>
        <w:autoSpaceDN w:val="0"/>
        <w:adjustRightInd w:val="0"/>
        <w:spacing w:after="120"/>
        <w:jc w:val="both"/>
        <w:rPr>
          <w:rFonts w:cs="Arial"/>
        </w:rPr>
      </w:pPr>
      <w:r w:rsidRPr="00283AC5">
        <w:rPr>
          <w:rFonts w:cs="Arial"/>
        </w:rPr>
        <w:t xml:space="preserve">ČSSZ za účelem zajištění statistiky dočasné pracovní neschopnosti pro nemoc a úraz poskytuje ČSÚ </w:t>
      </w:r>
      <w:r w:rsidRPr="00283AC5">
        <w:rPr>
          <w:rFonts w:cs="Arial"/>
          <w:b/>
        </w:rPr>
        <w:t xml:space="preserve">datové soubory administrativních </w:t>
      </w:r>
      <w:r w:rsidRPr="00283AC5">
        <w:rPr>
          <w:rFonts w:cs="Arial"/>
        </w:rPr>
        <w:t>agregovaných</w:t>
      </w:r>
      <w:r w:rsidRPr="00283AC5">
        <w:rPr>
          <w:rFonts w:cs="Arial"/>
          <w:b/>
        </w:rPr>
        <w:t xml:space="preserve"> dat o nově hlášených případech</w:t>
      </w:r>
      <w:r w:rsidRPr="00283AC5">
        <w:rPr>
          <w:rFonts w:cs="Arial"/>
        </w:rPr>
        <w:t xml:space="preserve"> dočasné pracovní neschopnosti zaměstnanců a OSVČ, které jsou na ČSÚ dále zpracovány a doplněny s využitím informací z Registru ekonomických subjektů.</w:t>
      </w:r>
    </w:p>
    <w:p w14:paraId="552FDF7D" w14:textId="77777777" w:rsidR="00AF2E68" w:rsidRPr="00283AC5" w:rsidRDefault="00AF2E68" w:rsidP="00AF2E68">
      <w:pPr>
        <w:pStyle w:val="Seznam"/>
        <w:spacing w:after="60"/>
        <w:contextualSpacing w:val="0"/>
        <w:jc w:val="both"/>
      </w:pPr>
      <w:r w:rsidRPr="00283AC5">
        <w:t xml:space="preserve">Výstupem zpracování dat Českým statistickým úřadem jsou následující statistické </w:t>
      </w:r>
      <w:r w:rsidRPr="00283AC5">
        <w:rPr>
          <w:b/>
        </w:rPr>
        <w:t>ukazatele</w:t>
      </w:r>
      <w:r w:rsidRPr="00283AC5">
        <w:t>:</w:t>
      </w:r>
    </w:p>
    <w:p w14:paraId="289DB2B3" w14:textId="77777777" w:rsidR="00AF2E68" w:rsidRPr="00283AC5" w:rsidRDefault="00AF2E68" w:rsidP="00AF2E68">
      <w:pPr>
        <w:pStyle w:val="Seznam"/>
        <w:numPr>
          <w:ilvl w:val="0"/>
          <w:numId w:val="26"/>
        </w:numPr>
        <w:spacing w:after="120"/>
        <w:ind w:left="714" w:hanging="357"/>
        <w:contextualSpacing w:val="0"/>
        <w:jc w:val="both"/>
        <w:rPr>
          <w:i/>
        </w:rPr>
      </w:pPr>
      <w:r w:rsidRPr="00283AC5">
        <w:rPr>
          <w:b/>
        </w:rPr>
        <w:t xml:space="preserve">Průměrný počet </w:t>
      </w:r>
      <w:proofErr w:type="spellStart"/>
      <w:r w:rsidRPr="00283AC5">
        <w:rPr>
          <w:b/>
        </w:rPr>
        <w:t>nemocensky</w:t>
      </w:r>
      <w:proofErr w:type="spellEnd"/>
      <w:r w:rsidRPr="00283AC5">
        <w:rPr>
          <w:b/>
        </w:rPr>
        <w:t xml:space="preserve"> pojištěných osob</w:t>
      </w:r>
      <w:r w:rsidRPr="00283AC5">
        <w:t xml:space="preserve"> – ukazatel udává průměrný počet osob, které jsou povinně či dobrovolně </w:t>
      </w:r>
      <w:proofErr w:type="spellStart"/>
      <w:r w:rsidRPr="00283AC5">
        <w:t>nemocensky</w:t>
      </w:r>
      <w:proofErr w:type="spellEnd"/>
      <w:r w:rsidRPr="00283AC5">
        <w:t xml:space="preserve"> pojištěné podle zákona o nemocenském pojištění. Zahrnuje všechny osoby, které byly alespoň po jeden den vykazovaného období </w:t>
      </w:r>
      <w:proofErr w:type="spellStart"/>
      <w:r w:rsidRPr="00283AC5">
        <w:t>nemocensky</w:t>
      </w:r>
      <w:proofErr w:type="spellEnd"/>
      <w:r w:rsidRPr="00283AC5">
        <w:t xml:space="preserve"> pojištěné. V případě více překrývajících se pojistných vztahů pojištěnce v rámci jednoho zaměstnavatele a jedné mzdové účtárny se započítává pojištěnec pouze jedenkrát. V ostatních případech je pojištěnec započítáván tolikrát, kolik má pracovněprávních pojistných vztahů. </w:t>
      </w:r>
      <w:r w:rsidRPr="00283AC5">
        <w:rPr>
          <w:i/>
        </w:rPr>
        <w:t xml:space="preserve">Do průměrného počtu </w:t>
      </w:r>
      <w:proofErr w:type="spellStart"/>
      <w:r w:rsidRPr="00283AC5">
        <w:rPr>
          <w:i/>
        </w:rPr>
        <w:t>nemocensky</w:t>
      </w:r>
      <w:proofErr w:type="spellEnd"/>
      <w:r w:rsidRPr="00283AC5">
        <w:rPr>
          <w:i/>
        </w:rPr>
        <w:t xml:space="preserve"> pojištěných nejsou započteni vojáci z povolání a příslušníci Policie ČR, Hasičského záchranného sboru ČR, Celní správy ČR, Vězeňské služby ČR, Generální inspekce bezpečnostních sborů, Bezpečnostní informační služby a Úřadu pro zahraniční styky a informace.</w:t>
      </w:r>
    </w:p>
    <w:p w14:paraId="44DD5345" w14:textId="77777777" w:rsidR="00AF2E68" w:rsidRPr="00283AC5" w:rsidRDefault="00AF2E68" w:rsidP="00AF2E68">
      <w:pPr>
        <w:pStyle w:val="Seznam"/>
        <w:numPr>
          <w:ilvl w:val="0"/>
          <w:numId w:val="26"/>
        </w:numPr>
        <w:spacing w:after="120"/>
        <w:ind w:left="714" w:hanging="357"/>
        <w:contextualSpacing w:val="0"/>
        <w:jc w:val="both"/>
      </w:pPr>
      <w:r w:rsidRPr="00283AC5">
        <w:rPr>
          <w:b/>
        </w:rPr>
        <w:lastRenderedPageBreak/>
        <w:t xml:space="preserve">Průměrný počet </w:t>
      </w:r>
      <w:proofErr w:type="spellStart"/>
      <w:r w:rsidRPr="00283AC5">
        <w:rPr>
          <w:b/>
        </w:rPr>
        <w:t>nemocensky</w:t>
      </w:r>
      <w:proofErr w:type="spellEnd"/>
      <w:r w:rsidRPr="00283AC5">
        <w:rPr>
          <w:b/>
        </w:rPr>
        <w:t xml:space="preserve"> pojištěných mladistvých</w:t>
      </w:r>
      <w:r w:rsidRPr="00283AC5">
        <w:t xml:space="preserve"> – ukazatel udává průměrný počet </w:t>
      </w:r>
      <w:proofErr w:type="spellStart"/>
      <w:r w:rsidRPr="00283AC5">
        <w:t>nemocensky</w:t>
      </w:r>
      <w:proofErr w:type="spellEnd"/>
      <w:r w:rsidRPr="00283AC5">
        <w:t xml:space="preserve"> pojištěných osob mladších 18 let (viz § 350 odst. 2 zákona č. 262/2006 Sb., zákoník práce, ve znění pozdějších předpisů).</w:t>
      </w:r>
    </w:p>
    <w:p w14:paraId="79D05A86" w14:textId="77777777" w:rsidR="00AF2E68" w:rsidRPr="00283AC5" w:rsidRDefault="00AF2E68" w:rsidP="00AF2E68">
      <w:pPr>
        <w:pStyle w:val="Seznam"/>
        <w:numPr>
          <w:ilvl w:val="0"/>
          <w:numId w:val="26"/>
        </w:numPr>
        <w:spacing w:after="120"/>
        <w:ind w:left="714" w:hanging="357"/>
        <w:contextualSpacing w:val="0"/>
        <w:jc w:val="both"/>
      </w:pPr>
      <w:r w:rsidRPr="00283AC5">
        <w:rPr>
          <w:b/>
        </w:rPr>
        <w:t>Počet pracovněprávních pojistných vztahů</w:t>
      </w:r>
      <w:r w:rsidRPr="00283AC5">
        <w:t xml:space="preserve"> – </w:t>
      </w:r>
      <w:r w:rsidRPr="00283AC5">
        <w:rPr>
          <w:rFonts w:cs="Arial"/>
          <w:szCs w:val="20"/>
        </w:rPr>
        <w:t xml:space="preserve">ukazatel udává celkový počet pojistných vztahů </w:t>
      </w:r>
      <w:proofErr w:type="spellStart"/>
      <w:r w:rsidRPr="00283AC5">
        <w:rPr>
          <w:rFonts w:cs="Arial"/>
          <w:szCs w:val="20"/>
        </w:rPr>
        <w:t>nemocensky</w:t>
      </w:r>
      <w:proofErr w:type="spellEnd"/>
      <w:r w:rsidRPr="00283AC5">
        <w:rPr>
          <w:rFonts w:cs="Arial"/>
          <w:szCs w:val="20"/>
        </w:rPr>
        <w:t xml:space="preserve"> pojištěných osob, které byly alespoň 1 den vykazovaného období </w:t>
      </w:r>
      <w:proofErr w:type="spellStart"/>
      <w:r w:rsidRPr="00283AC5">
        <w:rPr>
          <w:rFonts w:cs="Arial"/>
          <w:szCs w:val="20"/>
        </w:rPr>
        <w:t>nemocensky</w:t>
      </w:r>
      <w:proofErr w:type="spellEnd"/>
      <w:r w:rsidRPr="00283AC5">
        <w:rPr>
          <w:rFonts w:cs="Arial"/>
          <w:szCs w:val="20"/>
        </w:rPr>
        <w:t xml:space="preserve"> pojištěné u daného zaměstnavatele. U zaměstnanců právnických osob a zaměstnanců fyzických osob se započítávají pojistné vztahy všech zaměstnanců </w:t>
      </w:r>
      <w:proofErr w:type="spellStart"/>
      <w:r w:rsidRPr="00283AC5">
        <w:rPr>
          <w:rFonts w:cs="Arial"/>
          <w:szCs w:val="20"/>
        </w:rPr>
        <w:t>nemocensky</w:t>
      </w:r>
      <w:proofErr w:type="spellEnd"/>
      <w:r w:rsidRPr="00283AC5">
        <w:rPr>
          <w:rFonts w:cs="Arial"/>
          <w:szCs w:val="20"/>
        </w:rPr>
        <w:t xml:space="preserve"> pojištěných dle § 5 zákona o nemocenském pojištění a účastných pojištění dle § 6 až 10 tohoto zákona (zahrnuje i osoby pobírající dávku ošetřovné, peněžitá pomoc v mateřství, rodičovský příspěvek a vyrovnávací příspěvek v těhotenství a mateřství a osoby vykonávající zaměstnání malého rozsahu). V případě více pojistných vztahů jedné osoby na dané mzdové účtárně se započtou všechny takové pojistné vztahy. Pokud se však pojistné vztahy shodného druhu jedné osoby u jednoho zaměstnavatele překrývají nebo navazují bez mezery, je jejich sjednocení považováno za jeden pojistný vztah.</w:t>
      </w:r>
    </w:p>
    <w:p w14:paraId="492DCC6D" w14:textId="77777777" w:rsidR="00AF2E68" w:rsidRPr="00283AC5" w:rsidRDefault="00AF2E68" w:rsidP="00AF2E68">
      <w:pPr>
        <w:pStyle w:val="Seznam"/>
        <w:numPr>
          <w:ilvl w:val="0"/>
          <w:numId w:val="26"/>
        </w:numPr>
        <w:spacing w:after="120"/>
        <w:ind w:left="714" w:hanging="357"/>
        <w:contextualSpacing w:val="0"/>
        <w:jc w:val="both"/>
      </w:pPr>
      <w:r w:rsidRPr="00283AC5">
        <w:rPr>
          <w:b/>
        </w:rPr>
        <w:t>Počet nově hlášených případů dočasné pracovní neschopnosti</w:t>
      </w:r>
      <w:r w:rsidRPr="00283AC5">
        <w:t xml:space="preserve"> – ukazatel zahrnuje nově hlášené případy pracovní neschopnosti vzniklé ve sledovaném období (</w:t>
      </w:r>
      <w:r w:rsidR="00451C9E" w:rsidRPr="00283AC5">
        <w:t>roce</w:t>
      </w:r>
      <w:r w:rsidRPr="00283AC5">
        <w:t xml:space="preserve">) na základě hlášení o vzniku pracovní neschopnosti </w:t>
      </w:r>
      <w:proofErr w:type="spellStart"/>
      <w:r w:rsidRPr="00283AC5">
        <w:t>nemocensky</w:t>
      </w:r>
      <w:proofErr w:type="spellEnd"/>
      <w:r w:rsidRPr="00283AC5">
        <w:t xml:space="preserve"> pojištěných osob. Do počtu případů patří i pracovní neschopnost vzniklá po zániku pojištění v tzv. ochranné lhůtě sedmi kalendářních dnů.</w:t>
      </w:r>
    </w:p>
    <w:p w14:paraId="7D085446" w14:textId="77777777" w:rsidR="00AF2E68" w:rsidRPr="00283AC5" w:rsidRDefault="00AF2E68" w:rsidP="00AF2E68">
      <w:pPr>
        <w:pStyle w:val="Seznam"/>
        <w:numPr>
          <w:ilvl w:val="0"/>
          <w:numId w:val="26"/>
        </w:numPr>
        <w:spacing w:after="120"/>
        <w:ind w:left="714" w:hanging="357"/>
        <w:contextualSpacing w:val="0"/>
        <w:jc w:val="both"/>
        <w:rPr>
          <w:spacing w:val="-2"/>
        </w:rPr>
      </w:pPr>
      <w:r w:rsidRPr="00283AC5">
        <w:rPr>
          <w:b/>
        </w:rPr>
        <w:t xml:space="preserve">Počet případů pracovní neschopnosti na 100 pojištěnců </w:t>
      </w:r>
      <w:r w:rsidRPr="00283AC5">
        <w:t xml:space="preserve">– </w:t>
      </w:r>
      <w:r w:rsidRPr="00283AC5">
        <w:rPr>
          <w:spacing w:val="-2"/>
        </w:rPr>
        <w:t xml:space="preserve">ukazatel vyjadřuje počet nově hlášených případů pracovní neschopnosti, které připadají v průměru na 100 </w:t>
      </w:r>
      <w:proofErr w:type="spellStart"/>
      <w:r w:rsidRPr="00283AC5">
        <w:rPr>
          <w:spacing w:val="-2"/>
        </w:rPr>
        <w:t>nemocensky</w:t>
      </w:r>
      <w:proofErr w:type="spellEnd"/>
      <w:r w:rsidRPr="00283AC5">
        <w:rPr>
          <w:spacing w:val="-2"/>
        </w:rPr>
        <w:t xml:space="preserve"> pojištěných osob.</w:t>
      </w:r>
    </w:p>
    <w:p w14:paraId="43960A19" w14:textId="77777777" w:rsidR="00AF2E68" w:rsidRPr="00283AC5" w:rsidRDefault="00AF2E68" w:rsidP="00AF2E68">
      <w:pPr>
        <w:pStyle w:val="Seznam"/>
        <w:numPr>
          <w:ilvl w:val="0"/>
          <w:numId w:val="26"/>
        </w:numPr>
        <w:spacing w:after="120"/>
        <w:ind w:left="714" w:hanging="357"/>
        <w:contextualSpacing w:val="0"/>
        <w:jc w:val="both"/>
      </w:pPr>
      <w:r w:rsidRPr="00283AC5">
        <w:rPr>
          <w:b/>
        </w:rPr>
        <w:t>Počet kalendářních dnů dočasné pracovní neschopnosti</w:t>
      </w:r>
      <w:r w:rsidRPr="00283AC5">
        <w:t xml:space="preserve"> – ukazatel udává celkový počet kalendářních dnů, po které byli v daném období (</w:t>
      </w:r>
      <w:r w:rsidR="00451C9E" w:rsidRPr="00283AC5">
        <w:t>roce</w:t>
      </w:r>
      <w:r w:rsidRPr="00283AC5">
        <w:t xml:space="preserve">) </w:t>
      </w:r>
      <w:proofErr w:type="spellStart"/>
      <w:r w:rsidRPr="00283AC5">
        <w:t>nemocensky</w:t>
      </w:r>
      <w:proofErr w:type="spellEnd"/>
      <w:r w:rsidRPr="00283AC5">
        <w:t xml:space="preserve"> pojištění práce neschopni. Počet kalendářních dnů strávených v pracovní neschopnosti je zjišťován na základě hlášení o vzniku a ukončení pracovní neschopnosti. Údaj zahrnuje dny pracovní neschopnosti vč. dnů u těch případů, které vznikly před sledovaným obdobím</w:t>
      </w:r>
      <w:r w:rsidR="00D81FD5" w:rsidRPr="00283AC5">
        <w:t xml:space="preserve">, přičemž </w:t>
      </w:r>
      <w:r w:rsidRPr="00283AC5">
        <w:t>v počtu nově hlášených případů dočasné pracovní neschopnosti za toto období zařazeny nejsou. Maximální doba zápočtu je délka sledovaného období (</w:t>
      </w:r>
      <w:r w:rsidR="00451C9E" w:rsidRPr="00283AC5">
        <w:t>365 resp. 366 dnů</w:t>
      </w:r>
      <w:r w:rsidRPr="00283AC5">
        <w:t>) bez ohledu na délku trvání pracovní neschopnosti daného případu. Do počtu kalendářních dnů pracovní neschopnosti patří i dny v pracovní neschopnosti, která vznikla po zániku pojištění v tzv. ochranné lhůtě sedmi kalendářních dnů.</w:t>
      </w:r>
    </w:p>
    <w:p w14:paraId="6E0E46E8" w14:textId="77777777" w:rsidR="00AF2E68" w:rsidRPr="00283AC5" w:rsidRDefault="00AF2E68" w:rsidP="00AF2E68">
      <w:pPr>
        <w:pStyle w:val="Seznam"/>
        <w:numPr>
          <w:ilvl w:val="0"/>
          <w:numId w:val="26"/>
        </w:numPr>
        <w:spacing w:after="120"/>
        <w:ind w:left="714" w:hanging="357"/>
        <w:contextualSpacing w:val="0"/>
        <w:jc w:val="both"/>
      </w:pPr>
      <w:r w:rsidRPr="00283AC5">
        <w:rPr>
          <w:b/>
        </w:rPr>
        <w:t>Průměrná délka trvání pracovní neschopnosti ve dnech</w:t>
      </w:r>
      <w:r w:rsidRPr="00283AC5">
        <w:t xml:space="preserve"> – ukazatel vyjadřuje, kolik kalendářních dnů pracovní neschopnosti v průměru připadá na jeden nově hlášený případ pracovní neschopnosti. Nově hlášený případ musí být vzniklý ve sledovaném období, kdežto do dnů pracovní neschopnosti (maximálně v délce sledovaného období, </w:t>
      </w:r>
      <w:r w:rsidR="00451C9E" w:rsidRPr="00283AC5">
        <w:t>365 resp. 366 dnů</w:t>
      </w:r>
      <w:r w:rsidRPr="00283AC5">
        <w:t>) se započítávají i dny z případů PN, které mohly vzniknout již v předchozím období, ale byly ukončeny či nadále trvají v průběhu sledovaného období.</w:t>
      </w:r>
    </w:p>
    <w:p w14:paraId="34C32CB7" w14:textId="77777777" w:rsidR="00AF2E68" w:rsidRPr="00283AC5" w:rsidRDefault="00AF2E68" w:rsidP="00AF2E68">
      <w:pPr>
        <w:pStyle w:val="Seznam"/>
        <w:numPr>
          <w:ilvl w:val="0"/>
          <w:numId w:val="26"/>
        </w:numPr>
        <w:spacing w:after="120"/>
        <w:ind w:left="714" w:hanging="357"/>
        <w:contextualSpacing w:val="0"/>
        <w:jc w:val="both"/>
        <w:rPr>
          <w:spacing w:val="-2"/>
        </w:rPr>
      </w:pPr>
      <w:r w:rsidRPr="00283AC5">
        <w:rPr>
          <w:b/>
        </w:rPr>
        <w:t xml:space="preserve">Průměrné procento dočasné pracovní neschopnosti </w:t>
      </w:r>
      <w:r w:rsidRPr="00283AC5">
        <w:t xml:space="preserve">– </w:t>
      </w:r>
      <w:r w:rsidRPr="00283AC5">
        <w:rPr>
          <w:spacing w:val="-2"/>
        </w:rPr>
        <w:t xml:space="preserve">ukazatel udává, kolik ze 100 </w:t>
      </w:r>
      <w:proofErr w:type="spellStart"/>
      <w:r w:rsidRPr="00283AC5">
        <w:rPr>
          <w:spacing w:val="-2"/>
        </w:rPr>
        <w:t>nemocensky</w:t>
      </w:r>
      <w:proofErr w:type="spellEnd"/>
      <w:r w:rsidRPr="00283AC5">
        <w:rPr>
          <w:spacing w:val="-2"/>
        </w:rPr>
        <w:t xml:space="preserve"> pojištěných osob je průměrně každý den v pracovní neschopnosti pro nemoc či úraz. Zohledňuje jak celkový počet případů pracovní neschopnosti (jak často lidé do pracovní neschopnosti nastupují), tak i průměrné trvání jednoho případu pracovní neschopnosti (jak dlouho v pracovní neschopnosti zůstávají).</w:t>
      </w:r>
    </w:p>
    <w:p w14:paraId="3E973AD4" w14:textId="77777777" w:rsidR="00AF2E68" w:rsidRPr="00283AC5" w:rsidRDefault="00AF2E68" w:rsidP="00AF2E68">
      <w:pPr>
        <w:pStyle w:val="Seznam"/>
        <w:numPr>
          <w:ilvl w:val="0"/>
          <w:numId w:val="26"/>
        </w:numPr>
        <w:spacing w:after="120"/>
        <w:ind w:left="714" w:hanging="357"/>
        <w:contextualSpacing w:val="0"/>
        <w:jc w:val="both"/>
      </w:pPr>
      <w:r w:rsidRPr="00283AC5">
        <w:rPr>
          <w:b/>
        </w:rPr>
        <w:t xml:space="preserve">Průměrný denní stav dočasně práce neschopných </w:t>
      </w:r>
      <w:r w:rsidRPr="00283AC5">
        <w:t xml:space="preserve">– ukazatel vyjadřuje počet </w:t>
      </w:r>
      <w:proofErr w:type="spellStart"/>
      <w:r w:rsidRPr="00283AC5">
        <w:t>nemocensky</w:t>
      </w:r>
      <w:proofErr w:type="spellEnd"/>
      <w:r w:rsidRPr="00283AC5">
        <w:t xml:space="preserve"> pojištěných, kteří byli ve sledovaném období (</w:t>
      </w:r>
      <w:r w:rsidR="00451C9E" w:rsidRPr="00283AC5">
        <w:t>roce</w:t>
      </w:r>
      <w:r w:rsidRPr="00283AC5">
        <w:t>) průměrně denně nepřítomni v práci z důvodu pracovní neschopnosti.</w:t>
      </w:r>
    </w:p>
    <w:p w14:paraId="4AB8A265" w14:textId="77777777" w:rsidR="00AF2E68" w:rsidRPr="00283AC5" w:rsidRDefault="00AF2E68" w:rsidP="00AF2E68">
      <w:pPr>
        <w:pStyle w:val="Seznam"/>
        <w:numPr>
          <w:ilvl w:val="0"/>
          <w:numId w:val="26"/>
        </w:numPr>
        <w:spacing w:after="120"/>
        <w:ind w:left="714" w:hanging="357"/>
        <w:contextualSpacing w:val="0"/>
        <w:jc w:val="both"/>
      </w:pPr>
      <w:r w:rsidRPr="00283AC5">
        <w:rPr>
          <w:b/>
        </w:rPr>
        <w:t xml:space="preserve">Pracovní úrazy s pracovní neschopností delší než 3 dny </w:t>
      </w:r>
      <w:r w:rsidRPr="00283AC5">
        <w:t>– ukazatel zahrnuje případy pracovních úrazů, které měly za následek pracovní neschopnost delší než tři kalendářní dny. Do těchto tří dnů se nezapočítává den, ve kterém k úrazu došlo.</w:t>
      </w:r>
    </w:p>
    <w:p w14:paraId="283ACC31" w14:textId="5C80F8F7" w:rsidR="00AF2E68" w:rsidRPr="00283AC5" w:rsidRDefault="00AF2E68" w:rsidP="00AF2E68">
      <w:pPr>
        <w:spacing w:after="120"/>
        <w:jc w:val="both"/>
      </w:pPr>
      <w:r w:rsidRPr="00283AC5">
        <w:rPr>
          <w:rFonts w:cs="Arial"/>
        </w:rPr>
        <w:t>Data o nově hlášených případech dočasné pracovní neschopnosti a související ukazatele ČSÚ zpracová</w:t>
      </w:r>
      <w:r w:rsidR="00CD114C" w:rsidRPr="00283AC5">
        <w:rPr>
          <w:rFonts w:cs="Arial"/>
        </w:rPr>
        <w:t>vá</w:t>
      </w:r>
      <w:r w:rsidRPr="00283AC5">
        <w:rPr>
          <w:rFonts w:cs="Arial"/>
        </w:rPr>
        <w:t xml:space="preserve"> v</w:t>
      </w:r>
      <w:r w:rsidR="00CD114C" w:rsidRPr="00283AC5">
        <w:rPr>
          <w:rFonts w:cs="Arial"/>
        </w:rPr>
        <w:t> </w:t>
      </w:r>
      <w:r w:rsidRPr="00283AC5">
        <w:rPr>
          <w:rFonts w:cs="Arial"/>
        </w:rPr>
        <w:t xml:space="preserve">členění podle </w:t>
      </w:r>
      <w:r w:rsidRPr="00283AC5">
        <w:rPr>
          <w:rFonts w:cs="Arial"/>
          <w:b/>
        </w:rPr>
        <w:t>pohlaví pojištěnců</w:t>
      </w:r>
      <w:r w:rsidRPr="00283AC5">
        <w:rPr>
          <w:rFonts w:cs="Arial"/>
        </w:rPr>
        <w:t xml:space="preserve"> a dále podle </w:t>
      </w:r>
      <w:r w:rsidRPr="00283AC5">
        <w:rPr>
          <w:rFonts w:cs="Arial"/>
          <w:b/>
        </w:rPr>
        <w:t>sídla</w:t>
      </w:r>
      <w:r w:rsidRPr="00283AC5">
        <w:rPr>
          <w:rFonts w:cs="Arial"/>
        </w:rPr>
        <w:t xml:space="preserve"> zaměstnavatele (do úrovně krajů a okresů dle </w:t>
      </w:r>
      <w:r w:rsidRPr="00283AC5">
        <w:rPr>
          <w:rFonts w:cs="Arial"/>
        </w:rPr>
        <w:lastRenderedPageBreak/>
        <w:t xml:space="preserve">klasifikace CZ-NUTS), </w:t>
      </w:r>
      <w:r w:rsidRPr="00283AC5">
        <w:rPr>
          <w:rFonts w:cs="Arial"/>
          <w:b/>
        </w:rPr>
        <w:t>velikosti podniku</w:t>
      </w:r>
      <w:r w:rsidRPr="00283AC5">
        <w:rPr>
          <w:rFonts w:cs="Arial"/>
        </w:rPr>
        <w:t xml:space="preserve"> (dle počtu zaměstnanců),</w:t>
      </w:r>
      <w:r w:rsidRPr="00283AC5">
        <w:rPr>
          <w:rFonts w:cs="Arial"/>
          <w:b/>
        </w:rPr>
        <w:t xml:space="preserve"> odvětví </w:t>
      </w:r>
      <w:r w:rsidRPr="00283AC5">
        <w:rPr>
          <w:rFonts w:cs="Arial"/>
        </w:rPr>
        <w:t>(do úrovně odvětvových sekcí a</w:t>
      </w:r>
      <w:r w:rsidR="00AC6909" w:rsidRPr="00283AC5">
        <w:rPr>
          <w:rFonts w:cs="Arial"/>
        </w:rPr>
        <w:t> </w:t>
      </w:r>
      <w:r w:rsidRPr="00283AC5">
        <w:rPr>
          <w:rFonts w:cs="Arial"/>
        </w:rPr>
        <w:t xml:space="preserve">oddílů podle převažující ekonomické činnosti definované dle klasifikace CZ-NACE) a </w:t>
      </w:r>
      <w:r w:rsidRPr="00283AC5">
        <w:rPr>
          <w:rFonts w:cs="Arial"/>
          <w:b/>
        </w:rPr>
        <w:t>sektoru</w:t>
      </w:r>
      <w:r w:rsidRPr="00283AC5">
        <w:rPr>
          <w:rFonts w:cs="Arial"/>
        </w:rPr>
        <w:t xml:space="preserve"> </w:t>
      </w:r>
      <w:r w:rsidRPr="00283AC5">
        <w:rPr>
          <w:rFonts w:cs="Arial"/>
          <w:b/>
        </w:rPr>
        <w:t>zaměstnavatele</w:t>
      </w:r>
      <w:r w:rsidRPr="00283AC5">
        <w:rPr>
          <w:rFonts w:cs="Arial"/>
        </w:rPr>
        <w:t xml:space="preserve"> (dle k</w:t>
      </w:r>
      <w:r w:rsidRPr="00283AC5">
        <w:t>lasifikace</w:t>
      </w:r>
      <w:r w:rsidRPr="00283AC5">
        <w:rPr>
          <w:b/>
        </w:rPr>
        <w:t xml:space="preserve"> </w:t>
      </w:r>
      <w:r w:rsidRPr="00283AC5">
        <w:t>institucionálních sektorů)</w:t>
      </w:r>
      <w:r w:rsidRPr="00283AC5">
        <w:rPr>
          <w:rStyle w:val="Znakapoznpodarou"/>
        </w:rPr>
        <w:footnoteReference w:id="8"/>
      </w:r>
      <w:r w:rsidRPr="00283AC5">
        <w:t>.</w:t>
      </w:r>
    </w:p>
    <w:p w14:paraId="72B842EC" w14:textId="77777777" w:rsidR="00AF2E68" w:rsidRPr="00283AC5" w:rsidRDefault="00AF2E68" w:rsidP="00AF2E68">
      <w:pPr>
        <w:spacing w:after="120"/>
        <w:jc w:val="both"/>
        <w:rPr>
          <w:rFonts w:cs="Arial"/>
          <w:szCs w:val="20"/>
        </w:rPr>
      </w:pPr>
      <w:r w:rsidRPr="00283AC5">
        <w:rPr>
          <w:rFonts w:cs="Arial"/>
        </w:rPr>
        <w:t>Rozlišení dle krajů a okresů vychází z údaje o sídle útvaru, který vede evidenci mezd zaměstnavateli osoby, která je v pracovní neschopnosti.</w:t>
      </w:r>
    </w:p>
    <w:p w14:paraId="21EC50BF" w14:textId="19322B0F" w:rsidR="00AF2E68" w:rsidRPr="00283AC5" w:rsidRDefault="00AF2E68" w:rsidP="00AF2E68">
      <w:pPr>
        <w:spacing w:after="120"/>
        <w:jc w:val="both"/>
        <w:rPr>
          <w:rFonts w:cs="Arial"/>
          <w:szCs w:val="20"/>
        </w:rPr>
      </w:pPr>
      <w:r w:rsidRPr="00283AC5">
        <w:rPr>
          <w:rFonts w:cs="Arial"/>
          <w:szCs w:val="20"/>
        </w:rPr>
        <w:t xml:space="preserve">Kromě statistiky nově hlášených případů dočasné pracovní neschopnosti zpracovávané ČSÚ jsou z evidence ČSSZ zpracovávány a publikovány také </w:t>
      </w:r>
      <w:r w:rsidRPr="00283AC5">
        <w:rPr>
          <w:rFonts w:cs="Arial"/>
          <w:b/>
          <w:szCs w:val="20"/>
        </w:rPr>
        <w:t xml:space="preserve">údaje o ukončených případech pracovní neschopnosti </w:t>
      </w:r>
      <w:r w:rsidRPr="00283AC5">
        <w:rPr>
          <w:rFonts w:cs="Arial"/>
          <w:szCs w:val="20"/>
        </w:rPr>
        <w:t>za jednotlivá čtvrtletí, které zpracovává a publikuje Č</w:t>
      </w:r>
      <w:r w:rsidR="006919C8" w:rsidRPr="00283AC5">
        <w:rPr>
          <w:rFonts w:cs="Arial"/>
          <w:szCs w:val="20"/>
        </w:rPr>
        <w:t>SSZ</w:t>
      </w:r>
      <w:r w:rsidRPr="00283AC5">
        <w:rPr>
          <w:rFonts w:cs="Arial"/>
          <w:szCs w:val="20"/>
        </w:rPr>
        <w:t>, viz </w:t>
      </w:r>
      <w:hyperlink r:id="rId14" w:history="1">
        <w:r w:rsidRPr="00283AC5">
          <w:rPr>
            <w:rStyle w:val="Hypertextovodkaz"/>
            <w:rFonts w:cs="Arial"/>
            <w:szCs w:val="20"/>
          </w:rPr>
          <w:t>https://www.cssz.cz/web/cz/nemocenska-statistika</w:t>
        </w:r>
      </w:hyperlink>
      <w:r w:rsidRPr="00283AC5">
        <w:rPr>
          <w:rFonts w:cs="Arial"/>
          <w:szCs w:val="20"/>
        </w:rPr>
        <w:t xml:space="preserve"> a roční údaje v různých tříděních zveřejňuje také Ústav zdravotnických informací a statistiky ČR (ÚZIS ČR)</w:t>
      </w:r>
      <w:r w:rsidR="00283AC5" w:rsidRPr="00283AC5">
        <w:rPr>
          <w:rFonts w:cs="Arial"/>
          <w:szCs w:val="20"/>
        </w:rPr>
        <w:t xml:space="preserve">, viz </w:t>
      </w:r>
      <w:hyperlink r:id="rId15" w:history="1">
        <w:r w:rsidR="00283AC5" w:rsidRPr="00283AC5">
          <w:rPr>
            <w:rStyle w:val="Hypertextovodkaz"/>
            <w:rFonts w:cs="Arial"/>
            <w:szCs w:val="20"/>
          </w:rPr>
          <w:t>https://www.uzis.cz/index.php?pg=vystupy--statistika-vybranych-ekonomickych-temat--</w:t>
        </w:r>
        <w:proofErr w:type="spellStart"/>
        <w:r w:rsidR="00283AC5" w:rsidRPr="00283AC5">
          <w:rPr>
            <w:rStyle w:val="Hypertextovodkaz"/>
            <w:rFonts w:cs="Arial"/>
            <w:szCs w:val="20"/>
          </w:rPr>
          <w:t>pracovni</w:t>
        </w:r>
        <w:proofErr w:type="spellEnd"/>
        <w:r w:rsidR="00283AC5" w:rsidRPr="00283AC5">
          <w:rPr>
            <w:rStyle w:val="Hypertextovodkaz"/>
            <w:rFonts w:cs="Arial"/>
            <w:szCs w:val="20"/>
          </w:rPr>
          <w:t>-neschopnost</w:t>
        </w:r>
      </w:hyperlink>
      <w:r w:rsidRPr="00283AC5">
        <w:rPr>
          <w:rFonts w:cs="Arial"/>
          <w:szCs w:val="20"/>
        </w:rPr>
        <w:t>.</w:t>
      </w:r>
    </w:p>
    <w:p w14:paraId="01E2705B" w14:textId="77777777" w:rsidR="00AF2E68" w:rsidRPr="00243FD4" w:rsidRDefault="00AF2E68" w:rsidP="00AF2E68">
      <w:pPr>
        <w:spacing w:after="120"/>
        <w:jc w:val="both"/>
      </w:pPr>
      <w:r w:rsidRPr="00243FD4">
        <w:t>Rozdíly v počtech nově hlášených a ukončených případů dočasné pracovní neschopnosti jsou dány odlišnou metodikou sběru dat.</w:t>
      </w:r>
    </w:p>
    <w:p w14:paraId="24E4A331" w14:textId="6EACFDA4" w:rsidR="00C16F34" w:rsidRPr="00433713" w:rsidRDefault="00AF2E68" w:rsidP="00433713">
      <w:pPr>
        <w:spacing w:after="120"/>
        <w:jc w:val="both"/>
        <w:rPr>
          <w:rFonts w:cs="Arial"/>
        </w:rPr>
      </w:pPr>
      <w:r w:rsidRPr="00243FD4">
        <w:t xml:space="preserve">ČSSZ však nabízí ve svých statistikách jiné třídění publikovaných dat než ČSÚ, a to </w:t>
      </w:r>
      <w:r w:rsidRPr="00243FD4">
        <w:rPr>
          <w:rFonts w:cs="Arial"/>
        </w:rPr>
        <w:t xml:space="preserve">zejména </w:t>
      </w:r>
      <w:r w:rsidRPr="00243FD4">
        <w:rPr>
          <w:rFonts w:cs="Arial"/>
          <w:b/>
        </w:rPr>
        <w:t xml:space="preserve">podle věku </w:t>
      </w:r>
      <w:r w:rsidRPr="00243FD4">
        <w:rPr>
          <w:rFonts w:cs="Arial"/>
        </w:rPr>
        <w:t xml:space="preserve">dočasně práce neschopných a </w:t>
      </w:r>
      <w:r w:rsidRPr="00243FD4">
        <w:rPr>
          <w:rFonts w:cs="Arial"/>
          <w:b/>
        </w:rPr>
        <w:t>podle diagnóz</w:t>
      </w:r>
      <w:r w:rsidRPr="00243FD4">
        <w:rPr>
          <w:rFonts w:cs="Arial"/>
        </w:rPr>
        <w:t>, které zapříčinily</w:t>
      </w:r>
      <w:r w:rsidRPr="00243FD4">
        <w:rPr>
          <w:rFonts w:cs="Arial"/>
          <w:b/>
        </w:rPr>
        <w:t xml:space="preserve"> </w:t>
      </w:r>
      <w:r w:rsidRPr="00243FD4">
        <w:rPr>
          <w:rFonts w:cs="Arial"/>
        </w:rPr>
        <w:t>pracovní neschopnost. Pro dokreslení pohledu na statistiku nemocnosti byla vybraná data z uvedeného zdr</w:t>
      </w:r>
      <w:r w:rsidR="00433713">
        <w:rPr>
          <w:rFonts w:cs="Arial"/>
        </w:rPr>
        <w:t>oje využita i v této publikaci.</w:t>
      </w:r>
      <w:r w:rsidR="00C16F34" w:rsidRPr="00166BEB">
        <w:rPr>
          <w:highlight w:val="yellow"/>
        </w:rPr>
        <w:br w:type="page"/>
      </w:r>
    </w:p>
    <w:p w14:paraId="725557DA" w14:textId="77777777" w:rsidR="00C16F34" w:rsidRPr="00C42FD6" w:rsidRDefault="00C16F34" w:rsidP="00C16F34">
      <w:pPr>
        <w:pStyle w:val="Nadpis2"/>
      </w:pPr>
      <w:bookmarkStart w:id="10" w:name="_Toc136412147"/>
      <w:r w:rsidRPr="00C42FD6">
        <w:lastRenderedPageBreak/>
        <w:t>4. Analytická část</w:t>
      </w:r>
      <w:bookmarkEnd w:id="10"/>
    </w:p>
    <w:p w14:paraId="4F184A38" w14:textId="77777777" w:rsidR="00C16F34" w:rsidRPr="008927A8" w:rsidRDefault="00C16F34" w:rsidP="00C16F34">
      <w:pPr>
        <w:pStyle w:val="Nadpis3"/>
      </w:pPr>
      <w:bookmarkStart w:id="11" w:name="_Toc136412148"/>
      <w:r w:rsidRPr="008927A8">
        <w:t xml:space="preserve">4.1 </w:t>
      </w:r>
      <w:proofErr w:type="spellStart"/>
      <w:r w:rsidRPr="008927A8">
        <w:t>Nemocensky</w:t>
      </w:r>
      <w:proofErr w:type="spellEnd"/>
      <w:r w:rsidRPr="008927A8">
        <w:t xml:space="preserve"> pojištěné osoby</w:t>
      </w:r>
      <w:bookmarkEnd w:id="11"/>
    </w:p>
    <w:p w14:paraId="71E42247" w14:textId="77777777" w:rsidR="00C16F34" w:rsidRPr="00DA421C" w:rsidRDefault="00C16F34" w:rsidP="00C16F34">
      <w:pPr>
        <w:spacing w:after="120"/>
        <w:jc w:val="both"/>
      </w:pPr>
      <w:r w:rsidRPr="00DA421C">
        <w:t xml:space="preserve">Základním ukazatelem, ke kterému se vztahují údaje o pracovní neschopnosti, je ukazatel průměrného počtu </w:t>
      </w:r>
      <w:proofErr w:type="spellStart"/>
      <w:r w:rsidRPr="00DA421C">
        <w:t>nemocensky</w:t>
      </w:r>
      <w:proofErr w:type="spellEnd"/>
      <w:r w:rsidRPr="00DA421C">
        <w:t xml:space="preserve"> pojištěných osob.</w:t>
      </w:r>
    </w:p>
    <w:p w14:paraId="5803F920" w14:textId="77777777" w:rsidR="00C16F34" w:rsidRPr="00DA421C" w:rsidRDefault="00C16F34" w:rsidP="00C16F34">
      <w:pPr>
        <w:pStyle w:val="Box1"/>
        <w:spacing w:before="120" w:after="120"/>
        <w:ind w:left="0"/>
        <w:contextualSpacing w:val="0"/>
        <w:jc w:val="both"/>
        <w:rPr>
          <w:i/>
        </w:rPr>
      </w:pPr>
      <w:r w:rsidRPr="00DA421C">
        <w:rPr>
          <w:b/>
          <w:i/>
        </w:rPr>
        <w:t xml:space="preserve">Průměrný počet </w:t>
      </w:r>
      <w:proofErr w:type="spellStart"/>
      <w:r w:rsidRPr="00DA421C">
        <w:rPr>
          <w:b/>
          <w:i/>
        </w:rPr>
        <w:t>nemocensky</w:t>
      </w:r>
      <w:proofErr w:type="spellEnd"/>
      <w:r w:rsidRPr="00DA421C">
        <w:rPr>
          <w:b/>
          <w:i/>
        </w:rPr>
        <w:t xml:space="preserve"> pojištěných osob </w:t>
      </w:r>
      <w:r w:rsidRPr="00DA421C">
        <w:rPr>
          <w:i/>
        </w:rPr>
        <w:t xml:space="preserve">– ukazatel udává průměrný počet osob, které jsou povinně či dobrovolně </w:t>
      </w:r>
      <w:proofErr w:type="spellStart"/>
      <w:r w:rsidRPr="00DA421C">
        <w:rPr>
          <w:i/>
        </w:rPr>
        <w:t>nemocensky</w:t>
      </w:r>
      <w:proofErr w:type="spellEnd"/>
      <w:r w:rsidRPr="00DA421C">
        <w:rPr>
          <w:i/>
        </w:rPr>
        <w:t xml:space="preserve"> pojištěné podle zákona č. 187/2006 Sb., o nemocenském pojištění, ve znění pozdějších předpisů. Zahrnuje všechny osoby, které byly alespoň po jeden den vykazovaného období </w:t>
      </w:r>
      <w:proofErr w:type="spellStart"/>
      <w:r w:rsidRPr="00DA421C">
        <w:rPr>
          <w:i/>
        </w:rPr>
        <w:t>nemocensky</w:t>
      </w:r>
      <w:proofErr w:type="spellEnd"/>
      <w:r w:rsidRPr="00DA421C">
        <w:rPr>
          <w:i/>
        </w:rPr>
        <w:t xml:space="preserve"> pojištěné. V případě více překrývajících se pojistných vztahů pojištěnce v rámci jednoho zaměstnavatele a jedné mzdové účtárny se započítává pojištěnec pouze jedenkrát. V ostatních případech je pojištěnec započítáván tolikrát, kolik má pracovněprávních pojistných vztahů. </w:t>
      </w:r>
    </w:p>
    <w:p w14:paraId="2B7919DE" w14:textId="77777777" w:rsidR="00C16F34" w:rsidRPr="00DA421C" w:rsidRDefault="00C16F34" w:rsidP="00C16F34">
      <w:pPr>
        <w:pStyle w:val="Box1"/>
        <w:ind w:left="0"/>
        <w:jc w:val="both"/>
        <w:rPr>
          <w:i/>
          <w:u w:val="single"/>
        </w:rPr>
      </w:pPr>
      <w:r w:rsidRPr="00DA421C">
        <w:rPr>
          <w:i/>
          <w:u w:val="single"/>
        </w:rPr>
        <w:t>Poznámka:</w:t>
      </w:r>
    </w:p>
    <w:p w14:paraId="5FE219EF" w14:textId="77777777" w:rsidR="00C16F34" w:rsidRPr="00DA421C" w:rsidRDefault="00C16F34" w:rsidP="00C16F34">
      <w:pPr>
        <w:pStyle w:val="Box1"/>
        <w:ind w:left="0"/>
        <w:jc w:val="both"/>
        <w:rPr>
          <w:i/>
        </w:rPr>
      </w:pPr>
      <w:r w:rsidRPr="00DA421C">
        <w:rPr>
          <w:i/>
        </w:rPr>
        <w:t xml:space="preserve">Do průměrného počtu </w:t>
      </w:r>
      <w:proofErr w:type="spellStart"/>
      <w:r w:rsidRPr="00DA421C">
        <w:rPr>
          <w:i/>
        </w:rPr>
        <w:t>nemocensky</w:t>
      </w:r>
      <w:proofErr w:type="spellEnd"/>
      <w:r w:rsidRPr="00DA421C">
        <w:rPr>
          <w:i/>
        </w:rPr>
        <w:t xml:space="preserve"> pojištěných nejsou započteni vojáci z povolání a příslušníci Policie ČR, Hasičského záchranného sboru ČR, Celní správy ČR, Vězeňské služby ČR, Generální inspekce bezpečnostních sborů, Bezpečnostní informační služby a Úřadu pro zahraniční styky a informace. </w:t>
      </w:r>
    </w:p>
    <w:p w14:paraId="0009E030" w14:textId="77777777" w:rsidR="00C16F34" w:rsidRPr="00DA421C" w:rsidRDefault="00C16F34" w:rsidP="00C16F34">
      <w:pPr>
        <w:pStyle w:val="Box1"/>
        <w:ind w:left="0"/>
        <w:jc w:val="both"/>
        <w:rPr>
          <w:i/>
          <w:u w:val="single"/>
        </w:rPr>
      </w:pPr>
      <w:r w:rsidRPr="00DA421C">
        <w:rPr>
          <w:i/>
          <w:u w:val="single"/>
        </w:rPr>
        <w:t>Způsob výpočtu:</w:t>
      </w:r>
    </w:p>
    <w:p w14:paraId="15EA364E" w14:textId="77777777" w:rsidR="00C16F34" w:rsidRPr="00DA421C" w:rsidRDefault="00C16F34" w:rsidP="00C16F34">
      <w:pPr>
        <w:pStyle w:val="Box1"/>
        <w:spacing w:before="120" w:after="120"/>
        <w:ind w:left="0"/>
        <w:contextualSpacing w:val="0"/>
        <w:jc w:val="both"/>
        <w:rPr>
          <w:i/>
        </w:rPr>
      </w:pPr>
      <w:r w:rsidRPr="00DA421C">
        <w:rPr>
          <w:i/>
        </w:rPr>
        <w:t xml:space="preserve">Průměrný počet </w:t>
      </w:r>
      <w:proofErr w:type="spellStart"/>
      <w:r w:rsidRPr="00DA421C">
        <w:rPr>
          <w:i/>
        </w:rPr>
        <w:t>nemocensky</w:t>
      </w:r>
      <w:proofErr w:type="spellEnd"/>
      <w:r w:rsidRPr="00DA421C">
        <w:rPr>
          <w:i/>
        </w:rPr>
        <w:t xml:space="preserve"> pojištěných osob = počet dnů nemocenského pojištění jednotlivých pojištěných osob ve vykazovaném období / počet kalendářních dnů ve vykazovaném období.</w:t>
      </w:r>
    </w:p>
    <w:p w14:paraId="09695846" w14:textId="44A3B629" w:rsidR="009D4AFA" w:rsidRDefault="00C16F34" w:rsidP="00C16F34">
      <w:pPr>
        <w:spacing w:after="120"/>
        <w:jc w:val="both"/>
        <w:rPr>
          <w:rFonts w:cs="Arial"/>
          <w:bCs/>
          <w:color w:val="000000"/>
          <w:szCs w:val="20"/>
        </w:rPr>
      </w:pPr>
      <w:r w:rsidRPr="009D4AFA">
        <w:rPr>
          <w:rFonts w:cs="Arial"/>
          <w:bCs/>
          <w:color w:val="000000"/>
          <w:szCs w:val="20"/>
        </w:rPr>
        <w:t>V roce 202</w:t>
      </w:r>
      <w:r w:rsidR="00DA421C" w:rsidRPr="009D4AFA">
        <w:rPr>
          <w:rFonts w:cs="Arial"/>
          <w:bCs/>
          <w:color w:val="000000"/>
          <w:szCs w:val="20"/>
        </w:rPr>
        <w:t>2</w:t>
      </w:r>
      <w:r w:rsidRPr="009D4AFA">
        <w:rPr>
          <w:rFonts w:cs="Arial"/>
          <w:bCs/>
          <w:color w:val="000000"/>
          <w:szCs w:val="20"/>
        </w:rPr>
        <w:t xml:space="preserve"> činil průměrný počet </w:t>
      </w:r>
      <w:proofErr w:type="spellStart"/>
      <w:r w:rsidRPr="009D4AFA">
        <w:rPr>
          <w:rFonts w:cs="Arial"/>
          <w:bCs/>
          <w:color w:val="000000"/>
          <w:szCs w:val="20"/>
        </w:rPr>
        <w:t>nemocensky</w:t>
      </w:r>
      <w:proofErr w:type="spellEnd"/>
      <w:r w:rsidRPr="009D4AFA">
        <w:rPr>
          <w:rFonts w:cs="Arial"/>
          <w:bCs/>
          <w:color w:val="000000"/>
          <w:szCs w:val="20"/>
        </w:rPr>
        <w:t xml:space="preserve"> pojištěných </w:t>
      </w:r>
      <w:r w:rsidRPr="009D4AFA">
        <w:rPr>
          <w:rFonts w:cs="Arial"/>
          <w:b/>
          <w:bCs/>
          <w:color w:val="000000"/>
          <w:szCs w:val="20"/>
        </w:rPr>
        <w:t>celkem</w:t>
      </w:r>
      <w:r w:rsidRPr="009D4AFA">
        <w:rPr>
          <w:rFonts w:cs="Arial"/>
          <w:bCs/>
          <w:color w:val="000000"/>
          <w:szCs w:val="20"/>
        </w:rPr>
        <w:t xml:space="preserve"> </w:t>
      </w:r>
      <w:r w:rsidRPr="009D4AFA">
        <w:rPr>
          <w:rFonts w:cs="Arial"/>
          <w:b/>
          <w:bCs/>
          <w:color w:val="000000"/>
          <w:szCs w:val="20"/>
        </w:rPr>
        <w:t>4 7</w:t>
      </w:r>
      <w:r w:rsidR="00DA421C" w:rsidRPr="009D4AFA">
        <w:rPr>
          <w:rFonts w:cs="Arial"/>
          <w:b/>
          <w:bCs/>
          <w:color w:val="000000"/>
          <w:szCs w:val="20"/>
        </w:rPr>
        <w:t>4</w:t>
      </w:r>
      <w:r w:rsidRPr="009D4AFA">
        <w:rPr>
          <w:rFonts w:cs="Arial"/>
          <w:b/>
          <w:bCs/>
          <w:color w:val="000000"/>
          <w:szCs w:val="20"/>
        </w:rPr>
        <w:t>8 tis. osob</w:t>
      </w:r>
      <w:r w:rsidRPr="009D4AFA">
        <w:rPr>
          <w:rFonts w:cs="Arial"/>
          <w:bCs/>
          <w:color w:val="000000"/>
          <w:szCs w:val="20"/>
        </w:rPr>
        <w:t>, tedy téměř o </w:t>
      </w:r>
      <w:r w:rsidR="00DA421C" w:rsidRPr="009D4AFA">
        <w:rPr>
          <w:rFonts w:cs="Arial"/>
          <w:bCs/>
          <w:color w:val="000000"/>
          <w:szCs w:val="20"/>
        </w:rPr>
        <w:t>40</w:t>
      </w:r>
      <w:r w:rsidRPr="009D4AFA">
        <w:rPr>
          <w:rFonts w:cs="Arial"/>
          <w:bCs/>
          <w:color w:val="000000"/>
          <w:szCs w:val="20"/>
        </w:rPr>
        <w:t> tis. (tj. o 0,</w:t>
      </w:r>
      <w:r w:rsidR="00DA421C" w:rsidRPr="009D4AFA">
        <w:rPr>
          <w:rFonts w:cs="Arial"/>
          <w:bCs/>
          <w:color w:val="000000"/>
          <w:szCs w:val="20"/>
        </w:rPr>
        <w:t>8</w:t>
      </w:r>
      <w:r w:rsidRPr="009D4AFA">
        <w:rPr>
          <w:rFonts w:cs="Arial"/>
          <w:bCs/>
          <w:color w:val="000000"/>
          <w:szCs w:val="20"/>
        </w:rPr>
        <w:t xml:space="preserve"> %) více než před rokem. Po poklesu v roce 2020, na kterém se zřejmě odrazilo propouštění v některých odvětvích kvůli epidemii nemoci </w:t>
      </w:r>
      <w:r w:rsidR="0004776E" w:rsidRPr="009D4AFA">
        <w:rPr>
          <w:rFonts w:cs="Arial"/>
          <w:bCs/>
          <w:color w:val="000000"/>
          <w:szCs w:val="20"/>
        </w:rPr>
        <w:t>c</w:t>
      </w:r>
      <w:r w:rsidRPr="009D4AFA">
        <w:rPr>
          <w:rFonts w:cs="Arial"/>
          <w:bCs/>
          <w:color w:val="000000"/>
          <w:szCs w:val="20"/>
        </w:rPr>
        <w:t xml:space="preserve">ovid-19, </w:t>
      </w:r>
      <w:r w:rsidR="00DA421C" w:rsidRPr="009D4AFA">
        <w:rPr>
          <w:rFonts w:cs="Arial"/>
          <w:bCs/>
          <w:color w:val="000000"/>
          <w:szCs w:val="20"/>
        </w:rPr>
        <w:t xml:space="preserve">už </w:t>
      </w:r>
      <w:r w:rsidRPr="009D4AFA">
        <w:rPr>
          <w:rFonts w:cs="Arial"/>
          <w:bCs/>
          <w:color w:val="000000"/>
          <w:szCs w:val="20"/>
        </w:rPr>
        <w:t xml:space="preserve">se počet </w:t>
      </w:r>
      <w:proofErr w:type="spellStart"/>
      <w:r w:rsidRPr="009D4AFA">
        <w:rPr>
          <w:rFonts w:cs="Arial"/>
          <w:bCs/>
          <w:color w:val="000000"/>
          <w:szCs w:val="20"/>
        </w:rPr>
        <w:t>nemocensky</w:t>
      </w:r>
      <w:proofErr w:type="spellEnd"/>
      <w:r w:rsidRPr="009D4AFA">
        <w:rPr>
          <w:rFonts w:cs="Arial"/>
          <w:bCs/>
          <w:color w:val="000000"/>
          <w:szCs w:val="20"/>
        </w:rPr>
        <w:t xml:space="preserve"> pojištěných vrátil na hodnoty z roku 2018 a 2019</w:t>
      </w:r>
      <w:r w:rsidR="00DA421C" w:rsidRPr="009D4AFA">
        <w:rPr>
          <w:rFonts w:cs="Arial"/>
          <w:bCs/>
          <w:color w:val="000000"/>
          <w:szCs w:val="20"/>
        </w:rPr>
        <w:t>, ba je dokonce překonal</w:t>
      </w:r>
      <w:r w:rsidRPr="009D4AFA">
        <w:rPr>
          <w:rFonts w:cs="Arial"/>
          <w:bCs/>
          <w:color w:val="000000"/>
          <w:szCs w:val="20"/>
        </w:rPr>
        <w:t xml:space="preserve">. </w:t>
      </w:r>
      <w:r w:rsidR="009D4AFA">
        <w:rPr>
          <w:rFonts w:cs="Arial"/>
          <w:bCs/>
          <w:color w:val="000000"/>
          <w:szCs w:val="20"/>
        </w:rPr>
        <w:t>Na meziročním nárůstu se mohou podílet i občané z Ukrajiny, kteří zejména během 1. pol. roku 2022 přicestovali do České republiky a při zaměstnání jim vznikla účast na nemocenském pojištění, tudíž jsou součástí českého systému nemocenského pojištění.</w:t>
      </w:r>
      <w:r w:rsidR="005D1FBB">
        <w:rPr>
          <w:rFonts w:cs="Arial"/>
          <w:bCs/>
          <w:color w:val="000000"/>
          <w:szCs w:val="20"/>
        </w:rPr>
        <w:t xml:space="preserve"> </w:t>
      </w:r>
    </w:p>
    <w:p w14:paraId="55320FE6" w14:textId="1393A860" w:rsidR="00C16F34" w:rsidRPr="00166BEB" w:rsidRDefault="009D4AFA" w:rsidP="00C16F34">
      <w:pPr>
        <w:spacing w:after="120"/>
        <w:jc w:val="both"/>
        <w:rPr>
          <w:rFonts w:cs="Arial"/>
          <w:bCs/>
          <w:color w:val="000000"/>
          <w:szCs w:val="20"/>
          <w:highlight w:val="yellow"/>
        </w:rPr>
      </w:pPr>
      <w:r w:rsidRPr="008A3B50">
        <w:rPr>
          <w:rFonts w:cs="Arial"/>
          <w:bCs/>
          <w:color w:val="000000"/>
          <w:szCs w:val="20"/>
        </w:rPr>
        <w:t>Vůbec poprvé v desetileté historii bylo mezi pojištěnci více žen (50,</w:t>
      </w:r>
      <w:r>
        <w:rPr>
          <w:rFonts w:cs="Arial"/>
          <w:bCs/>
          <w:color w:val="000000"/>
          <w:szCs w:val="20"/>
        </w:rPr>
        <w:t>3</w:t>
      </w:r>
      <w:r w:rsidRPr="008A3B50">
        <w:rPr>
          <w:rFonts w:cs="Arial"/>
          <w:bCs/>
          <w:color w:val="000000"/>
          <w:szCs w:val="20"/>
        </w:rPr>
        <w:t xml:space="preserve"> %) než mužů (49,</w:t>
      </w:r>
      <w:r>
        <w:rPr>
          <w:rFonts w:cs="Arial"/>
          <w:bCs/>
          <w:color w:val="000000"/>
          <w:szCs w:val="20"/>
        </w:rPr>
        <w:t>7</w:t>
      </w:r>
      <w:r w:rsidRPr="008A3B50">
        <w:rPr>
          <w:rFonts w:cs="Arial"/>
          <w:bCs/>
          <w:color w:val="000000"/>
          <w:szCs w:val="20"/>
        </w:rPr>
        <w:t xml:space="preserve"> %). V </w:t>
      </w:r>
      <w:r>
        <w:rPr>
          <w:rFonts w:cs="Arial"/>
          <w:bCs/>
          <w:color w:val="000000"/>
          <w:szCs w:val="20"/>
        </w:rPr>
        <w:t>roce</w:t>
      </w:r>
      <w:r w:rsidRPr="008A3B50">
        <w:rPr>
          <w:rFonts w:cs="Arial"/>
          <w:bCs/>
          <w:color w:val="000000"/>
          <w:szCs w:val="20"/>
        </w:rPr>
        <w:t xml:space="preserve"> 2022 bylo </w:t>
      </w:r>
      <w:proofErr w:type="spellStart"/>
      <w:r w:rsidRPr="008A3B50">
        <w:rPr>
          <w:rFonts w:cs="Arial"/>
          <w:bCs/>
          <w:color w:val="000000"/>
          <w:szCs w:val="20"/>
        </w:rPr>
        <w:t>nemocensky</w:t>
      </w:r>
      <w:proofErr w:type="spellEnd"/>
      <w:r w:rsidRPr="008A3B50">
        <w:rPr>
          <w:rFonts w:cs="Arial"/>
          <w:bCs/>
          <w:color w:val="000000"/>
          <w:szCs w:val="20"/>
        </w:rPr>
        <w:t xml:space="preserve"> pojištěných 2 3</w:t>
      </w:r>
      <w:r>
        <w:rPr>
          <w:rFonts w:cs="Arial"/>
          <w:bCs/>
          <w:color w:val="000000"/>
          <w:szCs w:val="20"/>
        </w:rPr>
        <w:t>89</w:t>
      </w:r>
      <w:r w:rsidRPr="008A3B50">
        <w:rPr>
          <w:rFonts w:cs="Arial"/>
          <w:bCs/>
          <w:color w:val="000000"/>
          <w:szCs w:val="20"/>
        </w:rPr>
        <w:t> tis. žen a 2 35</w:t>
      </w:r>
      <w:r>
        <w:rPr>
          <w:rFonts w:cs="Arial"/>
          <w:bCs/>
          <w:color w:val="000000"/>
          <w:szCs w:val="20"/>
        </w:rPr>
        <w:t>9</w:t>
      </w:r>
      <w:r w:rsidRPr="008A3B50">
        <w:rPr>
          <w:rFonts w:cs="Arial"/>
          <w:bCs/>
          <w:color w:val="000000"/>
          <w:szCs w:val="20"/>
        </w:rPr>
        <w:t xml:space="preserve"> tis. mužů. </w:t>
      </w:r>
      <w:r>
        <w:rPr>
          <w:rFonts w:cs="Arial"/>
          <w:bCs/>
          <w:color w:val="000000"/>
          <w:szCs w:val="20"/>
        </w:rPr>
        <w:t xml:space="preserve">To opět patrně souvisí s příchodem občanů, resp. převážně právě občanek – žen se svými potomky – z Ukrajiny. </w:t>
      </w:r>
      <w:r w:rsidR="005D1FBB" w:rsidRPr="000E5B48">
        <w:rPr>
          <w:rFonts w:cs="Arial"/>
          <w:bCs/>
          <w:color w:val="000000"/>
          <w:szCs w:val="20"/>
        </w:rPr>
        <w:t>V</w:t>
      </w:r>
      <w:r w:rsidR="005D1FBB" w:rsidRPr="000E5B48">
        <w:t xml:space="preserve">liv může mít i </w:t>
      </w:r>
      <w:r w:rsidR="002352F5" w:rsidRPr="000E5B48">
        <w:t xml:space="preserve">zvyšující se </w:t>
      </w:r>
      <w:r w:rsidR="005D1FBB" w:rsidRPr="000E5B48">
        <w:t>věk žen při odchodu do důchodu.</w:t>
      </w:r>
      <w:r w:rsidR="005D1FBB">
        <w:t xml:space="preserve"> </w:t>
      </w:r>
      <w:r>
        <w:rPr>
          <w:rFonts w:cs="Arial"/>
          <w:bCs/>
          <w:color w:val="000000"/>
          <w:szCs w:val="20"/>
        </w:rPr>
        <w:t>Meziročně vzrostl počet pojištěných mužů o</w:t>
      </w:r>
      <w:r w:rsidR="007D4852">
        <w:rPr>
          <w:rFonts w:cs="Arial"/>
          <w:bCs/>
          <w:color w:val="000000"/>
          <w:szCs w:val="20"/>
        </w:rPr>
        <w:t> </w:t>
      </w:r>
      <w:r>
        <w:rPr>
          <w:rFonts w:cs="Arial"/>
          <w:bCs/>
          <w:color w:val="000000"/>
          <w:szCs w:val="20"/>
        </w:rPr>
        <w:t>4</w:t>
      </w:r>
      <w:r w:rsidR="007D4852">
        <w:rPr>
          <w:rFonts w:cs="Arial"/>
          <w:bCs/>
          <w:color w:val="000000"/>
          <w:szCs w:val="20"/>
        </w:rPr>
        <w:t> </w:t>
      </w:r>
      <w:r>
        <w:rPr>
          <w:rFonts w:cs="Arial"/>
          <w:bCs/>
          <w:color w:val="000000"/>
          <w:szCs w:val="20"/>
        </w:rPr>
        <w:t>tis. (</w:t>
      </w:r>
      <w:r w:rsidRPr="008A3B50">
        <w:rPr>
          <w:rFonts w:cs="Arial"/>
          <w:bCs/>
          <w:color w:val="000000"/>
          <w:szCs w:val="20"/>
        </w:rPr>
        <w:t>v relativním vyjádření o 0,</w:t>
      </w:r>
      <w:r>
        <w:rPr>
          <w:rFonts w:cs="Arial"/>
          <w:bCs/>
          <w:color w:val="000000"/>
          <w:szCs w:val="20"/>
        </w:rPr>
        <w:t>2</w:t>
      </w:r>
      <w:r w:rsidRPr="008A3B50">
        <w:rPr>
          <w:rFonts w:cs="Arial"/>
          <w:bCs/>
          <w:color w:val="000000"/>
          <w:szCs w:val="20"/>
        </w:rPr>
        <w:t xml:space="preserve"> %</w:t>
      </w:r>
      <w:r>
        <w:rPr>
          <w:rFonts w:cs="Arial"/>
          <w:bCs/>
          <w:color w:val="000000"/>
          <w:szCs w:val="20"/>
        </w:rPr>
        <w:t xml:space="preserve">), zatímco počet žen se zvýšil o 35 tis. (1,5 %). </w:t>
      </w:r>
    </w:p>
    <w:tbl>
      <w:tblPr>
        <w:tblW w:w="9675" w:type="dxa"/>
        <w:tblCellMar>
          <w:left w:w="70" w:type="dxa"/>
          <w:right w:w="70" w:type="dxa"/>
        </w:tblCellMar>
        <w:tblLook w:val="04A0" w:firstRow="1" w:lastRow="0" w:firstColumn="1" w:lastColumn="0" w:noHBand="0" w:noVBand="1"/>
      </w:tblPr>
      <w:tblGrid>
        <w:gridCol w:w="947"/>
        <w:gridCol w:w="947"/>
        <w:gridCol w:w="947"/>
        <w:gridCol w:w="948"/>
        <w:gridCol w:w="1056"/>
        <w:gridCol w:w="947"/>
        <w:gridCol w:w="938"/>
        <w:gridCol w:w="952"/>
        <w:gridCol w:w="1046"/>
        <w:gridCol w:w="947"/>
      </w:tblGrid>
      <w:tr w:rsidR="00760863" w:rsidRPr="00DA421C" w14:paraId="2A88E11B" w14:textId="77777777" w:rsidTr="00BC2532">
        <w:trPr>
          <w:trHeight w:val="298"/>
        </w:trPr>
        <w:tc>
          <w:tcPr>
            <w:tcW w:w="7682" w:type="dxa"/>
            <w:gridSpan w:val="8"/>
            <w:tcBorders>
              <w:top w:val="nil"/>
              <w:left w:val="nil"/>
              <w:bottom w:val="single" w:sz="4" w:space="0" w:color="auto"/>
              <w:right w:val="nil"/>
            </w:tcBorders>
            <w:shd w:val="clear" w:color="auto" w:fill="auto"/>
            <w:noWrap/>
            <w:vAlign w:val="center"/>
            <w:hideMark/>
          </w:tcPr>
          <w:p w14:paraId="7C98CF93" w14:textId="4E28C2C6" w:rsidR="00760863" w:rsidRPr="00DA421C" w:rsidRDefault="00760863" w:rsidP="00DA421C">
            <w:pPr>
              <w:spacing w:after="0" w:line="240" w:lineRule="auto"/>
              <w:rPr>
                <w:rFonts w:cs="Arial"/>
                <w:b/>
                <w:bCs/>
                <w:szCs w:val="20"/>
              </w:rPr>
            </w:pPr>
            <w:r w:rsidRPr="00DA421C">
              <w:rPr>
                <w:rFonts w:cs="Arial"/>
                <w:b/>
                <w:bCs/>
                <w:szCs w:val="20"/>
              </w:rPr>
              <w:t xml:space="preserve">Tab. 1.1: Průměrný počet </w:t>
            </w:r>
            <w:proofErr w:type="spellStart"/>
            <w:r w:rsidRPr="00DA421C">
              <w:rPr>
                <w:rFonts w:cs="Arial"/>
                <w:b/>
                <w:bCs/>
                <w:szCs w:val="20"/>
              </w:rPr>
              <w:t>nemocensky</w:t>
            </w:r>
            <w:proofErr w:type="spellEnd"/>
            <w:r w:rsidRPr="00DA421C">
              <w:rPr>
                <w:rFonts w:cs="Arial"/>
                <w:b/>
                <w:bCs/>
                <w:szCs w:val="20"/>
              </w:rPr>
              <w:t xml:space="preserve"> pojištěných osob, 201</w:t>
            </w:r>
            <w:r w:rsidR="00DA421C" w:rsidRPr="00DA421C">
              <w:rPr>
                <w:rFonts w:cs="Arial"/>
                <w:b/>
                <w:bCs/>
                <w:szCs w:val="20"/>
              </w:rPr>
              <w:t>2</w:t>
            </w:r>
            <w:r w:rsidRPr="00DA421C">
              <w:rPr>
                <w:rFonts w:cs="Arial"/>
                <w:b/>
                <w:bCs/>
                <w:szCs w:val="20"/>
              </w:rPr>
              <w:t>–202</w:t>
            </w:r>
            <w:r w:rsidR="00DA421C" w:rsidRPr="00DA421C">
              <w:rPr>
                <w:rFonts w:cs="Arial"/>
                <w:b/>
                <w:bCs/>
                <w:szCs w:val="20"/>
              </w:rPr>
              <w:t>2</w:t>
            </w:r>
            <w:r w:rsidRPr="00DA421C">
              <w:rPr>
                <w:rFonts w:cs="Arial"/>
                <w:b/>
                <w:bCs/>
                <w:szCs w:val="20"/>
              </w:rPr>
              <w:t xml:space="preserve"> (v tis.)</w:t>
            </w:r>
          </w:p>
        </w:tc>
        <w:tc>
          <w:tcPr>
            <w:tcW w:w="1046" w:type="dxa"/>
            <w:tcBorders>
              <w:top w:val="nil"/>
              <w:left w:val="nil"/>
              <w:bottom w:val="single" w:sz="4" w:space="0" w:color="auto"/>
              <w:right w:val="nil"/>
            </w:tcBorders>
            <w:shd w:val="clear" w:color="auto" w:fill="auto"/>
            <w:noWrap/>
            <w:vAlign w:val="bottom"/>
            <w:hideMark/>
          </w:tcPr>
          <w:p w14:paraId="0D602D0C" w14:textId="77777777" w:rsidR="00760863" w:rsidRPr="00DA421C" w:rsidRDefault="00760863" w:rsidP="00760863">
            <w:pPr>
              <w:spacing w:after="0" w:line="240" w:lineRule="auto"/>
              <w:rPr>
                <w:rFonts w:cs="Arial"/>
                <w:b/>
                <w:bCs/>
                <w:szCs w:val="20"/>
              </w:rPr>
            </w:pPr>
          </w:p>
        </w:tc>
        <w:tc>
          <w:tcPr>
            <w:tcW w:w="947" w:type="dxa"/>
            <w:tcBorders>
              <w:top w:val="nil"/>
              <w:left w:val="nil"/>
              <w:bottom w:val="single" w:sz="4" w:space="0" w:color="auto"/>
              <w:right w:val="nil"/>
            </w:tcBorders>
            <w:shd w:val="clear" w:color="auto" w:fill="auto"/>
            <w:noWrap/>
            <w:vAlign w:val="bottom"/>
            <w:hideMark/>
          </w:tcPr>
          <w:p w14:paraId="3DACD58A" w14:textId="77777777" w:rsidR="00760863" w:rsidRPr="00DA421C" w:rsidRDefault="00760863" w:rsidP="00760863">
            <w:pPr>
              <w:spacing w:after="0" w:line="240" w:lineRule="auto"/>
              <w:rPr>
                <w:rFonts w:ascii="Times New Roman" w:hAnsi="Times New Roman"/>
                <w:szCs w:val="20"/>
              </w:rPr>
            </w:pPr>
          </w:p>
        </w:tc>
      </w:tr>
      <w:tr w:rsidR="00BC2532" w:rsidRPr="00DA421C" w14:paraId="60C6C0A7" w14:textId="77777777" w:rsidTr="00DA421C">
        <w:trPr>
          <w:trHeight w:val="312"/>
        </w:trPr>
        <w:tc>
          <w:tcPr>
            <w:tcW w:w="947" w:type="dxa"/>
            <w:vMerge w:val="restart"/>
            <w:tcBorders>
              <w:top w:val="nil"/>
              <w:left w:val="nil"/>
              <w:bottom w:val="single" w:sz="4" w:space="0" w:color="000000"/>
              <w:right w:val="single" w:sz="4" w:space="0" w:color="auto"/>
            </w:tcBorders>
            <w:shd w:val="clear" w:color="000000" w:fill="F5DADD"/>
            <w:vAlign w:val="center"/>
            <w:hideMark/>
          </w:tcPr>
          <w:p w14:paraId="603097B5"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Rok</w:t>
            </w:r>
          </w:p>
        </w:tc>
        <w:tc>
          <w:tcPr>
            <w:tcW w:w="947" w:type="dxa"/>
            <w:vMerge w:val="restart"/>
            <w:tcBorders>
              <w:top w:val="nil"/>
              <w:left w:val="nil"/>
              <w:bottom w:val="single" w:sz="4" w:space="0" w:color="000000"/>
              <w:right w:val="nil"/>
            </w:tcBorders>
            <w:shd w:val="clear" w:color="000000" w:fill="F2DBDB"/>
            <w:vAlign w:val="center"/>
            <w:hideMark/>
          </w:tcPr>
          <w:p w14:paraId="4338DEDC" w14:textId="77777777" w:rsidR="00760863" w:rsidRPr="00DA421C" w:rsidRDefault="00760863" w:rsidP="00760863">
            <w:pPr>
              <w:spacing w:after="0" w:line="240" w:lineRule="auto"/>
              <w:jc w:val="center"/>
              <w:rPr>
                <w:rFonts w:cs="Arial"/>
                <w:b/>
                <w:bCs/>
                <w:color w:val="000000"/>
                <w:sz w:val="16"/>
                <w:szCs w:val="16"/>
              </w:rPr>
            </w:pPr>
            <w:r w:rsidRPr="00DA421C">
              <w:rPr>
                <w:rFonts w:cs="Arial"/>
                <w:b/>
                <w:bCs/>
                <w:color w:val="000000"/>
                <w:sz w:val="16"/>
                <w:szCs w:val="16"/>
              </w:rPr>
              <w:t>Celkem</w:t>
            </w:r>
          </w:p>
        </w:tc>
        <w:tc>
          <w:tcPr>
            <w:tcW w:w="1895"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77CA6B2B"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podle pohlaví</w:t>
            </w:r>
          </w:p>
        </w:tc>
        <w:tc>
          <w:tcPr>
            <w:tcW w:w="1056" w:type="dxa"/>
            <w:vMerge w:val="restart"/>
            <w:tcBorders>
              <w:top w:val="nil"/>
              <w:left w:val="nil"/>
              <w:bottom w:val="single" w:sz="4" w:space="0" w:color="000000"/>
              <w:right w:val="nil"/>
            </w:tcBorders>
            <w:shd w:val="clear" w:color="000000" w:fill="F2DBDB"/>
            <w:vAlign w:val="center"/>
            <w:hideMark/>
          </w:tcPr>
          <w:p w14:paraId="2B7E5B3D"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Zaměstnanci</w:t>
            </w:r>
          </w:p>
        </w:tc>
        <w:tc>
          <w:tcPr>
            <w:tcW w:w="1885"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297F0E80"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podle pohlaví</w:t>
            </w:r>
          </w:p>
        </w:tc>
        <w:tc>
          <w:tcPr>
            <w:tcW w:w="952" w:type="dxa"/>
            <w:vMerge w:val="restart"/>
            <w:tcBorders>
              <w:top w:val="nil"/>
              <w:left w:val="nil"/>
              <w:bottom w:val="single" w:sz="4" w:space="0" w:color="000000"/>
              <w:right w:val="nil"/>
            </w:tcBorders>
            <w:shd w:val="clear" w:color="000000" w:fill="F2DBDB"/>
            <w:vAlign w:val="center"/>
            <w:hideMark/>
          </w:tcPr>
          <w:p w14:paraId="0A5C0817"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OSVČ</w:t>
            </w:r>
          </w:p>
        </w:tc>
        <w:tc>
          <w:tcPr>
            <w:tcW w:w="1993" w:type="dxa"/>
            <w:gridSpan w:val="2"/>
            <w:tcBorders>
              <w:top w:val="single" w:sz="4" w:space="0" w:color="auto"/>
              <w:left w:val="single" w:sz="4" w:space="0" w:color="auto"/>
              <w:bottom w:val="single" w:sz="4" w:space="0" w:color="auto"/>
            </w:tcBorders>
            <w:shd w:val="clear" w:color="000000" w:fill="F2DBDB"/>
            <w:vAlign w:val="center"/>
            <w:hideMark/>
          </w:tcPr>
          <w:p w14:paraId="07AF07B1"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podle pohlaví</w:t>
            </w:r>
          </w:p>
        </w:tc>
      </w:tr>
      <w:tr w:rsidR="00BC2532" w:rsidRPr="00DA421C" w14:paraId="7C93B0DD" w14:textId="77777777" w:rsidTr="00DA421C">
        <w:trPr>
          <w:trHeight w:val="298"/>
        </w:trPr>
        <w:tc>
          <w:tcPr>
            <w:tcW w:w="947" w:type="dxa"/>
            <w:vMerge/>
            <w:tcBorders>
              <w:top w:val="nil"/>
              <w:left w:val="nil"/>
              <w:bottom w:val="single" w:sz="4" w:space="0" w:color="000000"/>
              <w:right w:val="single" w:sz="4" w:space="0" w:color="auto"/>
            </w:tcBorders>
            <w:vAlign w:val="center"/>
            <w:hideMark/>
          </w:tcPr>
          <w:p w14:paraId="43D9BF14" w14:textId="77777777" w:rsidR="00760863" w:rsidRPr="00DA421C" w:rsidRDefault="00760863" w:rsidP="00760863">
            <w:pPr>
              <w:spacing w:after="0" w:line="240" w:lineRule="auto"/>
              <w:rPr>
                <w:rFonts w:cs="Arial"/>
                <w:color w:val="000000"/>
                <w:sz w:val="16"/>
                <w:szCs w:val="16"/>
              </w:rPr>
            </w:pPr>
          </w:p>
        </w:tc>
        <w:tc>
          <w:tcPr>
            <w:tcW w:w="947" w:type="dxa"/>
            <w:vMerge/>
            <w:tcBorders>
              <w:top w:val="nil"/>
              <w:left w:val="nil"/>
              <w:bottom w:val="single" w:sz="4" w:space="0" w:color="000000"/>
              <w:right w:val="nil"/>
            </w:tcBorders>
            <w:vAlign w:val="center"/>
            <w:hideMark/>
          </w:tcPr>
          <w:p w14:paraId="13843823" w14:textId="77777777" w:rsidR="00760863" w:rsidRPr="00DA421C" w:rsidRDefault="00760863" w:rsidP="00760863">
            <w:pPr>
              <w:spacing w:after="0" w:line="240" w:lineRule="auto"/>
              <w:rPr>
                <w:rFonts w:cs="Arial"/>
                <w:b/>
                <w:bCs/>
                <w:color w:val="000000"/>
                <w:sz w:val="16"/>
                <w:szCs w:val="16"/>
              </w:rPr>
            </w:pPr>
          </w:p>
        </w:tc>
        <w:tc>
          <w:tcPr>
            <w:tcW w:w="947" w:type="dxa"/>
            <w:tcBorders>
              <w:top w:val="nil"/>
              <w:left w:val="single" w:sz="4" w:space="0" w:color="auto"/>
              <w:bottom w:val="single" w:sz="4" w:space="0" w:color="auto"/>
              <w:right w:val="single" w:sz="4" w:space="0" w:color="auto"/>
            </w:tcBorders>
            <w:shd w:val="clear" w:color="000000" w:fill="F2DBDB"/>
            <w:vAlign w:val="center"/>
            <w:hideMark/>
          </w:tcPr>
          <w:p w14:paraId="526A5055"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muži</w:t>
            </w:r>
          </w:p>
        </w:tc>
        <w:tc>
          <w:tcPr>
            <w:tcW w:w="948" w:type="dxa"/>
            <w:tcBorders>
              <w:top w:val="nil"/>
              <w:left w:val="nil"/>
              <w:bottom w:val="single" w:sz="4" w:space="0" w:color="auto"/>
              <w:right w:val="single" w:sz="4" w:space="0" w:color="auto"/>
            </w:tcBorders>
            <w:shd w:val="clear" w:color="000000" w:fill="F2DBDB"/>
            <w:vAlign w:val="center"/>
            <w:hideMark/>
          </w:tcPr>
          <w:p w14:paraId="5398C0DE"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ženy</w:t>
            </w:r>
          </w:p>
        </w:tc>
        <w:tc>
          <w:tcPr>
            <w:tcW w:w="1056" w:type="dxa"/>
            <w:vMerge/>
            <w:tcBorders>
              <w:top w:val="nil"/>
              <w:left w:val="nil"/>
              <w:bottom w:val="single" w:sz="4" w:space="0" w:color="000000"/>
              <w:right w:val="nil"/>
            </w:tcBorders>
            <w:vAlign w:val="center"/>
            <w:hideMark/>
          </w:tcPr>
          <w:p w14:paraId="262BE562" w14:textId="77777777" w:rsidR="00760863" w:rsidRPr="00DA421C" w:rsidRDefault="00760863" w:rsidP="00760863">
            <w:pPr>
              <w:spacing w:after="0" w:line="240" w:lineRule="auto"/>
              <w:rPr>
                <w:rFonts w:cs="Arial"/>
                <w:color w:val="000000"/>
                <w:sz w:val="16"/>
                <w:szCs w:val="16"/>
              </w:rPr>
            </w:pPr>
          </w:p>
        </w:tc>
        <w:tc>
          <w:tcPr>
            <w:tcW w:w="947" w:type="dxa"/>
            <w:tcBorders>
              <w:top w:val="nil"/>
              <w:left w:val="single" w:sz="4" w:space="0" w:color="auto"/>
              <w:bottom w:val="single" w:sz="4" w:space="0" w:color="auto"/>
              <w:right w:val="single" w:sz="4" w:space="0" w:color="auto"/>
            </w:tcBorders>
            <w:shd w:val="clear" w:color="000000" w:fill="F2DBDB"/>
            <w:vAlign w:val="center"/>
            <w:hideMark/>
          </w:tcPr>
          <w:p w14:paraId="7D0BA72E"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muži</w:t>
            </w:r>
          </w:p>
        </w:tc>
        <w:tc>
          <w:tcPr>
            <w:tcW w:w="938" w:type="dxa"/>
            <w:tcBorders>
              <w:top w:val="nil"/>
              <w:left w:val="nil"/>
              <w:bottom w:val="single" w:sz="4" w:space="0" w:color="auto"/>
              <w:right w:val="single" w:sz="4" w:space="0" w:color="auto"/>
            </w:tcBorders>
            <w:shd w:val="clear" w:color="000000" w:fill="F2DBDB"/>
            <w:vAlign w:val="center"/>
            <w:hideMark/>
          </w:tcPr>
          <w:p w14:paraId="431993F6"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ženy</w:t>
            </w:r>
          </w:p>
        </w:tc>
        <w:tc>
          <w:tcPr>
            <w:tcW w:w="952" w:type="dxa"/>
            <w:vMerge/>
            <w:tcBorders>
              <w:top w:val="nil"/>
              <w:left w:val="nil"/>
              <w:bottom w:val="single" w:sz="4" w:space="0" w:color="000000"/>
              <w:right w:val="nil"/>
            </w:tcBorders>
            <w:vAlign w:val="center"/>
            <w:hideMark/>
          </w:tcPr>
          <w:p w14:paraId="474E0EC5" w14:textId="77777777" w:rsidR="00760863" w:rsidRPr="00DA421C" w:rsidRDefault="00760863" w:rsidP="00760863">
            <w:pPr>
              <w:spacing w:after="0" w:line="240" w:lineRule="auto"/>
              <w:rPr>
                <w:rFonts w:cs="Arial"/>
                <w:color w:val="000000"/>
                <w:sz w:val="16"/>
                <w:szCs w:val="16"/>
              </w:rPr>
            </w:pPr>
          </w:p>
        </w:tc>
        <w:tc>
          <w:tcPr>
            <w:tcW w:w="1046" w:type="dxa"/>
            <w:tcBorders>
              <w:top w:val="nil"/>
              <w:left w:val="single" w:sz="4" w:space="0" w:color="auto"/>
              <w:bottom w:val="single" w:sz="4" w:space="0" w:color="auto"/>
              <w:right w:val="single" w:sz="4" w:space="0" w:color="auto"/>
            </w:tcBorders>
            <w:shd w:val="clear" w:color="000000" w:fill="F2DBDB"/>
            <w:vAlign w:val="center"/>
            <w:hideMark/>
          </w:tcPr>
          <w:p w14:paraId="18998392"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muži</w:t>
            </w:r>
          </w:p>
        </w:tc>
        <w:tc>
          <w:tcPr>
            <w:tcW w:w="947" w:type="dxa"/>
            <w:tcBorders>
              <w:top w:val="nil"/>
              <w:left w:val="nil"/>
              <w:bottom w:val="single" w:sz="4" w:space="0" w:color="auto"/>
              <w:right w:val="nil"/>
            </w:tcBorders>
            <w:shd w:val="clear" w:color="000000" w:fill="F2DBDB"/>
            <w:vAlign w:val="center"/>
            <w:hideMark/>
          </w:tcPr>
          <w:p w14:paraId="54593002"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ženy</w:t>
            </w:r>
          </w:p>
        </w:tc>
      </w:tr>
      <w:tr w:rsidR="00760863" w:rsidRPr="00DA421C" w14:paraId="0AC0FFB3" w14:textId="77777777" w:rsidTr="00DA421C">
        <w:trPr>
          <w:trHeight w:val="298"/>
        </w:trPr>
        <w:tc>
          <w:tcPr>
            <w:tcW w:w="947" w:type="dxa"/>
            <w:tcBorders>
              <w:top w:val="nil"/>
              <w:left w:val="nil"/>
              <w:bottom w:val="nil"/>
              <w:right w:val="nil"/>
            </w:tcBorders>
            <w:shd w:val="clear" w:color="auto" w:fill="auto"/>
            <w:vAlign w:val="center"/>
            <w:hideMark/>
          </w:tcPr>
          <w:p w14:paraId="55CC5442"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2012</w:t>
            </w:r>
          </w:p>
        </w:tc>
        <w:tc>
          <w:tcPr>
            <w:tcW w:w="947" w:type="dxa"/>
            <w:tcBorders>
              <w:top w:val="nil"/>
              <w:left w:val="single" w:sz="4" w:space="0" w:color="auto"/>
              <w:bottom w:val="nil"/>
              <w:right w:val="nil"/>
            </w:tcBorders>
            <w:shd w:val="clear" w:color="auto" w:fill="auto"/>
            <w:vAlign w:val="center"/>
            <w:hideMark/>
          </w:tcPr>
          <w:p w14:paraId="1AC9573F"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4 471,9</w:t>
            </w:r>
          </w:p>
        </w:tc>
        <w:tc>
          <w:tcPr>
            <w:tcW w:w="947" w:type="dxa"/>
            <w:tcBorders>
              <w:top w:val="nil"/>
              <w:left w:val="nil"/>
              <w:bottom w:val="nil"/>
              <w:right w:val="nil"/>
            </w:tcBorders>
            <w:shd w:val="clear" w:color="auto" w:fill="auto"/>
            <w:vAlign w:val="center"/>
            <w:hideMark/>
          </w:tcPr>
          <w:p w14:paraId="3924DB9C"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2 281,4</w:t>
            </w:r>
          </w:p>
        </w:tc>
        <w:tc>
          <w:tcPr>
            <w:tcW w:w="948" w:type="dxa"/>
            <w:tcBorders>
              <w:top w:val="nil"/>
              <w:left w:val="nil"/>
              <w:bottom w:val="nil"/>
              <w:right w:val="single" w:sz="4" w:space="0" w:color="auto"/>
            </w:tcBorders>
            <w:shd w:val="clear" w:color="auto" w:fill="auto"/>
            <w:vAlign w:val="center"/>
            <w:hideMark/>
          </w:tcPr>
          <w:p w14:paraId="5609D3B3"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2 190,5</w:t>
            </w:r>
          </w:p>
        </w:tc>
        <w:tc>
          <w:tcPr>
            <w:tcW w:w="1056" w:type="dxa"/>
            <w:tcBorders>
              <w:top w:val="nil"/>
              <w:left w:val="nil"/>
              <w:bottom w:val="nil"/>
              <w:right w:val="nil"/>
            </w:tcBorders>
            <w:shd w:val="clear" w:color="auto" w:fill="auto"/>
            <w:vAlign w:val="center"/>
            <w:hideMark/>
          </w:tcPr>
          <w:p w14:paraId="520B66AC"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4 366,2</w:t>
            </w:r>
          </w:p>
        </w:tc>
        <w:tc>
          <w:tcPr>
            <w:tcW w:w="947" w:type="dxa"/>
            <w:tcBorders>
              <w:top w:val="nil"/>
              <w:left w:val="nil"/>
              <w:bottom w:val="nil"/>
              <w:right w:val="nil"/>
            </w:tcBorders>
            <w:shd w:val="clear" w:color="auto" w:fill="auto"/>
            <w:vAlign w:val="center"/>
            <w:hideMark/>
          </w:tcPr>
          <w:p w14:paraId="1A6EBCDD"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2 216,3</w:t>
            </w:r>
          </w:p>
        </w:tc>
        <w:tc>
          <w:tcPr>
            <w:tcW w:w="938" w:type="dxa"/>
            <w:tcBorders>
              <w:top w:val="nil"/>
              <w:left w:val="nil"/>
              <w:bottom w:val="nil"/>
              <w:right w:val="single" w:sz="4" w:space="0" w:color="auto"/>
            </w:tcBorders>
            <w:shd w:val="clear" w:color="auto" w:fill="auto"/>
            <w:vAlign w:val="center"/>
            <w:hideMark/>
          </w:tcPr>
          <w:p w14:paraId="25501EBD"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2 149,9</w:t>
            </w:r>
          </w:p>
        </w:tc>
        <w:tc>
          <w:tcPr>
            <w:tcW w:w="952" w:type="dxa"/>
            <w:tcBorders>
              <w:top w:val="nil"/>
              <w:left w:val="nil"/>
              <w:bottom w:val="nil"/>
              <w:right w:val="nil"/>
            </w:tcBorders>
            <w:shd w:val="clear" w:color="auto" w:fill="auto"/>
            <w:vAlign w:val="center"/>
            <w:hideMark/>
          </w:tcPr>
          <w:p w14:paraId="0DB7F1D5"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105,7</w:t>
            </w:r>
          </w:p>
        </w:tc>
        <w:tc>
          <w:tcPr>
            <w:tcW w:w="1046" w:type="dxa"/>
            <w:tcBorders>
              <w:top w:val="nil"/>
              <w:left w:val="nil"/>
              <w:bottom w:val="nil"/>
              <w:right w:val="nil"/>
            </w:tcBorders>
            <w:shd w:val="clear" w:color="auto" w:fill="auto"/>
            <w:vAlign w:val="center"/>
            <w:hideMark/>
          </w:tcPr>
          <w:p w14:paraId="64C5428E"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65,1</w:t>
            </w:r>
          </w:p>
        </w:tc>
        <w:tc>
          <w:tcPr>
            <w:tcW w:w="947" w:type="dxa"/>
            <w:tcBorders>
              <w:top w:val="nil"/>
              <w:left w:val="nil"/>
              <w:bottom w:val="nil"/>
              <w:right w:val="nil"/>
            </w:tcBorders>
            <w:shd w:val="clear" w:color="auto" w:fill="auto"/>
            <w:vAlign w:val="center"/>
            <w:hideMark/>
          </w:tcPr>
          <w:p w14:paraId="7E973B0B"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40,6</w:t>
            </w:r>
          </w:p>
        </w:tc>
      </w:tr>
      <w:tr w:rsidR="00760863" w:rsidRPr="00DA421C" w14:paraId="5D950228" w14:textId="77777777" w:rsidTr="00DA421C">
        <w:trPr>
          <w:trHeight w:val="298"/>
        </w:trPr>
        <w:tc>
          <w:tcPr>
            <w:tcW w:w="947" w:type="dxa"/>
            <w:tcBorders>
              <w:top w:val="nil"/>
              <w:left w:val="nil"/>
              <w:bottom w:val="nil"/>
              <w:right w:val="nil"/>
            </w:tcBorders>
            <w:shd w:val="clear" w:color="auto" w:fill="auto"/>
            <w:vAlign w:val="center"/>
            <w:hideMark/>
          </w:tcPr>
          <w:p w14:paraId="291E1C51"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2013</w:t>
            </w:r>
          </w:p>
        </w:tc>
        <w:tc>
          <w:tcPr>
            <w:tcW w:w="947" w:type="dxa"/>
            <w:tcBorders>
              <w:top w:val="nil"/>
              <w:left w:val="single" w:sz="4" w:space="0" w:color="auto"/>
              <w:bottom w:val="nil"/>
              <w:right w:val="nil"/>
            </w:tcBorders>
            <w:shd w:val="clear" w:color="auto" w:fill="auto"/>
            <w:vAlign w:val="center"/>
            <w:hideMark/>
          </w:tcPr>
          <w:p w14:paraId="0331224D"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4 440,3</w:t>
            </w:r>
          </w:p>
        </w:tc>
        <w:tc>
          <w:tcPr>
            <w:tcW w:w="947" w:type="dxa"/>
            <w:tcBorders>
              <w:top w:val="nil"/>
              <w:left w:val="nil"/>
              <w:bottom w:val="nil"/>
              <w:right w:val="nil"/>
            </w:tcBorders>
            <w:shd w:val="clear" w:color="auto" w:fill="auto"/>
            <w:vAlign w:val="center"/>
            <w:hideMark/>
          </w:tcPr>
          <w:p w14:paraId="0EFD936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2 260,7</w:t>
            </w:r>
          </w:p>
        </w:tc>
        <w:tc>
          <w:tcPr>
            <w:tcW w:w="948" w:type="dxa"/>
            <w:tcBorders>
              <w:top w:val="nil"/>
              <w:left w:val="nil"/>
              <w:bottom w:val="nil"/>
              <w:right w:val="single" w:sz="4" w:space="0" w:color="auto"/>
            </w:tcBorders>
            <w:shd w:val="clear" w:color="auto" w:fill="auto"/>
            <w:vAlign w:val="center"/>
            <w:hideMark/>
          </w:tcPr>
          <w:p w14:paraId="310CAF70"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2 179,6</w:t>
            </w:r>
          </w:p>
        </w:tc>
        <w:tc>
          <w:tcPr>
            <w:tcW w:w="1056" w:type="dxa"/>
            <w:tcBorders>
              <w:top w:val="nil"/>
              <w:left w:val="nil"/>
              <w:bottom w:val="nil"/>
              <w:right w:val="nil"/>
            </w:tcBorders>
            <w:shd w:val="clear" w:color="auto" w:fill="auto"/>
            <w:vAlign w:val="center"/>
            <w:hideMark/>
          </w:tcPr>
          <w:p w14:paraId="4EB31E13"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4 331,2</w:t>
            </w:r>
          </w:p>
        </w:tc>
        <w:tc>
          <w:tcPr>
            <w:tcW w:w="947" w:type="dxa"/>
            <w:tcBorders>
              <w:top w:val="nil"/>
              <w:left w:val="nil"/>
              <w:bottom w:val="nil"/>
              <w:right w:val="nil"/>
            </w:tcBorders>
            <w:shd w:val="clear" w:color="auto" w:fill="auto"/>
            <w:vAlign w:val="center"/>
            <w:hideMark/>
          </w:tcPr>
          <w:p w14:paraId="48959632"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2 194,2</w:t>
            </w:r>
          </w:p>
        </w:tc>
        <w:tc>
          <w:tcPr>
            <w:tcW w:w="938" w:type="dxa"/>
            <w:tcBorders>
              <w:top w:val="nil"/>
              <w:left w:val="nil"/>
              <w:bottom w:val="nil"/>
              <w:right w:val="single" w:sz="4" w:space="0" w:color="auto"/>
            </w:tcBorders>
            <w:shd w:val="clear" w:color="auto" w:fill="auto"/>
            <w:vAlign w:val="center"/>
            <w:hideMark/>
          </w:tcPr>
          <w:p w14:paraId="2DAFC71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2 136,9</w:t>
            </w:r>
          </w:p>
        </w:tc>
        <w:tc>
          <w:tcPr>
            <w:tcW w:w="952" w:type="dxa"/>
            <w:tcBorders>
              <w:top w:val="nil"/>
              <w:left w:val="nil"/>
              <w:bottom w:val="nil"/>
              <w:right w:val="nil"/>
            </w:tcBorders>
            <w:shd w:val="clear" w:color="auto" w:fill="auto"/>
            <w:vAlign w:val="center"/>
            <w:hideMark/>
          </w:tcPr>
          <w:p w14:paraId="4B75AFC5"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109,2</w:t>
            </w:r>
          </w:p>
        </w:tc>
        <w:tc>
          <w:tcPr>
            <w:tcW w:w="1046" w:type="dxa"/>
            <w:tcBorders>
              <w:top w:val="nil"/>
              <w:left w:val="nil"/>
              <w:bottom w:val="nil"/>
              <w:right w:val="nil"/>
            </w:tcBorders>
            <w:shd w:val="clear" w:color="auto" w:fill="auto"/>
            <w:vAlign w:val="center"/>
            <w:hideMark/>
          </w:tcPr>
          <w:p w14:paraId="7CE5006A"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66,5</w:t>
            </w:r>
          </w:p>
        </w:tc>
        <w:tc>
          <w:tcPr>
            <w:tcW w:w="947" w:type="dxa"/>
            <w:tcBorders>
              <w:top w:val="nil"/>
              <w:left w:val="nil"/>
              <w:bottom w:val="nil"/>
              <w:right w:val="nil"/>
            </w:tcBorders>
            <w:shd w:val="clear" w:color="auto" w:fill="auto"/>
            <w:vAlign w:val="center"/>
            <w:hideMark/>
          </w:tcPr>
          <w:p w14:paraId="784DD944"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42,7</w:t>
            </w:r>
          </w:p>
        </w:tc>
      </w:tr>
      <w:tr w:rsidR="00760863" w:rsidRPr="00DA421C" w14:paraId="30E030CF" w14:textId="77777777" w:rsidTr="00DA421C">
        <w:trPr>
          <w:trHeight w:val="298"/>
        </w:trPr>
        <w:tc>
          <w:tcPr>
            <w:tcW w:w="947" w:type="dxa"/>
            <w:tcBorders>
              <w:top w:val="nil"/>
              <w:left w:val="nil"/>
              <w:bottom w:val="nil"/>
              <w:right w:val="nil"/>
            </w:tcBorders>
            <w:shd w:val="clear" w:color="auto" w:fill="auto"/>
            <w:vAlign w:val="center"/>
            <w:hideMark/>
          </w:tcPr>
          <w:p w14:paraId="3880AD7F"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2014</w:t>
            </w:r>
          </w:p>
        </w:tc>
        <w:tc>
          <w:tcPr>
            <w:tcW w:w="947" w:type="dxa"/>
            <w:tcBorders>
              <w:top w:val="nil"/>
              <w:left w:val="single" w:sz="4" w:space="0" w:color="auto"/>
              <w:bottom w:val="nil"/>
              <w:right w:val="nil"/>
            </w:tcBorders>
            <w:shd w:val="clear" w:color="auto" w:fill="auto"/>
            <w:vAlign w:val="center"/>
            <w:hideMark/>
          </w:tcPr>
          <w:p w14:paraId="3B8CA95E"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4 464,1</w:t>
            </w:r>
          </w:p>
        </w:tc>
        <w:tc>
          <w:tcPr>
            <w:tcW w:w="947" w:type="dxa"/>
            <w:tcBorders>
              <w:top w:val="nil"/>
              <w:left w:val="nil"/>
              <w:bottom w:val="nil"/>
              <w:right w:val="nil"/>
            </w:tcBorders>
            <w:shd w:val="clear" w:color="auto" w:fill="auto"/>
            <w:vAlign w:val="center"/>
            <w:hideMark/>
          </w:tcPr>
          <w:p w14:paraId="1E4A58E3"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2 272,9</w:t>
            </w:r>
          </w:p>
        </w:tc>
        <w:tc>
          <w:tcPr>
            <w:tcW w:w="948" w:type="dxa"/>
            <w:tcBorders>
              <w:top w:val="nil"/>
              <w:left w:val="nil"/>
              <w:bottom w:val="nil"/>
              <w:right w:val="single" w:sz="4" w:space="0" w:color="auto"/>
            </w:tcBorders>
            <w:shd w:val="clear" w:color="auto" w:fill="auto"/>
            <w:vAlign w:val="center"/>
            <w:hideMark/>
          </w:tcPr>
          <w:p w14:paraId="2540B8DC"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2 191,2</w:t>
            </w:r>
          </w:p>
        </w:tc>
        <w:tc>
          <w:tcPr>
            <w:tcW w:w="1056" w:type="dxa"/>
            <w:tcBorders>
              <w:top w:val="nil"/>
              <w:left w:val="nil"/>
              <w:bottom w:val="nil"/>
              <w:right w:val="nil"/>
            </w:tcBorders>
            <w:shd w:val="clear" w:color="auto" w:fill="auto"/>
            <w:vAlign w:val="center"/>
            <w:hideMark/>
          </w:tcPr>
          <w:p w14:paraId="3F0092D5"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4 358,3</w:t>
            </w:r>
          </w:p>
        </w:tc>
        <w:tc>
          <w:tcPr>
            <w:tcW w:w="947" w:type="dxa"/>
            <w:tcBorders>
              <w:top w:val="nil"/>
              <w:left w:val="nil"/>
              <w:bottom w:val="nil"/>
              <w:right w:val="nil"/>
            </w:tcBorders>
            <w:shd w:val="clear" w:color="auto" w:fill="auto"/>
            <w:vAlign w:val="center"/>
            <w:hideMark/>
          </w:tcPr>
          <w:p w14:paraId="140DD717"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2 207,8</w:t>
            </w:r>
          </w:p>
        </w:tc>
        <w:tc>
          <w:tcPr>
            <w:tcW w:w="938" w:type="dxa"/>
            <w:tcBorders>
              <w:top w:val="nil"/>
              <w:left w:val="nil"/>
              <w:bottom w:val="nil"/>
              <w:right w:val="single" w:sz="4" w:space="0" w:color="auto"/>
            </w:tcBorders>
            <w:shd w:val="clear" w:color="auto" w:fill="auto"/>
            <w:vAlign w:val="center"/>
            <w:hideMark/>
          </w:tcPr>
          <w:p w14:paraId="72013B6F"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2 150,6</w:t>
            </w:r>
          </w:p>
        </w:tc>
        <w:tc>
          <w:tcPr>
            <w:tcW w:w="952" w:type="dxa"/>
            <w:tcBorders>
              <w:top w:val="nil"/>
              <w:left w:val="nil"/>
              <w:bottom w:val="nil"/>
              <w:right w:val="nil"/>
            </w:tcBorders>
            <w:shd w:val="clear" w:color="auto" w:fill="auto"/>
            <w:vAlign w:val="center"/>
            <w:hideMark/>
          </w:tcPr>
          <w:p w14:paraId="3452065D"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105,7</w:t>
            </w:r>
          </w:p>
        </w:tc>
        <w:tc>
          <w:tcPr>
            <w:tcW w:w="1046" w:type="dxa"/>
            <w:tcBorders>
              <w:top w:val="nil"/>
              <w:left w:val="nil"/>
              <w:bottom w:val="nil"/>
              <w:right w:val="nil"/>
            </w:tcBorders>
            <w:shd w:val="clear" w:color="auto" w:fill="auto"/>
            <w:vAlign w:val="center"/>
            <w:hideMark/>
          </w:tcPr>
          <w:p w14:paraId="49CAED22"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65,1</w:t>
            </w:r>
          </w:p>
        </w:tc>
        <w:tc>
          <w:tcPr>
            <w:tcW w:w="947" w:type="dxa"/>
            <w:tcBorders>
              <w:top w:val="nil"/>
              <w:left w:val="nil"/>
              <w:bottom w:val="nil"/>
              <w:right w:val="nil"/>
            </w:tcBorders>
            <w:shd w:val="clear" w:color="auto" w:fill="auto"/>
            <w:vAlign w:val="center"/>
            <w:hideMark/>
          </w:tcPr>
          <w:p w14:paraId="08F818E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40,6</w:t>
            </w:r>
          </w:p>
        </w:tc>
      </w:tr>
      <w:tr w:rsidR="00760863" w:rsidRPr="00DA421C" w14:paraId="4C13CA33" w14:textId="77777777" w:rsidTr="00DA421C">
        <w:trPr>
          <w:trHeight w:val="298"/>
        </w:trPr>
        <w:tc>
          <w:tcPr>
            <w:tcW w:w="947" w:type="dxa"/>
            <w:tcBorders>
              <w:top w:val="nil"/>
              <w:left w:val="nil"/>
              <w:bottom w:val="nil"/>
              <w:right w:val="nil"/>
            </w:tcBorders>
            <w:shd w:val="clear" w:color="auto" w:fill="auto"/>
            <w:vAlign w:val="center"/>
            <w:hideMark/>
          </w:tcPr>
          <w:p w14:paraId="23BD3557"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2015</w:t>
            </w:r>
          </w:p>
        </w:tc>
        <w:tc>
          <w:tcPr>
            <w:tcW w:w="947" w:type="dxa"/>
            <w:tcBorders>
              <w:top w:val="nil"/>
              <w:left w:val="single" w:sz="4" w:space="0" w:color="auto"/>
              <w:bottom w:val="nil"/>
              <w:right w:val="nil"/>
            </w:tcBorders>
            <w:shd w:val="clear" w:color="auto" w:fill="auto"/>
            <w:vAlign w:val="center"/>
            <w:hideMark/>
          </w:tcPr>
          <w:p w14:paraId="2CB410AA"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4 507,0</w:t>
            </w:r>
          </w:p>
        </w:tc>
        <w:tc>
          <w:tcPr>
            <w:tcW w:w="947" w:type="dxa"/>
            <w:tcBorders>
              <w:top w:val="nil"/>
              <w:left w:val="nil"/>
              <w:bottom w:val="nil"/>
              <w:right w:val="nil"/>
            </w:tcBorders>
            <w:shd w:val="clear" w:color="auto" w:fill="auto"/>
            <w:vAlign w:val="center"/>
            <w:hideMark/>
          </w:tcPr>
          <w:p w14:paraId="12F01D3B"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2 301,3</w:t>
            </w:r>
          </w:p>
        </w:tc>
        <w:tc>
          <w:tcPr>
            <w:tcW w:w="948" w:type="dxa"/>
            <w:tcBorders>
              <w:top w:val="nil"/>
              <w:left w:val="nil"/>
              <w:bottom w:val="nil"/>
              <w:right w:val="single" w:sz="4" w:space="0" w:color="auto"/>
            </w:tcBorders>
            <w:shd w:val="clear" w:color="auto" w:fill="auto"/>
            <w:vAlign w:val="center"/>
            <w:hideMark/>
          </w:tcPr>
          <w:p w14:paraId="209E2140"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2 205,7</w:t>
            </w:r>
          </w:p>
        </w:tc>
        <w:tc>
          <w:tcPr>
            <w:tcW w:w="1056" w:type="dxa"/>
            <w:tcBorders>
              <w:top w:val="nil"/>
              <w:left w:val="nil"/>
              <w:bottom w:val="nil"/>
              <w:right w:val="nil"/>
            </w:tcBorders>
            <w:shd w:val="clear" w:color="auto" w:fill="auto"/>
            <w:vAlign w:val="center"/>
            <w:hideMark/>
          </w:tcPr>
          <w:p w14:paraId="6D6E4C4B"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4 417,6</w:t>
            </w:r>
          </w:p>
        </w:tc>
        <w:tc>
          <w:tcPr>
            <w:tcW w:w="947" w:type="dxa"/>
            <w:tcBorders>
              <w:top w:val="nil"/>
              <w:left w:val="nil"/>
              <w:bottom w:val="nil"/>
              <w:right w:val="nil"/>
            </w:tcBorders>
            <w:shd w:val="clear" w:color="auto" w:fill="auto"/>
            <w:vAlign w:val="center"/>
            <w:hideMark/>
          </w:tcPr>
          <w:p w14:paraId="3B71D45B"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2 252,8</w:t>
            </w:r>
          </w:p>
        </w:tc>
        <w:tc>
          <w:tcPr>
            <w:tcW w:w="938" w:type="dxa"/>
            <w:tcBorders>
              <w:top w:val="nil"/>
              <w:left w:val="nil"/>
              <w:bottom w:val="nil"/>
              <w:right w:val="single" w:sz="4" w:space="0" w:color="auto"/>
            </w:tcBorders>
            <w:shd w:val="clear" w:color="auto" w:fill="auto"/>
            <w:vAlign w:val="center"/>
            <w:hideMark/>
          </w:tcPr>
          <w:p w14:paraId="18EC6B52"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2 164,8</w:t>
            </w:r>
          </w:p>
        </w:tc>
        <w:tc>
          <w:tcPr>
            <w:tcW w:w="952" w:type="dxa"/>
            <w:tcBorders>
              <w:top w:val="nil"/>
              <w:left w:val="nil"/>
              <w:bottom w:val="nil"/>
              <w:right w:val="nil"/>
            </w:tcBorders>
            <w:shd w:val="clear" w:color="auto" w:fill="auto"/>
            <w:vAlign w:val="center"/>
            <w:hideMark/>
          </w:tcPr>
          <w:p w14:paraId="40DDEE79"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89,4</w:t>
            </w:r>
          </w:p>
        </w:tc>
        <w:tc>
          <w:tcPr>
            <w:tcW w:w="1046" w:type="dxa"/>
            <w:tcBorders>
              <w:top w:val="nil"/>
              <w:left w:val="nil"/>
              <w:bottom w:val="nil"/>
              <w:right w:val="nil"/>
            </w:tcBorders>
            <w:shd w:val="clear" w:color="auto" w:fill="auto"/>
            <w:vAlign w:val="center"/>
            <w:hideMark/>
          </w:tcPr>
          <w:p w14:paraId="1D126EF4"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48,5</w:t>
            </w:r>
          </w:p>
        </w:tc>
        <w:tc>
          <w:tcPr>
            <w:tcW w:w="947" w:type="dxa"/>
            <w:tcBorders>
              <w:top w:val="nil"/>
              <w:left w:val="nil"/>
              <w:bottom w:val="nil"/>
              <w:right w:val="nil"/>
            </w:tcBorders>
            <w:shd w:val="clear" w:color="auto" w:fill="auto"/>
            <w:vAlign w:val="center"/>
            <w:hideMark/>
          </w:tcPr>
          <w:p w14:paraId="673735B2"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40,9</w:t>
            </w:r>
          </w:p>
        </w:tc>
      </w:tr>
      <w:tr w:rsidR="00760863" w:rsidRPr="00DA421C" w14:paraId="66879B6A" w14:textId="77777777" w:rsidTr="00DA421C">
        <w:trPr>
          <w:trHeight w:val="298"/>
        </w:trPr>
        <w:tc>
          <w:tcPr>
            <w:tcW w:w="947" w:type="dxa"/>
            <w:tcBorders>
              <w:top w:val="nil"/>
              <w:left w:val="nil"/>
              <w:bottom w:val="nil"/>
              <w:right w:val="nil"/>
            </w:tcBorders>
            <w:shd w:val="clear" w:color="auto" w:fill="auto"/>
            <w:vAlign w:val="center"/>
            <w:hideMark/>
          </w:tcPr>
          <w:p w14:paraId="2E40ECE1"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2016</w:t>
            </w:r>
          </w:p>
        </w:tc>
        <w:tc>
          <w:tcPr>
            <w:tcW w:w="947" w:type="dxa"/>
            <w:tcBorders>
              <w:top w:val="nil"/>
              <w:left w:val="single" w:sz="4" w:space="0" w:color="auto"/>
              <w:bottom w:val="nil"/>
              <w:right w:val="nil"/>
            </w:tcBorders>
            <w:shd w:val="clear" w:color="auto" w:fill="auto"/>
            <w:vAlign w:val="center"/>
            <w:hideMark/>
          </w:tcPr>
          <w:p w14:paraId="0BCC523A"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4 571,3</w:t>
            </w:r>
          </w:p>
        </w:tc>
        <w:tc>
          <w:tcPr>
            <w:tcW w:w="947" w:type="dxa"/>
            <w:tcBorders>
              <w:top w:val="nil"/>
              <w:left w:val="nil"/>
              <w:bottom w:val="nil"/>
              <w:right w:val="nil"/>
            </w:tcBorders>
            <w:shd w:val="clear" w:color="auto" w:fill="auto"/>
            <w:vAlign w:val="center"/>
            <w:hideMark/>
          </w:tcPr>
          <w:p w14:paraId="387B306C"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2 328,5</w:t>
            </w:r>
          </w:p>
        </w:tc>
        <w:tc>
          <w:tcPr>
            <w:tcW w:w="948" w:type="dxa"/>
            <w:tcBorders>
              <w:top w:val="nil"/>
              <w:left w:val="nil"/>
              <w:bottom w:val="nil"/>
              <w:right w:val="single" w:sz="4" w:space="0" w:color="auto"/>
            </w:tcBorders>
            <w:shd w:val="clear" w:color="auto" w:fill="auto"/>
            <w:vAlign w:val="center"/>
            <w:hideMark/>
          </w:tcPr>
          <w:p w14:paraId="68FD5F4C"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2 242,8</w:t>
            </w:r>
          </w:p>
        </w:tc>
        <w:tc>
          <w:tcPr>
            <w:tcW w:w="1056" w:type="dxa"/>
            <w:tcBorders>
              <w:top w:val="nil"/>
              <w:left w:val="nil"/>
              <w:bottom w:val="nil"/>
              <w:right w:val="nil"/>
            </w:tcBorders>
            <w:shd w:val="clear" w:color="auto" w:fill="auto"/>
            <w:vAlign w:val="center"/>
            <w:hideMark/>
          </w:tcPr>
          <w:p w14:paraId="5B3DCC10"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4 481,8</w:t>
            </w:r>
          </w:p>
        </w:tc>
        <w:tc>
          <w:tcPr>
            <w:tcW w:w="947" w:type="dxa"/>
            <w:tcBorders>
              <w:top w:val="nil"/>
              <w:left w:val="nil"/>
              <w:bottom w:val="nil"/>
              <w:right w:val="nil"/>
            </w:tcBorders>
            <w:shd w:val="clear" w:color="auto" w:fill="auto"/>
            <w:vAlign w:val="center"/>
            <w:hideMark/>
          </w:tcPr>
          <w:p w14:paraId="6CCA5967"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2 273,5</w:t>
            </w:r>
          </w:p>
        </w:tc>
        <w:tc>
          <w:tcPr>
            <w:tcW w:w="938" w:type="dxa"/>
            <w:tcBorders>
              <w:top w:val="nil"/>
              <w:left w:val="nil"/>
              <w:bottom w:val="nil"/>
              <w:right w:val="single" w:sz="4" w:space="0" w:color="auto"/>
            </w:tcBorders>
            <w:shd w:val="clear" w:color="auto" w:fill="auto"/>
            <w:vAlign w:val="center"/>
            <w:hideMark/>
          </w:tcPr>
          <w:p w14:paraId="29D4AB39"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2 208,3</w:t>
            </w:r>
          </w:p>
        </w:tc>
        <w:tc>
          <w:tcPr>
            <w:tcW w:w="952" w:type="dxa"/>
            <w:tcBorders>
              <w:top w:val="nil"/>
              <w:left w:val="nil"/>
              <w:bottom w:val="nil"/>
              <w:right w:val="nil"/>
            </w:tcBorders>
            <w:shd w:val="clear" w:color="auto" w:fill="auto"/>
            <w:vAlign w:val="center"/>
            <w:hideMark/>
          </w:tcPr>
          <w:p w14:paraId="5EB96546"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89,5</w:t>
            </w:r>
          </w:p>
        </w:tc>
        <w:tc>
          <w:tcPr>
            <w:tcW w:w="1046" w:type="dxa"/>
            <w:tcBorders>
              <w:top w:val="nil"/>
              <w:left w:val="nil"/>
              <w:bottom w:val="nil"/>
              <w:right w:val="nil"/>
            </w:tcBorders>
            <w:shd w:val="clear" w:color="auto" w:fill="auto"/>
            <w:vAlign w:val="center"/>
            <w:hideMark/>
          </w:tcPr>
          <w:p w14:paraId="096F17C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55,0</w:t>
            </w:r>
          </w:p>
        </w:tc>
        <w:tc>
          <w:tcPr>
            <w:tcW w:w="947" w:type="dxa"/>
            <w:tcBorders>
              <w:top w:val="nil"/>
              <w:left w:val="nil"/>
              <w:bottom w:val="nil"/>
              <w:right w:val="nil"/>
            </w:tcBorders>
            <w:shd w:val="clear" w:color="auto" w:fill="auto"/>
            <w:vAlign w:val="center"/>
            <w:hideMark/>
          </w:tcPr>
          <w:p w14:paraId="05F015F9"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34,5</w:t>
            </w:r>
          </w:p>
        </w:tc>
      </w:tr>
      <w:tr w:rsidR="00760863" w:rsidRPr="00DA421C" w14:paraId="3A10D81F" w14:textId="77777777" w:rsidTr="00DA421C">
        <w:trPr>
          <w:trHeight w:val="298"/>
        </w:trPr>
        <w:tc>
          <w:tcPr>
            <w:tcW w:w="947" w:type="dxa"/>
            <w:tcBorders>
              <w:top w:val="nil"/>
              <w:left w:val="nil"/>
              <w:bottom w:val="nil"/>
              <w:right w:val="nil"/>
            </w:tcBorders>
            <w:shd w:val="clear" w:color="auto" w:fill="auto"/>
            <w:vAlign w:val="center"/>
            <w:hideMark/>
          </w:tcPr>
          <w:p w14:paraId="7B6226EB"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2017</w:t>
            </w:r>
          </w:p>
        </w:tc>
        <w:tc>
          <w:tcPr>
            <w:tcW w:w="947" w:type="dxa"/>
            <w:tcBorders>
              <w:top w:val="nil"/>
              <w:left w:val="single" w:sz="4" w:space="0" w:color="auto"/>
              <w:bottom w:val="nil"/>
              <w:right w:val="nil"/>
            </w:tcBorders>
            <w:shd w:val="clear" w:color="auto" w:fill="auto"/>
            <w:vAlign w:val="center"/>
            <w:hideMark/>
          </w:tcPr>
          <w:p w14:paraId="7F7BF769"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4 671,8</w:t>
            </w:r>
          </w:p>
        </w:tc>
        <w:tc>
          <w:tcPr>
            <w:tcW w:w="947" w:type="dxa"/>
            <w:tcBorders>
              <w:top w:val="nil"/>
              <w:left w:val="nil"/>
              <w:bottom w:val="nil"/>
              <w:right w:val="nil"/>
            </w:tcBorders>
            <w:shd w:val="clear" w:color="auto" w:fill="auto"/>
            <w:vAlign w:val="center"/>
            <w:hideMark/>
          </w:tcPr>
          <w:p w14:paraId="51CF62AA"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2 370,0</w:t>
            </w:r>
          </w:p>
        </w:tc>
        <w:tc>
          <w:tcPr>
            <w:tcW w:w="948" w:type="dxa"/>
            <w:tcBorders>
              <w:top w:val="nil"/>
              <w:left w:val="nil"/>
              <w:bottom w:val="nil"/>
              <w:right w:val="single" w:sz="4" w:space="0" w:color="auto"/>
            </w:tcBorders>
            <w:shd w:val="clear" w:color="auto" w:fill="auto"/>
            <w:vAlign w:val="center"/>
            <w:hideMark/>
          </w:tcPr>
          <w:p w14:paraId="1C0906C6"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2 301,8</w:t>
            </w:r>
          </w:p>
        </w:tc>
        <w:tc>
          <w:tcPr>
            <w:tcW w:w="1056" w:type="dxa"/>
            <w:tcBorders>
              <w:top w:val="nil"/>
              <w:left w:val="nil"/>
              <w:bottom w:val="nil"/>
              <w:right w:val="nil"/>
            </w:tcBorders>
            <w:shd w:val="clear" w:color="auto" w:fill="auto"/>
            <w:vAlign w:val="center"/>
            <w:hideMark/>
          </w:tcPr>
          <w:p w14:paraId="2155ACCD"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4 582,2</w:t>
            </w:r>
          </w:p>
        </w:tc>
        <w:tc>
          <w:tcPr>
            <w:tcW w:w="947" w:type="dxa"/>
            <w:tcBorders>
              <w:top w:val="nil"/>
              <w:left w:val="nil"/>
              <w:bottom w:val="nil"/>
              <w:right w:val="nil"/>
            </w:tcBorders>
            <w:shd w:val="clear" w:color="auto" w:fill="auto"/>
            <w:vAlign w:val="center"/>
            <w:hideMark/>
          </w:tcPr>
          <w:p w14:paraId="6ED30A43"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2 315,8</w:t>
            </w:r>
          </w:p>
        </w:tc>
        <w:tc>
          <w:tcPr>
            <w:tcW w:w="938" w:type="dxa"/>
            <w:tcBorders>
              <w:top w:val="nil"/>
              <w:left w:val="nil"/>
              <w:bottom w:val="nil"/>
              <w:right w:val="single" w:sz="4" w:space="0" w:color="auto"/>
            </w:tcBorders>
            <w:shd w:val="clear" w:color="auto" w:fill="auto"/>
            <w:vAlign w:val="center"/>
            <w:hideMark/>
          </w:tcPr>
          <w:p w14:paraId="313DABB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2 266,4</w:t>
            </w:r>
          </w:p>
        </w:tc>
        <w:tc>
          <w:tcPr>
            <w:tcW w:w="952" w:type="dxa"/>
            <w:tcBorders>
              <w:top w:val="nil"/>
              <w:left w:val="nil"/>
              <w:bottom w:val="nil"/>
              <w:right w:val="nil"/>
            </w:tcBorders>
            <w:shd w:val="clear" w:color="auto" w:fill="auto"/>
            <w:vAlign w:val="center"/>
            <w:hideMark/>
          </w:tcPr>
          <w:p w14:paraId="25F1839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89,7</w:t>
            </w:r>
          </w:p>
        </w:tc>
        <w:tc>
          <w:tcPr>
            <w:tcW w:w="1046" w:type="dxa"/>
            <w:tcBorders>
              <w:top w:val="nil"/>
              <w:left w:val="nil"/>
              <w:bottom w:val="nil"/>
              <w:right w:val="nil"/>
            </w:tcBorders>
            <w:shd w:val="clear" w:color="auto" w:fill="auto"/>
            <w:vAlign w:val="center"/>
            <w:hideMark/>
          </w:tcPr>
          <w:p w14:paraId="3D521837"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54,2</w:t>
            </w:r>
          </w:p>
        </w:tc>
        <w:tc>
          <w:tcPr>
            <w:tcW w:w="947" w:type="dxa"/>
            <w:tcBorders>
              <w:top w:val="nil"/>
              <w:left w:val="nil"/>
              <w:bottom w:val="nil"/>
              <w:right w:val="nil"/>
            </w:tcBorders>
            <w:shd w:val="clear" w:color="auto" w:fill="auto"/>
            <w:vAlign w:val="center"/>
            <w:hideMark/>
          </w:tcPr>
          <w:p w14:paraId="1177C016"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35,4</w:t>
            </w:r>
          </w:p>
        </w:tc>
      </w:tr>
      <w:tr w:rsidR="00760863" w:rsidRPr="00DA421C" w14:paraId="605788F2" w14:textId="77777777" w:rsidTr="00DA421C">
        <w:trPr>
          <w:trHeight w:val="298"/>
        </w:trPr>
        <w:tc>
          <w:tcPr>
            <w:tcW w:w="947" w:type="dxa"/>
            <w:tcBorders>
              <w:top w:val="nil"/>
              <w:left w:val="nil"/>
              <w:bottom w:val="nil"/>
              <w:right w:val="nil"/>
            </w:tcBorders>
            <w:shd w:val="clear" w:color="auto" w:fill="auto"/>
            <w:vAlign w:val="center"/>
            <w:hideMark/>
          </w:tcPr>
          <w:p w14:paraId="333FE5B8"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2018</w:t>
            </w:r>
          </w:p>
        </w:tc>
        <w:tc>
          <w:tcPr>
            <w:tcW w:w="947" w:type="dxa"/>
            <w:tcBorders>
              <w:top w:val="nil"/>
              <w:left w:val="single" w:sz="4" w:space="0" w:color="auto"/>
              <w:bottom w:val="nil"/>
              <w:right w:val="nil"/>
            </w:tcBorders>
            <w:shd w:val="clear" w:color="auto" w:fill="auto"/>
            <w:vAlign w:val="center"/>
            <w:hideMark/>
          </w:tcPr>
          <w:p w14:paraId="355C901F"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4 732,7</w:t>
            </w:r>
          </w:p>
        </w:tc>
        <w:tc>
          <w:tcPr>
            <w:tcW w:w="947" w:type="dxa"/>
            <w:tcBorders>
              <w:top w:val="nil"/>
              <w:left w:val="nil"/>
              <w:bottom w:val="nil"/>
              <w:right w:val="nil"/>
            </w:tcBorders>
            <w:shd w:val="clear" w:color="auto" w:fill="auto"/>
            <w:vAlign w:val="center"/>
            <w:hideMark/>
          </w:tcPr>
          <w:p w14:paraId="3B11CBA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2 391,4</w:t>
            </w:r>
          </w:p>
        </w:tc>
        <w:tc>
          <w:tcPr>
            <w:tcW w:w="948" w:type="dxa"/>
            <w:tcBorders>
              <w:top w:val="nil"/>
              <w:left w:val="nil"/>
              <w:bottom w:val="nil"/>
              <w:right w:val="single" w:sz="4" w:space="0" w:color="auto"/>
            </w:tcBorders>
            <w:shd w:val="clear" w:color="auto" w:fill="auto"/>
            <w:vAlign w:val="center"/>
            <w:hideMark/>
          </w:tcPr>
          <w:p w14:paraId="34BEB011"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2 341,3</w:t>
            </w:r>
          </w:p>
        </w:tc>
        <w:tc>
          <w:tcPr>
            <w:tcW w:w="1056" w:type="dxa"/>
            <w:tcBorders>
              <w:top w:val="nil"/>
              <w:left w:val="nil"/>
              <w:bottom w:val="nil"/>
              <w:right w:val="nil"/>
            </w:tcBorders>
            <w:shd w:val="clear" w:color="auto" w:fill="auto"/>
            <w:vAlign w:val="center"/>
            <w:hideMark/>
          </w:tcPr>
          <w:p w14:paraId="12755352"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4 641,5</w:t>
            </w:r>
          </w:p>
        </w:tc>
        <w:tc>
          <w:tcPr>
            <w:tcW w:w="947" w:type="dxa"/>
            <w:tcBorders>
              <w:top w:val="nil"/>
              <w:left w:val="nil"/>
              <w:bottom w:val="nil"/>
              <w:right w:val="nil"/>
            </w:tcBorders>
            <w:shd w:val="clear" w:color="auto" w:fill="auto"/>
            <w:vAlign w:val="center"/>
            <w:hideMark/>
          </w:tcPr>
          <w:p w14:paraId="3A0A2DC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2 336,8</w:t>
            </w:r>
          </w:p>
        </w:tc>
        <w:tc>
          <w:tcPr>
            <w:tcW w:w="938" w:type="dxa"/>
            <w:tcBorders>
              <w:top w:val="nil"/>
              <w:left w:val="nil"/>
              <w:bottom w:val="nil"/>
              <w:right w:val="single" w:sz="4" w:space="0" w:color="auto"/>
            </w:tcBorders>
            <w:shd w:val="clear" w:color="auto" w:fill="auto"/>
            <w:vAlign w:val="center"/>
            <w:hideMark/>
          </w:tcPr>
          <w:p w14:paraId="338B25F4"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2 304,6</w:t>
            </w:r>
          </w:p>
        </w:tc>
        <w:tc>
          <w:tcPr>
            <w:tcW w:w="952" w:type="dxa"/>
            <w:tcBorders>
              <w:top w:val="nil"/>
              <w:left w:val="nil"/>
              <w:bottom w:val="nil"/>
              <w:right w:val="nil"/>
            </w:tcBorders>
            <w:shd w:val="clear" w:color="auto" w:fill="auto"/>
            <w:vAlign w:val="center"/>
            <w:hideMark/>
          </w:tcPr>
          <w:p w14:paraId="7C3BC260"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91,3</w:t>
            </w:r>
          </w:p>
        </w:tc>
        <w:tc>
          <w:tcPr>
            <w:tcW w:w="1046" w:type="dxa"/>
            <w:tcBorders>
              <w:top w:val="nil"/>
              <w:left w:val="nil"/>
              <w:bottom w:val="nil"/>
              <w:right w:val="nil"/>
            </w:tcBorders>
            <w:shd w:val="clear" w:color="auto" w:fill="auto"/>
            <w:vAlign w:val="center"/>
            <w:hideMark/>
          </w:tcPr>
          <w:p w14:paraId="1B9CDAAF"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54,5</w:t>
            </w:r>
          </w:p>
        </w:tc>
        <w:tc>
          <w:tcPr>
            <w:tcW w:w="947" w:type="dxa"/>
            <w:tcBorders>
              <w:top w:val="nil"/>
              <w:left w:val="nil"/>
              <w:bottom w:val="nil"/>
              <w:right w:val="nil"/>
            </w:tcBorders>
            <w:shd w:val="clear" w:color="auto" w:fill="auto"/>
            <w:vAlign w:val="center"/>
            <w:hideMark/>
          </w:tcPr>
          <w:p w14:paraId="6B7E1E26"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36,7</w:t>
            </w:r>
          </w:p>
        </w:tc>
      </w:tr>
      <w:tr w:rsidR="00760863" w:rsidRPr="00DA421C" w14:paraId="54C24AC0" w14:textId="77777777" w:rsidTr="00DA421C">
        <w:trPr>
          <w:trHeight w:val="298"/>
        </w:trPr>
        <w:tc>
          <w:tcPr>
            <w:tcW w:w="947" w:type="dxa"/>
            <w:tcBorders>
              <w:top w:val="nil"/>
              <w:left w:val="nil"/>
              <w:bottom w:val="nil"/>
              <w:right w:val="nil"/>
            </w:tcBorders>
            <w:shd w:val="clear" w:color="auto" w:fill="auto"/>
            <w:vAlign w:val="center"/>
            <w:hideMark/>
          </w:tcPr>
          <w:p w14:paraId="192D908C"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2019</w:t>
            </w:r>
          </w:p>
        </w:tc>
        <w:tc>
          <w:tcPr>
            <w:tcW w:w="947" w:type="dxa"/>
            <w:tcBorders>
              <w:top w:val="nil"/>
              <w:left w:val="single" w:sz="4" w:space="0" w:color="auto"/>
              <w:bottom w:val="nil"/>
              <w:right w:val="nil"/>
            </w:tcBorders>
            <w:shd w:val="clear" w:color="auto" w:fill="auto"/>
            <w:vAlign w:val="center"/>
            <w:hideMark/>
          </w:tcPr>
          <w:p w14:paraId="040EFC2B"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4 732,9</w:t>
            </w:r>
          </w:p>
        </w:tc>
        <w:tc>
          <w:tcPr>
            <w:tcW w:w="947" w:type="dxa"/>
            <w:tcBorders>
              <w:top w:val="nil"/>
              <w:left w:val="nil"/>
              <w:bottom w:val="nil"/>
              <w:right w:val="nil"/>
            </w:tcBorders>
            <w:shd w:val="clear" w:color="auto" w:fill="auto"/>
            <w:vAlign w:val="center"/>
            <w:hideMark/>
          </w:tcPr>
          <w:p w14:paraId="4DEC9EAA"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2 384,9</w:t>
            </w:r>
          </w:p>
        </w:tc>
        <w:tc>
          <w:tcPr>
            <w:tcW w:w="948" w:type="dxa"/>
            <w:tcBorders>
              <w:top w:val="nil"/>
              <w:left w:val="nil"/>
              <w:bottom w:val="nil"/>
              <w:right w:val="single" w:sz="4" w:space="0" w:color="auto"/>
            </w:tcBorders>
            <w:shd w:val="clear" w:color="auto" w:fill="auto"/>
            <w:vAlign w:val="center"/>
            <w:hideMark/>
          </w:tcPr>
          <w:p w14:paraId="098FBD92"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2 348,0</w:t>
            </w:r>
          </w:p>
        </w:tc>
        <w:tc>
          <w:tcPr>
            <w:tcW w:w="1056" w:type="dxa"/>
            <w:tcBorders>
              <w:top w:val="nil"/>
              <w:left w:val="nil"/>
              <w:bottom w:val="nil"/>
              <w:right w:val="nil"/>
            </w:tcBorders>
            <w:shd w:val="clear" w:color="auto" w:fill="auto"/>
            <w:vAlign w:val="center"/>
            <w:hideMark/>
          </w:tcPr>
          <w:p w14:paraId="6A684D66"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4 638,5</w:t>
            </w:r>
          </w:p>
        </w:tc>
        <w:tc>
          <w:tcPr>
            <w:tcW w:w="947" w:type="dxa"/>
            <w:tcBorders>
              <w:top w:val="nil"/>
              <w:left w:val="nil"/>
              <w:bottom w:val="nil"/>
              <w:right w:val="nil"/>
            </w:tcBorders>
            <w:shd w:val="clear" w:color="auto" w:fill="auto"/>
            <w:vAlign w:val="center"/>
            <w:hideMark/>
          </w:tcPr>
          <w:p w14:paraId="3E6E2735"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2 329,4</w:t>
            </w:r>
          </w:p>
        </w:tc>
        <w:tc>
          <w:tcPr>
            <w:tcW w:w="938" w:type="dxa"/>
            <w:tcBorders>
              <w:top w:val="nil"/>
              <w:left w:val="nil"/>
              <w:bottom w:val="nil"/>
              <w:right w:val="single" w:sz="4" w:space="0" w:color="auto"/>
            </w:tcBorders>
            <w:shd w:val="clear" w:color="auto" w:fill="auto"/>
            <w:vAlign w:val="center"/>
            <w:hideMark/>
          </w:tcPr>
          <w:p w14:paraId="22E2FE56"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2 309,1</w:t>
            </w:r>
          </w:p>
        </w:tc>
        <w:tc>
          <w:tcPr>
            <w:tcW w:w="952" w:type="dxa"/>
            <w:tcBorders>
              <w:top w:val="nil"/>
              <w:left w:val="nil"/>
              <w:bottom w:val="nil"/>
              <w:right w:val="nil"/>
            </w:tcBorders>
            <w:shd w:val="clear" w:color="auto" w:fill="auto"/>
            <w:vAlign w:val="center"/>
            <w:hideMark/>
          </w:tcPr>
          <w:p w14:paraId="7943FA29"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94,4</w:t>
            </w:r>
          </w:p>
        </w:tc>
        <w:tc>
          <w:tcPr>
            <w:tcW w:w="1046" w:type="dxa"/>
            <w:tcBorders>
              <w:top w:val="nil"/>
              <w:left w:val="nil"/>
              <w:bottom w:val="nil"/>
              <w:right w:val="nil"/>
            </w:tcBorders>
            <w:shd w:val="clear" w:color="auto" w:fill="auto"/>
            <w:vAlign w:val="center"/>
            <w:hideMark/>
          </w:tcPr>
          <w:p w14:paraId="3FE0FDB1"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55,5</w:t>
            </w:r>
          </w:p>
        </w:tc>
        <w:tc>
          <w:tcPr>
            <w:tcW w:w="947" w:type="dxa"/>
            <w:tcBorders>
              <w:top w:val="nil"/>
              <w:left w:val="nil"/>
              <w:bottom w:val="nil"/>
              <w:right w:val="nil"/>
            </w:tcBorders>
            <w:shd w:val="clear" w:color="auto" w:fill="auto"/>
            <w:vAlign w:val="center"/>
            <w:hideMark/>
          </w:tcPr>
          <w:p w14:paraId="35714073"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39,0</w:t>
            </w:r>
          </w:p>
        </w:tc>
      </w:tr>
      <w:tr w:rsidR="00760863" w:rsidRPr="00DA421C" w14:paraId="5F183E7D" w14:textId="77777777" w:rsidTr="00DA421C">
        <w:trPr>
          <w:trHeight w:val="298"/>
        </w:trPr>
        <w:tc>
          <w:tcPr>
            <w:tcW w:w="947" w:type="dxa"/>
            <w:tcBorders>
              <w:top w:val="nil"/>
              <w:left w:val="nil"/>
              <w:bottom w:val="nil"/>
              <w:right w:val="nil"/>
            </w:tcBorders>
            <w:shd w:val="clear" w:color="auto" w:fill="auto"/>
            <w:vAlign w:val="center"/>
            <w:hideMark/>
          </w:tcPr>
          <w:p w14:paraId="3CBA92D3" w14:textId="77777777" w:rsidR="00760863" w:rsidRPr="00DA421C" w:rsidRDefault="00760863" w:rsidP="00760863">
            <w:pPr>
              <w:spacing w:after="0" w:line="240" w:lineRule="auto"/>
              <w:jc w:val="center"/>
              <w:rPr>
                <w:rFonts w:cs="Arial"/>
                <w:color w:val="000000"/>
                <w:sz w:val="16"/>
                <w:szCs w:val="16"/>
              </w:rPr>
            </w:pPr>
            <w:r w:rsidRPr="00DA421C">
              <w:rPr>
                <w:rFonts w:cs="Arial"/>
                <w:color w:val="000000"/>
                <w:sz w:val="16"/>
                <w:szCs w:val="16"/>
              </w:rPr>
              <w:t>2020</w:t>
            </w:r>
          </w:p>
        </w:tc>
        <w:tc>
          <w:tcPr>
            <w:tcW w:w="947" w:type="dxa"/>
            <w:tcBorders>
              <w:top w:val="nil"/>
              <w:left w:val="single" w:sz="4" w:space="0" w:color="auto"/>
              <w:bottom w:val="nil"/>
              <w:right w:val="nil"/>
            </w:tcBorders>
            <w:shd w:val="clear" w:color="auto" w:fill="auto"/>
            <w:vAlign w:val="center"/>
            <w:hideMark/>
          </w:tcPr>
          <w:p w14:paraId="5C9F71C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4 690,4</w:t>
            </w:r>
          </w:p>
        </w:tc>
        <w:tc>
          <w:tcPr>
            <w:tcW w:w="947" w:type="dxa"/>
            <w:tcBorders>
              <w:top w:val="nil"/>
              <w:left w:val="nil"/>
              <w:bottom w:val="nil"/>
              <w:right w:val="nil"/>
            </w:tcBorders>
            <w:shd w:val="clear" w:color="auto" w:fill="auto"/>
            <w:vAlign w:val="center"/>
            <w:hideMark/>
          </w:tcPr>
          <w:p w14:paraId="6BDCEA48"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2 354,0</w:t>
            </w:r>
          </w:p>
        </w:tc>
        <w:tc>
          <w:tcPr>
            <w:tcW w:w="948" w:type="dxa"/>
            <w:tcBorders>
              <w:top w:val="nil"/>
              <w:left w:val="nil"/>
              <w:bottom w:val="nil"/>
              <w:right w:val="single" w:sz="4" w:space="0" w:color="auto"/>
            </w:tcBorders>
            <w:shd w:val="clear" w:color="auto" w:fill="auto"/>
            <w:vAlign w:val="center"/>
            <w:hideMark/>
          </w:tcPr>
          <w:p w14:paraId="1514CA30"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2 336,4</w:t>
            </w:r>
          </w:p>
        </w:tc>
        <w:tc>
          <w:tcPr>
            <w:tcW w:w="1056" w:type="dxa"/>
            <w:tcBorders>
              <w:top w:val="nil"/>
              <w:left w:val="nil"/>
              <w:bottom w:val="nil"/>
              <w:right w:val="nil"/>
            </w:tcBorders>
            <w:shd w:val="clear" w:color="auto" w:fill="auto"/>
            <w:vAlign w:val="center"/>
            <w:hideMark/>
          </w:tcPr>
          <w:p w14:paraId="599D5AFE"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4 594,7</w:t>
            </w:r>
          </w:p>
        </w:tc>
        <w:tc>
          <w:tcPr>
            <w:tcW w:w="947" w:type="dxa"/>
            <w:tcBorders>
              <w:top w:val="nil"/>
              <w:left w:val="nil"/>
              <w:bottom w:val="nil"/>
              <w:right w:val="nil"/>
            </w:tcBorders>
            <w:shd w:val="clear" w:color="auto" w:fill="auto"/>
            <w:vAlign w:val="center"/>
            <w:hideMark/>
          </w:tcPr>
          <w:p w14:paraId="04B8AE06"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2 298,4</w:t>
            </w:r>
          </w:p>
        </w:tc>
        <w:tc>
          <w:tcPr>
            <w:tcW w:w="938" w:type="dxa"/>
            <w:tcBorders>
              <w:top w:val="nil"/>
              <w:left w:val="nil"/>
              <w:bottom w:val="nil"/>
              <w:right w:val="single" w:sz="4" w:space="0" w:color="auto"/>
            </w:tcBorders>
            <w:shd w:val="clear" w:color="auto" w:fill="auto"/>
            <w:vAlign w:val="center"/>
            <w:hideMark/>
          </w:tcPr>
          <w:p w14:paraId="3BF8D74C"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2 296,3</w:t>
            </w:r>
          </w:p>
        </w:tc>
        <w:tc>
          <w:tcPr>
            <w:tcW w:w="952" w:type="dxa"/>
            <w:tcBorders>
              <w:top w:val="nil"/>
              <w:left w:val="nil"/>
              <w:bottom w:val="nil"/>
              <w:right w:val="nil"/>
            </w:tcBorders>
            <w:shd w:val="clear" w:color="auto" w:fill="auto"/>
            <w:vAlign w:val="center"/>
            <w:hideMark/>
          </w:tcPr>
          <w:p w14:paraId="54686483"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95,7</w:t>
            </w:r>
          </w:p>
        </w:tc>
        <w:tc>
          <w:tcPr>
            <w:tcW w:w="1046" w:type="dxa"/>
            <w:tcBorders>
              <w:top w:val="nil"/>
              <w:left w:val="nil"/>
              <w:bottom w:val="nil"/>
              <w:right w:val="nil"/>
            </w:tcBorders>
            <w:shd w:val="clear" w:color="auto" w:fill="auto"/>
            <w:vAlign w:val="center"/>
            <w:hideMark/>
          </w:tcPr>
          <w:p w14:paraId="43E4D0A1"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55,5</w:t>
            </w:r>
          </w:p>
        </w:tc>
        <w:tc>
          <w:tcPr>
            <w:tcW w:w="947" w:type="dxa"/>
            <w:tcBorders>
              <w:top w:val="nil"/>
              <w:left w:val="nil"/>
              <w:bottom w:val="nil"/>
              <w:right w:val="nil"/>
            </w:tcBorders>
            <w:shd w:val="clear" w:color="auto" w:fill="auto"/>
            <w:vAlign w:val="center"/>
            <w:hideMark/>
          </w:tcPr>
          <w:p w14:paraId="3C247E90" w14:textId="77777777" w:rsidR="00760863" w:rsidRPr="00DA421C" w:rsidRDefault="00760863" w:rsidP="00760863">
            <w:pPr>
              <w:spacing w:after="0" w:line="240" w:lineRule="auto"/>
              <w:jc w:val="right"/>
              <w:rPr>
                <w:rFonts w:cs="Arial"/>
                <w:color w:val="000000"/>
                <w:sz w:val="16"/>
                <w:szCs w:val="16"/>
              </w:rPr>
            </w:pPr>
            <w:r w:rsidRPr="00DA421C">
              <w:rPr>
                <w:rFonts w:cs="Arial"/>
                <w:color w:val="000000"/>
                <w:sz w:val="16"/>
                <w:szCs w:val="16"/>
              </w:rPr>
              <w:t>40,1</w:t>
            </w:r>
          </w:p>
        </w:tc>
      </w:tr>
      <w:tr w:rsidR="00BC2532" w:rsidRPr="00DA421C" w14:paraId="3DE69EAB" w14:textId="77777777" w:rsidTr="00DA421C">
        <w:trPr>
          <w:trHeight w:val="298"/>
        </w:trPr>
        <w:tc>
          <w:tcPr>
            <w:tcW w:w="947" w:type="dxa"/>
            <w:tcBorders>
              <w:top w:val="nil"/>
              <w:left w:val="nil"/>
              <w:bottom w:val="nil"/>
              <w:right w:val="single" w:sz="4" w:space="0" w:color="auto"/>
            </w:tcBorders>
            <w:shd w:val="clear" w:color="auto" w:fill="auto"/>
            <w:vAlign w:val="center"/>
            <w:hideMark/>
          </w:tcPr>
          <w:p w14:paraId="40223BFE" w14:textId="77777777" w:rsidR="00760863" w:rsidRPr="00DA421C" w:rsidRDefault="00760863" w:rsidP="00BC2532">
            <w:pPr>
              <w:spacing w:after="0" w:line="240" w:lineRule="auto"/>
              <w:jc w:val="center"/>
              <w:rPr>
                <w:rFonts w:cs="Arial"/>
                <w:color w:val="000000"/>
                <w:sz w:val="16"/>
                <w:szCs w:val="16"/>
              </w:rPr>
            </w:pPr>
            <w:r w:rsidRPr="00DA421C">
              <w:rPr>
                <w:rFonts w:cs="Arial"/>
                <w:color w:val="000000"/>
                <w:sz w:val="16"/>
                <w:szCs w:val="16"/>
              </w:rPr>
              <w:t>2021</w:t>
            </w:r>
          </w:p>
        </w:tc>
        <w:tc>
          <w:tcPr>
            <w:tcW w:w="947" w:type="dxa"/>
            <w:tcBorders>
              <w:top w:val="nil"/>
              <w:left w:val="nil"/>
              <w:bottom w:val="nil"/>
              <w:right w:val="nil"/>
            </w:tcBorders>
            <w:shd w:val="clear" w:color="auto" w:fill="auto"/>
            <w:noWrap/>
            <w:vAlign w:val="center"/>
            <w:hideMark/>
          </w:tcPr>
          <w:p w14:paraId="7C645F67"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4 708,2</w:t>
            </w:r>
          </w:p>
        </w:tc>
        <w:tc>
          <w:tcPr>
            <w:tcW w:w="947" w:type="dxa"/>
            <w:tcBorders>
              <w:top w:val="nil"/>
              <w:left w:val="nil"/>
              <w:bottom w:val="nil"/>
              <w:right w:val="nil"/>
            </w:tcBorders>
            <w:shd w:val="clear" w:color="auto" w:fill="auto"/>
            <w:vAlign w:val="center"/>
            <w:hideMark/>
          </w:tcPr>
          <w:p w14:paraId="31ACF458"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2 354,2</w:t>
            </w:r>
          </w:p>
        </w:tc>
        <w:tc>
          <w:tcPr>
            <w:tcW w:w="948" w:type="dxa"/>
            <w:tcBorders>
              <w:top w:val="nil"/>
              <w:left w:val="nil"/>
              <w:bottom w:val="nil"/>
              <w:right w:val="single" w:sz="4" w:space="0" w:color="auto"/>
            </w:tcBorders>
            <w:shd w:val="clear" w:color="auto" w:fill="auto"/>
            <w:noWrap/>
            <w:vAlign w:val="center"/>
            <w:hideMark/>
          </w:tcPr>
          <w:p w14:paraId="5326AC9C"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2 354,0</w:t>
            </w:r>
          </w:p>
        </w:tc>
        <w:tc>
          <w:tcPr>
            <w:tcW w:w="1056" w:type="dxa"/>
            <w:tcBorders>
              <w:top w:val="nil"/>
              <w:left w:val="nil"/>
              <w:bottom w:val="nil"/>
              <w:right w:val="nil"/>
            </w:tcBorders>
            <w:shd w:val="clear" w:color="auto" w:fill="auto"/>
            <w:vAlign w:val="center"/>
            <w:hideMark/>
          </w:tcPr>
          <w:p w14:paraId="0DB8B1F2"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4 609,6</w:t>
            </w:r>
          </w:p>
        </w:tc>
        <w:tc>
          <w:tcPr>
            <w:tcW w:w="947" w:type="dxa"/>
            <w:tcBorders>
              <w:top w:val="nil"/>
              <w:left w:val="nil"/>
              <w:bottom w:val="nil"/>
              <w:right w:val="nil"/>
            </w:tcBorders>
            <w:shd w:val="clear" w:color="auto" w:fill="auto"/>
            <w:vAlign w:val="center"/>
            <w:hideMark/>
          </w:tcPr>
          <w:p w14:paraId="018F3928"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2 297,4</w:t>
            </w:r>
          </w:p>
        </w:tc>
        <w:tc>
          <w:tcPr>
            <w:tcW w:w="938" w:type="dxa"/>
            <w:tcBorders>
              <w:top w:val="nil"/>
              <w:left w:val="nil"/>
              <w:bottom w:val="nil"/>
              <w:right w:val="single" w:sz="4" w:space="0" w:color="auto"/>
            </w:tcBorders>
            <w:shd w:val="clear" w:color="auto" w:fill="auto"/>
            <w:vAlign w:val="center"/>
            <w:hideMark/>
          </w:tcPr>
          <w:p w14:paraId="6E905565"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2 312,2</w:t>
            </w:r>
          </w:p>
        </w:tc>
        <w:tc>
          <w:tcPr>
            <w:tcW w:w="952" w:type="dxa"/>
            <w:tcBorders>
              <w:top w:val="nil"/>
              <w:left w:val="nil"/>
              <w:bottom w:val="nil"/>
              <w:right w:val="nil"/>
            </w:tcBorders>
            <w:shd w:val="clear" w:color="auto" w:fill="auto"/>
            <w:noWrap/>
            <w:vAlign w:val="center"/>
            <w:hideMark/>
          </w:tcPr>
          <w:p w14:paraId="322907CB"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98,5</w:t>
            </w:r>
          </w:p>
        </w:tc>
        <w:tc>
          <w:tcPr>
            <w:tcW w:w="1046" w:type="dxa"/>
            <w:tcBorders>
              <w:top w:val="nil"/>
              <w:left w:val="nil"/>
              <w:bottom w:val="nil"/>
              <w:right w:val="nil"/>
            </w:tcBorders>
            <w:shd w:val="clear" w:color="auto" w:fill="auto"/>
            <w:vAlign w:val="center"/>
            <w:hideMark/>
          </w:tcPr>
          <w:p w14:paraId="6B1CBEC0"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56,8</w:t>
            </w:r>
          </w:p>
        </w:tc>
        <w:tc>
          <w:tcPr>
            <w:tcW w:w="947" w:type="dxa"/>
            <w:tcBorders>
              <w:top w:val="nil"/>
              <w:left w:val="nil"/>
              <w:bottom w:val="nil"/>
              <w:right w:val="nil"/>
            </w:tcBorders>
            <w:shd w:val="clear" w:color="auto" w:fill="auto"/>
            <w:noWrap/>
            <w:vAlign w:val="center"/>
            <w:hideMark/>
          </w:tcPr>
          <w:p w14:paraId="48CEBAF2" w14:textId="77777777" w:rsidR="00760863" w:rsidRPr="00DA421C" w:rsidRDefault="00760863" w:rsidP="00BC2532">
            <w:pPr>
              <w:spacing w:after="0" w:line="240" w:lineRule="auto"/>
              <w:jc w:val="right"/>
              <w:rPr>
                <w:rFonts w:cs="Arial"/>
                <w:color w:val="000000"/>
                <w:sz w:val="16"/>
                <w:szCs w:val="16"/>
              </w:rPr>
            </w:pPr>
            <w:r w:rsidRPr="00DA421C">
              <w:rPr>
                <w:rFonts w:cs="Arial"/>
                <w:color w:val="000000"/>
                <w:sz w:val="16"/>
                <w:szCs w:val="16"/>
              </w:rPr>
              <w:t>41,8</w:t>
            </w:r>
          </w:p>
        </w:tc>
      </w:tr>
      <w:tr w:rsidR="00DA421C" w:rsidRPr="00DA421C" w14:paraId="3170EFB6" w14:textId="77777777" w:rsidTr="00DA421C">
        <w:trPr>
          <w:trHeight w:val="298"/>
        </w:trPr>
        <w:tc>
          <w:tcPr>
            <w:tcW w:w="947" w:type="dxa"/>
            <w:tcBorders>
              <w:top w:val="nil"/>
              <w:left w:val="nil"/>
              <w:bottom w:val="nil"/>
              <w:right w:val="single" w:sz="4" w:space="0" w:color="auto"/>
            </w:tcBorders>
            <w:shd w:val="clear" w:color="auto" w:fill="auto"/>
            <w:vAlign w:val="center"/>
          </w:tcPr>
          <w:p w14:paraId="3778F328" w14:textId="12F1B5E1" w:rsidR="00DA421C" w:rsidRPr="00DA421C" w:rsidRDefault="00DA421C" w:rsidP="00DA421C">
            <w:pPr>
              <w:spacing w:after="0" w:line="240" w:lineRule="auto"/>
              <w:jc w:val="center"/>
              <w:rPr>
                <w:rFonts w:cs="Arial"/>
                <w:color w:val="000000"/>
                <w:sz w:val="16"/>
                <w:szCs w:val="16"/>
              </w:rPr>
            </w:pPr>
            <w:r w:rsidRPr="00DA421C">
              <w:rPr>
                <w:rFonts w:cs="Arial"/>
                <w:color w:val="000000"/>
                <w:sz w:val="16"/>
                <w:szCs w:val="16"/>
              </w:rPr>
              <w:t>2022</w:t>
            </w:r>
          </w:p>
        </w:tc>
        <w:tc>
          <w:tcPr>
            <w:tcW w:w="947" w:type="dxa"/>
            <w:tcBorders>
              <w:top w:val="nil"/>
              <w:left w:val="nil"/>
              <w:bottom w:val="nil"/>
              <w:right w:val="nil"/>
            </w:tcBorders>
            <w:shd w:val="clear" w:color="auto" w:fill="auto"/>
            <w:noWrap/>
            <w:vAlign w:val="center"/>
          </w:tcPr>
          <w:p w14:paraId="36151A93" w14:textId="5DDB411E"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4 747,9</w:t>
            </w:r>
          </w:p>
        </w:tc>
        <w:tc>
          <w:tcPr>
            <w:tcW w:w="947" w:type="dxa"/>
            <w:tcBorders>
              <w:top w:val="nil"/>
              <w:left w:val="nil"/>
              <w:bottom w:val="nil"/>
              <w:right w:val="nil"/>
            </w:tcBorders>
            <w:shd w:val="clear" w:color="auto" w:fill="auto"/>
            <w:vAlign w:val="center"/>
          </w:tcPr>
          <w:p w14:paraId="62A95975" w14:textId="3F5E0792"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2 358,5</w:t>
            </w:r>
          </w:p>
        </w:tc>
        <w:tc>
          <w:tcPr>
            <w:tcW w:w="948" w:type="dxa"/>
            <w:tcBorders>
              <w:top w:val="nil"/>
              <w:left w:val="nil"/>
              <w:bottom w:val="nil"/>
              <w:right w:val="single" w:sz="4" w:space="0" w:color="auto"/>
            </w:tcBorders>
            <w:shd w:val="clear" w:color="auto" w:fill="auto"/>
            <w:noWrap/>
            <w:vAlign w:val="center"/>
          </w:tcPr>
          <w:p w14:paraId="15D9D877" w14:textId="1555468E"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2 389,4</w:t>
            </w:r>
          </w:p>
        </w:tc>
        <w:tc>
          <w:tcPr>
            <w:tcW w:w="1056" w:type="dxa"/>
            <w:tcBorders>
              <w:top w:val="nil"/>
              <w:left w:val="nil"/>
              <w:bottom w:val="nil"/>
              <w:right w:val="nil"/>
            </w:tcBorders>
            <w:shd w:val="clear" w:color="auto" w:fill="auto"/>
            <w:vAlign w:val="center"/>
          </w:tcPr>
          <w:p w14:paraId="6152037A" w14:textId="03807940"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4 647,0</w:t>
            </w:r>
          </w:p>
        </w:tc>
        <w:tc>
          <w:tcPr>
            <w:tcW w:w="947" w:type="dxa"/>
            <w:tcBorders>
              <w:top w:val="nil"/>
              <w:left w:val="nil"/>
              <w:bottom w:val="nil"/>
              <w:right w:val="nil"/>
            </w:tcBorders>
            <w:shd w:val="clear" w:color="auto" w:fill="auto"/>
            <w:vAlign w:val="center"/>
          </w:tcPr>
          <w:p w14:paraId="225C4CA5" w14:textId="72B8408C"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2 300,7</w:t>
            </w:r>
          </w:p>
        </w:tc>
        <w:tc>
          <w:tcPr>
            <w:tcW w:w="938" w:type="dxa"/>
            <w:tcBorders>
              <w:top w:val="nil"/>
              <w:left w:val="nil"/>
              <w:bottom w:val="nil"/>
              <w:right w:val="single" w:sz="4" w:space="0" w:color="auto"/>
            </w:tcBorders>
            <w:shd w:val="clear" w:color="auto" w:fill="auto"/>
            <w:vAlign w:val="center"/>
          </w:tcPr>
          <w:p w14:paraId="49F509F1" w14:textId="219132D2"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2 346,3</w:t>
            </w:r>
          </w:p>
        </w:tc>
        <w:tc>
          <w:tcPr>
            <w:tcW w:w="952" w:type="dxa"/>
            <w:tcBorders>
              <w:top w:val="nil"/>
              <w:left w:val="nil"/>
              <w:bottom w:val="nil"/>
              <w:right w:val="nil"/>
            </w:tcBorders>
            <w:shd w:val="clear" w:color="auto" w:fill="auto"/>
            <w:noWrap/>
            <w:vAlign w:val="center"/>
          </w:tcPr>
          <w:p w14:paraId="588B3EA3" w14:textId="5A5774C9"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100,9</w:t>
            </w:r>
          </w:p>
        </w:tc>
        <w:tc>
          <w:tcPr>
            <w:tcW w:w="1046" w:type="dxa"/>
            <w:tcBorders>
              <w:top w:val="nil"/>
              <w:left w:val="nil"/>
              <w:bottom w:val="nil"/>
              <w:right w:val="nil"/>
            </w:tcBorders>
            <w:shd w:val="clear" w:color="auto" w:fill="auto"/>
            <w:vAlign w:val="center"/>
          </w:tcPr>
          <w:p w14:paraId="70EED61E" w14:textId="68281C55"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57,8</w:t>
            </w:r>
          </w:p>
        </w:tc>
        <w:tc>
          <w:tcPr>
            <w:tcW w:w="947" w:type="dxa"/>
            <w:tcBorders>
              <w:top w:val="nil"/>
              <w:left w:val="nil"/>
              <w:bottom w:val="nil"/>
              <w:right w:val="nil"/>
            </w:tcBorders>
            <w:shd w:val="clear" w:color="auto" w:fill="auto"/>
            <w:noWrap/>
            <w:vAlign w:val="center"/>
          </w:tcPr>
          <w:p w14:paraId="1599341D" w14:textId="65D3D67F" w:rsidR="00DA421C" w:rsidRPr="00DA421C" w:rsidRDefault="00DA421C" w:rsidP="00DA421C">
            <w:pPr>
              <w:spacing w:after="0" w:line="240" w:lineRule="auto"/>
              <w:jc w:val="right"/>
              <w:rPr>
                <w:rFonts w:cs="Arial"/>
                <w:color w:val="000000"/>
                <w:sz w:val="16"/>
                <w:szCs w:val="16"/>
              </w:rPr>
            </w:pPr>
            <w:r w:rsidRPr="00DA421C">
              <w:rPr>
                <w:rFonts w:cs="Arial"/>
                <w:color w:val="000000"/>
                <w:sz w:val="16"/>
                <w:szCs w:val="16"/>
              </w:rPr>
              <w:t>43,1</w:t>
            </w:r>
          </w:p>
        </w:tc>
      </w:tr>
    </w:tbl>
    <w:p w14:paraId="5361EE45" w14:textId="77777777" w:rsidR="00BC2532" w:rsidRPr="00DA421C" w:rsidRDefault="00BC2532" w:rsidP="00BC2532">
      <w:pPr>
        <w:spacing w:before="120" w:after="120"/>
        <w:jc w:val="both"/>
        <w:rPr>
          <w:rFonts w:cs="Arial"/>
          <w:bCs/>
          <w:color w:val="000000"/>
          <w:sz w:val="16"/>
          <w:szCs w:val="20"/>
        </w:rPr>
      </w:pPr>
      <w:r w:rsidRPr="00DA421C">
        <w:rPr>
          <w:rFonts w:cs="Arial"/>
          <w:bCs/>
          <w:color w:val="000000"/>
          <w:sz w:val="16"/>
          <w:szCs w:val="20"/>
        </w:rPr>
        <w:t>Zdroj: ČSÚ</w:t>
      </w:r>
    </w:p>
    <w:p w14:paraId="6EFEB956" w14:textId="7C401A79" w:rsidR="00BC2532" w:rsidRPr="00E81D97" w:rsidRDefault="00BC2532" w:rsidP="00FF0706">
      <w:pPr>
        <w:spacing w:after="120"/>
        <w:jc w:val="both"/>
      </w:pPr>
      <w:r w:rsidRPr="00E81D97">
        <w:t xml:space="preserve">Počet </w:t>
      </w:r>
      <w:r w:rsidRPr="00E81D97">
        <w:rPr>
          <w:b/>
        </w:rPr>
        <w:t xml:space="preserve">dobrovolně </w:t>
      </w:r>
      <w:proofErr w:type="spellStart"/>
      <w:r w:rsidRPr="00E81D97">
        <w:rPr>
          <w:b/>
        </w:rPr>
        <w:t>nemocensky</w:t>
      </w:r>
      <w:proofErr w:type="spellEnd"/>
      <w:r w:rsidRPr="00E81D97">
        <w:rPr>
          <w:b/>
        </w:rPr>
        <w:t xml:space="preserve"> pojištěných</w:t>
      </w:r>
      <w:r w:rsidRPr="00E81D97">
        <w:t xml:space="preserve"> – tedy </w:t>
      </w:r>
      <w:r w:rsidRPr="00E81D97">
        <w:rPr>
          <w:b/>
        </w:rPr>
        <w:t>osob samostatně výdělečně činných</w:t>
      </w:r>
      <w:r w:rsidRPr="00E81D97">
        <w:t xml:space="preserve"> </w:t>
      </w:r>
      <w:r w:rsidRPr="00E81D97">
        <w:rPr>
          <w:b/>
        </w:rPr>
        <w:t>(OSVČ)</w:t>
      </w:r>
      <w:r w:rsidRPr="00E81D97">
        <w:t xml:space="preserve"> </w:t>
      </w:r>
      <w:r w:rsidRPr="00E81D97">
        <w:br/>
        <w:t>– pokračoval v rostoucím trendu nastoleném od roku 2016. Jejich počet v roce 202</w:t>
      </w:r>
      <w:r w:rsidR="00E81D97" w:rsidRPr="00E81D97">
        <w:t>2</w:t>
      </w:r>
      <w:r w:rsidRPr="00E81D97">
        <w:t xml:space="preserve"> </w:t>
      </w:r>
      <w:r w:rsidR="00E81D97" w:rsidRPr="00E81D97">
        <w:t>přesáhl hranici</w:t>
      </w:r>
      <w:r w:rsidRPr="00E81D97">
        <w:t xml:space="preserve"> </w:t>
      </w:r>
      <w:r w:rsidR="00E81D97" w:rsidRPr="00E81D97">
        <w:t>100</w:t>
      </w:r>
      <w:r w:rsidRPr="00E81D97">
        <w:t> tis., meziročně</w:t>
      </w:r>
      <w:r w:rsidR="00E81D97" w:rsidRPr="00E81D97">
        <w:t xml:space="preserve"> se zvýšil</w:t>
      </w:r>
      <w:r w:rsidRPr="00E81D97">
        <w:t xml:space="preserve"> o </w:t>
      </w:r>
      <w:r w:rsidR="00E81D97" w:rsidRPr="00E81D97">
        <w:t>více než 2</w:t>
      </w:r>
      <w:r w:rsidRPr="00E81D97">
        <w:t xml:space="preserve"> %. Přesto podíl pojištěných OSVČ na celkovém počtu OSVČ vykonávajících hlavní činnost </w:t>
      </w:r>
      <w:r w:rsidR="00753188">
        <w:t>zůstává na</w:t>
      </w:r>
      <w:r w:rsidR="00753188" w:rsidRPr="00E81D97">
        <w:t xml:space="preserve"> </w:t>
      </w:r>
      <w:r w:rsidRPr="00E81D97">
        <w:t xml:space="preserve">necelých 16 %. Muži </w:t>
      </w:r>
      <w:r w:rsidR="00E81D97" w:rsidRPr="00E81D97">
        <w:t xml:space="preserve">představovali 57 % </w:t>
      </w:r>
      <w:proofErr w:type="spellStart"/>
      <w:r w:rsidRPr="00E81D97">
        <w:t>nemocensky</w:t>
      </w:r>
      <w:proofErr w:type="spellEnd"/>
      <w:r w:rsidRPr="00E81D97">
        <w:t xml:space="preserve"> pojištěných OSVČ</w:t>
      </w:r>
      <w:r w:rsidR="00E81D97" w:rsidRPr="00E81D97">
        <w:t>.</w:t>
      </w:r>
      <w:r w:rsidRPr="00E81D97">
        <w:t xml:space="preserve"> </w:t>
      </w:r>
      <w:proofErr w:type="spellStart"/>
      <w:r w:rsidRPr="00E81D97">
        <w:lastRenderedPageBreak/>
        <w:t>Nemocensky</w:t>
      </w:r>
      <w:proofErr w:type="spellEnd"/>
      <w:r w:rsidRPr="00E81D97">
        <w:t xml:space="preserve"> pojištěných OSVČ z řad žen přibývá. </w:t>
      </w:r>
      <w:r w:rsidR="00D241F4" w:rsidRPr="00E81D97">
        <w:t>Jejich počet – 4</w:t>
      </w:r>
      <w:r w:rsidR="00E81D97" w:rsidRPr="00E81D97">
        <w:t>3,1</w:t>
      </w:r>
      <w:r w:rsidR="00D241F4" w:rsidRPr="00E81D97">
        <w:t xml:space="preserve"> tis. – byl nejvyšší </w:t>
      </w:r>
      <w:r w:rsidR="00E81D97" w:rsidRPr="00E81D97">
        <w:t>v uplynulém desetiletí</w:t>
      </w:r>
      <w:r w:rsidR="00D241F4" w:rsidRPr="00E81D97">
        <w:t>. Může to být ovlivněno nárokem na peněžitou podporu v</w:t>
      </w:r>
      <w:r w:rsidR="00756424" w:rsidRPr="00E81D97">
        <w:t> </w:t>
      </w:r>
      <w:r w:rsidR="00D241F4" w:rsidRPr="00E81D97">
        <w:t>mateřství</w:t>
      </w:r>
      <w:r w:rsidR="00756424" w:rsidRPr="00E81D97">
        <w:t xml:space="preserve"> v případě placení nemocenského pojištění</w:t>
      </w:r>
      <w:r w:rsidR="00D241F4" w:rsidRPr="00E81D97">
        <w:t xml:space="preserve">, ale i větší ochotou žen samostatně výdělečně činných si nemocenské </w:t>
      </w:r>
      <w:r w:rsidR="00756424" w:rsidRPr="00E81D97">
        <w:t xml:space="preserve">pojištění </w:t>
      </w:r>
      <w:r w:rsidR="00D241F4" w:rsidRPr="00E81D97">
        <w:t xml:space="preserve">platit. </w:t>
      </w:r>
      <w:r w:rsidRPr="00E81D97">
        <w:t>Zatímco v roce 201</w:t>
      </w:r>
      <w:r w:rsidR="00E81D97" w:rsidRPr="00E81D97">
        <w:t>2</w:t>
      </w:r>
      <w:r w:rsidRPr="00E81D97">
        <w:t xml:space="preserve"> </w:t>
      </w:r>
      <w:r w:rsidR="00D241F4" w:rsidRPr="00E81D97">
        <w:t xml:space="preserve">ženy </w:t>
      </w:r>
      <w:r w:rsidR="00E81D97" w:rsidRPr="00E81D97">
        <w:t>tvořily 38</w:t>
      </w:r>
      <w:r w:rsidRPr="00E81D97">
        <w:t xml:space="preserve"> % všech </w:t>
      </w:r>
      <w:proofErr w:type="spellStart"/>
      <w:r w:rsidR="004930CE" w:rsidRPr="00E81D97">
        <w:t>nemocensky</w:t>
      </w:r>
      <w:proofErr w:type="spellEnd"/>
      <w:r w:rsidR="004930CE" w:rsidRPr="00E81D97">
        <w:t xml:space="preserve"> pojištěných </w:t>
      </w:r>
      <w:r w:rsidRPr="00E81D97">
        <w:t>OSVČ, v roce 202</w:t>
      </w:r>
      <w:r w:rsidR="00E81D97" w:rsidRPr="00E81D97">
        <w:t>2</w:t>
      </w:r>
      <w:r w:rsidRPr="00E81D97">
        <w:t xml:space="preserve"> to bylo o </w:t>
      </w:r>
      <w:r w:rsidR="00E81D97" w:rsidRPr="00E81D97">
        <w:t xml:space="preserve">4 p. b. </w:t>
      </w:r>
      <w:proofErr w:type="gramStart"/>
      <w:r w:rsidR="00E81D97" w:rsidRPr="00E81D97">
        <w:t>více</w:t>
      </w:r>
      <w:proofErr w:type="gramEnd"/>
      <w:r w:rsidR="00E81D97" w:rsidRPr="00E81D97">
        <w:t>.</w:t>
      </w:r>
    </w:p>
    <w:p w14:paraId="3D190424" w14:textId="5281EAD9" w:rsidR="00BC2532" w:rsidRPr="00D87FBB" w:rsidRDefault="00BC2532" w:rsidP="00BC2532">
      <w:pPr>
        <w:spacing w:after="120"/>
        <w:jc w:val="both"/>
      </w:pPr>
      <w:r w:rsidRPr="00D87FBB">
        <w:t xml:space="preserve">Pomineme-li meziroční pokles v roce 2020 a stagnaci v roce předchozím, je patrné, že vlivem rostoucího počtu zaměstnanců se od roku 2014 kontinuálně zvyšoval i průměrný počet </w:t>
      </w:r>
      <w:proofErr w:type="spellStart"/>
      <w:r w:rsidRPr="00D87FBB">
        <w:t>nemocensky</w:t>
      </w:r>
      <w:proofErr w:type="spellEnd"/>
      <w:r w:rsidRPr="00D87FBB">
        <w:t xml:space="preserve"> pojištěných. Mezi roky 2014 a 20</w:t>
      </w:r>
      <w:r w:rsidR="00633598" w:rsidRPr="00D87FBB">
        <w:t>22</w:t>
      </w:r>
      <w:r w:rsidRPr="00D87FBB">
        <w:t xml:space="preserve"> došlo k nárůstu počtu pojištěnců mezi zaměstnanci o 6,</w:t>
      </w:r>
      <w:r w:rsidR="00633598" w:rsidRPr="00D87FBB">
        <w:t>6</w:t>
      </w:r>
      <w:r w:rsidRPr="00D87FBB">
        <w:t xml:space="preserve"> % (28</w:t>
      </w:r>
      <w:r w:rsidR="00633598" w:rsidRPr="00D87FBB">
        <w:t>9</w:t>
      </w:r>
      <w:r w:rsidRPr="00D87FBB">
        <w:t xml:space="preserve"> tis.). Na tomto nárůstu se podílely především ženy. Za </w:t>
      </w:r>
      <w:r w:rsidR="00633598" w:rsidRPr="00D87FBB">
        <w:t>toto období</w:t>
      </w:r>
      <w:r w:rsidRPr="00D87FBB">
        <w:t xml:space="preserve"> vzrostl </w:t>
      </w:r>
      <w:r w:rsidRPr="00D87FBB">
        <w:rPr>
          <w:b/>
        </w:rPr>
        <w:t xml:space="preserve">počet </w:t>
      </w:r>
      <w:proofErr w:type="spellStart"/>
      <w:r w:rsidRPr="00D87FBB">
        <w:rPr>
          <w:b/>
        </w:rPr>
        <w:t>nemocensky</w:t>
      </w:r>
      <w:proofErr w:type="spellEnd"/>
      <w:r w:rsidRPr="00D87FBB">
        <w:rPr>
          <w:b/>
        </w:rPr>
        <w:t xml:space="preserve"> pojištěných zaměstnankyň </w:t>
      </w:r>
      <w:r w:rsidRPr="00D87FBB">
        <w:t xml:space="preserve">o </w:t>
      </w:r>
      <w:r w:rsidR="00633598" w:rsidRPr="00D87FBB">
        <w:t>9</w:t>
      </w:r>
      <w:r w:rsidRPr="00D87FBB">
        <w:t xml:space="preserve"> % (1</w:t>
      </w:r>
      <w:r w:rsidR="00633598" w:rsidRPr="00D87FBB">
        <w:t>96</w:t>
      </w:r>
      <w:r w:rsidR="000E5B48">
        <w:t> </w:t>
      </w:r>
      <w:r w:rsidR="00633598" w:rsidRPr="00D87FBB">
        <w:t xml:space="preserve">tis.). </w:t>
      </w:r>
      <w:proofErr w:type="spellStart"/>
      <w:r w:rsidR="00D87FBB" w:rsidRPr="00D87FBB">
        <w:t>Nemocensky</w:t>
      </w:r>
      <w:proofErr w:type="spellEnd"/>
      <w:r w:rsidR="00D87FBB" w:rsidRPr="00D87FBB">
        <w:t xml:space="preserve"> pojištěných zaměstnanců (mužů) </w:t>
      </w:r>
      <w:r w:rsidR="00753188">
        <w:t>při</w:t>
      </w:r>
      <w:r w:rsidR="00D87FBB" w:rsidRPr="00D87FBB">
        <w:t>bylo o 4 % (93 tis.).</w:t>
      </w:r>
    </w:p>
    <w:p w14:paraId="03C0A223" w14:textId="738610DD" w:rsidR="00440BF9" w:rsidRPr="00D87FBB" w:rsidRDefault="00440BF9" w:rsidP="00440BF9">
      <w:pPr>
        <w:spacing w:after="120"/>
        <w:jc w:val="both"/>
      </w:pPr>
      <w:r w:rsidRPr="00D87FBB">
        <w:t>Z </w:t>
      </w:r>
      <w:r w:rsidRPr="00D87FBB">
        <w:rPr>
          <w:b/>
        </w:rPr>
        <w:t>regionálního pohledu</w:t>
      </w:r>
      <w:r w:rsidRPr="00D87FBB">
        <w:t xml:space="preserve"> je nejvyšší průměrný počet </w:t>
      </w:r>
      <w:proofErr w:type="spellStart"/>
      <w:r w:rsidRPr="00D87FBB">
        <w:t>nemocensky</w:t>
      </w:r>
      <w:proofErr w:type="spellEnd"/>
      <w:r w:rsidRPr="00D87FBB">
        <w:t xml:space="preserve"> pojištěných v hlavním městě Praze, a to 1 2</w:t>
      </w:r>
      <w:r w:rsidR="00D87FBB" w:rsidRPr="00D87FBB">
        <w:t>8</w:t>
      </w:r>
      <w:r w:rsidRPr="00D87FBB">
        <w:t>7 tis.</w:t>
      </w:r>
      <w:r w:rsidR="00D87FBB" w:rsidRPr="00D87FBB">
        <w:t>, což je o 30 tis. více než v roce 2021. Pojištěnci v Praze představují více</w:t>
      </w:r>
      <w:r w:rsidRPr="00D87FBB">
        <w:t xml:space="preserve"> než čtvrtin</w:t>
      </w:r>
      <w:r w:rsidR="00D87FBB" w:rsidRPr="00D87FBB">
        <w:t>u</w:t>
      </w:r>
      <w:r w:rsidRPr="00D87FBB">
        <w:t xml:space="preserve"> republikové hodnoty. Zásadní roli zde sehrává skutečnost, že data v krajském třídění jsou zpracována </w:t>
      </w:r>
      <w:r w:rsidRPr="00D87FBB">
        <w:rPr>
          <w:b/>
        </w:rPr>
        <w:t>podle sídla zaměstnavatele, resp. jeho mzdové účtárny</w:t>
      </w:r>
      <w:r w:rsidRPr="00D87FBB">
        <w:t xml:space="preserve"> a není výjimkou, aby firma se sídlem v Praze působila v jiných regionech či dokonce celorepublikově. Druhé a třetí místo obsadily Jihomoravský kraj s 5</w:t>
      </w:r>
      <w:r w:rsidR="00D87FBB" w:rsidRPr="00D87FBB">
        <w:t>23</w:t>
      </w:r>
      <w:r w:rsidRPr="00D87FBB">
        <w:t xml:space="preserve"> tis. pojištěnců (11</w:t>
      </w:r>
      <w:r w:rsidR="00D87FBB" w:rsidRPr="00D87FBB">
        <w:t> </w:t>
      </w:r>
      <w:r w:rsidRPr="00D87FBB">
        <w:t xml:space="preserve">% všech pojištěnců v ČR) a </w:t>
      </w:r>
      <w:r w:rsidR="00D87FBB" w:rsidRPr="00D87FBB">
        <w:t>nejlidnatější Středočeský</w:t>
      </w:r>
      <w:r w:rsidRPr="00D87FBB">
        <w:t xml:space="preserve"> kraj s 46</w:t>
      </w:r>
      <w:r w:rsidR="00D87FBB" w:rsidRPr="00D87FBB">
        <w:t>8</w:t>
      </w:r>
      <w:r w:rsidRPr="00D87FBB">
        <w:t xml:space="preserve"> tis. pojištěnců (10 %). Jedním z faktorů, který toto ovlivňuje, je bezesporu dojíždění Středočechů za zaměstnáním do Prahy.</w:t>
      </w:r>
    </w:p>
    <w:p w14:paraId="1018D004" w14:textId="39CAE8CA" w:rsidR="00D241F4" w:rsidRPr="00F5334B" w:rsidRDefault="00D241F4" w:rsidP="00D241F4">
      <w:pPr>
        <w:spacing w:after="120"/>
        <w:jc w:val="both"/>
      </w:pPr>
      <w:r w:rsidRPr="00F5334B">
        <w:t xml:space="preserve">Co se týče </w:t>
      </w:r>
      <w:r w:rsidRPr="00F5334B">
        <w:rPr>
          <w:b/>
        </w:rPr>
        <w:t>velikosti podniku</w:t>
      </w:r>
      <w:r w:rsidRPr="00F5334B">
        <w:t xml:space="preserve">, třetina </w:t>
      </w:r>
      <w:proofErr w:type="spellStart"/>
      <w:r w:rsidRPr="00F5334B">
        <w:t>nemocensky</w:t>
      </w:r>
      <w:proofErr w:type="spellEnd"/>
      <w:r w:rsidRPr="00F5334B">
        <w:t xml:space="preserve"> pojištěných osob (1 54</w:t>
      </w:r>
      <w:r w:rsidR="00F5334B" w:rsidRPr="00F5334B">
        <w:t>1</w:t>
      </w:r>
      <w:r w:rsidRPr="00F5334B">
        <w:t xml:space="preserve"> tis.) pracuje ve velkých firmách s 500 a více zaměstnanci. Za posledních deset let jejich počet vzrostl </w:t>
      </w:r>
      <w:r w:rsidR="003A69CB">
        <w:t xml:space="preserve">o více než </w:t>
      </w:r>
      <w:r w:rsidR="00F5334B" w:rsidRPr="00F5334B">
        <w:t>138</w:t>
      </w:r>
      <w:r w:rsidRPr="00F5334B">
        <w:t xml:space="preserve"> tis. osob. Další necelá třetina připadá na podniky mající do 50 zaměstnanců, kde v roce 202</w:t>
      </w:r>
      <w:r w:rsidR="00F5334B" w:rsidRPr="00F5334B">
        <w:t>2</w:t>
      </w:r>
      <w:r w:rsidRPr="00F5334B">
        <w:t xml:space="preserve"> pracovalo </w:t>
      </w:r>
      <w:r w:rsidR="00F5334B" w:rsidRPr="00F5334B">
        <w:t>více než</w:t>
      </w:r>
      <w:r w:rsidRPr="00F5334B">
        <w:t xml:space="preserve"> 1,5 mil. </w:t>
      </w:r>
      <w:proofErr w:type="spellStart"/>
      <w:r w:rsidRPr="00F5334B">
        <w:t>nemocensky</w:t>
      </w:r>
      <w:proofErr w:type="spellEnd"/>
      <w:r w:rsidRPr="00F5334B">
        <w:t xml:space="preserve"> pojištěných osob. Nejnižší podíl mezi </w:t>
      </w:r>
      <w:proofErr w:type="spellStart"/>
      <w:r w:rsidRPr="00F5334B">
        <w:t>nemocensky</w:t>
      </w:r>
      <w:proofErr w:type="spellEnd"/>
      <w:r w:rsidRPr="00F5334B">
        <w:t xml:space="preserve"> pojištěnými osobami představují </w:t>
      </w:r>
      <w:r w:rsidRPr="00F5334B">
        <w:rPr>
          <w:b/>
        </w:rPr>
        <w:t>OSVČ</w:t>
      </w:r>
      <w:r w:rsidRPr="00F5334B">
        <w:t>, které jsou, jak už bylo zmíněno, pojištěny dobrovolně. V roce 202</w:t>
      </w:r>
      <w:r w:rsidR="00F5334B" w:rsidRPr="00F5334B">
        <w:t>2</w:t>
      </w:r>
      <w:r w:rsidRPr="00F5334B">
        <w:t xml:space="preserve"> tvořily pouhá 2</w:t>
      </w:r>
      <w:r w:rsidR="009437B8">
        <w:t>,1</w:t>
      </w:r>
      <w:r w:rsidRPr="00F5334B">
        <w:t xml:space="preserve"> % z celkového počtu pojištěnců v ČR. Před deseti lety byl jejich podíl </w:t>
      </w:r>
      <w:r w:rsidR="00F5334B" w:rsidRPr="00F5334B">
        <w:t>2,7</w:t>
      </w:r>
      <w:r w:rsidRPr="00F5334B">
        <w:t xml:space="preserve"> %. </w:t>
      </w:r>
    </w:p>
    <w:p w14:paraId="22F0DEE1" w14:textId="798568AD" w:rsidR="00D241F4" w:rsidRPr="00F5334B" w:rsidRDefault="00F5334B" w:rsidP="000731F7">
      <w:pPr>
        <w:spacing w:after="0"/>
        <w:jc w:val="both"/>
        <w:rPr>
          <w:b/>
        </w:rPr>
      </w:pPr>
      <w:r w:rsidRPr="00F5334B">
        <w:rPr>
          <w:noProof/>
        </w:rPr>
        <w:drawing>
          <wp:anchor distT="0" distB="0" distL="114300" distR="114300" simplePos="0" relativeHeight="251667968" behindDoc="1" locked="0" layoutInCell="1" allowOverlap="1" wp14:anchorId="5094AD16" wp14:editId="67D366AD">
            <wp:simplePos x="0" y="0"/>
            <wp:positionH relativeFrom="margin">
              <wp:align>right</wp:align>
            </wp:positionH>
            <wp:positionV relativeFrom="paragraph">
              <wp:posOffset>171450</wp:posOffset>
            </wp:positionV>
            <wp:extent cx="3248025" cy="2714625"/>
            <wp:effectExtent l="0" t="0" r="9525" b="9525"/>
            <wp:wrapTight wrapText="bothSides">
              <wp:wrapPolygon edited="0">
                <wp:start x="0" y="0"/>
                <wp:lineTo x="0" y="21524"/>
                <wp:lineTo x="21537" y="21524"/>
                <wp:lineTo x="21537" y="0"/>
                <wp:lineTo x="0" y="0"/>
              </wp:wrapPolygon>
            </wp:wrapTight>
            <wp:docPr id="35" name="Graf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r w:rsidRPr="00F5334B">
        <w:rPr>
          <w:noProof/>
        </w:rPr>
        <w:drawing>
          <wp:anchor distT="0" distB="0" distL="114300" distR="114300" simplePos="0" relativeHeight="251666944" behindDoc="1" locked="0" layoutInCell="1" allowOverlap="1" wp14:anchorId="4ABCBE45" wp14:editId="3F8BCDAF">
            <wp:simplePos x="0" y="0"/>
            <wp:positionH relativeFrom="margin">
              <wp:align>left</wp:align>
            </wp:positionH>
            <wp:positionV relativeFrom="paragraph">
              <wp:posOffset>180975</wp:posOffset>
            </wp:positionV>
            <wp:extent cx="2867025" cy="2705100"/>
            <wp:effectExtent l="0" t="0" r="9525" b="0"/>
            <wp:wrapTight wrapText="bothSides">
              <wp:wrapPolygon edited="0">
                <wp:start x="0" y="0"/>
                <wp:lineTo x="0" y="21448"/>
                <wp:lineTo x="21528" y="21448"/>
                <wp:lineTo x="21528" y="0"/>
                <wp:lineTo x="0" y="0"/>
              </wp:wrapPolygon>
            </wp:wrapTight>
            <wp:docPr id="16" name="Graf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page">
              <wp14:pctWidth>0</wp14:pctWidth>
            </wp14:sizeRelH>
            <wp14:sizeRelV relativeFrom="page">
              <wp14:pctHeight>0</wp14:pctHeight>
            </wp14:sizeRelV>
          </wp:anchor>
        </w:drawing>
      </w:r>
      <w:r w:rsidR="00D241F4" w:rsidRPr="00F5334B">
        <w:rPr>
          <w:b/>
        </w:rPr>
        <w:t xml:space="preserve">Graf 1.1: Průměrný počet </w:t>
      </w:r>
      <w:proofErr w:type="spellStart"/>
      <w:r w:rsidR="00D241F4" w:rsidRPr="00F5334B">
        <w:rPr>
          <w:b/>
        </w:rPr>
        <w:t>nemocensky</w:t>
      </w:r>
      <w:proofErr w:type="spellEnd"/>
      <w:r w:rsidR="00D241F4" w:rsidRPr="00F5334B">
        <w:rPr>
          <w:b/>
        </w:rPr>
        <w:t xml:space="preserve"> pojištěných osob podle velikosti podniku, 201</w:t>
      </w:r>
      <w:r w:rsidR="00D87FBB" w:rsidRPr="00F5334B">
        <w:rPr>
          <w:b/>
        </w:rPr>
        <w:t>2</w:t>
      </w:r>
      <w:r w:rsidR="00D241F4" w:rsidRPr="00F5334B">
        <w:rPr>
          <w:b/>
        </w:rPr>
        <w:t>, 201</w:t>
      </w:r>
      <w:r w:rsidR="00D87FBB" w:rsidRPr="00F5334B">
        <w:rPr>
          <w:b/>
        </w:rPr>
        <w:t>7</w:t>
      </w:r>
      <w:r w:rsidR="00D241F4" w:rsidRPr="00F5334B">
        <w:rPr>
          <w:b/>
        </w:rPr>
        <w:t>, 202</w:t>
      </w:r>
      <w:r w:rsidR="00D87FBB" w:rsidRPr="00F5334B">
        <w:rPr>
          <w:b/>
        </w:rPr>
        <w:t>2</w:t>
      </w:r>
    </w:p>
    <w:p w14:paraId="46C67AE6" w14:textId="10F309B9" w:rsidR="00D241F4" w:rsidRPr="00F5334B" w:rsidRDefault="00D87FBB" w:rsidP="000731F7">
      <w:pPr>
        <w:spacing w:after="120"/>
        <w:jc w:val="both"/>
        <w:rPr>
          <w:rFonts w:cs="Arial"/>
          <w:bCs/>
          <w:color w:val="000000"/>
          <w:sz w:val="16"/>
          <w:szCs w:val="20"/>
        </w:rPr>
      </w:pPr>
      <w:r w:rsidRPr="00D87FBB">
        <w:rPr>
          <w:noProof/>
        </w:rPr>
        <w:t xml:space="preserve"> </w:t>
      </w:r>
      <w:r w:rsidR="00D241F4" w:rsidRPr="00F5334B">
        <w:rPr>
          <w:rFonts w:cs="Arial"/>
          <w:bCs/>
          <w:color w:val="000000"/>
          <w:sz w:val="16"/>
          <w:szCs w:val="20"/>
        </w:rPr>
        <w:t>Zdroj: ČSÚ</w:t>
      </w:r>
    </w:p>
    <w:p w14:paraId="4765A185" w14:textId="6897308A" w:rsidR="000423A6" w:rsidRPr="00A40A6B" w:rsidRDefault="00C61BBC" w:rsidP="00C61BBC">
      <w:pPr>
        <w:spacing w:after="120"/>
        <w:jc w:val="both"/>
      </w:pPr>
      <w:r w:rsidRPr="00A40A6B">
        <w:t xml:space="preserve">Nejvíce zastoupenými </w:t>
      </w:r>
      <w:r w:rsidRPr="00A40A6B">
        <w:rPr>
          <w:b/>
        </w:rPr>
        <w:t>odvětvími</w:t>
      </w:r>
      <w:r w:rsidRPr="00A40A6B">
        <w:t xml:space="preserve">, co do počtu </w:t>
      </w:r>
      <w:proofErr w:type="spellStart"/>
      <w:r w:rsidRPr="00A40A6B">
        <w:t>nemocensky</w:t>
      </w:r>
      <w:proofErr w:type="spellEnd"/>
      <w:r w:rsidRPr="00A40A6B">
        <w:t xml:space="preserve"> pojištěných, jsou sekce Zpracovatelský průmysl a Velkoobchod a maloobchod, opravy a údržba motorových vozidel, což odráží strukturu české ekonomiky. Tato dvě odvětví dohromady zaměstnávají </w:t>
      </w:r>
      <w:r w:rsidR="00A40A6B" w:rsidRPr="00A40A6B">
        <w:t>dvě pětiny (39 %)</w:t>
      </w:r>
      <w:r w:rsidRPr="00A40A6B">
        <w:t xml:space="preserve"> všech </w:t>
      </w:r>
      <w:proofErr w:type="spellStart"/>
      <w:r w:rsidRPr="00A40A6B">
        <w:t>nemocensky</w:t>
      </w:r>
      <w:proofErr w:type="spellEnd"/>
      <w:r w:rsidRPr="00A40A6B">
        <w:t xml:space="preserve"> pojištěných, přičemž na podniky s převažující ekonomickou činností ve zpracovatelském průmyslu připadá 25 % pojištěnců. V rámci zpracovatelského průmyslu působilo nejvíce </w:t>
      </w:r>
      <w:proofErr w:type="spellStart"/>
      <w:r w:rsidRPr="00A40A6B">
        <w:t>nemocensky</w:t>
      </w:r>
      <w:proofErr w:type="spellEnd"/>
      <w:r w:rsidRPr="00A40A6B">
        <w:t xml:space="preserve"> pojištěných osob v automobilovém průmyslu (CZ-NACE oddíl 29), kde v roce 202</w:t>
      </w:r>
      <w:r w:rsidR="004E3FEB">
        <w:t>2</w:t>
      </w:r>
      <w:r w:rsidRPr="00A40A6B">
        <w:t xml:space="preserve"> pracovalo 15 % všech </w:t>
      </w:r>
      <w:proofErr w:type="spellStart"/>
      <w:r w:rsidRPr="00A40A6B">
        <w:t>nemocensky</w:t>
      </w:r>
      <w:proofErr w:type="spellEnd"/>
      <w:r w:rsidRPr="00A40A6B">
        <w:t xml:space="preserve"> pojištěných osob ze zpracovatelského průmyslu. S menším odstupem následovaly kovozpracující (oddíl 25) a strojírenský (oddíl 28) průmysl, na které připadalo 13 %, resp. 10 % ze všech </w:t>
      </w:r>
      <w:proofErr w:type="spellStart"/>
      <w:r w:rsidRPr="00A40A6B">
        <w:t>nemocensky</w:t>
      </w:r>
      <w:proofErr w:type="spellEnd"/>
      <w:r w:rsidRPr="00A40A6B">
        <w:t xml:space="preserve"> pojištěných osob ve zpracovatelském průmyslu. </w:t>
      </w:r>
      <w:r w:rsidR="000423A6" w:rsidRPr="00A40A6B">
        <w:t xml:space="preserve">Vzhledem k velkému zastoupení </w:t>
      </w:r>
      <w:r w:rsidR="006C1C86">
        <w:t>z</w:t>
      </w:r>
      <w:r w:rsidR="000423A6" w:rsidRPr="00A40A6B">
        <w:t>pracovatelského průmyslu v rámci české ekonomiky je této sekci věnována samostatná část 8 tabulkové přílohy.</w:t>
      </w:r>
    </w:p>
    <w:p w14:paraId="20F24E99" w14:textId="1F7F6A3E" w:rsidR="00C61BBC" w:rsidRPr="00BE515D" w:rsidRDefault="00C61BBC" w:rsidP="00C61BBC">
      <w:pPr>
        <w:spacing w:after="120"/>
        <w:jc w:val="both"/>
      </w:pPr>
      <w:r w:rsidRPr="00BE515D">
        <w:lastRenderedPageBreak/>
        <w:t>V odvětvových sekcích Veřejná správa</w:t>
      </w:r>
      <w:r w:rsidR="00A40A6B" w:rsidRPr="00BE515D">
        <w:rPr>
          <w:rStyle w:val="Znakapoznpodarou"/>
        </w:rPr>
        <w:footnoteReference w:id="9"/>
      </w:r>
      <w:r w:rsidRPr="00BE515D">
        <w:t xml:space="preserve">, Vzdělávání a Zdravotní </w:t>
      </w:r>
      <w:r w:rsidR="00BE515D" w:rsidRPr="00BE515D">
        <w:t>a sociální péče byla v roce 2022</w:t>
      </w:r>
      <w:r w:rsidRPr="00BE515D">
        <w:t xml:space="preserve"> </w:t>
      </w:r>
      <w:r w:rsidR="00BE515D" w:rsidRPr="00BE515D">
        <w:t>celkově</w:t>
      </w:r>
      <w:r w:rsidRPr="00BE515D">
        <w:t xml:space="preserve"> zaměstnána více než pětina (23 %) ze všech </w:t>
      </w:r>
      <w:proofErr w:type="spellStart"/>
      <w:r w:rsidRPr="00BE515D">
        <w:t>nemocensky</w:t>
      </w:r>
      <w:proofErr w:type="spellEnd"/>
      <w:r w:rsidRPr="00BE515D">
        <w:t xml:space="preserve"> pojištěných</w:t>
      </w:r>
      <w:r w:rsidRPr="00BE515D">
        <w:rPr>
          <w:rStyle w:val="Znakapoznpodarou"/>
        </w:rPr>
        <w:footnoteReference w:id="10"/>
      </w:r>
      <w:r w:rsidRPr="00BE515D">
        <w:t>. V roce 202</w:t>
      </w:r>
      <w:r w:rsidR="00BE515D" w:rsidRPr="00BE515D">
        <w:t>2</w:t>
      </w:r>
      <w:r w:rsidRPr="00BE515D">
        <w:t xml:space="preserve"> dohromady v těchto odvětvových sekcích více než tři čtvrtiny z </w:t>
      </w:r>
      <w:proofErr w:type="spellStart"/>
      <w:r w:rsidRPr="00BE515D">
        <w:t>nemocensky</w:t>
      </w:r>
      <w:proofErr w:type="spellEnd"/>
      <w:r w:rsidRPr="00BE515D">
        <w:t xml:space="preserve"> pojištěných osob tvořily ženy.</w:t>
      </w:r>
      <w:r w:rsidR="001541E4">
        <w:t xml:space="preserve"> Jen v sekci Zdravotní a sociální péče to bylo více než 80 %.</w:t>
      </w:r>
    </w:p>
    <w:p w14:paraId="0ABE10E9" w14:textId="57046436" w:rsidR="00705387" w:rsidRPr="000E5B48" w:rsidRDefault="00705387" w:rsidP="00705387">
      <w:pPr>
        <w:spacing w:after="0" w:line="240" w:lineRule="auto"/>
        <w:jc w:val="both"/>
        <w:rPr>
          <w:rFonts w:cs="Arial"/>
          <w:b/>
          <w:bCs/>
          <w:color w:val="000000"/>
          <w:szCs w:val="20"/>
        </w:rPr>
      </w:pPr>
      <w:r w:rsidRPr="000E5B48">
        <w:rPr>
          <w:rFonts w:cs="Arial"/>
          <w:b/>
          <w:bCs/>
          <w:color w:val="000000"/>
          <w:szCs w:val="20"/>
        </w:rPr>
        <w:t xml:space="preserve">Graf 1.2: Průměrný počet </w:t>
      </w:r>
      <w:proofErr w:type="spellStart"/>
      <w:r w:rsidRPr="000E5B48">
        <w:rPr>
          <w:rFonts w:cs="Arial"/>
          <w:b/>
          <w:bCs/>
          <w:color w:val="000000"/>
          <w:szCs w:val="20"/>
        </w:rPr>
        <w:t>nemocensky</w:t>
      </w:r>
      <w:proofErr w:type="spellEnd"/>
      <w:r w:rsidRPr="000E5B48">
        <w:rPr>
          <w:rFonts w:cs="Arial"/>
          <w:b/>
          <w:bCs/>
          <w:color w:val="000000"/>
          <w:szCs w:val="20"/>
        </w:rPr>
        <w:t xml:space="preserve"> pojištěných osob podle odvětví (sekce CZ-NACE), 201</w:t>
      </w:r>
      <w:r w:rsidR="00A40A6B" w:rsidRPr="000E5B48">
        <w:rPr>
          <w:rFonts w:cs="Arial"/>
          <w:b/>
          <w:bCs/>
          <w:color w:val="000000"/>
          <w:szCs w:val="20"/>
        </w:rPr>
        <w:t>2 a 2022</w:t>
      </w:r>
    </w:p>
    <w:p w14:paraId="389B7F81" w14:textId="7C463B57" w:rsidR="00705387" w:rsidRPr="00166BEB" w:rsidRDefault="00A40A6B" w:rsidP="00C61BBC">
      <w:pPr>
        <w:spacing w:after="120"/>
        <w:jc w:val="both"/>
        <w:rPr>
          <w:highlight w:val="yellow"/>
        </w:rPr>
      </w:pPr>
      <w:r>
        <w:rPr>
          <w:noProof/>
        </w:rPr>
        <w:drawing>
          <wp:inline distT="0" distB="0" distL="0" distR="0" wp14:anchorId="2D5F7D28" wp14:editId="090141DE">
            <wp:extent cx="6120130" cy="5164455"/>
            <wp:effectExtent l="0" t="0" r="13970" b="17145"/>
            <wp:docPr id="44" name="Graf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40774EEE" w14:textId="610DC318" w:rsidR="000423A6" w:rsidRPr="00A04C12" w:rsidRDefault="000423A6" w:rsidP="000423A6">
      <w:pPr>
        <w:pStyle w:val="Seznam"/>
        <w:spacing w:after="120"/>
        <w:contextualSpacing w:val="0"/>
        <w:jc w:val="both"/>
      </w:pPr>
      <w:r w:rsidRPr="00A04C12">
        <w:rPr>
          <w:b/>
        </w:rPr>
        <w:t>Mezi roky 201</w:t>
      </w:r>
      <w:r w:rsidR="00B804BB" w:rsidRPr="00A04C12">
        <w:rPr>
          <w:b/>
        </w:rPr>
        <w:t>2</w:t>
      </w:r>
      <w:r w:rsidRPr="00A04C12">
        <w:rPr>
          <w:b/>
        </w:rPr>
        <w:t xml:space="preserve"> a 202</w:t>
      </w:r>
      <w:r w:rsidR="00B804BB" w:rsidRPr="00A04C12">
        <w:rPr>
          <w:b/>
        </w:rPr>
        <w:t>2</w:t>
      </w:r>
      <w:r w:rsidRPr="00A04C12">
        <w:t xml:space="preserve"> došlo k nárůstu počtu </w:t>
      </w:r>
      <w:proofErr w:type="spellStart"/>
      <w:r w:rsidRPr="00A04C12">
        <w:t>nemocensky</w:t>
      </w:r>
      <w:proofErr w:type="spellEnd"/>
      <w:r w:rsidRPr="00A04C12">
        <w:t xml:space="preserve"> pojištěných téměř o </w:t>
      </w:r>
      <w:r w:rsidR="00B804BB" w:rsidRPr="00A04C12">
        <w:t>276</w:t>
      </w:r>
      <w:r w:rsidRPr="00A04C12">
        <w:t xml:space="preserve"> tis. osob (tj. o </w:t>
      </w:r>
      <w:r w:rsidR="00B804BB" w:rsidRPr="00A04C12">
        <w:t>6</w:t>
      </w:r>
      <w:r w:rsidRPr="00A04C12">
        <w:t xml:space="preserve"> %). </w:t>
      </w:r>
      <w:r w:rsidR="005766D9" w:rsidRPr="00C93658">
        <w:rPr>
          <w:rFonts w:cs="Arial"/>
          <w:bCs/>
          <w:color w:val="000000"/>
          <w:szCs w:val="20"/>
        </w:rPr>
        <w:t>Na tomto nárůstu se podílely především ženy, jejich počet mezi roky 2012 a 2022 vzrostl o 9,1 %, což v absolutním vyjádření představuje nárůst o téměř 200 tisíc zaměstnaných. Jen pro srovnání, počet mužů se zvýšil o 3,4 % (77 tis.). Tomu odpovídá i srovnání dle odvětví.</w:t>
      </w:r>
      <w:r w:rsidR="005766D9">
        <w:rPr>
          <w:rFonts w:cs="Arial"/>
          <w:bCs/>
          <w:color w:val="000000"/>
          <w:szCs w:val="20"/>
        </w:rPr>
        <w:t xml:space="preserve"> </w:t>
      </w:r>
      <w:r w:rsidRPr="00A04C12">
        <w:t xml:space="preserve">Nejvíce pojištěnců, více než </w:t>
      </w:r>
      <w:r w:rsidR="00B804BB" w:rsidRPr="00A04C12">
        <w:t>8</w:t>
      </w:r>
      <w:r w:rsidRPr="00A04C12">
        <w:t xml:space="preserve">3 tis. (tedy </w:t>
      </w:r>
      <w:r w:rsidR="00B804BB" w:rsidRPr="00A04C12">
        <w:t>25</w:t>
      </w:r>
      <w:r w:rsidRPr="00A04C12">
        <w:t xml:space="preserve"> %) přibylo v sekci Zdravotní a sociální péče. Přičemž jen </w:t>
      </w:r>
      <w:r w:rsidR="00B804BB" w:rsidRPr="00A04C12">
        <w:t>nárůst oproti roku 2019</w:t>
      </w:r>
      <w:r w:rsidRPr="00A04C12">
        <w:t xml:space="preserve"> – v souvislosti s</w:t>
      </w:r>
      <w:r w:rsidR="00A420DA" w:rsidRPr="00A04C12">
        <w:t xml:space="preserve"> nebývalým náporem na zdravotnictví v podobě pandemie – </w:t>
      </w:r>
      <w:r w:rsidRPr="00A04C12">
        <w:t xml:space="preserve">činil </w:t>
      </w:r>
      <w:r w:rsidR="00A04C12" w:rsidRPr="00A04C12">
        <w:t>36</w:t>
      </w:r>
      <w:r w:rsidRPr="00A04C12">
        <w:t xml:space="preserve"> tis., resp. </w:t>
      </w:r>
      <w:r w:rsidR="00A04C12" w:rsidRPr="00A04C12">
        <w:t>10</w:t>
      </w:r>
      <w:r w:rsidRPr="00A04C12">
        <w:t xml:space="preserve"> %</w:t>
      </w:r>
      <w:r w:rsidR="00A420DA" w:rsidRPr="00A04C12">
        <w:t>.</w:t>
      </w:r>
      <w:r w:rsidRPr="00A04C12">
        <w:t xml:space="preserve"> </w:t>
      </w:r>
      <w:r w:rsidR="00A04C12" w:rsidRPr="00A04C12">
        <w:t>V dlouhodobějším horizontu může být důvodem i</w:t>
      </w:r>
      <w:r w:rsidR="00A5543F">
        <w:t> </w:t>
      </w:r>
      <w:r w:rsidR="00A04C12" w:rsidRPr="00A04C12">
        <w:t xml:space="preserve">stárnutí populace. </w:t>
      </w:r>
      <w:r w:rsidRPr="00A04C12">
        <w:t xml:space="preserve">Odvětvovou sekcí s druhým nejvyšším absolutním přírůstkem </w:t>
      </w:r>
      <w:r w:rsidR="00A420DA" w:rsidRPr="00A04C12">
        <w:t xml:space="preserve">za poslední desetiletí </w:t>
      </w:r>
      <w:r w:rsidRPr="00A04C12">
        <w:t>byl</w:t>
      </w:r>
      <w:r w:rsidR="00A04C12" w:rsidRPr="00A04C12">
        <w:t>o Vzdělávání.</w:t>
      </w:r>
      <w:r w:rsidRPr="00A04C12">
        <w:t xml:space="preserve"> Zde vzrostl počet nemocenských pojištěnců o </w:t>
      </w:r>
      <w:r w:rsidR="00A04C12" w:rsidRPr="00A04C12">
        <w:t>75</w:t>
      </w:r>
      <w:r w:rsidRPr="00A04C12">
        <w:t xml:space="preserve"> tis, což představovalo </w:t>
      </w:r>
      <w:r w:rsidR="00A04C12" w:rsidRPr="00A04C12">
        <w:t>22</w:t>
      </w:r>
      <w:r w:rsidR="003D1060" w:rsidRPr="00A04C12">
        <w:t>% nárůst.</w:t>
      </w:r>
    </w:p>
    <w:p w14:paraId="3C1BDCD9" w14:textId="34FBBCD6" w:rsidR="0086258D" w:rsidRPr="00A04C12" w:rsidRDefault="00A04C12" w:rsidP="0086258D">
      <w:pPr>
        <w:pStyle w:val="Seznam"/>
        <w:spacing w:after="120"/>
        <w:contextualSpacing w:val="0"/>
        <w:jc w:val="both"/>
      </w:pPr>
      <w:r w:rsidRPr="00A04C12">
        <w:t xml:space="preserve">Výrazné zvýšení </w:t>
      </w:r>
      <w:r w:rsidR="0086258D" w:rsidRPr="00A04C12">
        <w:t>byl</w:t>
      </w:r>
      <w:r w:rsidRPr="00A04C12">
        <w:t>o</w:t>
      </w:r>
      <w:r w:rsidR="0086258D" w:rsidRPr="00A04C12">
        <w:t xml:space="preserve"> zaznamenán</w:t>
      </w:r>
      <w:r w:rsidRPr="00A04C12">
        <w:t>o</w:t>
      </w:r>
      <w:r w:rsidR="0086258D" w:rsidRPr="00A04C12">
        <w:t xml:space="preserve"> i v odvětvové sekci Informační a komunikační činnosti, kde počet </w:t>
      </w:r>
      <w:proofErr w:type="spellStart"/>
      <w:r w:rsidR="0086258D" w:rsidRPr="00A04C12">
        <w:t>nemocensky</w:t>
      </w:r>
      <w:proofErr w:type="spellEnd"/>
      <w:r w:rsidR="0086258D" w:rsidRPr="00A04C12">
        <w:t xml:space="preserve"> pojištěných osob za posledních deset let vzrostl o 4</w:t>
      </w:r>
      <w:r w:rsidRPr="00A04C12">
        <w:t>3</w:t>
      </w:r>
      <w:r w:rsidR="0086258D" w:rsidRPr="00A04C12">
        <w:t xml:space="preserve"> tis., tj. o </w:t>
      </w:r>
      <w:r w:rsidRPr="00A04C12">
        <w:t>38</w:t>
      </w:r>
      <w:r w:rsidR="0086258D" w:rsidRPr="00A04C12">
        <w:t xml:space="preserve"> %. Tato odvětvová sekce </w:t>
      </w:r>
      <w:r w:rsidR="0086258D" w:rsidRPr="00A04C12">
        <w:lastRenderedPageBreak/>
        <w:t xml:space="preserve">zahrnuje řadu ekonomických činností od </w:t>
      </w:r>
      <w:r w:rsidR="003D1060" w:rsidRPr="00A04C12">
        <w:t xml:space="preserve">vydavatelských, </w:t>
      </w:r>
      <w:r w:rsidR="0086258D" w:rsidRPr="00A04C12">
        <w:t>audiovizuálníc</w:t>
      </w:r>
      <w:r w:rsidR="003D1060" w:rsidRPr="00A04C12">
        <w:t xml:space="preserve">h a mediálních </w:t>
      </w:r>
      <w:r w:rsidR="0086258D" w:rsidRPr="00A04C12">
        <w:t>činností přes telekomunikace až po činnosti v oblasti informačních a komunikačních technologií</w:t>
      </w:r>
      <w:r w:rsidR="004930CE" w:rsidRPr="00A04C12">
        <w:t>.</w:t>
      </w:r>
      <w:r w:rsidR="0086258D" w:rsidRPr="00A04C12">
        <w:t xml:space="preserve"> </w:t>
      </w:r>
      <w:r w:rsidR="004930CE" w:rsidRPr="00A04C12">
        <w:t>T</w:t>
      </w:r>
      <w:r w:rsidR="0086258D" w:rsidRPr="00A04C12">
        <w:t xml:space="preserve">am spadá např. </w:t>
      </w:r>
      <w:r w:rsidR="003D1060" w:rsidRPr="00A04C12">
        <w:t>programování</w:t>
      </w:r>
      <w:r w:rsidR="0086258D" w:rsidRPr="00A04C12">
        <w:t xml:space="preserve"> či IT poradenství a zpracování dat. Největší nárůst počtu </w:t>
      </w:r>
      <w:proofErr w:type="spellStart"/>
      <w:r w:rsidR="0086258D" w:rsidRPr="00A04C12">
        <w:t>nemocensky</w:t>
      </w:r>
      <w:proofErr w:type="spellEnd"/>
      <w:r w:rsidR="0086258D" w:rsidRPr="00A04C12">
        <w:t xml:space="preserve"> pojištěných osob byl v této sekci zaznamenán v</w:t>
      </w:r>
      <w:r w:rsidR="003D1060" w:rsidRPr="00A04C12">
        <w:t> oddílu Činnosti v oblasti informačních technologií</w:t>
      </w:r>
      <w:r w:rsidR="0086258D" w:rsidRPr="00A04C12">
        <w:t xml:space="preserve"> (CZ-NACE 6</w:t>
      </w:r>
      <w:r w:rsidR="003D1060" w:rsidRPr="00A04C12">
        <w:t>2</w:t>
      </w:r>
      <w:r w:rsidR="0086258D" w:rsidRPr="00A04C12">
        <w:t>), kde se počet pojištěnců od roku 201</w:t>
      </w:r>
      <w:r w:rsidRPr="00A04C12">
        <w:t>7</w:t>
      </w:r>
      <w:r w:rsidR="0086258D" w:rsidRPr="00A04C12">
        <w:t xml:space="preserve"> zvýšil o </w:t>
      </w:r>
      <w:r w:rsidRPr="00A04C12">
        <w:t xml:space="preserve">více než </w:t>
      </w:r>
      <w:r w:rsidR="003D1060" w:rsidRPr="00A04C12">
        <w:t>třetinu (tj. o 2</w:t>
      </w:r>
      <w:r w:rsidRPr="00A04C12">
        <w:t>4</w:t>
      </w:r>
      <w:r w:rsidR="003D1060" w:rsidRPr="00A04C12">
        <w:t xml:space="preserve"> tis.).</w:t>
      </w:r>
    </w:p>
    <w:p w14:paraId="13F44940" w14:textId="41E4AF25" w:rsidR="003D1060" w:rsidRPr="008927A8" w:rsidRDefault="003D1060" w:rsidP="003D1060">
      <w:pPr>
        <w:pStyle w:val="Seznam"/>
        <w:spacing w:after="120"/>
        <w:contextualSpacing w:val="0"/>
        <w:jc w:val="both"/>
      </w:pPr>
      <w:r w:rsidRPr="00A04C12">
        <w:t>Naopak odvětvími, která měla v roce 202</w:t>
      </w:r>
      <w:r w:rsidR="00A04C12" w:rsidRPr="00A04C12">
        <w:t>2</w:t>
      </w:r>
      <w:r w:rsidRPr="00A04C12">
        <w:t xml:space="preserve"> méně pojištěnců než v roce 201</w:t>
      </w:r>
      <w:r w:rsidR="00A04C12" w:rsidRPr="00A04C12">
        <w:t>2</w:t>
      </w:r>
      <w:r w:rsidRPr="00A04C12">
        <w:t xml:space="preserve">, byly </w:t>
      </w:r>
      <w:r w:rsidR="00A04C12" w:rsidRPr="00A04C12">
        <w:t xml:space="preserve">Těžba a dobývání, </w:t>
      </w:r>
      <w:r w:rsidRPr="00A04C12">
        <w:t>Stavebnictví (</w:t>
      </w:r>
      <w:r w:rsidR="00A04C12" w:rsidRPr="00A04C12">
        <w:t xml:space="preserve">obojí pokles shodně o </w:t>
      </w:r>
      <w:r w:rsidRPr="00A04C12">
        <w:t>1</w:t>
      </w:r>
      <w:r w:rsidR="00A04C12" w:rsidRPr="00A04C12">
        <w:t xml:space="preserve">7 tis.) </w:t>
      </w:r>
      <w:r w:rsidRPr="00A04C12">
        <w:t>a Zemědělství, lesnictví a rybářství (</w:t>
      </w:r>
      <w:r w:rsidR="00335180" w:rsidRPr="00A04C12">
        <w:t>−</w:t>
      </w:r>
      <w:r w:rsidR="00A04C12" w:rsidRPr="00A04C12">
        <w:t>6</w:t>
      </w:r>
      <w:r w:rsidRPr="00A04C12">
        <w:t xml:space="preserve"> tis.). V odvětví Těžba a</w:t>
      </w:r>
      <w:r w:rsidR="00A04C12" w:rsidRPr="00A04C12">
        <w:t> </w:t>
      </w:r>
      <w:r w:rsidRPr="008927A8">
        <w:t xml:space="preserve">dobývání </w:t>
      </w:r>
      <w:r w:rsidR="00A04C12" w:rsidRPr="008927A8">
        <w:t xml:space="preserve">to představovalo </w:t>
      </w:r>
      <w:r w:rsidR="004E3FEB">
        <w:t xml:space="preserve">snížení počtu </w:t>
      </w:r>
      <w:r w:rsidRPr="008927A8">
        <w:t>pojištěnců dokonce o 4</w:t>
      </w:r>
      <w:r w:rsidR="00A04C12" w:rsidRPr="008927A8">
        <w:t>7</w:t>
      </w:r>
      <w:r w:rsidRPr="008927A8">
        <w:t xml:space="preserve"> %.</w:t>
      </w:r>
    </w:p>
    <w:p w14:paraId="0B5D1A35" w14:textId="77777777" w:rsidR="005766D9" w:rsidRDefault="000D10EE" w:rsidP="003D1060">
      <w:pPr>
        <w:pStyle w:val="Seznam"/>
        <w:spacing w:after="120"/>
        <w:contextualSpacing w:val="0"/>
        <w:jc w:val="both"/>
      </w:pPr>
      <w:r w:rsidRPr="008927A8">
        <w:t>Sekce</w:t>
      </w:r>
      <w:r w:rsidR="00A04C12" w:rsidRPr="008927A8">
        <w:t xml:space="preserve"> </w:t>
      </w:r>
      <w:r w:rsidR="003D1060" w:rsidRPr="008927A8">
        <w:t>Ubytování, stravování a pohostinství</w:t>
      </w:r>
      <w:r w:rsidRPr="008927A8">
        <w:t xml:space="preserve"> zažila mezi roky 2019 a 2022 pokles počtu </w:t>
      </w:r>
      <w:proofErr w:type="spellStart"/>
      <w:r w:rsidRPr="008927A8">
        <w:t>nemocensky</w:t>
      </w:r>
      <w:proofErr w:type="spellEnd"/>
      <w:r w:rsidRPr="008927A8">
        <w:t xml:space="preserve"> pojištěných ze 153 tis. na 139 tis., čili o 14</w:t>
      </w:r>
      <w:r w:rsidR="003D1060" w:rsidRPr="008927A8">
        <w:t xml:space="preserve"> tis. (</w:t>
      </w:r>
      <w:r w:rsidRPr="008927A8">
        <w:t>9</w:t>
      </w:r>
      <w:r w:rsidR="003D1060" w:rsidRPr="008927A8">
        <w:t xml:space="preserve"> %). Zde svou roli patrně sehrála </w:t>
      </w:r>
      <w:proofErr w:type="spellStart"/>
      <w:r w:rsidR="003D1060" w:rsidRPr="008927A8">
        <w:t>proticovidová</w:t>
      </w:r>
      <w:proofErr w:type="spellEnd"/>
      <w:r w:rsidR="003D1060" w:rsidRPr="008927A8">
        <w:t xml:space="preserve"> opatření v podobě omezení provozu restaurací a uzavření ubytovacích zařízení.</w:t>
      </w:r>
    </w:p>
    <w:p w14:paraId="4A8ABE74" w14:textId="31D154A8" w:rsidR="005766D9" w:rsidRPr="00C93658" w:rsidRDefault="005766D9" w:rsidP="005766D9">
      <w:pPr>
        <w:jc w:val="both"/>
        <w:rPr>
          <w:rFonts w:cs="Arial"/>
          <w:szCs w:val="20"/>
        </w:rPr>
      </w:pPr>
      <w:r w:rsidRPr="00C93658">
        <w:rPr>
          <w:rFonts w:cs="Arial"/>
          <w:bCs/>
          <w:color w:val="000000"/>
          <w:szCs w:val="20"/>
        </w:rPr>
        <w:t xml:space="preserve">V roce 2022 vzrostl počet pojištěnců ve Vzdělávání o 12,9 tisíc (3,3 %). Jde o největší absolutní meziroční nárůst ze všech sledovaných odvětvových sekcí. Výrazně rostl počet </w:t>
      </w:r>
      <w:proofErr w:type="spellStart"/>
      <w:r w:rsidRPr="00C93658">
        <w:rPr>
          <w:rFonts w:cs="Arial"/>
          <w:bCs/>
          <w:color w:val="000000"/>
          <w:szCs w:val="20"/>
        </w:rPr>
        <w:t>nemocensky</w:t>
      </w:r>
      <w:proofErr w:type="spellEnd"/>
      <w:r w:rsidRPr="00C93658">
        <w:rPr>
          <w:rFonts w:cs="Arial"/>
          <w:bCs/>
          <w:color w:val="000000"/>
          <w:szCs w:val="20"/>
        </w:rPr>
        <w:t xml:space="preserve"> pojištěných i v IT činnostech (CZ NACE 62), a to o 7,8 tisíc, což představuje nárůst o 9,1 %.</w:t>
      </w:r>
      <w:r w:rsidRPr="00C93658">
        <w:rPr>
          <w:rFonts w:cs="Arial"/>
          <w:szCs w:val="20"/>
        </w:rPr>
        <w:t xml:space="preserve"> </w:t>
      </w:r>
    </w:p>
    <w:p w14:paraId="3EDE4E00" w14:textId="77777777" w:rsidR="00641C03" w:rsidRPr="00B717E3" w:rsidRDefault="00641C03" w:rsidP="00641C03">
      <w:pPr>
        <w:pStyle w:val="Box1"/>
        <w:spacing w:before="120" w:after="120"/>
        <w:ind w:left="0"/>
        <w:contextualSpacing w:val="0"/>
        <w:jc w:val="both"/>
        <w:rPr>
          <w:i/>
        </w:rPr>
      </w:pPr>
      <w:r w:rsidRPr="00B717E3">
        <w:rPr>
          <w:b/>
          <w:i/>
        </w:rPr>
        <w:t xml:space="preserve">Průměrný počet </w:t>
      </w:r>
      <w:proofErr w:type="spellStart"/>
      <w:r w:rsidRPr="00B717E3">
        <w:rPr>
          <w:b/>
          <w:i/>
        </w:rPr>
        <w:t>nemocensky</w:t>
      </w:r>
      <w:proofErr w:type="spellEnd"/>
      <w:r w:rsidRPr="00B717E3">
        <w:rPr>
          <w:b/>
          <w:i/>
        </w:rPr>
        <w:t xml:space="preserve"> pojištěných mladistvých </w:t>
      </w:r>
      <w:r w:rsidRPr="00B717E3">
        <w:rPr>
          <w:i/>
        </w:rPr>
        <w:t xml:space="preserve">– ukazatel udává průměrný počet </w:t>
      </w:r>
      <w:proofErr w:type="spellStart"/>
      <w:r w:rsidRPr="00B717E3">
        <w:rPr>
          <w:i/>
        </w:rPr>
        <w:t>nemocensky</w:t>
      </w:r>
      <w:proofErr w:type="spellEnd"/>
      <w:r w:rsidRPr="00B717E3">
        <w:rPr>
          <w:i/>
        </w:rPr>
        <w:t xml:space="preserve"> pojištěných osob mladších 18 let (viz § 350 odst. 2 zákona č. 262/2006 Sb., zákoník práce, ve znění pozdějších předpisů).</w:t>
      </w:r>
    </w:p>
    <w:p w14:paraId="71631D1B" w14:textId="77777777" w:rsidR="00641C03" w:rsidRPr="00B717E3" w:rsidRDefault="00641C03" w:rsidP="00641C03">
      <w:pPr>
        <w:pStyle w:val="Box1"/>
        <w:ind w:left="0"/>
        <w:jc w:val="both"/>
        <w:rPr>
          <w:i/>
          <w:u w:val="single"/>
        </w:rPr>
      </w:pPr>
      <w:r w:rsidRPr="00B717E3">
        <w:rPr>
          <w:i/>
          <w:u w:val="single"/>
        </w:rPr>
        <w:t>Způsob výpočtu:</w:t>
      </w:r>
    </w:p>
    <w:p w14:paraId="02607D1D" w14:textId="77777777" w:rsidR="00641C03" w:rsidRPr="00B717E3" w:rsidRDefault="00641C03" w:rsidP="00641C03">
      <w:pPr>
        <w:pStyle w:val="Box1"/>
        <w:spacing w:before="120" w:after="120"/>
        <w:ind w:left="0"/>
        <w:contextualSpacing w:val="0"/>
        <w:jc w:val="both"/>
        <w:rPr>
          <w:i/>
        </w:rPr>
      </w:pPr>
      <w:r w:rsidRPr="00B717E3">
        <w:rPr>
          <w:i/>
        </w:rPr>
        <w:t xml:space="preserve">Průměrný počet </w:t>
      </w:r>
      <w:proofErr w:type="spellStart"/>
      <w:r w:rsidRPr="00B717E3">
        <w:rPr>
          <w:i/>
        </w:rPr>
        <w:t>nemocensky</w:t>
      </w:r>
      <w:proofErr w:type="spellEnd"/>
      <w:r w:rsidRPr="00B717E3">
        <w:rPr>
          <w:i/>
        </w:rPr>
        <w:t xml:space="preserve"> pojištěných mladistvých = počet dnů nemocenského pojištění jednotlivých pojištěných mladistvých ve vykazovaném období / počet kalendářních dnů ve vykazovaném období.</w:t>
      </w:r>
    </w:p>
    <w:p w14:paraId="4AAC6F04" w14:textId="79156DB6" w:rsidR="00641C03" w:rsidRPr="00B717E3" w:rsidRDefault="00641C03" w:rsidP="00641C03">
      <w:pPr>
        <w:pStyle w:val="Seznam"/>
        <w:spacing w:after="120"/>
        <w:contextualSpacing w:val="0"/>
        <w:jc w:val="both"/>
      </w:pPr>
      <w:r w:rsidRPr="00B717E3">
        <w:t>V roce 202</w:t>
      </w:r>
      <w:r w:rsidR="00B717E3" w:rsidRPr="00B717E3">
        <w:t>2</w:t>
      </w:r>
      <w:r w:rsidRPr="00B717E3">
        <w:t xml:space="preserve"> bylo evidováno </w:t>
      </w:r>
      <w:r w:rsidR="00B717E3" w:rsidRPr="00B717E3">
        <w:t>11,7</w:t>
      </w:r>
      <w:r w:rsidRPr="00B717E3">
        <w:t xml:space="preserve"> tis. </w:t>
      </w:r>
      <w:proofErr w:type="spellStart"/>
      <w:r w:rsidRPr="00B717E3">
        <w:t>nemocensky</w:t>
      </w:r>
      <w:proofErr w:type="spellEnd"/>
      <w:r w:rsidRPr="00B717E3">
        <w:t xml:space="preserve"> pojištěných mladistvých, tedy osob mladších 18 let. Na celkovém počtu pojištěnců se podíleli 0,2</w:t>
      </w:r>
      <w:r w:rsidR="00B717E3" w:rsidRPr="00B717E3">
        <w:t>5</w:t>
      </w:r>
      <w:r w:rsidRPr="00B717E3">
        <w:t xml:space="preserve"> %. Jejich počet meziročně </w:t>
      </w:r>
      <w:r w:rsidR="00B717E3" w:rsidRPr="00B717E3">
        <w:t>vzrostl</w:t>
      </w:r>
      <w:r w:rsidRPr="00B717E3">
        <w:t xml:space="preserve"> z 10,</w:t>
      </w:r>
      <w:r w:rsidR="00B717E3" w:rsidRPr="00B717E3">
        <w:t>3</w:t>
      </w:r>
      <w:r w:rsidRPr="00B717E3">
        <w:t xml:space="preserve"> tis. o </w:t>
      </w:r>
      <w:r w:rsidR="00B717E3" w:rsidRPr="00B717E3">
        <w:t>1 473</w:t>
      </w:r>
      <w:r w:rsidRPr="00B717E3">
        <w:t xml:space="preserve"> osob, tj. o</w:t>
      </w:r>
      <w:r w:rsidR="00B717E3" w:rsidRPr="00B717E3">
        <w:t> 14 </w:t>
      </w:r>
      <w:r w:rsidRPr="00B717E3">
        <w:t>%.</w:t>
      </w:r>
    </w:p>
    <w:p w14:paraId="542BD01C" w14:textId="77777777" w:rsidR="003D1060" w:rsidRPr="005A75BA" w:rsidRDefault="004A6E11" w:rsidP="004A6E11">
      <w:pPr>
        <w:pStyle w:val="Nadpis3"/>
      </w:pPr>
      <w:bookmarkStart w:id="12" w:name="_Toc136412149"/>
      <w:r w:rsidRPr="005A75BA">
        <w:t>4.2 Nově hlášené případy dočasné pracovní neschopnosti</w:t>
      </w:r>
      <w:bookmarkEnd w:id="12"/>
    </w:p>
    <w:p w14:paraId="2FDBA2FB" w14:textId="77777777" w:rsidR="004A6E11" w:rsidRPr="004B2783" w:rsidRDefault="004A6E11" w:rsidP="004A6E11">
      <w:pPr>
        <w:spacing w:after="120"/>
        <w:jc w:val="both"/>
      </w:pPr>
      <w:r w:rsidRPr="004B2783">
        <w:t xml:space="preserve">Vstupním zdrojem a podkladem pro zpracování dat této kapitoly jsou údaje o dočasné pracovní neschopnosti pro nemoc a úraz nahlášené České správě sociálního zabezpečení prostřednictvím </w:t>
      </w:r>
      <w:r w:rsidRPr="004B2783">
        <w:rPr>
          <w:i/>
        </w:rPr>
        <w:t>„Rozhodnutí o dočasné pracovní neschopnosti“</w:t>
      </w:r>
      <w:r w:rsidRPr="004B2783">
        <w:t xml:space="preserve"> (tzv. </w:t>
      </w:r>
      <w:proofErr w:type="spellStart"/>
      <w:r w:rsidRPr="004B2783">
        <w:t>eNeschopenka</w:t>
      </w:r>
      <w:proofErr w:type="spellEnd"/>
      <w:r w:rsidRPr="004B2783">
        <w:t>), které vyplňuje ošetřující lékař.</w:t>
      </w:r>
    </w:p>
    <w:p w14:paraId="180844BD" w14:textId="77777777" w:rsidR="003D1060" w:rsidRPr="00263CD8" w:rsidRDefault="004A6E11" w:rsidP="004A6E11">
      <w:pPr>
        <w:pStyle w:val="Nadpis4"/>
        <w:rPr>
          <w:sz w:val="24"/>
        </w:rPr>
      </w:pPr>
      <w:bookmarkStart w:id="13" w:name="_Toc136412150"/>
      <w:r w:rsidRPr="00263CD8">
        <w:rPr>
          <w:sz w:val="24"/>
        </w:rPr>
        <w:t>4.2.1 Počet případů dočasné pracovní neschopnosti</w:t>
      </w:r>
      <w:bookmarkEnd w:id="13"/>
    </w:p>
    <w:p w14:paraId="1041BA10" w14:textId="77777777" w:rsidR="004A6E11" w:rsidRPr="004B2783" w:rsidRDefault="004A6E11" w:rsidP="004A6E11">
      <w:pPr>
        <w:spacing w:after="120"/>
        <w:jc w:val="both"/>
        <w:rPr>
          <w:bCs/>
        </w:rPr>
      </w:pPr>
      <w:r w:rsidRPr="004B2783">
        <w:rPr>
          <w:b/>
          <w:bCs/>
        </w:rPr>
        <w:t>Četnost výskytu dočasné pracovní neschopnosti</w:t>
      </w:r>
      <w:r w:rsidRPr="004B2783">
        <w:rPr>
          <w:bCs/>
        </w:rPr>
        <w:t xml:space="preserve"> </w:t>
      </w:r>
      <w:r w:rsidRPr="004B2783">
        <w:rPr>
          <w:b/>
          <w:bCs/>
        </w:rPr>
        <w:t>(DPN)</w:t>
      </w:r>
      <w:r w:rsidRPr="004B2783">
        <w:rPr>
          <w:bCs/>
        </w:rPr>
        <w:t xml:space="preserve"> odráží ukazatel o počtu nově hlášených případů pracovní neschopnosti. Tento absolutní ukazatel je rovněž vhodný pro posouzení trendů vývoje pracovní neschopnosti v čase. Avšak z pohledu porovnání regionů, jednotlivých odvětví ekonomických činností či velikosti podniku má vyšší vypovídací schopnost </w:t>
      </w:r>
      <w:r w:rsidRPr="004B2783">
        <w:rPr>
          <w:b/>
          <w:bCs/>
        </w:rPr>
        <w:t>ukazatel relativní</w:t>
      </w:r>
      <w:r w:rsidRPr="004B2783">
        <w:rPr>
          <w:bCs/>
        </w:rPr>
        <w:t xml:space="preserve"> – </w:t>
      </w:r>
      <w:r w:rsidRPr="004B2783">
        <w:rPr>
          <w:b/>
          <w:bCs/>
        </w:rPr>
        <w:t>počet</w:t>
      </w:r>
      <w:r w:rsidRPr="004B2783">
        <w:rPr>
          <w:bCs/>
        </w:rPr>
        <w:t xml:space="preserve"> nově hlášených případů pracovní neschopnosti </w:t>
      </w:r>
      <w:r w:rsidRPr="004B2783">
        <w:rPr>
          <w:b/>
          <w:bCs/>
        </w:rPr>
        <w:t>na 100 pojištěnců</w:t>
      </w:r>
      <w:r w:rsidRPr="004B2783">
        <w:rPr>
          <w:bCs/>
        </w:rPr>
        <w:t xml:space="preserve"> v dané kategorii, např. ve zpracovatelském průmyslu, v malých podnicích či konkrétním kraji.</w:t>
      </w:r>
    </w:p>
    <w:p w14:paraId="448BC284" w14:textId="77777777" w:rsidR="004A6E11" w:rsidRPr="004B2783" w:rsidRDefault="004A6E11" w:rsidP="004A6E11">
      <w:pPr>
        <w:pStyle w:val="Box1"/>
        <w:spacing w:before="120" w:after="120"/>
        <w:ind w:left="0"/>
        <w:contextualSpacing w:val="0"/>
        <w:jc w:val="both"/>
        <w:rPr>
          <w:i/>
        </w:rPr>
      </w:pPr>
      <w:r w:rsidRPr="004B2783">
        <w:rPr>
          <w:b/>
          <w:i/>
        </w:rPr>
        <w:t xml:space="preserve">Počet nově hlášených případů dočasné pracovní neschopnosti </w:t>
      </w:r>
      <w:r w:rsidRPr="004B2783">
        <w:rPr>
          <w:i/>
        </w:rPr>
        <w:t xml:space="preserve">– ukazatel zahrnuje nově hlášené případy pracovní neschopnosti ve sledovaném období na základě hlášení o vzniku pracovní neschopnosti </w:t>
      </w:r>
      <w:proofErr w:type="spellStart"/>
      <w:r w:rsidRPr="004B2783">
        <w:rPr>
          <w:i/>
        </w:rPr>
        <w:t>nemocensky</w:t>
      </w:r>
      <w:proofErr w:type="spellEnd"/>
      <w:r w:rsidRPr="004B2783">
        <w:rPr>
          <w:i/>
        </w:rPr>
        <w:t xml:space="preserve"> pojištěných osob.</w:t>
      </w:r>
    </w:p>
    <w:p w14:paraId="40B21F77" w14:textId="77777777" w:rsidR="004A6E11" w:rsidRPr="004B2783" w:rsidRDefault="004A6E11" w:rsidP="004A6E11">
      <w:pPr>
        <w:pStyle w:val="Box1"/>
        <w:spacing w:before="120" w:after="120"/>
        <w:ind w:left="0"/>
        <w:contextualSpacing w:val="0"/>
        <w:jc w:val="both"/>
        <w:rPr>
          <w:i/>
        </w:rPr>
      </w:pPr>
      <w:r w:rsidRPr="004B2783">
        <w:rPr>
          <w:b/>
          <w:i/>
        </w:rPr>
        <w:t xml:space="preserve">Počet případů pracovní neschopnosti na 100 pojištěnců </w:t>
      </w:r>
      <w:r w:rsidRPr="004B2783">
        <w:rPr>
          <w:i/>
        </w:rPr>
        <w:t xml:space="preserve">– ukazatel vyjadřuje počet nově hlášených případů pracovní neschopnosti, které připadají v průměru na 100 </w:t>
      </w:r>
      <w:proofErr w:type="spellStart"/>
      <w:r w:rsidRPr="004B2783">
        <w:rPr>
          <w:i/>
        </w:rPr>
        <w:t>nemocensky</w:t>
      </w:r>
      <w:proofErr w:type="spellEnd"/>
      <w:r w:rsidRPr="004B2783">
        <w:rPr>
          <w:i/>
        </w:rPr>
        <w:t xml:space="preserve"> pojištěných osob. </w:t>
      </w:r>
    </w:p>
    <w:p w14:paraId="0C6DE616" w14:textId="217FBA14" w:rsidR="005E3B8E" w:rsidRPr="00A57309" w:rsidRDefault="004A6E11" w:rsidP="004A6E11">
      <w:pPr>
        <w:spacing w:after="120"/>
        <w:jc w:val="both"/>
        <w:rPr>
          <w:bCs/>
        </w:rPr>
      </w:pPr>
      <w:r w:rsidRPr="00A57309">
        <w:rPr>
          <w:bCs/>
        </w:rPr>
        <w:t>V roce 202</w:t>
      </w:r>
      <w:r w:rsidR="004B2783" w:rsidRPr="00A57309">
        <w:rPr>
          <w:bCs/>
        </w:rPr>
        <w:t>2</w:t>
      </w:r>
      <w:r w:rsidRPr="00A57309">
        <w:rPr>
          <w:bCs/>
        </w:rPr>
        <w:t xml:space="preserve"> bylo v Česku nahlášeno </w:t>
      </w:r>
      <w:r w:rsidRPr="00A57309">
        <w:rPr>
          <w:b/>
          <w:bCs/>
        </w:rPr>
        <w:t>celkem</w:t>
      </w:r>
      <w:r w:rsidRPr="00A57309">
        <w:rPr>
          <w:bCs/>
        </w:rPr>
        <w:t xml:space="preserve"> </w:t>
      </w:r>
      <w:r w:rsidR="004B2783" w:rsidRPr="00A57309">
        <w:rPr>
          <w:b/>
          <w:bCs/>
        </w:rPr>
        <w:t>3 458</w:t>
      </w:r>
      <w:r w:rsidRPr="00A57309">
        <w:rPr>
          <w:b/>
          <w:bCs/>
        </w:rPr>
        <w:t xml:space="preserve"> tis. případů pracovní neschopnosti.</w:t>
      </w:r>
      <w:r w:rsidRPr="00A57309">
        <w:rPr>
          <w:bCs/>
        </w:rPr>
        <w:t xml:space="preserve"> To je o </w:t>
      </w:r>
      <w:r w:rsidR="004B2783" w:rsidRPr="00A57309">
        <w:rPr>
          <w:bCs/>
        </w:rPr>
        <w:t>26</w:t>
      </w:r>
      <w:r w:rsidRPr="00A57309">
        <w:rPr>
          <w:bCs/>
        </w:rPr>
        <w:t xml:space="preserve"> % (</w:t>
      </w:r>
      <w:r w:rsidR="004B2783" w:rsidRPr="00A57309">
        <w:rPr>
          <w:bCs/>
        </w:rPr>
        <w:t>703</w:t>
      </w:r>
      <w:r w:rsidRPr="00A57309">
        <w:rPr>
          <w:bCs/>
        </w:rPr>
        <w:t xml:space="preserve"> tis.) případů více než v předchozím roce. </w:t>
      </w:r>
      <w:r w:rsidR="005E3B8E" w:rsidRPr="00A57309">
        <w:rPr>
          <w:bCs/>
        </w:rPr>
        <w:t xml:space="preserve">Loni byl meziroční nárůst </w:t>
      </w:r>
      <w:r w:rsidR="00873671" w:rsidRPr="00A57309">
        <w:rPr>
          <w:bCs/>
        </w:rPr>
        <w:t>oproti roku 20</w:t>
      </w:r>
      <w:r w:rsidR="004B2783" w:rsidRPr="00A57309">
        <w:rPr>
          <w:bCs/>
        </w:rPr>
        <w:t>20</w:t>
      </w:r>
      <w:r w:rsidR="00873671" w:rsidRPr="00A57309">
        <w:rPr>
          <w:bCs/>
        </w:rPr>
        <w:t xml:space="preserve"> </w:t>
      </w:r>
      <w:r w:rsidR="004B2783" w:rsidRPr="00A57309">
        <w:rPr>
          <w:bCs/>
        </w:rPr>
        <w:t>15%</w:t>
      </w:r>
      <w:r w:rsidR="005E3B8E" w:rsidRPr="00A57309">
        <w:rPr>
          <w:bCs/>
        </w:rPr>
        <w:t xml:space="preserve">, </w:t>
      </w:r>
      <w:r w:rsidR="00263CD8">
        <w:rPr>
          <w:bCs/>
        </w:rPr>
        <w:t xml:space="preserve">čili </w:t>
      </w:r>
      <w:r w:rsidR="00B404A6">
        <w:rPr>
          <w:bCs/>
        </w:rPr>
        <w:t>o </w:t>
      </w:r>
      <w:r w:rsidR="00A57309" w:rsidRPr="00A57309">
        <w:rPr>
          <w:bCs/>
        </w:rPr>
        <w:t>364</w:t>
      </w:r>
      <w:r w:rsidR="005E3B8E" w:rsidRPr="00A57309">
        <w:rPr>
          <w:bCs/>
        </w:rPr>
        <w:t xml:space="preserve"> tis. případů. </w:t>
      </w:r>
      <w:r w:rsidRPr="00A57309">
        <w:rPr>
          <w:bCs/>
        </w:rPr>
        <w:t>Mezi lety 201</w:t>
      </w:r>
      <w:r w:rsidR="004B2783" w:rsidRPr="00A57309">
        <w:rPr>
          <w:bCs/>
        </w:rPr>
        <w:t>2</w:t>
      </w:r>
      <w:r w:rsidRPr="00A57309">
        <w:rPr>
          <w:bCs/>
        </w:rPr>
        <w:t>–2019 počet hlášených případů pracovní neschopnosti rostl v průměru o</w:t>
      </w:r>
      <w:r w:rsidR="00FD2D60" w:rsidRPr="00A57309">
        <w:rPr>
          <w:bCs/>
        </w:rPr>
        <w:t> </w:t>
      </w:r>
      <w:r w:rsidR="004B2783" w:rsidRPr="00A57309">
        <w:rPr>
          <w:bCs/>
        </w:rPr>
        <w:t>6,7</w:t>
      </w:r>
      <w:r w:rsidR="00FD2D60" w:rsidRPr="00A57309">
        <w:rPr>
          <w:bCs/>
        </w:rPr>
        <w:t> </w:t>
      </w:r>
      <w:r w:rsidRPr="00A57309">
        <w:rPr>
          <w:bCs/>
        </w:rPr>
        <w:t>% (</w:t>
      </w:r>
      <w:r w:rsidR="004B2783" w:rsidRPr="00A57309">
        <w:rPr>
          <w:bCs/>
        </w:rPr>
        <w:t>98,3</w:t>
      </w:r>
      <w:r w:rsidR="00A57309" w:rsidRPr="00A57309">
        <w:rPr>
          <w:bCs/>
        </w:rPr>
        <w:t> </w:t>
      </w:r>
      <w:r w:rsidRPr="00A57309">
        <w:rPr>
          <w:bCs/>
        </w:rPr>
        <w:t xml:space="preserve">tis.) ročně. Rostoucí trend byl nastolen již v roce 2015. V té době však bylo během roku nahlášeno </w:t>
      </w:r>
      <w:r w:rsidR="00653F8C">
        <w:rPr>
          <w:bCs/>
        </w:rPr>
        <w:t>dvakrát</w:t>
      </w:r>
      <w:r w:rsidR="004B2783" w:rsidRPr="00A57309">
        <w:rPr>
          <w:bCs/>
        </w:rPr>
        <w:t xml:space="preserve"> méně</w:t>
      </w:r>
      <w:r w:rsidRPr="00A57309">
        <w:rPr>
          <w:bCs/>
        </w:rPr>
        <w:t xml:space="preserve"> případů než v roce 202</w:t>
      </w:r>
      <w:r w:rsidR="004B2783" w:rsidRPr="00A57309">
        <w:rPr>
          <w:bCs/>
        </w:rPr>
        <w:t>2</w:t>
      </w:r>
      <w:r w:rsidRPr="00A57309">
        <w:rPr>
          <w:bCs/>
        </w:rPr>
        <w:t>.</w:t>
      </w:r>
      <w:r w:rsidR="005E3B8E" w:rsidRPr="00A57309">
        <w:rPr>
          <w:bCs/>
        </w:rPr>
        <w:t xml:space="preserve"> Jen za poslední dva roky vzrostl počet případů pracovní neschopnosti o </w:t>
      </w:r>
      <w:r w:rsidR="00A57309" w:rsidRPr="00A57309">
        <w:rPr>
          <w:bCs/>
        </w:rPr>
        <w:t>více než milion</w:t>
      </w:r>
      <w:r w:rsidR="005E3B8E" w:rsidRPr="00A57309">
        <w:rPr>
          <w:bCs/>
        </w:rPr>
        <w:t>.</w:t>
      </w:r>
    </w:p>
    <w:p w14:paraId="3438C789" w14:textId="0E645944" w:rsidR="004B2783" w:rsidRDefault="004B2783" w:rsidP="00A57309">
      <w:pPr>
        <w:spacing w:before="120" w:after="120"/>
        <w:jc w:val="both"/>
      </w:pPr>
      <w:r w:rsidRPr="00D92E20">
        <w:rPr>
          <w:bCs/>
        </w:rPr>
        <w:lastRenderedPageBreak/>
        <w:t xml:space="preserve">Významným faktorem, který </w:t>
      </w:r>
      <w:r>
        <w:rPr>
          <w:bCs/>
        </w:rPr>
        <w:t>stojí</w:t>
      </w:r>
      <w:r w:rsidRPr="00D92E20">
        <w:rPr>
          <w:bCs/>
        </w:rPr>
        <w:t xml:space="preserve"> za </w:t>
      </w:r>
      <w:r>
        <w:rPr>
          <w:bCs/>
        </w:rPr>
        <w:t xml:space="preserve">meziročním extrémním </w:t>
      </w:r>
      <w:r w:rsidRPr="00D92E20">
        <w:rPr>
          <w:bCs/>
        </w:rPr>
        <w:t xml:space="preserve">nárůstem počtu nových případů, </w:t>
      </w:r>
      <w:r>
        <w:rPr>
          <w:bCs/>
        </w:rPr>
        <w:t xml:space="preserve">byla </w:t>
      </w:r>
      <w:r w:rsidRPr="00D92E20">
        <w:rPr>
          <w:bCs/>
        </w:rPr>
        <w:t xml:space="preserve">bezesporu </w:t>
      </w:r>
      <w:r>
        <w:rPr>
          <w:bCs/>
        </w:rPr>
        <w:t>pokračující</w:t>
      </w:r>
      <w:r w:rsidRPr="00D92E20">
        <w:rPr>
          <w:bCs/>
        </w:rPr>
        <w:t xml:space="preserve"> </w:t>
      </w:r>
      <w:r w:rsidRPr="00D92E20">
        <w:rPr>
          <w:b/>
          <w:bCs/>
        </w:rPr>
        <w:t xml:space="preserve">pandemie nemoci </w:t>
      </w:r>
      <w:r>
        <w:rPr>
          <w:b/>
          <w:bCs/>
        </w:rPr>
        <w:t>c</w:t>
      </w:r>
      <w:r w:rsidRPr="00D92E20">
        <w:rPr>
          <w:b/>
          <w:bCs/>
        </w:rPr>
        <w:t>ovid-19</w:t>
      </w:r>
      <w:r>
        <w:rPr>
          <w:b/>
          <w:bCs/>
        </w:rPr>
        <w:t xml:space="preserve"> </w:t>
      </w:r>
      <w:r>
        <w:t>a rozšíření velmi nakažlivé varianty omikron</w:t>
      </w:r>
      <w:r w:rsidRPr="00D92E20">
        <w:rPr>
          <w:bCs/>
        </w:rPr>
        <w:t xml:space="preserve">. Případů pracovní neschopnosti </w:t>
      </w:r>
      <w:r w:rsidRPr="00D92E20">
        <w:rPr>
          <w:b/>
          <w:bCs/>
        </w:rPr>
        <w:t>pro nemoc</w:t>
      </w:r>
      <w:r w:rsidRPr="00D92E20">
        <w:rPr>
          <w:bCs/>
        </w:rPr>
        <w:t xml:space="preserve"> bylo v</w:t>
      </w:r>
      <w:r w:rsidR="00A57309">
        <w:rPr>
          <w:bCs/>
        </w:rPr>
        <w:t xml:space="preserve"> roce </w:t>
      </w:r>
      <w:r>
        <w:rPr>
          <w:bCs/>
        </w:rPr>
        <w:t>2022</w:t>
      </w:r>
      <w:r w:rsidRPr="00D92E20">
        <w:rPr>
          <w:bCs/>
        </w:rPr>
        <w:t xml:space="preserve"> nahlášeno </w:t>
      </w:r>
      <w:r w:rsidR="00A57309">
        <w:rPr>
          <w:bCs/>
        </w:rPr>
        <w:t>3,2</w:t>
      </w:r>
      <w:r>
        <w:rPr>
          <w:bCs/>
        </w:rPr>
        <w:t> </w:t>
      </w:r>
      <w:r w:rsidRPr="00D92E20">
        <w:rPr>
          <w:bCs/>
        </w:rPr>
        <w:t>milionu, tedy o </w:t>
      </w:r>
      <w:r>
        <w:rPr>
          <w:bCs/>
        </w:rPr>
        <w:t>6</w:t>
      </w:r>
      <w:r w:rsidR="00A57309">
        <w:rPr>
          <w:bCs/>
        </w:rPr>
        <w:t>91</w:t>
      </w:r>
      <w:r w:rsidRPr="00D92E20">
        <w:rPr>
          <w:bCs/>
        </w:rPr>
        <w:t xml:space="preserve"> tis. více než </w:t>
      </w:r>
      <w:r>
        <w:rPr>
          <w:bCs/>
        </w:rPr>
        <w:t>před rokem</w:t>
      </w:r>
      <w:r w:rsidRPr="00D92E20">
        <w:rPr>
          <w:bCs/>
        </w:rPr>
        <w:t xml:space="preserve">. V relativním vyjádření došlo k nárůstu o </w:t>
      </w:r>
      <w:r w:rsidR="00A57309">
        <w:rPr>
          <w:bCs/>
        </w:rPr>
        <w:t>27 %</w:t>
      </w:r>
      <w:r w:rsidRPr="00D92E20">
        <w:rPr>
          <w:bCs/>
        </w:rPr>
        <w:t>. Do počtu případů pro nemoc jsou kromě nemocí jako takových započteny i karantény</w:t>
      </w:r>
      <w:r>
        <w:rPr>
          <w:rStyle w:val="Znakapoznpodarou"/>
          <w:bCs/>
        </w:rPr>
        <w:footnoteReference w:id="11"/>
      </w:r>
      <w:r w:rsidRPr="00D92E20">
        <w:rPr>
          <w:bCs/>
        </w:rPr>
        <w:t xml:space="preserve">. </w:t>
      </w:r>
      <w:r w:rsidR="00CF382E">
        <w:rPr>
          <w:bCs/>
        </w:rPr>
        <w:t xml:space="preserve">Kromě </w:t>
      </w:r>
      <w:r w:rsidR="00060EF7">
        <w:rPr>
          <w:bCs/>
        </w:rPr>
        <w:t xml:space="preserve">navýšení počtu </w:t>
      </w:r>
      <w:r w:rsidR="00DD78CD">
        <w:rPr>
          <w:bCs/>
        </w:rPr>
        <w:t xml:space="preserve">případů </w:t>
      </w:r>
      <w:r w:rsidR="00CF382E">
        <w:rPr>
          <w:bCs/>
        </w:rPr>
        <w:t>nemoc</w:t>
      </w:r>
      <w:r w:rsidR="00060EF7">
        <w:rPr>
          <w:bCs/>
        </w:rPr>
        <w:t>í, karantén a izolací</w:t>
      </w:r>
      <w:r w:rsidR="00CF382E">
        <w:rPr>
          <w:bCs/>
        </w:rPr>
        <w:t xml:space="preserve"> byl ovšem nárůst částečně způsoben i metodologicky. </w:t>
      </w:r>
      <w:r w:rsidR="00060EF7">
        <w:rPr>
          <w:b/>
          <w:bCs/>
        </w:rPr>
        <w:t>Od 17. ledna do 28. února</w:t>
      </w:r>
      <w:r w:rsidR="00D85AE3" w:rsidRPr="00231C42">
        <w:rPr>
          <w:b/>
        </w:rPr>
        <w:t xml:space="preserve"> 2022</w:t>
      </w:r>
      <w:r w:rsidR="00D85AE3">
        <w:t xml:space="preserve"> </w:t>
      </w:r>
      <w:r w:rsidR="00D85AE3" w:rsidRPr="004D3AD6">
        <w:t xml:space="preserve">při testování zaměstnanců </w:t>
      </w:r>
      <w:r w:rsidR="00D85AE3">
        <w:t xml:space="preserve">na covid-19 </w:t>
      </w:r>
      <w:r w:rsidR="00D85AE3" w:rsidRPr="004D3AD6">
        <w:t xml:space="preserve">byly </w:t>
      </w:r>
      <w:r w:rsidR="00D85AE3" w:rsidRPr="00231C42">
        <w:rPr>
          <w:b/>
        </w:rPr>
        <w:t>některým pracujícím</w:t>
      </w:r>
      <w:r w:rsidR="00D85AE3" w:rsidRPr="004D3AD6">
        <w:t xml:space="preserve"> vydány neschopenky </w:t>
      </w:r>
      <w:r w:rsidR="00D85AE3">
        <w:t xml:space="preserve">pro karanténu či izolaci </w:t>
      </w:r>
      <w:r w:rsidR="00D85AE3" w:rsidRPr="00231C42">
        <w:rPr>
          <w:b/>
        </w:rPr>
        <w:t>duplicitně</w:t>
      </w:r>
      <w:r w:rsidR="00D85AE3" w:rsidRPr="004D3AD6">
        <w:t xml:space="preserve">. V zájmu operativního jednání při </w:t>
      </w:r>
      <w:r w:rsidR="00D85AE3">
        <w:t xml:space="preserve">jejich </w:t>
      </w:r>
      <w:r w:rsidR="00D85AE3" w:rsidRPr="004D3AD6">
        <w:t>vyřiz</w:t>
      </w:r>
      <w:r w:rsidR="00D85AE3">
        <w:t xml:space="preserve">ování </w:t>
      </w:r>
      <w:r w:rsidR="00D85AE3" w:rsidRPr="004D3AD6">
        <w:t xml:space="preserve">vydávali neschopenky jak praktičtí lékaři, tak krajské hygienické stanice. </w:t>
      </w:r>
      <w:r w:rsidR="00D85AE3" w:rsidRPr="00EA05C7">
        <w:t xml:space="preserve">Z dostupných zdrojových databází </w:t>
      </w:r>
      <w:r w:rsidR="00D85AE3">
        <w:t xml:space="preserve">však </w:t>
      </w:r>
      <w:r w:rsidR="00D85AE3" w:rsidRPr="00EA05C7">
        <w:t>není možné duplicitní případy identifikovat</w:t>
      </w:r>
      <w:r w:rsidR="008E2EF1">
        <w:t xml:space="preserve"> a ani vyčíslit jejich míru</w:t>
      </w:r>
      <w:r w:rsidR="00D85AE3" w:rsidRPr="00EA05C7">
        <w:t>.</w:t>
      </w:r>
      <w:r w:rsidR="00D85AE3">
        <w:t xml:space="preserve"> </w:t>
      </w:r>
    </w:p>
    <w:p w14:paraId="7650C4E3" w14:textId="7DBC6D02" w:rsidR="003A69CB" w:rsidRPr="003A69CB" w:rsidRDefault="003A69CB" w:rsidP="003A69CB">
      <w:pPr>
        <w:pStyle w:val="Box1"/>
        <w:spacing w:before="120" w:after="120"/>
        <w:ind w:left="0"/>
        <w:contextualSpacing w:val="0"/>
        <w:jc w:val="both"/>
        <w:rPr>
          <w:i/>
        </w:rPr>
      </w:pPr>
      <w:r>
        <w:rPr>
          <w:i/>
        </w:rPr>
        <w:t>Do jisté míry duplicitní vydávání neschopenek</w:t>
      </w:r>
      <w:r w:rsidRPr="003A69CB">
        <w:rPr>
          <w:i/>
        </w:rPr>
        <w:t xml:space="preserve"> má </w:t>
      </w:r>
      <w:r w:rsidRPr="003A69CB">
        <w:rPr>
          <w:b/>
          <w:i/>
        </w:rPr>
        <w:t>kromě počtu nahlášených případů vliv i na další prezentované a z nich odvozené ukazatele</w:t>
      </w:r>
      <w:r w:rsidRPr="003A69CB">
        <w:rPr>
          <w:i/>
        </w:rPr>
        <w:t xml:space="preserve"> (počet kalendářních dnů v pracovní neschopnosti, průměrné procento dočasné pracovní neschopnosti, průměrný denní stav dočasně práce neschopných). </w:t>
      </w:r>
    </w:p>
    <w:p w14:paraId="6B8E7131" w14:textId="78DC4033" w:rsidR="008E2EF1" w:rsidRDefault="008E2EF1" w:rsidP="00A57309">
      <w:pPr>
        <w:spacing w:before="120" w:after="120"/>
        <w:jc w:val="both"/>
      </w:pPr>
      <w:r>
        <w:t>Za druhé pololetí roku 2022, ve kterém již duplicity nejsou</w:t>
      </w:r>
      <w:r w:rsidR="00263CD8">
        <w:rPr>
          <w:rStyle w:val="Znakapoznpodarou"/>
        </w:rPr>
        <w:footnoteReference w:id="12"/>
      </w:r>
      <w:r>
        <w:t>, bylo nahlášeno 1 404 tis. případů</w:t>
      </w:r>
      <w:r w:rsidR="007F2E25">
        <w:t xml:space="preserve"> dočasné pracovní neschopnosti, </w:t>
      </w:r>
      <w:r w:rsidR="007F2E25" w:rsidRPr="00DD78CD">
        <w:t>z</w:t>
      </w:r>
      <w:r w:rsidR="000A37C2" w:rsidRPr="00DD78CD">
        <w:t> toho 1 298 tis. případů bylo pro nemoc.</w:t>
      </w:r>
      <w:r w:rsidR="000A37C2">
        <w:t xml:space="preserve"> </w:t>
      </w:r>
      <w:r>
        <w:t xml:space="preserve">Meziroční nárůst </w:t>
      </w:r>
      <w:r w:rsidR="007F2E25">
        <w:t xml:space="preserve">počtu případů pracovní neschopnosti </w:t>
      </w:r>
      <w:r>
        <w:t xml:space="preserve">oproti 2. pol. 2021 </w:t>
      </w:r>
      <w:r w:rsidR="008257CF">
        <w:t xml:space="preserve">činil 50 tis. </w:t>
      </w:r>
      <w:r>
        <w:t xml:space="preserve">a též </w:t>
      </w:r>
      <w:r w:rsidR="008257CF">
        <w:t>nárůst ve srovnání s</w:t>
      </w:r>
      <w:r w:rsidR="007C7A48">
        <w:t> druhou polovinou roku</w:t>
      </w:r>
      <w:r w:rsidR="008257CF">
        <w:t xml:space="preserve"> </w:t>
      </w:r>
      <w:r>
        <w:t xml:space="preserve">2020 je jen </w:t>
      </w:r>
      <w:r w:rsidR="008257CF">
        <w:t>mírný</w:t>
      </w:r>
      <w:r>
        <w:t xml:space="preserve"> (viz graf 2.1).</w:t>
      </w:r>
      <w:r w:rsidR="007F2E25">
        <w:t xml:space="preserve"> </w:t>
      </w:r>
      <w:r w:rsidR="007F2E25" w:rsidRPr="00DD78CD">
        <w:t>Ovšem s</w:t>
      </w:r>
      <w:r w:rsidR="007F2E25" w:rsidRPr="00DD78CD">
        <w:rPr>
          <w:rFonts w:cs="Arial"/>
          <w:szCs w:val="20"/>
        </w:rPr>
        <w:t>rovnáme-li 2. pol. 2022 s obdobím před pandemií (tedy s 2. pol. 2019), počet neschopenek pro nemoc se zvýšil o 55 % (+459 tis.). V posledních 6 měsících roku 2022 bylo dokonce vystaveno nepatrně více neschopenek z důvodu nemoci než ve stejných obdobích v letech 2020 a 2021, které byly silně ovlivněny epidemií covid-19.</w:t>
      </w:r>
    </w:p>
    <w:p w14:paraId="6BF8619C" w14:textId="1753F0D0" w:rsidR="008E2EF1" w:rsidRPr="008E2EF1" w:rsidRDefault="008E2EF1" w:rsidP="00A57309">
      <w:pPr>
        <w:spacing w:before="120" w:after="120"/>
        <w:jc w:val="both"/>
        <w:rPr>
          <w:b/>
        </w:rPr>
      </w:pPr>
      <w:r w:rsidRPr="008E2EF1">
        <w:rPr>
          <w:b/>
        </w:rPr>
        <w:t>Graf 2.</w:t>
      </w:r>
      <w:r>
        <w:rPr>
          <w:b/>
        </w:rPr>
        <w:t>1</w:t>
      </w:r>
      <w:r w:rsidRPr="008E2EF1">
        <w:rPr>
          <w:b/>
        </w:rPr>
        <w:t>: Nově hlášené případy dočasné pracovní neschopnosti, 2015–2022</w:t>
      </w:r>
    </w:p>
    <w:p w14:paraId="63D6D806" w14:textId="40AECFE6" w:rsidR="008E2EF1" w:rsidRDefault="003A69CB" w:rsidP="00A57309">
      <w:pPr>
        <w:spacing w:before="120" w:after="120"/>
        <w:jc w:val="both"/>
        <w:rPr>
          <w:bCs/>
          <w:highlight w:val="yellow"/>
        </w:rPr>
      </w:pPr>
      <w:r>
        <w:rPr>
          <w:noProof/>
        </w:rPr>
        <mc:AlternateContent>
          <mc:Choice Requires="wps">
            <w:drawing>
              <wp:anchor distT="0" distB="0" distL="114300" distR="114300" simplePos="0" relativeHeight="251677184" behindDoc="0" locked="0" layoutInCell="1" allowOverlap="1" wp14:anchorId="6E5BB80B" wp14:editId="5773C886">
                <wp:simplePos x="0" y="0"/>
                <wp:positionH relativeFrom="column">
                  <wp:posOffset>5248275</wp:posOffset>
                </wp:positionH>
                <wp:positionV relativeFrom="paragraph">
                  <wp:posOffset>27940</wp:posOffset>
                </wp:positionV>
                <wp:extent cx="0" cy="2592000"/>
                <wp:effectExtent l="57150" t="19050" r="76200" b="94615"/>
                <wp:wrapNone/>
                <wp:docPr id="14" name="Přímá spojnice 3"/>
                <wp:cNvGraphicFramePr/>
                <a:graphic xmlns:a="http://schemas.openxmlformats.org/drawingml/2006/main">
                  <a:graphicData uri="http://schemas.microsoft.com/office/word/2010/wordprocessingShape">
                    <wps:wsp>
                      <wps:cNvCnPr/>
                      <wps:spPr>
                        <a:xfrm>
                          <a:off x="0" y="0"/>
                          <a:ext cx="0" cy="2592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w14:anchorId="78BD797F" id="Přímá spojnice 3" o:spid="_x0000_s1026" style="position:absolute;z-index:251677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13.25pt,2.2pt" to="413.25pt,20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" strokecolor="#c00000" strokeweight=".5pt">
                <v:stroke dashstyle="dash"/>
                <v:shadow on="t" color="black" opacity="24903f" origin=",.5" offset="0,.55556mm"/>
              </v:line>
            </w:pict>
          </mc:Fallback>
        </mc:AlternateContent>
      </w:r>
      <w:r w:rsidR="008E2EF1">
        <w:rPr>
          <w:noProof/>
        </w:rPr>
        <w:drawing>
          <wp:inline distT="0" distB="0" distL="0" distR="0" wp14:anchorId="25960B7D" wp14:editId="4C1534BB">
            <wp:extent cx="6067425" cy="2838450"/>
            <wp:effectExtent l="0" t="0" r="9525" b="0"/>
            <wp:docPr id="26" name="Graf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2B1F3D6E" w14:textId="25289CEF" w:rsidR="005E53B4" w:rsidRDefault="005E53B4" w:rsidP="008E2EF1">
      <w:pPr>
        <w:spacing w:before="120" w:after="120" w:line="240" w:lineRule="auto"/>
        <w:jc w:val="both"/>
        <w:rPr>
          <w:rFonts w:cs="Arial"/>
          <w:color w:val="000000"/>
          <w:sz w:val="16"/>
          <w:szCs w:val="16"/>
        </w:rPr>
      </w:pPr>
      <w:r>
        <w:rPr>
          <w:rFonts w:cs="Arial"/>
          <w:color w:val="000000"/>
          <w:sz w:val="16"/>
          <w:szCs w:val="16"/>
        </w:rPr>
        <w:t>Pozn.: Přerušení v časové řadě.</w:t>
      </w:r>
    </w:p>
    <w:p w14:paraId="1D9A11D1" w14:textId="689805B1" w:rsidR="008E2EF1" w:rsidRPr="004B2783" w:rsidRDefault="008E2EF1" w:rsidP="008E2EF1">
      <w:pPr>
        <w:spacing w:before="120" w:after="120" w:line="240" w:lineRule="auto"/>
        <w:jc w:val="both"/>
        <w:rPr>
          <w:rFonts w:cs="Arial"/>
          <w:color w:val="000000"/>
          <w:sz w:val="16"/>
          <w:szCs w:val="16"/>
        </w:rPr>
      </w:pPr>
      <w:r w:rsidRPr="004B2783">
        <w:rPr>
          <w:rFonts w:cs="Arial"/>
          <w:color w:val="000000"/>
          <w:sz w:val="16"/>
          <w:szCs w:val="16"/>
        </w:rPr>
        <w:t>Zdroj: ČSÚ</w:t>
      </w:r>
    </w:p>
    <w:p w14:paraId="4D4AB880" w14:textId="0B607F78" w:rsidR="005E3B8E" w:rsidRPr="00A57309" w:rsidRDefault="005E3B8E" w:rsidP="005E3B8E">
      <w:pPr>
        <w:spacing w:before="120" w:after="120"/>
        <w:jc w:val="both"/>
        <w:rPr>
          <w:bCs/>
        </w:rPr>
      </w:pPr>
      <w:r w:rsidRPr="00A57309">
        <w:rPr>
          <w:bCs/>
        </w:rPr>
        <w:t xml:space="preserve">Vedle pandemie mělo na nárůst počtu případů pracovní neschopnosti v posledních 2 letech vliv </w:t>
      </w:r>
      <w:r w:rsidR="00A57309">
        <w:rPr>
          <w:bCs/>
        </w:rPr>
        <w:t xml:space="preserve">(ačkoliv ve srovnání s pandemií podružný) </w:t>
      </w:r>
      <w:r w:rsidRPr="00A57309">
        <w:rPr>
          <w:bCs/>
        </w:rPr>
        <w:t xml:space="preserve">i </w:t>
      </w:r>
      <w:r w:rsidRPr="00A57309">
        <w:rPr>
          <w:b/>
          <w:bCs/>
        </w:rPr>
        <w:t>zrušení karenční doby od 1. července 2019</w:t>
      </w:r>
      <w:r w:rsidRPr="00A57309">
        <w:rPr>
          <w:bCs/>
        </w:rPr>
        <w:t xml:space="preserve">, kdy zaměstnanec dostává náhradu mzdy již od prvního dne, a nikoliv až od čtvrtého, jako tomu bylo od roku 2009 až do </w:t>
      </w:r>
      <w:r w:rsidR="00FD2D60" w:rsidRPr="00A57309">
        <w:rPr>
          <w:bCs/>
        </w:rPr>
        <w:t>června 2019</w:t>
      </w:r>
      <w:r w:rsidRPr="00A57309">
        <w:rPr>
          <w:bCs/>
        </w:rPr>
        <w:t>.</w:t>
      </w:r>
    </w:p>
    <w:p w14:paraId="4694E595" w14:textId="28BB6BE9" w:rsidR="00873671" w:rsidRDefault="00873671" w:rsidP="00873671">
      <w:pPr>
        <w:spacing w:before="120" w:after="120"/>
        <w:jc w:val="both"/>
      </w:pPr>
      <w:r w:rsidRPr="00A57309">
        <w:t>V roce 202</w:t>
      </w:r>
      <w:r w:rsidR="00A57309" w:rsidRPr="00A57309">
        <w:t>2</w:t>
      </w:r>
      <w:r w:rsidRPr="00A57309">
        <w:t xml:space="preserve"> bylo vystaveno 45 tis. neschopenek pro </w:t>
      </w:r>
      <w:r w:rsidRPr="00A57309">
        <w:rPr>
          <w:b/>
        </w:rPr>
        <w:t>pracovní úraz</w:t>
      </w:r>
      <w:r w:rsidRPr="00A57309">
        <w:t xml:space="preserve">. Po poklesu v roce 2020, kdy došlo </w:t>
      </w:r>
      <w:proofErr w:type="gramStart"/>
      <w:r w:rsidRPr="00A57309">
        <w:t>ke</w:t>
      </w:r>
      <w:proofErr w:type="gramEnd"/>
      <w:r w:rsidRPr="00A57309">
        <w:t xml:space="preserve"> 41 tis. pracovních úrazů vyžadujících pracovní neschopnost, se čísla vrátila na hodnotu z roku 2019. </w:t>
      </w:r>
      <w:r w:rsidR="00A57309" w:rsidRPr="00A57309">
        <w:lastRenderedPageBreak/>
        <w:t xml:space="preserve">Zatímco počet pracovních úrazů meziročně mírně poklesl (o 325 úrazů), </w:t>
      </w:r>
      <w:r w:rsidRPr="00A57309">
        <w:rPr>
          <w:b/>
        </w:rPr>
        <w:t>počet mimopracovních úrazů</w:t>
      </w:r>
      <w:r w:rsidRPr="00A57309">
        <w:t>,</w:t>
      </w:r>
      <w:r w:rsidRPr="00A57309">
        <w:rPr>
          <w:b/>
        </w:rPr>
        <w:t xml:space="preserve"> </w:t>
      </w:r>
      <w:r w:rsidRPr="00A57309">
        <w:t>kvůli nimž byla vydána neschopenka</w:t>
      </w:r>
      <w:r w:rsidR="00A57309" w:rsidRPr="00A57309">
        <w:t>, naopak vzrostl</w:t>
      </w:r>
      <w:r w:rsidRPr="00A57309">
        <w:t>. Ze 160</w:t>
      </w:r>
      <w:r w:rsidR="00A57309" w:rsidRPr="00A57309">
        <w:t xml:space="preserve"> </w:t>
      </w:r>
      <w:r w:rsidR="000C3BCD">
        <w:t xml:space="preserve">tis. </w:t>
      </w:r>
      <w:r w:rsidR="00A57309" w:rsidRPr="00A57309">
        <w:t>na 173</w:t>
      </w:r>
      <w:r w:rsidRPr="00A57309">
        <w:t xml:space="preserve"> tis. </w:t>
      </w:r>
    </w:p>
    <w:p w14:paraId="2C4C77DF" w14:textId="59A408D4" w:rsidR="000C3BCD" w:rsidRDefault="000C3BCD" w:rsidP="00A841B0">
      <w:pPr>
        <w:spacing w:before="120" w:after="120"/>
        <w:jc w:val="both"/>
      </w:pPr>
      <w:r w:rsidRPr="001541E4">
        <w:rPr>
          <w:b/>
        </w:rPr>
        <w:t>Ženy</w:t>
      </w:r>
      <w:r w:rsidRPr="001541E4">
        <w:t xml:space="preserve"> nastupují do pracovní neschopnosti častěji, v roce 2022 v 54 % případů, což je nebývale vysoký podíl, který opět může mít souvislost s migrací z Ukrajiny. Celkem bylo evidováno 1 </w:t>
      </w:r>
      <w:r>
        <w:t>869</w:t>
      </w:r>
      <w:r w:rsidRPr="001541E4">
        <w:t xml:space="preserve"> tis. případů pracovní neschopnosti žen. Počet neschopenek mužů byl o 281 tis. nižší.  Pokud se zaměříme na dočasné pracovní neschopnosti </w:t>
      </w:r>
      <w:r w:rsidRPr="001541E4">
        <w:rPr>
          <w:b/>
        </w:rPr>
        <w:t>pro nemoc</w:t>
      </w:r>
      <w:r w:rsidRPr="001541E4">
        <w:t xml:space="preserve">, je rozdíl ještě větší. Ženy vykázaly o 334 tis. případů dočasné pracovní neschopnosti </w:t>
      </w:r>
      <w:r w:rsidRPr="001541E4">
        <w:rPr>
          <w:b/>
        </w:rPr>
        <w:t>pro nemoc</w:t>
      </w:r>
      <w:r w:rsidRPr="001541E4">
        <w:t xml:space="preserve"> více než muži. Srovnáme-li současný stav s obdobím před pandemií (tedy s rokem 2019), počet neschopenek pro nemoc u mužů vzrostl o 88 % (+680 tis.), u žen o 91 % (+849</w:t>
      </w:r>
      <w:r>
        <w:t xml:space="preserve"> tis.).</w:t>
      </w:r>
    </w:p>
    <w:p w14:paraId="59387239" w14:textId="11EDF30D" w:rsidR="00873671" w:rsidRPr="004B2783" w:rsidRDefault="005E53B4" w:rsidP="00873671">
      <w:pPr>
        <w:spacing w:after="60"/>
        <w:jc w:val="both"/>
        <w:rPr>
          <w:b/>
          <w:bCs/>
          <w:spacing w:val="-4"/>
        </w:rPr>
      </w:pPr>
      <w:r>
        <w:rPr>
          <w:noProof/>
        </w:rPr>
        <mc:AlternateContent>
          <mc:Choice Requires="wps">
            <w:drawing>
              <wp:anchor distT="0" distB="0" distL="114300" distR="114300" simplePos="0" relativeHeight="251679232" behindDoc="0" locked="0" layoutInCell="1" allowOverlap="1" wp14:anchorId="6647C66D" wp14:editId="4A5F726B">
                <wp:simplePos x="0" y="0"/>
                <wp:positionH relativeFrom="column">
                  <wp:posOffset>-100965</wp:posOffset>
                </wp:positionH>
                <wp:positionV relativeFrom="paragraph">
                  <wp:posOffset>2585085</wp:posOffset>
                </wp:positionV>
                <wp:extent cx="3381375" cy="0"/>
                <wp:effectExtent l="38100" t="38100" r="66675" b="95250"/>
                <wp:wrapNone/>
                <wp:docPr id="36" name="Přímá spojnice 3"/>
                <wp:cNvGraphicFramePr/>
                <a:graphic xmlns:a="http://schemas.openxmlformats.org/drawingml/2006/main">
                  <a:graphicData uri="http://schemas.microsoft.com/office/word/2010/wordprocessingShape">
                    <wps:wsp>
                      <wps:cNvCnPr/>
                      <wps:spPr>
                        <a:xfrm>
                          <a:off x="0" y="0"/>
                          <a:ext cx="3381375" cy="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F2A3EC" id="Přímá spojnice 3" o:spid="_x0000_s1026" style="position:absolute;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5pt,203.55pt" to="258.3pt,20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" strokecolor="#c00000" strokeweight=".5pt">
                <v:stroke dashstyle="dash"/>
                <v:shadow on="t" color="black" opacity="24903f" origin=",.5" offset="0,.55556mm"/>
              </v:line>
            </w:pict>
          </mc:Fallback>
        </mc:AlternateContent>
      </w:r>
      <w:r w:rsidR="00873671" w:rsidRPr="004B2783">
        <w:rPr>
          <w:b/>
          <w:bCs/>
          <w:spacing w:val="-4"/>
        </w:rPr>
        <w:t>Tab. 2.1: Nově hlášené případy dočasné pracovní neschopnosti podle příčiny a pohlaví, 201</w:t>
      </w:r>
      <w:r w:rsidR="004B2783" w:rsidRPr="004B2783">
        <w:rPr>
          <w:b/>
          <w:bCs/>
          <w:spacing w:val="-4"/>
        </w:rPr>
        <w:t>2–2022</w:t>
      </w:r>
      <w:r w:rsidR="00873671" w:rsidRPr="004B2783">
        <w:rPr>
          <w:b/>
          <w:bCs/>
          <w:spacing w:val="-4"/>
        </w:rPr>
        <w:t xml:space="preserve"> (v tis.)</w:t>
      </w:r>
    </w:p>
    <w:tbl>
      <w:tblPr>
        <w:tblW w:w="9588" w:type="dxa"/>
        <w:tblCellMar>
          <w:left w:w="70" w:type="dxa"/>
          <w:right w:w="70" w:type="dxa"/>
        </w:tblCellMar>
        <w:tblLook w:val="04A0" w:firstRow="1" w:lastRow="0" w:firstColumn="1" w:lastColumn="0" w:noHBand="0" w:noVBand="1"/>
      </w:tblPr>
      <w:tblGrid>
        <w:gridCol w:w="736"/>
        <w:gridCol w:w="737"/>
        <w:gridCol w:w="735"/>
        <w:gridCol w:w="735"/>
        <w:gridCol w:w="736"/>
        <w:gridCol w:w="735"/>
        <w:gridCol w:w="735"/>
        <w:gridCol w:w="754"/>
        <w:gridCol w:w="737"/>
        <w:gridCol w:w="737"/>
        <w:gridCol w:w="737"/>
        <w:gridCol w:w="737"/>
        <w:gridCol w:w="737"/>
      </w:tblGrid>
      <w:tr w:rsidR="00873671" w:rsidRPr="004B2783" w14:paraId="7CB40121" w14:textId="77777777" w:rsidTr="00873671">
        <w:trPr>
          <w:trHeight w:val="300"/>
        </w:trPr>
        <w:tc>
          <w:tcPr>
            <w:tcW w:w="736" w:type="dxa"/>
            <w:vMerge w:val="restart"/>
            <w:tcBorders>
              <w:top w:val="single" w:sz="4" w:space="0" w:color="auto"/>
              <w:left w:val="nil"/>
              <w:bottom w:val="single" w:sz="4" w:space="0" w:color="auto"/>
              <w:right w:val="nil"/>
            </w:tcBorders>
            <w:shd w:val="clear" w:color="000000" w:fill="F5DADD"/>
            <w:vAlign w:val="center"/>
            <w:hideMark/>
          </w:tcPr>
          <w:p w14:paraId="6582E087" w14:textId="09AFCEF1"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Rok</w:t>
            </w:r>
          </w:p>
        </w:tc>
        <w:tc>
          <w:tcPr>
            <w:tcW w:w="737" w:type="dxa"/>
            <w:vMerge w:val="restart"/>
            <w:tcBorders>
              <w:top w:val="single" w:sz="4" w:space="0" w:color="auto"/>
              <w:left w:val="single" w:sz="4" w:space="0" w:color="auto"/>
              <w:bottom w:val="single" w:sz="4" w:space="0" w:color="auto"/>
              <w:right w:val="nil"/>
            </w:tcBorders>
            <w:shd w:val="clear" w:color="000000" w:fill="F2DBDB"/>
            <w:vAlign w:val="center"/>
            <w:hideMark/>
          </w:tcPr>
          <w:p w14:paraId="68EC837E" w14:textId="77777777" w:rsidR="00873671" w:rsidRPr="004B2783" w:rsidRDefault="00873671" w:rsidP="006E58D2">
            <w:pPr>
              <w:spacing w:after="0" w:line="240" w:lineRule="auto"/>
              <w:jc w:val="center"/>
              <w:rPr>
                <w:rFonts w:cs="Arial"/>
                <w:b/>
                <w:bCs/>
                <w:color w:val="000000"/>
                <w:sz w:val="16"/>
                <w:szCs w:val="16"/>
              </w:rPr>
            </w:pPr>
            <w:r w:rsidRPr="004B2783">
              <w:rPr>
                <w:rFonts w:cs="Arial"/>
                <w:b/>
                <w:bCs/>
                <w:color w:val="000000"/>
                <w:sz w:val="16"/>
                <w:szCs w:val="16"/>
              </w:rPr>
              <w:t>Celkem</w:t>
            </w:r>
          </w:p>
        </w:tc>
        <w:tc>
          <w:tcPr>
            <w:tcW w:w="1470"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547D5A8E"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podle pohlaví</w:t>
            </w:r>
          </w:p>
        </w:tc>
        <w:tc>
          <w:tcPr>
            <w:tcW w:w="736" w:type="dxa"/>
            <w:vMerge w:val="restart"/>
            <w:tcBorders>
              <w:top w:val="single" w:sz="4" w:space="0" w:color="auto"/>
              <w:left w:val="nil"/>
              <w:bottom w:val="single" w:sz="4" w:space="0" w:color="auto"/>
              <w:right w:val="nil"/>
            </w:tcBorders>
            <w:shd w:val="clear" w:color="000000" w:fill="F2DBDB"/>
            <w:vAlign w:val="center"/>
            <w:hideMark/>
          </w:tcPr>
          <w:p w14:paraId="6807D4FF"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Pro nemoc</w:t>
            </w:r>
          </w:p>
        </w:tc>
        <w:tc>
          <w:tcPr>
            <w:tcW w:w="1470"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0F832B8F"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podle pohlaví</w:t>
            </w:r>
          </w:p>
        </w:tc>
        <w:tc>
          <w:tcPr>
            <w:tcW w:w="754" w:type="dxa"/>
            <w:vMerge w:val="restart"/>
            <w:tcBorders>
              <w:top w:val="single" w:sz="4" w:space="0" w:color="auto"/>
              <w:left w:val="single" w:sz="4" w:space="0" w:color="auto"/>
              <w:bottom w:val="single" w:sz="4" w:space="0" w:color="auto"/>
              <w:right w:val="nil"/>
            </w:tcBorders>
            <w:shd w:val="clear" w:color="000000" w:fill="F2DBDB"/>
            <w:vAlign w:val="center"/>
            <w:hideMark/>
          </w:tcPr>
          <w:p w14:paraId="362AB629"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Pro pracovní úrazy</w:t>
            </w:r>
          </w:p>
        </w:tc>
        <w:tc>
          <w:tcPr>
            <w:tcW w:w="1474"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1F9B18FD"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podle pohlaví</w:t>
            </w:r>
          </w:p>
        </w:tc>
        <w:tc>
          <w:tcPr>
            <w:tcW w:w="737" w:type="dxa"/>
            <w:vMerge w:val="restart"/>
            <w:tcBorders>
              <w:top w:val="single" w:sz="4" w:space="0" w:color="auto"/>
              <w:left w:val="nil"/>
              <w:bottom w:val="single" w:sz="4" w:space="0" w:color="auto"/>
              <w:right w:val="nil"/>
            </w:tcBorders>
            <w:shd w:val="clear" w:color="000000" w:fill="F2DBDB"/>
            <w:vAlign w:val="center"/>
            <w:hideMark/>
          </w:tcPr>
          <w:p w14:paraId="1C1A7070"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Pro ostatní úrazy</w:t>
            </w:r>
          </w:p>
        </w:tc>
        <w:tc>
          <w:tcPr>
            <w:tcW w:w="1474" w:type="dxa"/>
            <w:gridSpan w:val="2"/>
            <w:tcBorders>
              <w:top w:val="single" w:sz="4" w:space="0" w:color="auto"/>
              <w:left w:val="single" w:sz="4" w:space="0" w:color="auto"/>
              <w:bottom w:val="single" w:sz="4" w:space="0" w:color="auto"/>
              <w:right w:val="nil"/>
            </w:tcBorders>
            <w:shd w:val="clear" w:color="000000" w:fill="F2DBDB"/>
            <w:vAlign w:val="center"/>
            <w:hideMark/>
          </w:tcPr>
          <w:p w14:paraId="3D5839F3"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podle pohlaví</w:t>
            </w:r>
          </w:p>
        </w:tc>
      </w:tr>
      <w:tr w:rsidR="00873671" w:rsidRPr="004B2783" w14:paraId="52B07BE7" w14:textId="77777777" w:rsidTr="00873671">
        <w:trPr>
          <w:trHeight w:val="405"/>
        </w:trPr>
        <w:tc>
          <w:tcPr>
            <w:tcW w:w="736" w:type="dxa"/>
            <w:vMerge/>
            <w:tcBorders>
              <w:top w:val="single" w:sz="4" w:space="0" w:color="auto"/>
              <w:left w:val="nil"/>
              <w:bottom w:val="single" w:sz="4" w:space="0" w:color="auto"/>
              <w:right w:val="nil"/>
            </w:tcBorders>
            <w:vAlign w:val="center"/>
            <w:hideMark/>
          </w:tcPr>
          <w:p w14:paraId="209C57BC" w14:textId="77777777" w:rsidR="00873671" w:rsidRPr="004B2783" w:rsidRDefault="00873671" w:rsidP="006E58D2">
            <w:pPr>
              <w:spacing w:after="0" w:line="240" w:lineRule="auto"/>
              <w:rPr>
                <w:rFonts w:cs="Arial"/>
                <w:color w:val="000000"/>
                <w:sz w:val="16"/>
                <w:szCs w:val="16"/>
              </w:rPr>
            </w:pPr>
          </w:p>
        </w:tc>
        <w:tc>
          <w:tcPr>
            <w:tcW w:w="737" w:type="dxa"/>
            <w:vMerge/>
            <w:tcBorders>
              <w:top w:val="single" w:sz="4" w:space="0" w:color="auto"/>
              <w:left w:val="single" w:sz="4" w:space="0" w:color="auto"/>
              <w:bottom w:val="single" w:sz="4" w:space="0" w:color="auto"/>
              <w:right w:val="nil"/>
            </w:tcBorders>
            <w:vAlign w:val="center"/>
            <w:hideMark/>
          </w:tcPr>
          <w:p w14:paraId="28DE8DCE" w14:textId="77777777" w:rsidR="00873671" w:rsidRPr="004B2783" w:rsidRDefault="00873671" w:rsidP="006E58D2">
            <w:pPr>
              <w:spacing w:after="0" w:line="240" w:lineRule="auto"/>
              <w:rPr>
                <w:rFonts w:cs="Arial"/>
                <w:b/>
                <w:bCs/>
                <w:color w:val="000000"/>
                <w:sz w:val="16"/>
                <w:szCs w:val="16"/>
              </w:rPr>
            </w:pPr>
          </w:p>
        </w:tc>
        <w:tc>
          <w:tcPr>
            <w:tcW w:w="735" w:type="dxa"/>
            <w:tcBorders>
              <w:top w:val="nil"/>
              <w:left w:val="single" w:sz="4" w:space="0" w:color="auto"/>
              <w:bottom w:val="single" w:sz="4" w:space="0" w:color="auto"/>
              <w:right w:val="single" w:sz="4" w:space="0" w:color="auto"/>
            </w:tcBorders>
            <w:shd w:val="clear" w:color="000000" w:fill="F2DBDB"/>
            <w:vAlign w:val="center"/>
            <w:hideMark/>
          </w:tcPr>
          <w:p w14:paraId="7CF2EEC0"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muži</w:t>
            </w:r>
          </w:p>
        </w:tc>
        <w:tc>
          <w:tcPr>
            <w:tcW w:w="735" w:type="dxa"/>
            <w:tcBorders>
              <w:top w:val="nil"/>
              <w:left w:val="nil"/>
              <w:bottom w:val="single" w:sz="4" w:space="0" w:color="auto"/>
              <w:right w:val="single" w:sz="4" w:space="0" w:color="auto"/>
            </w:tcBorders>
            <w:shd w:val="clear" w:color="000000" w:fill="F2DBDB"/>
            <w:vAlign w:val="center"/>
            <w:hideMark/>
          </w:tcPr>
          <w:p w14:paraId="0EBE3091"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ženy</w:t>
            </w:r>
          </w:p>
        </w:tc>
        <w:tc>
          <w:tcPr>
            <w:tcW w:w="736" w:type="dxa"/>
            <w:vMerge/>
            <w:tcBorders>
              <w:left w:val="nil"/>
              <w:bottom w:val="single" w:sz="4" w:space="0" w:color="auto"/>
              <w:right w:val="nil"/>
            </w:tcBorders>
            <w:vAlign w:val="center"/>
            <w:hideMark/>
          </w:tcPr>
          <w:p w14:paraId="3159E50C" w14:textId="77777777" w:rsidR="00873671" w:rsidRPr="004B2783" w:rsidRDefault="00873671" w:rsidP="006E58D2">
            <w:pPr>
              <w:spacing w:after="0" w:line="240" w:lineRule="auto"/>
              <w:rPr>
                <w:rFonts w:cs="Arial"/>
                <w:color w:val="000000"/>
                <w:sz w:val="16"/>
                <w:szCs w:val="16"/>
              </w:rPr>
            </w:pPr>
          </w:p>
        </w:tc>
        <w:tc>
          <w:tcPr>
            <w:tcW w:w="735" w:type="dxa"/>
            <w:tcBorders>
              <w:top w:val="nil"/>
              <w:left w:val="single" w:sz="4" w:space="0" w:color="auto"/>
              <w:bottom w:val="single" w:sz="4" w:space="0" w:color="auto"/>
              <w:right w:val="single" w:sz="4" w:space="0" w:color="auto"/>
            </w:tcBorders>
            <w:shd w:val="clear" w:color="000000" w:fill="F2DBDB"/>
            <w:vAlign w:val="center"/>
            <w:hideMark/>
          </w:tcPr>
          <w:p w14:paraId="60B4C3F1"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muži</w:t>
            </w:r>
          </w:p>
        </w:tc>
        <w:tc>
          <w:tcPr>
            <w:tcW w:w="735" w:type="dxa"/>
            <w:tcBorders>
              <w:top w:val="nil"/>
              <w:left w:val="nil"/>
              <w:bottom w:val="single" w:sz="4" w:space="0" w:color="auto"/>
              <w:right w:val="single" w:sz="4" w:space="0" w:color="auto"/>
            </w:tcBorders>
            <w:shd w:val="clear" w:color="000000" w:fill="F2DBDB"/>
            <w:vAlign w:val="center"/>
            <w:hideMark/>
          </w:tcPr>
          <w:p w14:paraId="11CDD270"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ženy</w:t>
            </w:r>
          </w:p>
        </w:tc>
        <w:tc>
          <w:tcPr>
            <w:tcW w:w="754" w:type="dxa"/>
            <w:vMerge/>
            <w:tcBorders>
              <w:left w:val="single" w:sz="4" w:space="0" w:color="auto"/>
              <w:bottom w:val="single" w:sz="4" w:space="0" w:color="auto"/>
              <w:right w:val="nil"/>
            </w:tcBorders>
            <w:vAlign w:val="center"/>
            <w:hideMark/>
          </w:tcPr>
          <w:p w14:paraId="200EDD05" w14:textId="77777777" w:rsidR="00873671" w:rsidRPr="004B2783" w:rsidRDefault="00873671" w:rsidP="006E58D2">
            <w:pPr>
              <w:spacing w:after="0" w:line="240" w:lineRule="auto"/>
              <w:rPr>
                <w:rFonts w:cs="Arial"/>
                <w:color w:val="000000"/>
                <w:sz w:val="16"/>
                <w:szCs w:val="16"/>
              </w:rPr>
            </w:pPr>
          </w:p>
        </w:tc>
        <w:tc>
          <w:tcPr>
            <w:tcW w:w="737" w:type="dxa"/>
            <w:tcBorders>
              <w:top w:val="nil"/>
              <w:left w:val="single" w:sz="4" w:space="0" w:color="auto"/>
              <w:bottom w:val="single" w:sz="4" w:space="0" w:color="auto"/>
              <w:right w:val="single" w:sz="4" w:space="0" w:color="auto"/>
            </w:tcBorders>
            <w:shd w:val="clear" w:color="000000" w:fill="F2DBDB"/>
            <w:vAlign w:val="center"/>
            <w:hideMark/>
          </w:tcPr>
          <w:p w14:paraId="7541C37B"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muži</w:t>
            </w:r>
          </w:p>
        </w:tc>
        <w:tc>
          <w:tcPr>
            <w:tcW w:w="737" w:type="dxa"/>
            <w:tcBorders>
              <w:top w:val="nil"/>
              <w:left w:val="nil"/>
              <w:bottom w:val="single" w:sz="4" w:space="0" w:color="auto"/>
              <w:right w:val="single" w:sz="4" w:space="0" w:color="auto"/>
            </w:tcBorders>
            <w:shd w:val="clear" w:color="000000" w:fill="F2DBDB"/>
            <w:vAlign w:val="center"/>
            <w:hideMark/>
          </w:tcPr>
          <w:p w14:paraId="76F54E80"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ženy</w:t>
            </w:r>
          </w:p>
        </w:tc>
        <w:tc>
          <w:tcPr>
            <w:tcW w:w="737" w:type="dxa"/>
            <w:vMerge/>
            <w:tcBorders>
              <w:left w:val="nil"/>
              <w:bottom w:val="single" w:sz="4" w:space="0" w:color="auto"/>
              <w:right w:val="nil"/>
            </w:tcBorders>
            <w:vAlign w:val="center"/>
            <w:hideMark/>
          </w:tcPr>
          <w:p w14:paraId="3BD1786A" w14:textId="77777777" w:rsidR="00873671" w:rsidRPr="004B2783" w:rsidRDefault="00873671" w:rsidP="006E58D2">
            <w:pPr>
              <w:spacing w:after="0" w:line="240" w:lineRule="auto"/>
              <w:rPr>
                <w:rFonts w:cs="Arial"/>
                <w:color w:val="000000"/>
                <w:sz w:val="16"/>
                <w:szCs w:val="16"/>
              </w:rPr>
            </w:pPr>
          </w:p>
        </w:tc>
        <w:tc>
          <w:tcPr>
            <w:tcW w:w="737" w:type="dxa"/>
            <w:tcBorders>
              <w:top w:val="nil"/>
              <w:left w:val="single" w:sz="4" w:space="0" w:color="auto"/>
              <w:bottom w:val="single" w:sz="4" w:space="0" w:color="auto"/>
              <w:right w:val="single" w:sz="4" w:space="0" w:color="auto"/>
            </w:tcBorders>
            <w:shd w:val="clear" w:color="000000" w:fill="F2DBDB"/>
            <w:vAlign w:val="center"/>
            <w:hideMark/>
          </w:tcPr>
          <w:p w14:paraId="6E055458"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muži</w:t>
            </w:r>
          </w:p>
        </w:tc>
        <w:tc>
          <w:tcPr>
            <w:tcW w:w="737" w:type="dxa"/>
            <w:tcBorders>
              <w:top w:val="nil"/>
              <w:left w:val="nil"/>
              <w:bottom w:val="single" w:sz="4" w:space="0" w:color="auto"/>
              <w:right w:val="nil"/>
            </w:tcBorders>
            <w:shd w:val="clear" w:color="000000" w:fill="F2DBDB"/>
            <w:vAlign w:val="center"/>
            <w:hideMark/>
          </w:tcPr>
          <w:p w14:paraId="5D81AC01" w14:textId="77777777" w:rsidR="00873671" w:rsidRPr="004B2783" w:rsidRDefault="00873671" w:rsidP="006E58D2">
            <w:pPr>
              <w:spacing w:after="0" w:line="240" w:lineRule="auto"/>
              <w:jc w:val="center"/>
              <w:rPr>
                <w:rFonts w:cs="Arial"/>
                <w:color w:val="000000"/>
                <w:sz w:val="16"/>
                <w:szCs w:val="16"/>
              </w:rPr>
            </w:pPr>
            <w:r w:rsidRPr="004B2783">
              <w:rPr>
                <w:rFonts w:cs="Arial"/>
                <w:color w:val="000000"/>
                <w:sz w:val="16"/>
                <w:szCs w:val="16"/>
              </w:rPr>
              <w:t>ženy</w:t>
            </w:r>
          </w:p>
        </w:tc>
      </w:tr>
      <w:tr w:rsidR="004B2783" w:rsidRPr="004B2783" w14:paraId="71ECF287" w14:textId="77777777" w:rsidTr="005725D0">
        <w:trPr>
          <w:trHeight w:val="300"/>
        </w:trPr>
        <w:tc>
          <w:tcPr>
            <w:tcW w:w="736" w:type="dxa"/>
            <w:tcBorders>
              <w:top w:val="nil"/>
              <w:left w:val="nil"/>
              <w:bottom w:val="nil"/>
              <w:right w:val="nil"/>
            </w:tcBorders>
            <w:shd w:val="clear" w:color="auto" w:fill="auto"/>
            <w:vAlign w:val="center"/>
            <w:hideMark/>
          </w:tcPr>
          <w:p w14:paraId="578E2914" w14:textId="5E27F79E"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2012</w:t>
            </w:r>
          </w:p>
        </w:tc>
        <w:tc>
          <w:tcPr>
            <w:tcW w:w="737" w:type="dxa"/>
            <w:tcBorders>
              <w:top w:val="nil"/>
              <w:left w:val="single" w:sz="4" w:space="0" w:color="auto"/>
              <w:bottom w:val="nil"/>
              <w:right w:val="nil"/>
            </w:tcBorders>
            <w:shd w:val="clear" w:color="auto" w:fill="auto"/>
            <w:vAlign w:val="center"/>
            <w:hideMark/>
          </w:tcPr>
          <w:p w14:paraId="03CACE25" w14:textId="1BB0A95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1 226,9</w:t>
            </w:r>
          </w:p>
        </w:tc>
        <w:tc>
          <w:tcPr>
            <w:tcW w:w="735" w:type="dxa"/>
            <w:tcBorders>
              <w:top w:val="nil"/>
              <w:left w:val="nil"/>
              <w:bottom w:val="nil"/>
              <w:right w:val="nil"/>
            </w:tcBorders>
            <w:shd w:val="clear" w:color="auto" w:fill="auto"/>
            <w:vAlign w:val="center"/>
            <w:hideMark/>
          </w:tcPr>
          <w:p w14:paraId="165307CF" w14:textId="32BBD8E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593,7</w:t>
            </w:r>
          </w:p>
        </w:tc>
        <w:tc>
          <w:tcPr>
            <w:tcW w:w="735" w:type="dxa"/>
            <w:tcBorders>
              <w:top w:val="nil"/>
              <w:left w:val="nil"/>
              <w:bottom w:val="nil"/>
              <w:right w:val="single" w:sz="4" w:space="0" w:color="auto"/>
            </w:tcBorders>
            <w:shd w:val="clear" w:color="auto" w:fill="auto"/>
            <w:vAlign w:val="center"/>
            <w:hideMark/>
          </w:tcPr>
          <w:p w14:paraId="0A5F43AE" w14:textId="5B8424CC"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633,2</w:t>
            </w:r>
          </w:p>
        </w:tc>
        <w:tc>
          <w:tcPr>
            <w:tcW w:w="736" w:type="dxa"/>
            <w:tcBorders>
              <w:top w:val="nil"/>
              <w:left w:val="nil"/>
              <w:bottom w:val="nil"/>
              <w:right w:val="nil"/>
            </w:tcBorders>
            <w:shd w:val="clear" w:color="auto" w:fill="auto"/>
            <w:vAlign w:val="center"/>
            <w:hideMark/>
          </w:tcPr>
          <w:p w14:paraId="03B41586" w14:textId="34C5359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1 067,3</w:t>
            </w:r>
          </w:p>
        </w:tc>
        <w:tc>
          <w:tcPr>
            <w:tcW w:w="735" w:type="dxa"/>
            <w:tcBorders>
              <w:top w:val="nil"/>
              <w:left w:val="nil"/>
              <w:bottom w:val="nil"/>
              <w:right w:val="nil"/>
            </w:tcBorders>
            <w:shd w:val="clear" w:color="auto" w:fill="auto"/>
            <w:vAlign w:val="center"/>
            <w:hideMark/>
          </w:tcPr>
          <w:p w14:paraId="2EAA68B5" w14:textId="286C93F9"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485,9</w:t>
            </w:r>
          </w:p>
        </w:tc>
        <w:tc>
          <w:tcPr>
            <w:tcW w:w="735" w:type="dxa"/>
            <w:tcBorders>
              <w:top w:val="nil"/>
              <w:left w:val="nil"/>
              <w:bottom w:val="nil"/>
              <w:right w:val="nil"/>
            </w:tcBorders>
            <w:shd w:val="clear" w:color="auto" w:fill="auto"/>
            <w:vAlign w:val="center"/>
            <w:hideMark/>
          </w:tcPr>
          <w:p w14:paraId="5A7FB5FA" w14:textId="01931F7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581,4</w:t>
            </w:r>
          </w:p>
        </w:tc>
        <w:tc>
          <w:tcPr>
            <w:tcW w:w="754" w:type="dxa"/>
            <w:tcBorders>
              <w:top w:val="nil"/>
              <w:left w:val="single" w:sz="4" w:space="0" w:color="auto"/>
              <w:bottom w:val="nil"/>
              <w:right w:val="nil"/>
            </w:tcBorders>
            <w:shd w:val="clear" w:color="auto" w:fill="auto"/>
            <w:vAlign w:val="center"/>
            <w:hideMark/>
          </w:tcPr>
          <w:p w14:paraId="707529EF" w14:textId="542F568C"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44,1</w:t>
            </w:r>
          </w:p>
        </w:tc>
        <w:tc>
          <w:tcPr>
            <w:tcW w:w="737" w:type="dxa"/>
            <w:tcBorders>
              <w:top w:val="nil"/>
              <w:left w:val="nil"/>
              <w:bottom w:val="nil"/>
              <w:right w:val="nil"/>
            </w:tcBorders>
            <w:shd w:val="clear" w:color="auto" w:fill="auto"/>
            <w:vAlign w:val="center"/>
            <w:hideMark/>
          </w:tcPr>
          <w:p w14:paraId="59D6A82A" w14:textId="3112167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31,5</w:t>
            </w:r>
          </w:p>
        </w:tc>
        <w:tc>
          <w:tcPr>
            <w:tcW w:w="737" w:type="dxa"/>
            <w:tcBorders>
              <w:top w:val="nil"/>
              <w:left w:val="nil"/>
              <w:bottom w:val="nil"/>
              <w:right w:val="single" w:sz="4" w:space="0" w:color="auto"/>
            </w:tcBorders>
            <w:shd w:val="clear" w:color="auto" w:fill="auto"/>
            <w:vAlign w:val="center"/>
            <w:hideMark/>
          </w:tcPr>
          <w:p w14:paraId="1AFE344B" w14:textId="6D47BC2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12,7</w:t>
            </w:r>
          </w:p>
        </w:tc>
        <w:tc>
          <w:tcPr>
            <w:tcW w:w="737" w:type="dxa"/>
            <w:tcBorders>
              <w:top w:val="nil"/>
              <w:left w:val="nil"/>
              <w:bottom w:val="nil"/>
              <w:right w:val="nil"/>
            </w:tcBorders>
            <w:shd w:val="clear" w:color="auto" w:fill="auto"/>
            <w:vAlign w:val="center"/>
            <w:hideMark/>
          </w:tcPr>
          <w:p w14:paraId="2528DD57" w14:textId="3CCFF694"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115,4</w:t>
            </w:r>
          </w:p>
        </w:tc>
        <w:tc>
          <w:tcPr>
            <w:tcW w:w="737" w:type="dxa"/>
            <w:tcBorders>
              <w:top w:val="nil"/>
              <w:left w:val="nil"/>
              <w:bottom w:val="nil"/>
              <w:right w:val="nil"/>
            </w:tcBorders>
            <w:shd w:val="clear" w:color="auto" w:fill="auto"/>
            <w:vAlign w:val="center"/>
            <w:hideMark/>
          </w:tcPr>
          <w:p w14:paraId="2BC02002" w14:textId="7D042F03"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76,4</w:t>
            </w:r>
          </w:p>
        </w:tc>
        <w:tc>
          <w:tcPr>
            <w:tcW w:w="737" w:type="dxa"/>
            <w:tcBorders>
              <w:top w:val="nil"/>
              <w:left w:val="nil"/>
              <w:bottom w:val="nil"/>
              <w:right w:val="nil"/>
            </w:tcBorders>
            <w:shd w:val="clear" w:color="auto" w:fill="auto"/>
            <w:vAlign w:val="center"/>
            <w:hideMark/>
          </w:tcPr>
          <w:p w14:paraId="0498B88F" w14:textId="3A82259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39,1</w:t>
            </w:r>
          </w:p>
        </w:tc>
      </w:tr>
      <w:tr w:rsidR="004B2783" w:rsidRPr="004B2783" w14:paraId="571CCA56" w14:textId="77777777" w:rsidTr="006E58D2">
        <w:trPr>
          <w:trHeight w:val="300"/>
        </w:trPr>
        <w:tc>
          <w:tcPr>
            <w:tcW w:w="736" w:type="dxa"/>
            <w:tcBorders>
              <w:top w:val="nil"/>
              <w:left w:val="nil"/>
              <w:bottom w:val="nil"/>
              <w:right w:val="nil"/>
            </w:tcBorders>
            <w:shd w:val="clear" w:color="auto" w:fill="auto"/>
            <w:vAlign w:val="center"/>
            <w:hideMark/>
          </w:tcPr>
          <w:p w14:paraId="2A21282B" w14:textId="23CFC509"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2013</w:t>
            </w:r>
          </w:p>
        </w:tc>
        <w:tc>
          <w:tcPr>
            <w:tcW w:w="737" w:type="dxa"/>
            <w:tcBorders>
              <w:top w:val="nil"/>
              <w:left w:val="single" w:sz="4" w:space="0" w:color="auto"/>
              <w:bottom w:val="nil"/>
              <w:right w:val="nil"/>
            </w:tcBorders>
            <w:shd w:val="clear" w:color="auto" w:fill="auto"/>
            <w:vAlign w:val="center"/>
            <w:hideMark/>
          </w:tcPr>
          <w:p w14:paraId="550ECEAA" w14:textId="7140235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1 331,5</w:t>
            </w:r>
          </w:p>
        </w:tc>
        <w:tc>
          <w:tcPr>
            <w:tcW w:w="735" w:type="dxa"/>
            <w:tcBorders>
              <w:top w:val="nil"/>
              <w:left w:val="nil"/>
              <w:bottom w:val="nil"/>
              <w:right w:val="nil"/>
            </w:tcBorders>
            <w:shd w:val="clear" w:color="auto" w:fill="auto"/>
            <w:vAlign w:val="center"/>
            <w:hideMark/>
          </w:tcPr>
          <w:p w14:paraId="341B2FD1" w14:textId="25CFD0CB"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638,2</w:t>
            </w:r>
          </w:p>
        </w:tc>
        <w:tc>
          <w:tcPr>
            <w:tcW w:w="735" w:type="dxa"/>
            <w:tcBorders>
              <w:top w:val="nil"/>
              <w:left w:val="nil"/>
              <w:bottom w:val="nil"/>
              <w:right w:val="single" w:sz="4" w:space="0" w:color="auto"/>
            </w:tcBorders>
            <w:shd w:val="clear" w:color="auto" w:fill="auto"/>
            <w:vAlign w:val="center"/>
            <w:hideMark/>
          </w:tcPr>
          <w:p w14:paraId="12063986" w14:textId="2D840A5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693,3</w:t>
            </w:r>
          </w:p>
        </w:tc>
        <w:tc>
          <w:tcPr>
            <w:tcW w:w="736" w:type="dxa"/>
            <w:tcBorders>
              <w:top w:val="nil"/>
              <w:left w:val="nil"/>
              <w:bottom w:val="nil"/>
              <w:right w:val="nil"/>
            </w:tcBorders>
            <w:shd w:val="clear" w:color="auto" w:fill="auto"/>
            <w:vAlign w:val="center"/>
            <w:hideMark/>
          </w:tcPr>
          <w:p w14:paraId="13D97FEE" w14:textId="725D679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1 168,1</w:t>
            </w:r>
          </w:p>
        </w:tc>
        <w:tc>
          <w:tcPr>
            <w:tcW w:w="735" w:type="dxa"/>
            <w:tcBorders>
              <w:top w:val="nil"/>
              <w:left w:val="nil"/>
              <w:bottom w:val="nil"/>
              <w:right w:val="nil"/>
            </w:tcBorders>
            <w:shd w:val="clear" w:color="auto" w:fill="auto"/>
            <w:vAlign w:val="center"/>
            <w:hideMark/>
          </w:tcPr>
          <w:p w14:paraId="1A0D946C" w14:textId="02D33A47"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528,7</w:t>
            </w:r>
          </w:p>
        </w:tc>
        <w:tc>
          <w:tcPr>
            <w:tcW w:w="735" w:type="dxa"/>
            <w:tcBorders>
              <w:top w:val="nil"/>
              <w:left w:val="nil"/>
              <w:bottom w:val="nil"/>
              <w:right w:val="nil"/>
            </w:tcBorders>
            <w:shd w:val="clear" w:color="auto" w:fill="auto"/>
            <w:vAlign w:val="center"/>
            <w:hideMark/>
          </w:tcPr>
          <w:p w14:paraId="1603A73D" w14:textId="5BBE4FD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639,4</w:t>
            </w:r>
          </w:p>
        </w:tc>
        <w:tc>
          <w:tcPr>
            <w:tcW w:w="754" w:type="dxa"/>
            <w:tcBorders>
              <w:top w:val="nil"/>
              <w:left w:val="single" w:sz="4" w:space="0" w:color="auto"/>
              <w:bottom w:val="nil"/>
              <w:right w:val="nil"/>
            </w:tcBorders>
            <w:shd w:val="clear" w:color="auto" w:fill="auto"/>
            <w:vAlign w:val="center"/>
            <w:hideMark/>
          </w:tcPr>
          <w:p w14:paraId="253384E3" w14:textId="4BC6091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42,9</w:t>
            </w:r>
          </w:p>
        </w:tc>
        <w:tc>
          <w:tcPr>
            <w:tcW w:w="737" w:type="dxa"/>
            <w:tcBorders>
              <w:top w:val="nil"/>
              <w:left w:val="nil"/>
              <w:bottom w:val="nil"/>
              <w:right w:val="nil"/>
            </w:tcBorders>
            <w:shd w:val="clear" w:color="auto" w:fill="auto"/>
            <w:vAlign w:val="center"/>
            <w:hideMark/>
          </w:tcPr>
          <w:p w14:paraId="447DB502" w14:textId="3C7FA38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30,4</w:t>
            </w:r>
          </w:p>
        </w:tc>
        <w:tc>
          <w:tcPr>
            <w:tcW w:w="737" w:type="dxa"/>
            <w:tcBorders>
              <w:top w:val="nil"/>
              <w:left w:val="nil"/>
              <w:bottom w:val="nil"/>
              <w:right w:val="single" w:sz="4" w:space="0" w:color="auto"/>
            </w:tcBorders>
            <w:shd w:val="clear" w:color="auto" w:fill="auto"/>
            <w:vAlign w:val="center"/>
            <w:hideMark/>
          </w:tcPr>
          <w:p w14:paraId="2595DE93" w14:textId="2DD7609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12,5</w:t>
            </w:r>
          </w:p>
        </w:tc>
        <w:tc>
          <w:tcPr>
            <w:tcW w:w="737" w:type="dxa"/>
            <w:tcBorders>
              <w:top w:val="nil"/>
              <w:left w:val="nil"/>
              <w:bottom w:val="nil"/>
              <w:right w:val="nil"/>
            </w:tcBorders>
            <w:shd w:val="clear" w:color="auto" w:fill="auto"/>
            <w:vAlign w:val="center"/>
            <w:hideMark/>
          </w:tcPr>
          <w:p w14:paraId="018886DF" w14:textId="4CDE9494"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120,5</w:t>
            </w:r>
          </w:p>
        </w:tc>
        <w:tc>
          <w:tcPr>
            <w:tcW w:w="737" w:type="dxa"/>
            <w:tcBorders>
              <w:top w:val="nil"/>
              <w:left w:val="nil"/>
              <w:bottom w:val="nil"/>
              <w:right w:val="nil"/>
            </w:tcBorders>
            <w:shd w:val="clear" w:color="auto" w:fill="auto"/>
            <w:vAlign w:val="center"/>
            <w:hideMark/>
          </w:tcPr>
          <w:p w14:paraId="6DAAC7D7" w14:textId="464F2F90"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79,1</w:t>
            </w:r>
          </w:p>
        </w:tc>
        <w:tc>
          <w:tcPr>
            <w:tcW w:w="737" w:type="dxa"/>
            <w:tcBorders>
              <w:top w:val="nil"/>
              <w:left w:val="nil"/>
              <w:bottom w:val="nil"/>
              <w:right w:val="nil"/>
            </w:tcBorders>
            <w:shd w:val="clear" w:color="auto" w:fill="auto"/>
            <w:vAlign w:val="center"/>
            <w:hideMark/>
          </w:tcPr>
          <w:p w14:paraId="4BC1711A" w14:textId="4F03B89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41,4</w:t>
            </w:r>
          </w:p>
        </w:tc>
      </w:tr>
      <w:tr w:rsidR="004B2783" w:rsidRPr="004B2783" w14:paraId="48A34574" w14:textId="77777777" w:rsidTr="006E58D2">
        <w:trPr>
          <w:trHeight w:val="300"/>
        </w:trPr>
        <w:tc>
          <w:tcPr>
            <w:tcW w:w="736" w:type="dxa"/>
            <w:tcBorders>
              <w:top w:val="nil"/>
              <w:left w:val="nil"/>
              <w:bottom w:val="nil"/>
              <w:right w:val="nil"/>
            </w:tcBorders>
            <w:shd w:val="clear" w:color="auto" w:fill="auto"/>
            <w:vAlign w:val="center"/>
            <w:hideMark/>
          </w:tcPr>
          <w:p w14:paraId="068B218F" w14:textId="6F65AFAA"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2014</w:t>
            </w:r>
          </w:p>
        </w:tc>
        <w:tc>
          <w:tcPr>
            <w:tcW w:w="737" w:type="dxa"/>
            <w:tcBorders>
              <w:top w:val="nil"/>
              <w:left w:val="single" w:sz="4" w:space="0" w:color="auto"/>
              <w:bottom w:val="nil"/>
              <w:right w:val="nil"/>
            </w:tcBorders>
            <w:shd w:val="clear" w:color="auto" w:fill="auto"/>
            <w:vAlign w:val="center"/>
            <w:hideMark/>
          </w:tcPr>
          <w:p w14:paraId="22931609" w14:textId="457EE9E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1 314,8</w:t>
            </w:r>
          </w:p>
        </w:tc>
        <w:tc>
          <w:tcPr>
            <w:tcW w:w="735" w:type="dxa"/>
            <w:tcBorders>
              <w:top w:val="nil"/>
              <w:left w:val="nil"/>
              <w:bottom w:val="nil"/>
              <w:right w:val="nil"/>
            </w:tcBorders>
            <w:shd w:val="clear" w:color="auto" w:fill="auto"/>
            <w:vAlign w:val="center"/>
            <w:hideMark/>
          </w:tcPr>
          <w:p w14:paraId="7FC11BC0" w14:textId="13B8860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631,7</w:t>
            </w:r>
          </w:p>
        </w:tc>
        <w:tc>
          <w:tcPr>
            <w:tcW w:w="735" w:type="dxa"/>
            <w:tcBorders>
              <w:top w:val="nil"/>
              <w:left w:val="nil"/>
              <w:bottom w:val="nil"/>
              <w:right w:val="single" w:sz="4" w:space="0" w:color="auto"/>
            </w:tcBorders>
            <w:shd w:val="clear" w:color="auto" w:fill="auto"/>
            <w:vAlign w:val="center"/>
            <w:hideMark/>
          </w:tcPr>
          <w:p w14:paraId="2E5295B4" w14:textId="3E6C4062"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683,1</w:t>
            </w:r>
          </w:p>
        </w:tc>
        <w:tc>
          <w:tcPr>
            <w:tcW w:w="736" w:type="dxa"/>
            <w:tcBorders>
              <w:top w:val="nil"/>
              <w:left w:val="nil"/>
              <w:bottom w:val="nil"/>
              <w:right w:val="nil"/>
            </w:tcBorders>
            <w:shd w:val="clear" w:color="auto" w:fill="auto"/>
            <w:vAlign w:val="center"/>
            <w:hideMark/>
          </w:tcPr>
          <w:p w14:paraId="3145E518" w14:textId="38D8240B"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1 146,3</w:t>
            </w:r>
          </w:p>
        </w:tc>
        <w:tc>
          <w:tcPr>
            <w:tcW w:w="735" w:type="dxa"/>
            <w:tcBorders>
              <w:top w:val="nil"/>
              <w:left w:val="nil"/>
              <w:bottom w:val="nil"/>
              <w:right w:val="nil"/>
            </w:tcBorders>
            <w:shd w:val="clear" w:color="auto" w:fill="auto"/>
            <w:vAlign w:val="center"/>
            <w:hideMark/>
          </w:tcPr>
          <w:p w14:paraId="6172A73A" w14:textId="243A8572"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518,5</w:t>
            </w:r>
          </w:p>
        </w:tc>
        <w:tc>
          <w:tcPr>
            <w:tcW w:w="735" w:type="dxa"/>
            <w:tcBorders>
              <w:top w:val="nil"/>
              <w:left w:val="nil"/>
              <w:bottom w:val="nil"/>
              <w:right w:val="nil"/>
            </w:tcBorders>
            <w:shd w:val="clear" w:color="auto" w:fill="auto"/>
            <w:vAlign w:val="center"/>
            <w:hideMark/>
          </w:tcPr>
          <w:p w14:paraId="0686504A" w14:textId="445AD467"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627,8</w:t>
            </w:r>
          </w:p>
        </w:tc>
        <w:tc>
          <w:tcPr>
            <w:tcW w:w="754" w:type="dxa"/>
            <w:tcBorders>
              <w:top w:val="nil"/>
              <w:left w:val="single" w:sz="4" w:space="0" w:color="auto"/>
              <w:bottom w:val="nil"/>
              <w:right w:val="nil"/>
            </w:tcBorders>
            <w:shd w:val="clear" w:color="auto" w:fill="auto"/>
            <w:vAlign w:val="center"/>
            <w:hideMark/>
          </w:tcPr>
          <w:p w14:paraId="69C2CFCB" w14:textId="0BFF3A8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45,1</w:t>
            </w:r>
          </w:p>
        </w:tc>
        <w:tc>
          <w:tcPr>
            <w:tcW w:w="737" w:type="dxa"/>
            <w:tcBorders>
              <w:top w:val="nil"/>
              <w:left w:val="nil"/>
              <w:bottom w:val="nil"/>
              <w:right w:val="nil"/>
            </w:tcBorders>
            <w:shd w:val="clear" w:color="auto" w:fill="auto"/>
            <w:vAlign w:val="center"/>
            <w:hideMark/>
          </w:tcPr>
          <w:p w14:paraId="71AA7F53" w14:textId="1A683AFB"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31,7</w:t>
            </w:r>
          </w:p>
        </w:tc>
        <w:tc>
          <w:tcPr>
            <w:tcW w:w="737" w:type="dxa"/>
            <w:tcBorders>
              <w:top w:val="nil"/>
              <w:left w:val="nil"/>
              <w:bottom w:val="nil"/>
              <w:right w:val="single" w:sz="4" w:space="0" w:color="auto"/>
            </w:tcBorders>
            <w:shd w:val="clear" w:color="auto" w:fill="auto"/>
            <w:vAlign w:val="center"/>
            <w:hideMark/>
          </w:tcPr>
          <w:p w14:paraId="34E39887" w14:textId="682B881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13,3</w:t>
            </w:r>
          </w:p>
        </w:tc>
        <w:tc>
          <w:tcPr>
            <w:tcW w:w="737" w:type="dxa"/>
            <w:tcBorders>
              <w:top w:val="nil"/>
              <w:left w:val="nil"/>
              <w:bottom w:val="nil"/>
              <w:right w:val="nil"/>
            </w:tcBorders>
            <w:shd w:val="clear" w:color="auto" w:fill="auto"/>
            <w:vAlign w:val="center"/>
            <w:hideMark/>
          </w:tcPr>
          <w:p w14:paraId="1A5F32CF" w14:textId="6C0742B4"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123,4</w:t>
            </w:r>
          </w:p>
        </w:tc>
        <w:tc>
          <w:tcPr>
            <w:tcW w:w="737" w:type="dxa"/>
            <w:tcBorders>
              <w:top w:val="nil"/>
              <w:left w:val="nil"/>
              <w:bottom w:val="nil"/>
              <w:right w:val="nil"/>
            </w:tcBorders>
            <w:shd w:val="clear" w:color="auto" w:fill="auto"/>
            <w:vAlign w:val="center"/>
            <w:hideMark/>
          </w:tcPr>
          <w:p w14:paraId="512CF8C7" w14:textId="53621C1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81,5</w:t>
            </w:r>
          </w:p>
        </w:tc>
        <w:tc>
          <w:tcPr>
            <w:tcW w:w="737" w:type="dxa"/>
            <w:tcBorders>
              <w:top w:val="nil"/>
              <w:left w:val="nil"/>
              <w:bottom w:val="nil"/>
              <w:right w:val="nil"/>
            </w:tcBorders>
            <w:shd w:val="clear" w:color="auto" w:fill="auto"/>
            <w:vAlign w:val="center"/>
            <w:hideMark/>
          </w:tcPr>
          <w:p w14:paraId="4550D25E" w14:textId="1FF16D6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42,0</w:t>
            </w:r>
          </w:p>
        </w:tc>
      </w:tr>
      <w:tr w:rsidR="004B2783" w:rsidRPr="004B2783" w14:paraId="20ACC1B1" w14:textId="77777777" w:rsidTr="006E58D2">
        <w:trPr>
          <w:trHeight w:val="300"/>
        </w:trPr>
        <w:tc>
          <w:tcPr>
            <w:tcW w:w="736" w:type="dxa"/>
            <w:tcBorders>
              <w:top w:val="nil"/>
              <w:left w:val="nil"/>
              <w:bottom w:val="nil"/>
              <w:right w:val="nil"/>
            </w:tcBorders>
            <w:shd w:val="clear" w:color="auto" w:fill="auto"/>
            <w:vAlign w:val="center"/>
            <w:hideMark/>
          </w:tcPr>
          <w:p w14:paraId="3AAC3CCC" w14:textId="5C38177D"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2015</w:t>
            </w:r>
          </w:p>
        </w:tc>
        <w:tc>
          <w:tcPr>
            <w:tcW w:w="737" w:type="dxa"/>
            <w:tcBorders>
              <w:top w:val="nil"/>
              <w:left w:val="single" w:sz="4" w:space="0" w:color="auto"/>
              <w:bottom w:val="nil"/>
              <w:right w:val="nil"/>
            </w:tcBorders>
            <w:shd w:val="clear" w:color="auto" w:fill="auto"/>
            <w:vAlign w:val="center"/>
            <w:hideMark/>
          </w:tcPr>
          <w:p w14:paraId="7CA526C9" w14:textId="1FCF57A2"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1 563,5</w:t>
            </w:r>
          </w:p>
        </w:tc>
        <w:tc>
          <w:tcPr>
            <w:tcW w:w="735" w:type="dxa"/>
            <w:tcBorders>
              <w:top w:val="nil"/>
              <w:left w:val="nil"/>
              <w:bottom w:val="nil"/>
              <w:right w:val="nil"/>
            </w:tcBorders>
            <w:shd w:val="clear" w:color="auto" w:fill="auto"/>
            <w:vAlign w:val="center"/>
            <w:hideMark/>
          </w:tcPr>
          <w:p w14:paraId="66CDF490" w14:textId="6A2C0EE0"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751,8</w:t>
            </w:r>
          </w:p>
        </w:tc>
        <w:tc>
          <w:tcPr>
            <w:tcW w:w="735" w:type="dxa"/>
            <w:tcBorders>
              <w:top w:val="nil"/>
              <w:left w:val="nil"/>
              <w:bottom w:val="nil"/>
              <w:right w:val="single" w:sz="4" w:space="0" w:color="auto"/>
            </w:tcBorders>
            <w:shd w:val="clear" w:color="auto" w:fill="auto"/>
            <w:vAlign w:val="center"/>
            <w:hideMark/>
          </w:tcPr>
          <w:p w14:paraId="062C28C9" w14:textId="37E2BD10"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811,7</w:t>
            </w:r>
          </w:p>
        </w:tc>
        <w:tc>
          <w:tcPr>
            <w:tcW w:w="736" w:type="dxa"/>
            <w:tcBorders>
              <w:top w:val="nil"/>
              <w:left w:val="nil"/>
              <w:bottom w:val="nil"/>
              <w:right w:val="nil"/>
            </w:tcBorders>
            <w:shd w:val="clear" w:color="auto" w:fill="auto"/>
            <w:vAlign w:val="center"/>
            <w:hideMark/>
          </w:tcPr>
          <w:p w14:paraId="67254CC8" w14:textId="797A044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1 383,9</w:t>
            </w:r>
          </w:p>
        </w:tc>
        <w:tc>
          <w:tcPr>
            <w:tcW w:w="735" w:type="dxa"/>
            <w:tcBorders>
              <w:top w:val="nil"/>
              <w:left w:val="nil"/>
              <w:bottom w:val="nil"/>
              <w:right w:val="nil"/>
            </w:tcBorders>
            <w:shd w:val="clear" w:color="auto" w:fill="auto"/>
            <w:vAlign w:val="center"/>
            <w:hideMark/>
          </w:tcPr>
          <w:p w14:paraId="1CFF837A" w14:textId="7721269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632,6</w:t>
            </w:r>
          </w:p>
        </w:tc>
        <w:tc>
          <w:tcPr>
            <w:tcW w:w="735" w:type="dxa"/>
            <w:tcBorders>
              <w:top w:val="nil"/>
              <w:left w:val="nil"/>
              <w:bottom w:val="nil"/>
              <w:right w:val="nil"/>
            </w:tcBorders>
            <w:shd w:val="clear" w:color="auto" w:fill="auto"/>
            <w:vAlign w:val="center"/>
            <w:hideMark/>
          </w:tcPr>
          <w:p w14:paraId="1163AB9A" w14:textId="76A8BDA8"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751,3</w:t>
            </w:r>
          </w:p>
        </w:tc>
        <w:tc>
          <w:tcPr>
            <w:tcW w:w="754" w:type="dxa"/>
            <w:tcBorders>
              <w:top w:val="nil"/>
              <w:left w:val="single" w:sz="4" w:space="0" w:color="auto"/>
              <w:bottom w:val="nil"/>
              <w:right w:val="nil"/>
            </w:tcBorders>
            <w:shd w:val="clear" w:color="auto" w:fill="auto"/>
            <w:vAlign w:val="center"/>
            <w:hideMark/>
          </w:tcPr>
          <w:p w14:paraId="37BAE2FA" w14:textId="638DAEC8"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46,3</w:t>
            </w:r>
          </w:p>
        </w:tc>
        <w:tc>
          <w:tcPr>
            <w:tcW w:w="737" w:type="dxa"/>
            <w:tcBorders>
              <w:top w:val="nil"/>
              <w:left w:val="nil"/>
              <w:bottom w:val="nil"/>
              <w:right w:val="nil"/>
            </w:tcBorders>
            <w:shd w:val="clear" w:color="auto" w:fill="auto"/>
            <w:vAlign w:val="center"/>
            <w:hideMark/>
          </w:tcPr>
          <w:p w14:paraId="17A254DC" w14:textId="6C624CB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32,1</w:t>
            </w:r>
          </w:p>
        </w:tc>
        <w:tc>
          <w:tcPr>
            <w:tcW w:w="737" w:type="dxa"/>
            <w:tcBorders>
              <w:top w:val="nil"/>
              <w:left w:val="nil"/>
              <w:bottom w:val="nil"/>
              <w:right w:val="single" w:sz="4" w:space="0" w:color="auto"/>
            </w:tcBorders>
            <w:shd w:val="clear" w:color="auto" w:fill="auto"/>
            <w:vAlign w:val="center"/>
            <w:hideMark/>
          </w:tcPr>
          <w:p w14:paraId="499E2CB3" w14:textId="6667AF2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14,2</w:t>
            </w:r>
          </w:p>
        </w:tc>
        <w:tc>
          <w:tcPr>
            <w:tcW w:w="737" w:type="dxa"/>
            <w:tcBorders>
              <w:top w:val="nil"/>
              <w:left w:val="nil"/>
              <w:bottom w:val="nil"/>
              <w:right w:val="nil"/>
            </w:tcBorders>
            <w:shd w:val="clear" w:color="auto" w:fill="auto"/>
            <w:vAlign w:val="center"/>
            <w:hideMark/>
          </w:tcPr>
          <w:p w14:paraId="5425B262" w14:textId="1D3AB05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133,3</w:t>
            </w:r>
          </w:p>
        </w:tc>
        <w:tc>
          <w:tcPr>
            <w:tcW w:w="737" w:type="dxa"/>
            <w:tcBorders>
              <w:top w:val="nil"/>
              <w:left w:val="nil"/>
              <w:bottom w:val="nil"/>
              <w:right w:val="nil"/>
            </w:tcBorders>
            <w:shd w:val="clear" w:color="auto" w:fill="auto"/>
            <w:vAlign w:val="center"/>
            <w:hideMark/>
          </w:tcPr>
          <w:p w14:paraId="45392DE5" w14:textId="51CE2B4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87,0</w:t>
            </w:r>
          </w:p>
        </w:tc>
        <w:tc>
          <w:tcPr>
            <w:tcW w:w="737" w:type="dxa"/>
            <w:tcBorders>
              <w:top w:val="nil"/>
              <w:left w:val="nil"/>
              <w:bottom w:val="nil"/>
              <w:right w:val="nil"/>
            </w:tcBorders>
            <w:shd w:val="clear" w:color="auto" w:fill="auto"/>
            <w:vAlign w:val="center"/>
            <w:hideMark/>
          </w:tcPr>
          <w:p w14:paraId="3DA2914B" w14:textId="06F3F40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46,2</w:t>
            </w:r>
          </w:p>
        </w:tc>
      </w:tr>
      <w:tr w:rsidR="004B2783" w:rsidRPr="004B2783" w14:paraId="4272A60F" w14:textId="77777777" w:rsidTr="006E58D2">
        <w:trPr>
          <w:trHeight w:val="300"/>
        </w:trPr>
        <w:tc>
          <w:tcPr>
            <w:tcW w:w="736" w:type="dxa"/>
            <w:tcBorders>
              <w:top w:val="nil"/>
              <w:left w:val="nil"/>
              <w:bottom w:val="nil"/>
              <w:right w:val="nil"/>
            </w:tcBorders>
            <w:shd w:val="clear" w:color="auto" w:fill="auto"/>
            <w:vAlign w:val="center"/>
            <w:hideMark/>
          </w:tcPr>
          <w:p w14:paraId="1E8F55CE" w14:textId="42672BF6"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2016</w:t>
            </w:r>
          </w:p>
        </w:tc>
        <w:tc>
          <w:tcPr>
            <w:tcW w:w="737" w:type="dxa"/>
            <w:tcBorders>
              <w:top w:val="nil"/>
              <w:left w:val="single" w:sz="4" w:space="0" w:color="auto"/>
              <w:bottom w:val="nil"/>
              <w:right w:val="nil"/>
            </w:tcBorders>
            <w:shd w:val="clear" w:color="auto" w:fill="auto"/>
            <w:vAlign w:val="center"/>
            <w:hideMark/>
          </w:tcPr>
          <w:p w14:paraId="7BDB83A5" w14:textId="7A125C9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1 633,3</w:t>
            </w:r>
          </w:p>
        </w:tc>
        <w:tc>
          <w:tcPr>
            <w:tcW w:w="735" w:type="dxa"/>
            <w:tcBorders>
              <w:top w:val="nil"/>
              <w:left w:val="nil"/>
              <w:bottom w:val="nil"/>
              <w:right w:val="nil"/>
            </w:tcBorders>
            <w:shd w:val="clear" w:color="auto" w:fill="auto"/>
            <w:vAlign w:val="center"/>
            <w:hideMark/>
          </w:tcPr>
          <w:p w14:paraId="2F56398B" w14:textId="2714EAA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784,1</w:t>
            </w:r>
          </w:p>
        </w:tc>
        <w:tc>
          <w:tcPr>
            <w:tcW w:w="735" w:type="dxa"/>
            <w:tcBorders>
              <w:top w:val="nil"/>
              <w:left w:val="nil"/>
              <w:bottom w:val="nil"/>
              <w:right w:val="single" w:sz="4" w:space="0" w:color="auto"/>
            </w:tcBorders>
            <w:shd w:val="clear" w:color="auto" w:fill="auto"/>
            <w:vAlign w:val="center"/>
            <w:hideMark/>
          </w:tcPr>
          <w:p w14:paraId="19EA52DB" w14:textId="2576D1E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849,3</w:t>
            </w:r>
          </w:p>
        </w:tc>
        <w:tc>
          <w:tcPr>
            <w:tcW w:w="736" w:type="dxa"/>
            <w:tcBorders>
              <w:top w:val="nil"/>
              <w:left w:val="nil"/>
              <w:bottom w:val="nil"/>
              <w:right w:val="nil"/>
            </w:tcBorders>
            <w:shd w:val="clear" w:color="auto" w:fill="auto"/>
            <w:vAlign w:val="center"/>
            <w:hideMark/>
          </w:tcPr>
          <w:p w14:paraId="4D79485D" w14:textId="71BB588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1 440,9</w:t>
            </w:r>
          </w:p>
        </w:tc>
        <w:tc>
          <w:tcPr>
            <w:tcW w:w="735" w:type="dxa"/>
            <w:tcBorders>
              <w:top w:val="nil"/>
              <w:left w:val="nil"/>
              <w:bottom w:val="nil"/>
              <w:right w:val="nil"/>
            </w:tcBorders>
            <w:shd w:val="clear" w:color="auto" w:fill="auto"/>
            <w:vAlign w:val="center"/>
            <w:hideMark/>
          </w:tcPr>
          <w:p w14:paraId="40DA0974" w14:textId="1A25948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658,2</w:t>
            </w:r>
          </w:p>
        </w:tc>
        <w:tc>
          <w:tcPr>
            <w:tcW w:w="735" w:type="dxa"/>
            <w:tcBorders>
              <w:top w:val="nil"/>
              <w:left w:val="nil"/>
              <w:bottom w:val="nil"/>
              <w:right w:val="nil"/>
            </w:tcBorders>
            <w:shd w:val="clear" w:color="auto" w:fill="auto"/>
            <w:vAlign w:val="center"/>
            <w:hideMark/>
          </w:tcPr>
          <w:p w14:paraId="07A96FAD" w14:textId="2F276BC2"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782,7</w:t>
            </w:r>
          </w:p>
        </w:tc>
        <w:tc>
          <w:tcPr>
            <w:tcW w:w="754" w:type="dxa"/>
            <w:tcBorders>
              <w:top w:val="nil"/>
              <w:left w:val="single" w:sz="4" w:space="0" w:color="auto"/>
              <w:bottom w:val="nil"/>
              <w:right w:val="nil"/>
            </w:tcBorders>
            <w:shd w:val="clear" w:color="auto" w:fill="auto"/>
            <w:vAlign w:val="center"/>
            <w:hideMark/>
          </w:tcPr>
          <w:p w14:paraId="0A2DECBC" w14:textId="26D219A9"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47,4</w:t>
            </w:r>
          </w:p>
        </w:tc>
        <w:tc>
          <w:tcPr>
            <w:tcW w:w="737" w:type="dxa"/>
            <w:tcBorders>
              <w:top w:val="nil"/>
              <w:left w:val="nil"/>
              <w:bottom w:val="nil"/>
              <w:right w:val="nil"/>
            </w:tcBorders>
            <w:shd w:val="clear" w:color="auto" w:fill="auto"/>
            <w:vAlign w:val="center"/>
            <w:hideMark/>
          </w:tcPr>
          <w:p w14:paraId="1EDF9435" w14:textId="5ECB037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32,6</w:t>
            </w:r>
          </w:p>
        </w:tc>
        <w:tc>
          <w:tcPr>
            <w:tcW w:w="737" w:type="dxa"/>
            <w:tcBorders>
              <w:top w:val="nil"/>
              <w:left w:val="nil"/>
              <w:bottom w:val="nil"/>
              <w:right w:val="single" w:sz="4" w:space="0" w:color="auto"/>
            </w:tcBorders>
            <w:shd w:val="clear" w:color="auto" w:fill="auto"/>
            <w:vAlign w:val="center"/>
            <w:hideMark/>
          </w:tcPr>
          <w:p w14:paraId="024579AB" w14:textId="0C616E0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14,8</w:t>
            </w:r>
          </w:p>
        </w:tc>
        <w:tc>
          <w:tcPr>
            <w:tcW w:w="737" w:type="dxa"/>
            <w:tcBorders>
              <w:top w:val="nil"/>
              <w:left w:val="nil"/>
              <w:bottom w:val="nil"/>
              <w:right w:val="nil"/>
            </w:tcBorders>
            <w:shd w:val="clear" w:color="auto" w:fill="auto"/>
            <w:vAlign w:val="center"/>
            <w:hideMark/>
          </w:tcPr>
          <w:p w14:paraId="3E594261" w14:textId="273DCE5C"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145,0</w:t>
            </w:r>
          </w:p>
        </w:tc>
        <w:tc>
          <w:tcPr>
            <w:tcW w:w="737" w:type="dxa"/>
            <w:tcBorders>
              <w:top w:val="nil"/>
              <w:left w:val="nil"/>
              <w:bottom w:val="nil"/>
              <w:right w:val="nil"/>
            </w:tcBorders>
            <w:shd w:val="clear" w:color="auto" w:fill="auto"/>
            <w:vAlign w:val="center"/>
            <w:hideMark/>
          </w:tcPr>
          <w:p w14:paraId="015451FF" w14:textId="06F25AC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93,2</w:t>
            </w:r>
          </w:p>
        </w:tc>
        <w:tc>
          <w:tcPr>
            <w:tcW w:w="737" w:type="dxa"/>
            <w:tcBorders>
              <w:top w:val="nil"/>
              <w:left w:val="nil"/>
              <w:bottom w:val="nil"/>
              <w:right w:val="nil"/>
            </w:tcBorders>
            <w:shd w:val="clear" w:color="auto" w:fill="auto"/>
            <w:vAlign w:val="center"/>
            <w:hideMark/>
          </w:tcPr>
          <w:p w14:paraId="1ADA4415" w14:textId="5F85C06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51,8</w:t>
            </w:r>
          </w:p>
        </w:tc>
      </w:tr>
      <w:tr w:rsidR="004B2783" w:rsidRPr="004B2783" w14:paraId="25B168AF" w14:textId="77777777" w:rsidTr="006E58D2">
        <w:trPr>
          <w:trHeight w:val="300"/>
        </w:trPr>
        <w:tc>
          <w:tcPr>
            <w:tcW w:w="736" w:type="dxa"/>
            <w:tcBorders>
              <w:top w:val="nil"/>
              <w:left w:val="nil"/>
              <w:bottom w:val="nil"/>
              <w:right w:val="nil"/>
            </w:tcBorders>
            <w:shd w:val="clear" w:color="auto" w:fill="auto"/>
            <w:vAlign w:val="center"/>
            <w:hideMark/>
          </w:tcPr>
          <w:p w14:paraId="435956EB" w14:textId="07B294DB"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2017</w:t>
            </w:r>
          </w:p>
        </w:tc>
        <w:tc>
          <w:tcPr>
            <w:tcW w:w="737" w:type="dxa"/>
            <w:tcBorders>
              <w:top w:val="nil"/>
              <w:left w:val="single" w:sz="4" w:space="0" w:color="auto"/>
              <w:bottom w:val="nil"/>
              <w:right w:val="nil"/>
            </w:tcBorders>
            <w:shd w:val="clear" w:color="auto" w:fill="auto"/>
            <w:vAlign w:val="center"/>
            <w:hideMark/>
          </w:tcPr>
          <w:p w14:paraId="55683FD9" w14:textId="64E89EB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1 707,5</w:t>
            </w:r>
          </w:p>
        </w:tc>
        <w:tc>
          <w:tcPr>
            <w:tcW w:w="735" w:type="dxa"/>
            <w:tcBorders>
              <w:top w:val="nil"/>
              <w:left w:val="nil"/>
              <w:bottom w:val="nil"/>
              <w:right w:val="nil"/>
            </w:tcBorders>
            <w:shd w:val="clear" w:color="auto" w:fill="auto"/>
            <w:vAlign w:val="center"/>
            <w:hideMark/>
          </w:tcPr>
          <w:p w14:paraId="1B6656CE" w14:textId="70C154D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814,5</w:t>
            </w:r>
          </w:p>
        </w:tc>
        <w:tc>
          <w:tcPr>
            <w:tcW w:w="735" w:type="dxa"/>
            <w:tcBorders>
              <w:top w:val="nil"/>
              <w:left w:val="nil"/>
              <w:bottom w:val="nil"/>
              <w:right w:val="single" w:sz="4" w:space="0" w:color="auto"/>
            </w:tcBorders>
            <w:shd w:val="clear" w:color="auto" w:fill="auto"/>
            <w:vAlign w:val="center"/>
            <w:hideMark/>
          </w:tcPr>
          <w:p w14:paraId="401CD0B0" w14:textId="0FE9C9B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893,0</w:t>
            </w:r>
          </w:p>
        </w:tc>
        <w:tc>
          <w:tcPr>
            <w:tcW w:w="736" w:type="dxa"/>
            <w:tcBorders>
              <w:top w:val="nil"/>
              <w:left w:val="nil"/>
              <w:bottom w:val="nil"/>
              <w:right w:val="nil"/>
            </w:tcBorders>
            <w:shd w:val="clear" w:color="auto" w:fill="auto"/>
            <w:vAlign w:val="center"/>
            <w:hideMark/>
          </w:tcPr>
          <w:p w14:paraId="2C7EBE17" w14:textId="75B588D9"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1 510,9</w:t>
            </w:r>
          </w:p>
        </w:tc>
        <w:tc>
          <w:tcPr>
            <w:tcW w:w="735" w:type="dxa"/>
            <w:tcBorders>
              <w:top w:val="nil"/>
              <w:left w:val="nil"/>
              <w:bottom w:val="nil"/>
              <w:right w:val="nil"/>
            </w:tcBorders>
            <w:shd w:val="clear" w:color="auto" w:fill="auto"/>
            <w:vAlign w:val="center"/>
            <w:hideMark/>
          </w:tcPr>
          <w:p w14:paraId="154F3D24" w14:textId="2103D4F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687,8</w:t>
            </w:r>
          </w:p>
        </w:tc>
        <w:tc>
          <w:tcPr>
            <w:tcW w:w="735" w:type="dxa"/>
            <w:tcBorders>
              <w:top w:val="nil"/>
              <w:left w:val="nil"/>
              <w:bottom w:val="nil"/>
              <w:right w:val="nil"/>
            </w:tcBorders>
            <w:shd w:val="clear" w:color="auto" w:fill="auto"/>
            <w:vAlign w:val="center"/>
            <w:hideMark/>
          </w:tcPr>
          <w:p w14:paraId="1BE95E2E" w14:textId="415C27E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823,1</w:t>
            </w:r>
          </w:p>
        </w:tc>
        <w:tc>
          <w:tcPr>
            <w:tcW w:w="754" w:type="dxa"/>
            <w:tcBorders>
              <w:top w:val="nil"/>
              <w:left w:val="single" w:sz="4" w:space="0" w:color="auto"/>
              <w:bottom w:val="nil"/>
              <w:right w:val="nil"/>
            </w:tcBorders>
            <w:shd w:val="clear" w:color="auto" w:fill="auto"/>
            <w:vAlign w:val="center"/>
            <w:hideMark/>
          </w:tcPr>
          <w:p w14:paraId="62CEC4DA" w14:textId="1F25F4CC"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47,5</w:t>
            </w:r>
          </w:p>
        </w:tc>
        <w:tc>
          <w:tcPr>
            <w:tcW w:w="737" w:type="dxa"/>
            <w:tcBorders>
              <w:top w:val="nil"/>
              <w:left w:val="nil"/>
              <w:bottom w:val="nil"/>
              <w:right w:val="nil"/>
            </w:tcBorders>
            <w:shd w:val="clear" w:color="auto" w:fill="auto"/>
            <w:vAlign w:val="center"/>
            <w:hideMark/>
          </w:tcPr>
          <w:p w14:paraId="3162DD9A" w14:textId="6FEF6449"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32,6</w:t>
            </w:r>
          </w:p>
        </w:tc>
        <w:tc>
          <w:tcPr>
            <w:tcW w:w="737" w:type="dxa"/>
            <w:tcBorders>
              <w:top w:val="nil"/>
              <w:left w:val="nil"/>
              <w:bottom w:val="nil"/>
              <w:right w:val="single" w:sz="4" w:space="0" w:color="auto"/>
            </w:tcBorders>
            <w:shd w:val="clear" w:color="auto" w:fill="auto"/>
            <w:vAlign w:val="center"/>
            <w:hideMark/>
          </w:tcPr>
          <w:p w14:paraId="38DC20D5" w14:textId="3A9DB1E4"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14,9</w:t>
            </w:r>
          </w:p>
        </w:tc>
        <w:tc>
          <w:tcPr>
            <w:tcW w:w="737" w:type="dxa"/>
            <w:tcBorders>
              <w:top w:val="nil"/>
              <w:left w:val="nil"/>
              <w:bottom w:val="nil"/>
              <w:right w:val="nil"/>
            </w:tcBorders>
            <w:shd w:val="clear" w:color="auto" w:fill="auto"/>
            <w:vAlign w:val="center"/>
            <w:hideMark/>
          </w:tcPr>
          <w:p w14:paraId="6FE45495" w14:textId="750B0D67"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149,1</w:t>
            </w:r>
          </w:p>
        </w:tc>
        <w:tc>
          <w:tcPr>
            <w:tcW w:w="737" w:type="dxa"/>
            <w:tcBorders>
              <w:top w:val="nil"/>
              <w:left w:val="nil"/>
              <w:bottom w:val="nil"/>
              <w:right w:val="nil"/>
            </w:tcBorders>
            <w:shd w:val="clear" w:color="auto" w:fill="auto"/>
            <w:vAlign w:val="center"/>
            <w:hideMark/>
          </w:tcPr>
          <w:p w14:paraId="258DC3BA" w14:textId="6EF4050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94,1</w:t>
            </w:r>
          </w:p>
        </w:tc>
        <w:tc>
          <w:tcPr>
            <w:tcW w:w="737" w:type="dxa"/>
            <w:tcBorders>
              <w:top w:val="nil"/>
              <w:left w:val="nil"/>
              <w:bottom w:val="nil"/>
              <w:right w:val="nil"/>
            </w:tcBorders>
            <w:shd w:val="clear" w:color="auto" w:fill="auto"/>
            <w:vAlign w:val="center"/>
            <w:hideMark/>
          </w:tcPr>
          <w:p w14:paraId="4A9A8A1D" w14:textId="7F9D9C08"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55,1</w:t>
            </w:r>
          </w:p>
        </w:tc>
      </w:tr>
      <w:tr w:rsidR="004B2783" w:rsidRPr="004B2783" w14:paraId="4D57168B" w14:textId="77777777" w:rsidTr="006E58D2">
        <w:trPr>
          <w:trHeight w:val="300"/>
        </w:trPr>
        <w:tc>
          <w:tcPr>
            <w:tcW w:w="736" w:type="dxa"/>
            <w:tcBorders>
              <w:top w:val="nil"/>
              <w:left w:val="nil"/>
              <w:bottom w:val="nil"/>
              <w:right w:val="nil"/>
            </w:tcBorders>
            <w:shd w:val="clear" w:color="auto" w:fill="auto"/>
            <w:vAlign w:val="center"/>
            <w:hideMark/>
          </w:tcPr>
          <w:p w14:paraId="2209B580" w14:textId="6444650E"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2018</w:t>
            </w:r>
          </w:p>
        </w:tc>
        <w:tc>
          <w:tcPr>
            <w:tcW w:w="737" w:type="dxa"/>
            <w:tcBorders>
              <w:top w:val="nil"/>
              <w:left w:val="single" w:sz="4" w:space="0" w:color="auto"/>
              <w:bottom w:val="nil"/>
              <w:right w:val="nil"/>
            </w:tcBorders>
            <w:shd w:val="clear" w:color="auto" w:fill="auto"/>
            <w:vAlign w:val="center"/>
            <w:hideMark/>
          </w:tcPr>
          <w:p w14:paraId="6984C49E" w14:textId="7636ED03"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1 849,5</w:t>
            </w:r>
          </w:p>
        </w:tc>
        <w:tc>
          <w:tcPr>
            <w:tcW w:w="735" w:type="dxa"/>
            <w:tcBorders>
              <w:top w:val="nil"/>
              <w:left w:val="nil"/>
              <w:bottom w:val="nil"/>
              <w:right w:val="nil"/>
            </w:tcBorders>
            <w:shd w:val="clear" w:color="auto" w:fill="auto"/>
            <w:vAlign w:val="center"/>
            <w:hideMark/>
          </w:tcPr>
          <w:p w14:paraId="2577C86D" w14:textId="6902800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874,3</w:t>
            </w:r>
          </w:p>
        </w:tc>
        <w:tc>
          <w:tcPr>
            <w:tcW w:w="735" w:type="dxa"/>
            <w:tcBorders>
              <w:top w:val="nil"/>
              <w:left w:val="nil"/>
              <w:bottom w:val="nil"/>
              <w:right w:val="single" w:sz="4" w:space="0" w:color="auto"/>
            </w:tcBorders>
            <w:shd w:val="clear" w:color="auto" w:fill="auto"/>
            <w:vAlign w:val="center"/>
            <w:hideMark/>
          </w:tcPr>
          <w:p w14:paraId="7F50CE11" w14:textId="60F56F98"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975,2</w:t>
            </w:r>
          </w:p>
        </w:tc>
        <w:tc>
          <w:tcPr>
            <w:tcW w:w="736" w:type="dxa"/>
            <w:tcBorders>
              <w:top w:val="nil"/>
              <w:left w:val="nil"/>
              <w:bottom w:val="nil"/>
              <w:right w:val="nil"/>
            </w:tcBorders>
            <w:shd w:val="clear" w:color="auto" w:fill="auto"/>
            <w:vAlign w:val="center"/>
            <w:hideMark/>
          </w:tcPr>
          <w:p w14:paraId="59FE6586" w14:textId="69172C62"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1 650,3</w:t>
            </w:r>
          </w:p>
        </w:tc>
        <w:tc>
          <w:tcPr>
            <w:tcW w:w="735" w:type="dxa"/>
            <w:tcBorders>
              <w:top w:val="nil"/>
              <w:left w:val="nil"/>
              <w:bottom w:val="nil"/>
              <w:right w:val="nil"/>
            </w:tcBorders>
            <w:shd w:val="clear" w:color="auto" w:fill="auto"/>
            <w:vAlign w:val="center"/>
            <w:hideMark/>
          </w:tcPr>
          <w:p w14:paraId="0F89AF8F" w14:textId="7DFF67C3"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746,8</w:t>
            </w:r>
          </w:p>
        </w:tc>
        <w:tc>
          <w:tcPr>
            <w:tcW w:w="735" w:type="dxa"/>
            <w:tcBorders>
              <w:top w:val="nil"/>
              <w:left w:val="nil"/>
              <w:bottom w:val="nil"/>
              <w:right w:val="nil"/>
            </w:tcBorders>
            <w:shd w:val="clear" w:color="auto" w:fill="auto"/>
            <w:vAlign w:val="center"/>
            <w:hideMark/>
          </w:tcPr>
          <w:p w14:paraId="3020A750" w14:textId="11CD3E93"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903,5</w:t>
            </w:r>
          </w:p>
        </w:tc>
        <w:tc>
          <w:tcPr>
            <w:tcW w:w="754" w:type="dxa"/>
            <w:tcBorders>
              <w:top w:val="nil"/>
              <w:left w:val="single" w:sz="4" w:space="0" w:color="auto"/>
              <w:bottom w:val="nil"/>
              <w:right w:val="nil"/>
            </w:tcBorders>
            <w:shd w:val="clear" w:color="auto" w:fill="auto"/>
            <w:vAlign w:val="center"/>
            <w:hideMark/>
          </w:tcPr>
          <w:p w14:paraId="6FBF81E6" w14:textId="60E96E32"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46,2</w:t>
            </w:r>
          </w:p>
        </w:tc>
        <w:tc>
          <w:tcPr>
            <w:tcW w:w="737" w:type="dxa"/>
            <w:tcBorders>
              <w:top w:val="nil"/>
              <w:left w:val="nil"/>
              <w:bottom w:val="nil"/>
              <w:right w:val="nil"/>
            </w:tcBorders>
            <w:shd w:val="clear" w:color="auto" w:fill="auto"/>
            <w:vAlign w:val="center"/>
            <w:hideMark/>
          </w:tcPr>
          <w:p w14:paraId="20E74C98" w14:textId="75C7B07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31,3</w:t>
            </w:r>
          </w:p>
        </w:tc>
        <w:tc>
          <w:tcPr>
            <w:tcW w:w="737" w:type="dxa"/>
            <w:tcBorders>
              <w:top w:val="nil"/>
              <w:left w:val="nil"/>
              <w:bottom w:val="nil"/>
              <w:right w:val="single" w:sz="4" w:space="0" w:color="auto"/>
            </w:tcBorders>
            <w:shd w:val="clear" w:color="auto" w:fill="auto"/>
            <w:vAlign w:val="center"/>
            <w:hideMark/>
          </w:tcPr>
          <w:p w14:paraId="64721665" w14:textId="625475B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14,9</w:t>
            </w:r>
          </w:p>
        </w:tc>
        <w:tc>
          <w:tcPr>
            <w:tcW w:w="737" w:type="dxa"/>
            <w:tcBorders>
              <w:top w:val="nil"/>
              <w:left w:val="nil"/>
              <w:bottom w:val="nil"/>
              <w:right w:val="nil"/>
            </w:tcBorders>
            <w:shd w:val="clear" w:color="auto" w:fill="auto"/>
            <w:vAlign w:val="center"/>
            <w:hideMark/>
          </w:tcPr>
          <w:p w14:paraId="07D1FCDB" w14:textId="49A7AAC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153,0</w:t>
            </w:r>
          </w:p>
        </w:tc>
        <w:tc>
          <w:tcPr>
            <w:tcW w:w="737" w:type="dxa"/>
            <w:tcBorders>
              <w:top w:val="nil"/>
              <w:left w:val="nil"/>
              <w:bottom w:val="nil"/>
              <w:right w:val="nil"/>
            </w:tcBorders>
            <w:shd w:val="clear" w:color="auto" w:fill="auto"/>
            <w:vAlign w:val="center"/>
            <w:hideMark/>
          </w:tcPr>
          <w:p w14:paraId="1DDE2112" w14:textId="65BF2739"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96,1</w:t>
            </w:r>
          </w:p>
        </w:tc>
        <w:tc>
          <w:tcPr>
            <w:tcW w:w="737" w:type="dxa"/>
            <w:tcBorders>
              <w:top w:val="nil"/>
              <w:left w:val="nil"/>
              <w:bottom w:val="nil"/>
              <w:right w:val="nil"/>
            </w:tcBorders>
            <w:shd w:val="clear" w:color="auto" w:fill="auto"/>
            <w:vAlign w:val="center"/>
            <w:hideMark/>
          </w:tcPr>
          <w:p w14:paraId="6DA77C43" w14:textId="3D15433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56,8</w:t>
            </w:r>
          </w:p>
        </w:tc>
      </w:tr>
      <w:tr w:rsidR="004B2783" w:rsidRPr="004B2783" w14:paraId="3921CB5B" w14:textId="77777777" w:rsidTr="006E58D2">
        <w:trPr>
          <w:trHeight w:val="300"/>
        </w:trPr>
        <w:tc>
          <w:tcPr>
            <w:tcW w:w="736" w:type="dxa"/>
            <w:tcBorders>
              <w:top w:val="nil"/>
              <w:left w:val="nil"/>
              <w:bottom w:val="nil"/>
              <w:right w:val="nil"/>
            </w:tcBorders>
            <w:shd w:val="clear" w:color="auto" w:fill="auto"/>
            <w:vAlign w:val="center"/>
            <w:hideMark/>
          </w:tcPr>
          <w:p w14:paraId="2108A43F" w14:textId="2F94E59D"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2019</w:t>
            </w:r>
          </w:p>
        </w:tc>
        <w:tc>
          <w:tcPr>
            <w:tcW w:w="737" w:type="dxa"/>
            <w:tcBorders>
              <w:top w:val="nil"/>
              <w:left w:val="single" w:sz="4" w:space="0" w:color="auto"/>
              <w:bottom w:val="nil"/>
              <w:right w:val="nil"/>
            </w:tcBorders>
            <w:shd w:val="clear" w:color="auto" w:fill="auto"/>
            <w:vAlign w:val="center"/>
            <w:hideMark/>
          </w:tcPr>
          <w:p w14:paraId="6391BEE1" w14:textId="1B49C1AB"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1 914,8</w:t>
            </w:r>
          </w:p>
        </w:tc>
        <w:tc>
          <w:tcPr>
            <w:tcW w:w="735" w:type="dxa"/>
            <w:tcBorders>
              <w:top w:val="nil"/>
              <w:left w:val="nil"/>
              <w:bottom w:val="nil"/>
              <w:right w:val="nil"/>
            </w:tcBorders>
            <w:shd w:val="clear" w:color="auto" w:fill="auto"/>
            <w:vAlign w:val="center"/>
            <w:hideMark/>
          </w:tcPr>
          <w:p w14:paraId="6954AE34" w14:textId="32AD18C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902,3</w:t>
            </w:r>
          </w:p>
        </w:tc>
        <w:tc>
          <w:tcPr>
            <w:tcW w:w="735" w:type="dxa"/>
            <w:tcBorders>
              <w:top w:val="nil"/>
              <w:left w:val="nil"/>
              <w:bottom w:val="nil"/>
              <w:right w:val="single" w:sz="4" w:space="0" w:color="auto"/>
            </w:tcBorders>
            <w:shd w:val="clear" w:color="auto" w:fill="auto"/>
            <w:vAlign w:val="center"/>
            <w:hideMark/>
          </w:tcPr>
          <w:p w14:paraId="70ABF361" w14:textId="44AA2F5F"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1 012,5</w:t>
            </w:r>
          </w:p>
        </w:tc>
        <w:tc>
          <w:tcPr>
            <w:tcW w:w="736" w:type="dxa"/>
            <w:tcBorders>
              <w:top w:val="nil"/>
              <w:left w:val="nil"/>
              <w:bottom w:val="nil"/>
              <w:right w:val="nil"/>
            </w:tcBorders>
            <w:shd w:val="clear" w:color="auto" w:fill="auto"/>
            <w:vAlign w:val="center"/>
            <w:hideMark/>
          </w:tcPr>
          <w:p w14:paraId="0FA4BF0F" w14:textId="15FAB0B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1 711,2</w:t>
            </w:r>
          </w:p>
        </w:tc>
        <w:tc>
          <w:tcPr>
            <w:tcW w:w="735" w:type="dxa"/>
            <w:tcBorders>
              <w:top w:val="nil"/>
              <w:left w:val="nil"/>
              <w:bottom w:val="nil"/>
              <w:right w:val="nil"/>
            </w:tcBorders>
            <w:shd w:val="clear" w:color="auto" w:fill="auto"/>
            <w:vAlign w:val="center"/>
            <w:hideMark/>
          </w:tcPr>
          <w:p w14:paraId="3E426ECD" w14:textId="26873C5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772,9</w:t>
            </w:r>
          </w:p>
        </w:tc>
        <w:tc>
          <w:tcPr>
            <w:tcW w:w="735" w:type="dxa"/>
            <w:tcBorders>
              <w:top w:val="nil"/>
              <w:left w:val="nil"/>
              <w:bottom w:val="nil"/>
              <w:right w:val="nil"/>
            </w:tcBorders>
            <w:shd w:val="clear" w:color="auto" w:fill="auto"/>
            <w:vAlign w:val="center"/>
            <w:hideMark/>
          </w:tcPr>
          <w:p w14:paraId="15A18BD6" w14:textId="18270191"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938,3</w:t>
            </w:r>
          </w:p>
        </w:tc>
        <w:tc>
          <w:tcPr>
            <w:tcW w:w="754" w:type="dxa"/>
            <w:tcBorders>
              <w:top w:val="nil"/>
              <w:left w:val="single" w:sz="4" w:space="0" w:color="auto"/>
              <w:bottom w:val="nil"/>
              <w:right w:val="nil"/>
            </w:tcBorders>
            <w:shd w:val="clear" w:color="auto" w:fill="auto"/>
            <w:vAlign w:val="center"/>
            <w:hideMark/>
          </w:tcPr>
          <w:p w14:paraId="717E50A7" w14:textId="14D8023F"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44,6</w:t>
            </w:r>
          </w:p>
        </w:tc>
        <w:tc>
          <w:tcPr>
            <w:tcW w:w="737" w:type="dxa"/>
            <w:tcBorders>
              <w:top w:val="nil"/>
              <w:left w:val="nil"/>
              <w:bottom w:val="nil"/>
              <w:right w:val="nil"/>
            </w:tcBorders>
            <w:shd w:val="clear" w:color="auto" w:fill="auto"/>
            <w:vAlign w:val="center"/>
            <w:hideMark/>
          </w:tcPr>
          <w:p w14:paraId="15E9148D" w14:textId="137FA5B5"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30,1</w:t>
            </w:r>
          </w:p>
        </w:tc>
        <w:tc>
          <w:tcPr>
            <w:tcW w:w="737" w:type="dxa"/>
            <w:tcBorders>
              <w:top w:val="nil"/>
              <w:left w:val="nil"/>
              <w:bottom w:val="nil"/>
              <w:right w:val="single" w:sz="4" w:space="0" w:color="auto"/>
            </w:tcBorders>
            <w:shd w:val="clear" w:color="auto" w:fill="auto"/>
            <w:vAlign w:val="center"/>
            <w:hideMark/>
          </w:tcPr>
          <w:p w14:paraId="29C61EB2" w14:textId="08A10058"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14,5</w:t>
            </w:r>
          </w:p>
        </w:tc>
        <w:tc>
          <w:tcPr>
            <w:tcW w:w="737" w:type="dxa"/>
            <w:tcBorders>
              <w:top w:val="nil"/>
              <w:left w:val="nil"/>
              <w:bottom w:val="nil"/>
              <w:right w:val="nil"/>
            </w:tcBorders>
            <w:shd w:val="clear" w:color="auto" w:fill="auto"/>
            <w:vAlign w:val="center"/>
            <w:hideMark/>
          </w:tcPr>
          <w:p w14:paraId="3094525B" w14:textId="6CC053A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159,0</w:t>
            </w:r>
          </w:p>
        </w:tc>
        <w:tc>
          <w:tcPr>
            <w:tcW w:w="737" w:type="dxa"/>
            <w:tcBorders>
              <w:top w:val="nil"/>
              <w:left w:val="nil"/>
              <w:bottom w:val="nil"/>
              <w:right w:val="nil"/>
            </w:tcBorders>
            <w:shd w:val="clear" w:color="auto" w:fill="auto"/>
            <w:vAlign w:val="center"/>
            <w:hideMark/>
          </w:tcPr>
          <w:p w14:paraId="45282FAB" w14:textId="11FE6B1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99,3</w:t>
            </w:r>
          </w:p>
        </w:tc>
        <w:tc>
          <w:tcPr>
            <w:tcW w:w="737" w:type="dxa"/>
            <w:tcBorders>
              <w:top w:val="nil"/>
              <w:left w:val="nil"/>
              <w:bottom w:val="nil"/>
              <w:right w:val="nil"/>
            </w:tcBorders>
            <w:shd w:val="clear" w:color="auto" w:fill="auto"/>
            <w:vAlign w:val="center"/>
            <w:hideMark/>
          </w:tcPr>
          <w:p w14:paraId="31B99F52" w14:textId="4A676BF3"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59,7</w:t>
            </w:r>
          </w:p>
        </w:tc>
      </w:tr>
      <w:tr w:rsidR="004B2783" w:rsidRPr="004B2783" w14:paraId="5AC1A4CB" w14:textId="77777777" w:rsidTr="005725D0">
        <w:trPr>
          <w:trHeight w:val="300"/>
        </w:trPr>
        <w:tc>
          <w:tcPr>
            <w:tcW w:w="736" w:type="dxa"/>
            <w:tcBorders>
              <w:top w:val="nil"/>
              <w:left w:val="nil"/>
              <w:bottom w:val="nil"/>
              <w:right w:val="single" w:sz="4" w:space="0" w:color="auto"/>
            </w:tcBorders>
            <w:shd w:val="clear" w:color="auto" w:fill="auto"/>
            <w:vAlign w:val="center"/>
            <w:hideMark/>
          </w:tcPr>
          <w:p w14:paraId="60832F3C" w14:textId="058028A9" w:rsidR="004B2783" w:rsidRPr="004B2783" w:rsidRDefault="004B2783" w:rsidP="006E58D2">
            <w:pPr>
              <w:spacing w:after="0" w:line="240" w:lineRule="auto"/>
              <w:jc w:val="center"/>
              <w:rPr>
                <w:rFonts w:cs="Arial"/>
                <w:color w:val="000000"/>
                <w:sz w:val="16"/>
                <w:szCs w:val="16"/>
              </w:rPr>
            </w:pPr>
            <w:r w:rsidRPr="004B2783">
              <w:rPr>
                <w:rFonts w:cs="Arial"/>
                <w:color w:val="000000"/>
                <w:sz w:val="16"/>
                <w:szCs w:val="16"/>
              </w:rPr>
              <w:t>2020</w:t>
            </w:r>
          </w:p>
        </w:tc>
        <w:tc>
          <w:tcPr>
            <w:tcW w:w="737" w:type="dxa"/>
            <w:tcBorders>
              <w:top w:val="nil"/>
              <w:left w:val="nil"/>
              <w:bottom w:val="nil"/>
              <w:right w:val="nil"/>
            </w:tcBorders>
            <w:shd w:val="clear" w:color="auto" w:fill="auto"/>
            <w:vAlign w:val="center"/>
            <w:hideMark/>
          </w:tcPr>
          <w:p w14:paraId="23B7EE16" w14:textId="7507101F"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2 391,0</w:t>
            </w:r>
          </w:p>
        </w:tc>
        <w:tc>
          <w:tcPr>
            <w:tcW w:w="735" w:type="dxa"/>
            <w:tcBorders>
              <w:top w:val="nil"/>
              <w:left w:val="nil"/>
              <w:bottom w:val="nil"/>
              <w:right w:val="nil"/>
            </w:tcBorders>
            <w:shd w:val="clear" w:color="auto" w:fill="auto"/>
            <w:vAlign w:val="center"/>
            <w:hideMark/>
          </w:tcPr>
          <w:p w14:paraId="62357AF0" w14:textId="19B458B8"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1 141,8</w:t>
            </w:r>
          </w:p>
        </w:tc>
        <w:tc>
          <w:tcPr>
            <w:tcW w:w="735" w:type="dxa"/>
            <w:tcBorders>
              <w:top w:val="nil"/>
              <w:left w:val="nil"/>
              <w:bottom w:val="nil"/>
              <w:right w:val="single" w:sz="4" w:space="0" w:color="auto"/>
            </w:tcBorders>
            <w:shd w:val="clear" w:color="auto" w:fill="auto"/>
            <w:vAlign w:val="center"/>
            <w:hideMark/>
          </w:tcPr>
          <w:p w14:paraId="38BA24D3" w14:textId="7186E0BD"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1 249,2</w:t>
            </w:r>
          </w:p>
        </w:tc>
        <w:tc>
          <w:tcPr>
            <w:tcW w:w="736" w:type="dxa"/>
            <w:tcBorders>
              <w:top w:val="nil"/>
              <w:left w:val="nil"/>
              <w:bottom w:val="nil"/>
              <w:right w:val="nil"/>
            </w:tcBorders>
            <w:shd w:val="clear" w:color="auto" w:fill="auto"/>
            <w:vAlign w:val="center"/>
            <w:hideMark/>
          </w:tcPr>
          <w:p w14:paraId="5823921C" w14:textId="708BC6A6"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2 202,7</w:t>
            </w:r>
          </w:p>
        </w:tc>
        <w:tc>
          <w:tcPr>
            <w:tcW w:w="735" w:type="dxa"/>
            <w:tcBorders>
              <w:top w:val="nil"/>
              <w:left w:val="nil"/>
              <w:bottom w:val="nil"/>
              <w:right w:val="nil"/>
            </w:tcBorders>
            <w:shd w:val="clear" w:color="auto" w:fill="auto"/>
            <w:vAlign w:val="center"/>
            <w:hideMark/>
          </w:tcPr>
          <w:p w14:paraId="67A925BE" w14:textId="5EBED22E"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1 022,3</w:t>
            </w:r>
          </w:p>
        </w:tc>
        <w:tc>
          <w:tcPr>
            <w:tcW w:w="735" w:type="dxa"/>
            <w:tcBorders>
              <w:top w:val="nil"/>
              <w:left w:val="nil"/>
              <w:bottom w:val="nil"/>
              <w:right w:val="nil"/>
            </w:tcBorders>
            <w:shd w:val="clear" w:color="auto" w:fill="auto"/>
            <w:vAlign w:val="center"/>
            <w:hideMark/>
          </w:tcPr>
          <w:p w14:paraId="5F19E79A" w14:textId="51E90032"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1 180,4</w:t>
            </w:r>
          </w:p>
        </w:tc>
        <w:tc>
          <w:tcPr>
            <w:tcW w:w="754" w:type="dxa"/>
            <w:tcBorders>
              <w:top w:val="nil"/>
              <w:left w:val="single" w:sz="4" w:space="0" w:color="auto"/>
              <w:bottom w:val="nil"/>
              <w:right w:val="nil"/>
            </w:tcBorders>
            <w:shd w:val="clear" w:color="auto" w:fill="auto"/>
            <w:vAlign w:val="center"/>
            <w:hideMark/>
          </w:tcPr>
          <w:p w14:paraId="7FD6E944" w14:textId="4DB3B60A"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41,4</w:t>
            </w:r>
          </w:p>
        </w:tc>
        <w:tc>
          <w:tcPr>
            <w:tcW w:w="737" w:type="dxa"/>
            <w:tcBorders>
              <w:top w:val="nil"/>
              <w:left w:val="nil"/>
              <w:bottom w:val="nil"/>
              <w:right w:val="nil"/>
            </w:tcBorders>
            <w:shd w:val="clear" w:color="auto" w:fill="auto"/>
            <w:vAlign w:val="center"/>
            <w:hideMark/>
          </w:tcPr>
          <w:p w14:paraId="72BFCC3D" w14:textId="0C4D9440"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28,7</w:t>
            </w:r>
          </w:p>
        </w:tc>
        <w:tc>
          <w:tcPr>
            <w:tcW w:w="737" w:type="dxa"/>
            <w:tcBorders>
              <w:top w:val="nil"/>
              <w:left w:val="nil"/>
              <w:bottom w:val="nil"/>
              <w:right w:val="single" w:sz="4" w:space="0" w:color="auto"/>
            </w:tcBorders>
            <w:shd w:val="clear" w:color="auto" w:fill="auto"/>
            <w:vAlign w:val="center"/>
            <w:hideMark/>
          </w:tcPr>
          <w:p w14:paraId="430B27C9" w14:textId="1CD81953"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12,7</w:t>
            </w:r>
          </w:p>
        </w:tc>
        <w:tc>
          <w:tcPr>
            <w:tcW w:w="737" w:type="dxa"/>
            <w:tcBorders>
              <w:top w:val="nil"/>
              <w:left w:val="nil"/>
              <w:bottom w:val="nil"/>
              <w:right w:val="nil"/>
            </w:tcBorders>
            <w:shd w:val="clear" w:color="auto" w:fill="auto"/>
            <w:vAlign w:val="center"/>
            <w:hideMark/>
          </w:tcPr>
          <w:p w14:paraId="1E022BF4" w14:textId="072A481F"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147,0</w:t>
            </w:r>
          </w:p>
        </w:tc>
        <w:tc>
          <w:tcPr>
            <w:tcW w:w="737" w:type="dxa"/>
            <w:tcBorders>
              <w:top w:val="nil"/>
              <w:left w:val="nil"/>
              <w:bottom w:val="nil"/>
              <w:right w:val="nil"/>
            </w:tcBorders>
            <w:shd w:val="clear" w:color="auto" w:fill="auto"/>
            <w:vAlign w:val="center"/>
            <w:hideMark/>
          </w:tcPr>
          <w:p w14:paraId="545CF2A0" w14:textId="15C4D309"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90,9</w:t>
            </w:r>
          </w:p>
        </w:tc>
        <w:tc>
          <w:tcPr>
            <w:tcW w:w="737" w:type="dxa"/>
            <w:tcBorders>
              <w:top w:val="nil"/>
              <w:left w:val="nil"/>
              <w:bottom w:val="nil"/>
              <w:right w:val="nil"/>
            </w:tcBorders>
            <w:shd w:val="clear" w:color="auto" w:fill="auto"/>
            <w:vAlign w:val="center"/>
            <w:hideMark/>
          </w:tcPr>
          <w:p w14:paraId="0CD4CCCE" w14:textId="585F8370" w:rsidR="004B2783" w:rsidRPr="004B2783" w:rsidRDefault="004B2783" w:rsidP="006E58D2">
            <w:pPr>
              <w:spacing w:after="0" w:line="240" w:lineRule="auto"/>
              <w:jc w:val="right"/>
              <w:rPr>
                <w:rFonts w:cs="Arial"/>
                <w:color w:val="000000"/>
                <w:sz w:val="16"/>
                <w:szCs w:val="16"/>
              </w:rPr>
            </w:pPr>
            <w:r w:rsidRPr="004B2783">
              <w:rPr>
                <w:rFonts w:cs="Arial"/>
                <w:color w:val="000000"/>
                <w:sz w:val="16"/>
                <w:szCs w:val="16"/>
              </w:rPr>
              <w:t>56,1</w:t>
            </w:r>
          </w:p>
        </w:tc>
      </w:tr>
      <w:tr w:rsidR="004B2783" w:rsidRPr="004B2783" w14:paraId="4EB0B40A" w14:textId="77777777" w:rsidTr="006E58D2">
        <w:trPr>
          <w:trHeight w:val="300"/>
        </w:trPr>
        <w:tc>
          <w:tcPr>
            <w:tcW w:w="736" w:type="dxa"/>
            <w:tcBorders>
              <w:top w:val="nil"/>
              <w:left w:val="nil"/>
              <w:bottom w:val="nil"/>
              <w:right w:val="single" w:sz="4" w:space="0" w:color="auto"/>
            </w:tcBorders>
            <w:shd w:val="clear" w:color="auto" w:fill="auto"/>
            <w:vAlign w:val="center"/>
            <w:hideMark/>
          </w:tcPr>
          <w:p w14:paraId="51DBF528" w14:textId="6AEDA31A" w:rsidR="004B2783" w:rsidRPr="004B2783" w:rsidRDefault="004B2783" w:rsidP="006E58D2">
            <w:pPr>
              <w:spacing w:after="0" w:line="240" w:lineRule="auto"/>
              <w:jc w:val="center"/>
              <w:rPr>
                <w:rFonts w:cs="Arial"/>
                <w:color w:val="000000"/>
                <w:sz w:val="16"/>
                <w:szCs w:val="16"/>
              </w:rPr>
            </w:pPr>
            <w:r w:rsidRPr="004B2783">
              <w:rPr>
                <w:sz w:val="16"/>
              </w:rPr>
              <w:t>2021</w:t>
            </w:r>
          </w:p>
        </w:tc>
        <w:tc>
          <w:tcPr>
            <w:tcW w:w="737" w:type="dxa"/>
            <w:tcBorders>
              <w:top w:val="nil"/>
              <w:left w:val="nil"/>
              <w:bottom w:val="nil"/>
              <w:right w:val="nil"/>
            </w:tcBorders>
            <w:shd w:val="clear" w:color="auto" w:fill="auto"/>
            <w:vAlign w:val="center"/>
            <w:hideMark/>
          </w:tcPr>
          <w:p w14:paraId="7E58F192" w14:textId="2B0DA111" w:rsidR="004B2783" w:rsidRPr="004B2783" w:rsidRDefault="004B2783" w:rsidP="006E58D2">
            <w:pPr>
              <w:spacing w:after="0" w:line="240" w:lineRule="auto"/>
              <w:jc w:val="right"/>
              <w:rPr>
                <w:rFonts w:cs="Arial"/>
                <w:color w:val="000000"/>
                <w:sz w:val="16"/>
                <w:szCs w:val="16"/>
              </w:rPr>
            </w:pPr>
            <w:r w:rsidRPr="004B2783">
              <w:rPr>
                <w:sz w:val="16"/>
              </w:rPr>
              <w:t>2 754,8</w:t>
            </w:r>
          </w:p>
        </w:tc>
        <w:tc>
          <w:tcPr>
            <w:tcW w:w="735" w:type="dxa"/>
            <w:tcBorders>
              <w:top w:val="nil"/>
              <w:left w:val="nil"/>
              <w:bottom w:val="nil"/>
              <w:right w:val="nil"/>
            </w:tcBorders>
            <w:shd w:val="clear" w:color="auto" w:fill="auto"/>
            <w:vAlign w:val="center"/>
            <w:hideMark/>
          </w:tcPr>
          <w:p w14:paraId="3538596A" w14:textId="30ACA7FE" w:rsidR="004B2783" w:rsidRPr="004B2783" w:rsidRDefault="004B2783" w:rsidP="006E58D2">
            <w:pPr>
              <w:spacing w:after="0" w:line="240" w:lineRule="auto"/>
              <w:jc w:val="right"/>
              <w:rPr>
                <w:rFonts w:cs="Arial"/>
                <w:color w:val="000000"/>
                <w:sz w:val="16"/>
                <w:szCs w:val="16"/>
              </w:rPr>
            </w:pPr>
            <w:r w:rsidRPr="004B2783">
              <w:rPr>
                <w:sz w:val="16"/>
              </w:rPr>
              <w:t>1 342,9</w:t>
            </w:r>
          </w:p>
        </w:tc>
        <w:tc>
          <w:tcPr>
            <w:tcW w:w="735" w:type="dxa"/>
            <w:tcBorders>
              <w:top w:val="nil"/>
              <w:left w:val="nil"/>
              <w:bottom w:val="nil"/>
              <w:right w:val="single" w:sz="4" w:space="0" w:color="auto"/>
            </w:tcBorders>
            <w:shd w:val="clear" w:color="auto" w:fill="auto"/>
            <w:vAlign w:val="center"/>
            <w:hideMark/>
          </w:tcPr>
          <w:p w14:paraId="4DCAF639" w14:textId="4EB6DE4A" w:rsidR="004B2783" w:rsidRPr="004B2783" w:rsidRDefault="004B2783" w:rsidP="006E58D2">
            <w:pPr>
              <w:spacing w:after="0" w:line="240" w:lineRule="auto"/>
              <w:jc w:val="right"/>
              <w:rPr>
                <w:rFonts w:cs="Arial"/>
                <w:color w:val="000000"/>
                <w:sz w:val="16"/>
                <w:szCs w:val="16"/>
              </w:rPr>
            </w:pPr>
            <w:r w:rsidRPr="004B2783">
              <w:rPr>
                <w:sz w:val="16"/>
              </w:rPr>
              <w:t>1 411,9</w:t>
            </w:r>
          </w:p>
        </w:tc>
        <w:tc>
          <w:tcPr>
            <w:tcW w:w="736" w:type="dxa"/>
            <w:tcBorders>
              <w:top w:val="nil"/>
              <w:left w:val="nil"/>
              <w:bottom w:val="nil"/>
              <w:right w:val="nil"/>
            </w:tcBorders>
            <w:shd w:val="clear" w:color="auto" w:fill="auto"/>
            <w:vAlign w:val="center"/>
            <w:hideMark/>
          </w:tcPr>
          <w:p w14:paraId="7E54C3D1" w14:textId="745F0D12" w:rsidR="004B2783" w:rsidRPr="004B2783" w:rsidRDefault="004B2783" w:rsidP="006E58D2">
            <w:pPr>
              <w:spacing w:after="0" w:line="240" w:lineRule="auto"/>
              <w:jc w:val="right"/>
              <w:rPr>
                <w:rFonts w:cs="Arial"/>
                <w:color w:val="000000"/>
                <w:sz w:val="16"/>
                <w:szCs w:val="16"/>
              </w:rPr>
            </w:pPr>
            <w:r w:rsidRPr="004B2783">
              <w:rPr>
                <w:sz w:val="16"/>
              </w:rPr>
              <w:t>2 549,7</w:t>
            </w:r>
          </w:p>
        </w:tc>
        <w:tc>
          <w:tcPr>
            <w:tcW w:w="735" w:type="dxa"/>
            <w:tcBorders>
              <w:top w:val="nil"/>
              <w:left w:val="nil"/>
              <w:bottom w:val="nil"/>
              <w:right w:val="nil"/>
            </w:tcBorders>
            <w:shd w:val="clear" w:color="auto" w:fill="auto"/>
            <w:vAlign w:val="center"/>
            <w:hideMark/>
          </w:tcPr>
          <w:p w14:paraId="14E92456" w14:textId="01E510D0" w:rsidR="004B2783" w:rsidRPr="004B2783" w:rsidRDefault="004B2783" w:rsidP="006E58D2">
            <w:pPr>
              <w:spacing w:after="0" w:line="240" w:lineRule="auto"/>
              <w:jc w:val="right"/>
              <w:rPr>
                <w:rFonts w:cs="Arial"/>
                <w:color w:val="000000"/>
                <w:sz w:val="16"/>
                <w:szCs w:val="16"/>
              </w:rPr>
            </w:pPr>
            <w:r w:rsidRPr="004B2783">
              <w:rPr>
                <w:sz w:val="16"/>
              </w:rPr>
              <w:t>1 213,5</w:t>
            </w:r>
          </w:p>
        </w:tc>
        <w:tc>
          <w:tcPr>
            <w:tcW w:w="735" w:type="dxa"/>
            <w:tcBorders>
              <w:top w:val="nil"/>
              <w:left w:val="nil"/>
              <w:bottom w:val="nil"/>
              <w:right w:val="nil"/>
            </w:tcBorders>
            <w:shd w:val="clear" w:color="auto" w:fill="auto"/>
            <w:vAlign w:val="center"/>
            <w:hideMark/>
          </w:tcPr>
          <w:p w14:paraId="4F23B103" w14:textId="062C6B09" w:rsidR="004B2783" w:rsidRPr="004B2783" w:rsidRDefault="004B2783" w:rsidP="006E58D2">
            <w:pPr>
              <w:spacing w:after="0" w:line="240" w:lineRule="auto"/>
              <w:jc w:val="right"/>
              <w:rPr>
                <w:rFonts w:cs="Arial"/>
                <w:color w:val="000000"/>
                <w:sz w:val="16"/>
                <w:szCs w:val="16"/>
              </w:rPr>
            </w:pPr>
            <w:r w:rsidRPr="004B2783">
              <w:rPr>
                <w:sz w:val="16"/>
              </w:rPr>
              <w:t>1 336,3</w:t>
            </w:r>
          </w:p>
        </w:tc>
        <w:tc>
          <w:tcPr>
            <w:tcW w:w="754" w:type="dxa"/>
            <w:tcBorders>
              <w:top w:val="nil"/>
              <w:left w:val="single" w:sz="4" w:space="0" w:color="auto"/>
              <w:bottom w:val="nil"/>
              <w:right w:val="nil"/>
            </w:tcBorders>
            <w:shd w:val="clear" w:color="auto" w:fill="auto"/>
            <w:vAlign w:val="center"/>
            <w:hideMark/>
          </w:tcPr>
          <w:p w14:paraId="274A9BA7" w14:textId="7EEAA48C" w:rsidR="004B2783" w:rsidRPr="004B2783" w:rsidRDefault="004B2783" w:rsidP="006E58D2">
            <w:pPr>
              <w:spacing w:after="0" w:line="240" w:lineRule="auto"/>
              <w:jc w:val="right"/>
              <w:rPr>
                <w:rFonts w:cs="Arial"/>
                <w:color w:val="000000"/>
                <w:sz w:val="16"/>
                <w:szCs w:val="16"/>
              </w:rPr>
            </w:pPr>
            <w:r w:rsidRPr="004B2783">
              <w:rPr>
                <w:sz w:val="16"/>
              </w:rPr>
              <w:t>44,9</w:t>
            </w:r>
          </w:p>
        </w:tc>
        <w:tc>
          <w:tcPr>
            <w:tcW w:w="737" w:type="dxa"/>
            <w:tcBorders>
              <w:top w:val="nil"/>
              <w:left w:val="nil"/>
              <w:bottom w:val="nil"/>
              <w:right w:val="nil"/>
            </w:tcBorders>
            <w:shd w:val="clear" w:color="auto" w:fill="auto"/>
            <w:vAlign w:val="center"/>
            <w:hideMark/>
          </w:tcPr>
          <w:p w14:paraId="74422E28" w14:textId="3BB0D053" w:rsidR="004B2783" w:rsidRPr="004B2783" w:rsidRDefault="004B2783" w:rsidP="006E58D2">
            <w:pPr>
              <w:spacing w:after="0" w:line="240" w:lineRule="auto"/>
              <w:jc w:val="right"/>
              <w:rPr>
                <w:rFonts w:cs="Arial"/>
                <w:color w:val="000000"/>
                <w:sz w:val="16"/>
                <w:szCs w:val="16"/>
              </w:rPr>
            </w:pPr>
            <w:r w:rsidRPr="004B2783">
              <w:rPr>
                <w:sz w:val="16"/>
              </w:rPr>
              <w:t>31,1</w:t>
            </w:r>
          </w:p>
        </w:tc>
        <w:tc>
          <w:tcPr>
            <w:tcW w:w="737" w:type="dxa"/>
            <w:tcBorders>
              <w:top w:val="nil"/>
              <w:left w:val="nil"/>
              <w:bottom w:val="nil"/>
              <w:right w:val="single" w:sz="4" w:space="0" w:color="auto"/>
            </w:tcBorders>
            <w:shd w:val="clear" w:color="auto" w:fill="auto"/>
            <w:vAlign w:val="center"/>
            <w:hideMark/>
          </w:tcPr>
          <w:p w14:paraId="29F1A23A" w14:textId="48F27598" w:rsidR="004B2783" w:rsidRPr="004B2783" w:rsidRDefault="004B2783" w:rsidP="006E58D2">
            <w:pPr>
              <w:spacing w:after="0" w:line="240" w:lineRule="auto"/>
              <w:jc w:val="right"/>
              <w:rPr>
                <w:rFonts w:cs="Arial"/>
                <w:color w:val="000000"/>
                <w:sz w:val="16"/>
                <w:szCs w:val="16"/>
              </w:rPr>
            </w:pPr>
            <w:r w:rsidRPr="004B2783">
              <w:rPr>
                <w:sz w:val="16"/>
              </w:rPr>
              <w:t>13,8</w:t>
            </w:r>
          </w:p>
        </w:tc>
        <w:tc>
          <w:tcPr>
            <w:tcW w:w="737" w:type="dxa"/>
            <w:tcBorders>
              <w:top w:val="nil"/>
              <w:left w:val="nil"/>
              <w:bottom w:val="nil"/>
              <w:right w:val="nil"/>
            </w:tcBorders>
            <w:shd w:val="clear" w:color="auto" w:fill="auto"/>
            <w:vAlign w:val="center"/>
            <w:hideMark/>
          </w:tcPr>
          <w:p w14:paraId="35E961EA" w14:textId="5537AD81" w:rsidR="004B2783" w:rsidRPr="004B2783" w:rsidRDefault="004B2783" w:rsidP="006E58D2">
            <w:pPr>
              <w:spacing w:after="0" w:line="240" w:lineRule="auto"/>
              <w:jc w:val="right"/>
              <w:rPr>
                <w:rFonts w:cs="Arial"/>
                <w:color w:val="000000"/>
                <w:sz w:val="16"/>
                <w:szCs w:val="16"/>
              </w:rPr>
            </w:pPr>
            <w:r w:rsidRPr="004B2783">
              <w:rPr>
                <w:sz w:val="16"/>
              </w:rPr>
              <w:t>160,1</w:t>
            </w:r>
          </w:p>
        </w:tc>
        <w:tc>
          <w:tcPr>
            <w:tcW w:w="737" w:type="dxa"/>
            <w:tcBorders>
              <w:top w:val="nil"/>
              <w:left w:val="nil"/>
              <w:bottom w:val="nil"/>
              <w:right w:val="nil"/>
            </w:tcBorders>
            <w:shd w:val="clear" w:color="auto" w:fill="auto"/>
            <w:vAlign w:val="center"/>
            <w:hideMark/>
          </w:tcPr>
          <w:p w14:paraId="555E157D" w14:textId="55585C53" w:rsidR="004B2783" w:rsidRPr="004B2783" w:rsidRDefault="004B2783" w:rsidP="006E58D2">
            <w:pPr>
              <w:spacing w:after="0" w:line="240" w:lineRule="auto"/>
              <w:jc w:val="right"/>
              <w:rPr>
                <w:rFonts w:cs="Arial"/>
                <w:color w:val="000000"/>
                <w:sz w:val="16"/>
                <w:szCs w:val="16"/>
              </w:rPr>
            </w:pPr>
            <w:r w:rsidRPr="004B2783">
              <w:rPr>
                <w:sz w:val="16"/>
              </w:rPr>
              <w:t>98,3</w:t>
            </w:r>
          </w:p>
        </w:tc>
        <w:tc>
          <w:tcPr>
            <w:tcW w:w="737" w:type="dxa"/>
            <w:tcBorders>
              <w:top w:val="nil"/>
              <w:left w:val="nil"/>
              <w:bottom w:val="nil"/>
              <w:right w:val="nil"/>
            </w:tcBorders>
            <w:shd w:val="clear" w:color="auto" w:fill="auto"/>
            <w:vAlign w:val="center"/>
            <w:hideMark/>
          </w:tcPr>
          <w:p w14:paraId="156B4131" w14:textId="1A085A78" w:rsidR="004B2783" w:rsidRPr="004B2783" w:rsidRDefault="004B2783" w:rsidP="006E58D2">
            <w:pPr>
              <w:spacing w:after="0" w:line="240" w:lineRule="auto"/>
              <w:jc w:val="right"/>
              <w:rPr>
                <w:rFonts w:cs="Arial"/>
                <w:color w:val="000000"/>
                <w:sz w:val="16"/>
                <w:szCs w:val="16"/>
              </w:rPr>
            </w:pPr>
            <w:r w:rsidRPr="004B2783">
              <w:rPr>
                <w:sz w:val="16"/>
              </w:rPr>
              <w:t>61,8</w:t>
            </w:r>
          </w:p>
        </w:tc>
      </w:tr>
      <w:tr w:rsidR="004B2783" w:rsidRPr="004B2783" w14:paraId="2E57AEA7" w14:textId="77777777" w:rsidTr="004B2783">
        <w:trPr>
          <w:trHeight w:val="300"/>
        </w:trPr>
        <w:tc>
          <w:tcPr>
            <w:tcW w:w="736" w:type="dxa"/>
            <w:tcBorders>
              <w:top w:val="nil"/>
              <w:left w:val="nil"/>
              <w:bottom w:val="nil"/>
              <w:right w:val="single" w:sz="4" w:space="0" w:color="auto"/>
            </w:tcBorders>
            <w:shd w:val="clear" w:color="auto" w:fill="auto"/>
            <w:vAlign w:val="center"/>
          </w:tcPr>
          <w:p w14:paraId="6BF7C929" w14:textId="5D9756E8" w:rsidR="004B2783" w:rsidRPr="004B2783" w:rsidRDefault="004B2783" w:rsidP="004B2783">
            <w:pPr>
              <w:spacing w:after="0" w:line="240" w:lineRule="auto"/>
              <w:jc w:val="center"/>
              <w:rPr>
                <w:sz w:val="16"/>
              </w:rPr>
            </w:pPr>
            <w:r w:rsidRPr="004B2783">
              <w:rPr>
                <w:sz w:val="16"/>
              </w:rPr>
              <w:t>2022</w:t>
            </w:r>
          </w:p>
        </w:tc>
        <w:tc>
          <w:tcPr>
            <w:tcW w:w="737" w:type="dxa"/>
            <w:tcBorders>
              <w:top w:val="nil"/>
              <w:left w:val="nil"/>
              <w:bottom w:val="nil"/>
              <w:right w:val="nil"/>
            </w:tcBorders>
            <w:shd w:val="clear" w:color="auto" w:fill="auto"/>
            <w:vAlign w:val="center"/>
          </w:tcPr>
          <w:p w14:paraId="1BED0875" w14:textId="71758358" w:rsidR="004B2783" w:rsidRPr="004B2783" w:rsidRDefault="004B2783" w:rsidP="004B2783">
            <w:pPr>
              <w:spacing w:after="0" w:line="240" w:lineRule="auto"/>
              <w:jc w:val="right"/>
              <w:rPr>
                <w:sz w:val="16"/>
              </w:rPr>
            </w:pPr>
            <w:r w:rsidRPr="004B2783">
              <w:rPr>
                <w:sz w:val="16"/>
              </w:rPr>
              <w:t>3 457,6</w:t>
            </w:r>
          </w:p>
        </w:tc>
        <w:tc>
          <w:tcPr>
            <w:tcW w:w="735" w:type="dxa"/>
            <w:tcBorders>
              <w:top w:val="nil"/>
              <w:left w:val="nil"/>
              <w:bottom w:val="nil"/>
              <w:right w:val="nil"/>
            </w:tcBorders>
            <w:shd w:val="clear" w:color="auto" w:fill="auto"/>
            <w:vAlign w:val="center"/>
          </w:tcPr>
          <w:p w14:paraId="6F6A2CF8" w14:textId="443CC213" w:rsidR="004B2783" w:rsidRPr="004B2783" w:rsidRDefault="004B2783" w:rsidP="004B2783">
            <w:pPr>
              <w:spacing w:after="0" w:line="240" w:lineRule="auto"/>
              <w:jc w:val="right"/>
              <w:rPr>
                <w:sz w:val="16"/>
              </w:rPr>
            </w:pPr>
            <w:r w:rsidRPr="004B2783">
              <w:rPr>
                <w:sz w:val="16"/>
              </w:rPr>
              <w:t>1 588,5</w:t>
            </w:r>
          </w:p>
        </w:tc>
        <w:tc>
          <w:tcPr>
            <w:tcW w:w="735" w:type="dxa"/>
            <w:tcBorders>
              <w:top w:val="nil"/>
              <w:left w:val="nil"/>
              <w:bottom w:val="nil"/>
              <w:right w:val="single" w:sz="4" w:space="0" w:color="auto"/>
            </w:tcBorders>
            <w:shd w:val="clear" w:color="auto" w:fill="auto"/>
            <w:vAlign w:val="center"/>
          </w:tcPr>
          <w:p w14:paraId="574C1656" w14:textId="69EE3D86" w:rsidR="004B2783" w:rsidRPr="004B2783" w:rsidRDefault="004B2783" w:rsidP="004B2783">
            <w:pPr>
              <w:spacing w:after="0" w:line="240" w:lineRule="auto"/>
              <w:jc w:val="right"/>
              <w:rPr>
                <w:sz w:val="16"/>
              </w:rPr>
            </w:pPr>
            <w:r w:rsidRPr="004B2783">
              <w:rPr>
                <w:sz w:val="16"/>
              </w:rPr>
              <w:t>1 869,1</w:t>
            </w:r>
          </w:p>
        </w:tc>
        <w:tc>
          <w:tcPr>
            <w:tcW w:w="736" w:type="dxa"/>
            <w:tcBorders>
              <w:top w:val="nil"/>
              <w:left w:val="nil"/>
              <w:bottom w:val="nil"/>
              <w:right w:val="nil"/>
            </w:tcBorders>
            <w:shd w:val="clear" w:color="auto" w:fill="auto"/>
            <w:vAlign w:val="center"/>
          </w:tcPr>
          <w:p w14:paraId="1D01BEFB" w14:textId="73BB29B9" w:rsidR="004B2783" w:rsidRPr="004B2783" w:rsidRDefault="004B2783" w:rsidP="004B2783">
            <w:pPr>
              <w:spacing w:after="0" w:line="240" w:lineRule="auto"/>
              <w:jc w:val="right"/>
              <w:rPr>
                <w:sz w:val="16"/>
              </w:rPr>
            </w:pPr>
            <w:r w:rsidRPr="004B2783">
              <w:rPr>
                <w:sz w:val="16"/>
              </w:rPr>
              <w:t>3 240,3</w:t>
            </w:r>
          </w:p>
        </w:tc>
        <w:tc>
          <w:tcPr>
            <w:tcW w:w="735" w:type="dxa"/>
            <w:tcBorders>
              <w:top w:val="nil"/>
              <w:left w:val="nil"/>
              <w:bottom w:val="nil"/>
              <w:right w:val="nil"/>
            </w:tcBorders>
            <w:shd w:val="clear" w:color="auto" w:fill="auto"/>
            <w:vAlign w:val="center"/>
          </w:tcPr>
          <w:p w14:paraId="67085F93" w14:textId="6E3C9B8F" w:rsidR="004B2783" w:rsidRPr="004B2783" w:rsidRDefault="004B2783" w:rsidP="004B2783">
            <w:pPr>
              <w:spacing w:after="0" w:line="240" w:lineRule="auto"/>
              <w:jc w:val="right"/>
              <w:rPr>
                <w:sz w:val="16"/>
              </w:rPr>
            </w:pPr>
            <w:r w:rsidRPr="004B2783">
              <w:rPr>
                <w:sz w:val="16"/>
              </w:rPr>
              <w:t>1 453,3</w:t>
            </w:r>
          </w:p>
        </w:tc>
        <w:tc>
          <w:tcPr>
            <w:tcW w:w="735" w:type="dxa"/>
            <w:tcBorders>
              <w:top w:val="nil"/>
              <w:left w:val="nil"/>
              <w:bottom w:val="nil"/>
              <w:right w:val="nil"/>
            </w:tcBorders>
            <w:shd w:val="clear" w:color="auto" w:fill="auto"/>
            <w:vAlign w:val="center"/>
          </w:tcPr>
          <w:p w14:paraId="474773AD" w14:textId="2628B8CF" w:rsidR="004B2783" w:rsidRPr="004B2783" w:rsidRDefault="004B2783" w:rsidP="004B2783">
            <w:pPr>
              <w:spacing w:after="0" w:line="240" w:lineRule="auto"/>
              <w:jc w:val="right"/>
              <w:rPr>
                <w:sz w:val="16"/>
              </w:rPr>
            </w:pPr>
            <w:r w:rsidRPr="004B2783">
              <w:rPr>
                <w:sz w:val="16"/>
              </w:rPr>
              <w:t>1 787,1</w:t>
            </w:r>
          </w:p>
        </w:tc>
        <w:tc>
          <w:tcPr>
            <w:tcW w:w="754" w:type="dxa"/>
            <w:tcBorders>
              <w:top w:val="nil"/>
              <w:left w:val="single" w:sz="4" w:space="0" w:color="auto"/>
              <w:bottom w:val="nil"/>
              <w:right w:val="nil"/>
            </w:tcBorders>
            <w:shd w:val="clear" w:color="auto" w:fill="auto"/>
            <w:vAlign w:val="center"/>
          </w:tcPr>
          <w:p w14:paraId="1B2D958F" w14:textId="03469A6B" w:rsidR="004B2783" w:rsidRPr="004B2783" w:rsidRDefault="004B2783" w:rsidP="004B2783">
            <w:pPr>
              <w:spacing w:after="0" w:line="240" w:lineRule="auto"/>
              <w:jc w:val="right"/>
              <w:rPr>
                <w:sz w:val="16"/>
              </w:rPr>
            </w:pPr>
            <w:r w:rsidRPr="004B2783">
              <w:rPr>
                <w:sz w:val="16"/>
              </w:rPr>
              <w:t>44,6</w:t>
            </w:r>
          </w:p>
        </w:tc>
        <w:tc>
          <w:tcPr>
            <w:tcW w:w="737" w:type="dxa"/>
            <w:tcBorders>
              <w:top w:val="nil"/>
              <w:left w:val="nil"/>
              <w:bottom w:val="nil"/>
              <w:right w:val="nil"/>
            </w:tcBorders>
            <w:shd w:val="clear" w:color="auto" w:fill="auto"/>
            <w:vAlign w:val="center"/>
          </w:tcPr>
          <w:p w14:paraId="3ECF3D08" w14:textId="469EBDB5" w:rsidR="004B2783" w:rsidRPr="004B2783" w:rsidRDefault="004B2783" w:rsidP="004B2783">
            <w:pPr>
              <w:spacing w:after="0" w:line="240" w:lineRule="auto"/>
              <w:jc w:val="right"/>
              <w:rPr>
                <w:sz w:val="16"/>
              </w:rPr>
            </w:pPr>
            <w:r w:rsidRPr="004B2783">
              <w:rPr>
                <w:sz w:val="16"/>
              </w:rPr>
              <w:t>29,9</w:t>
            </w:r>
          </w:p>
        </w:tc>
        <w:tc>
          <w:tcPr>
            <w:tcW w:w="737" w:type="dxa"/>
            <w:tcBorders>
              <w:top w:val="nil"/>
              <w:left w:val="nil"/>
              <w:bottom w:val="nil"/>
              <w:right w:val="single" w:sz="4" w:space="0" w:color="auto"/>
            </w:tcBorders>
            <w:shd w:val="clear" w:color="auto" w:fill="auto"/>
            <w:vAlign w:val="center"/>
          </w:tcPr>
          <w:p w14:paraId="2F652A95" w14:textId="52E0A37E" w:rsidR="004B2783" w:rsidRPr="004B2783" w:rsidRDefault="004B2783" w:rsidP="004B2783">
            <w:pPr>
              <w:spacing w:after="0" w:line="240" w:lineRule="auto"/>
              <w:jc w:val="right"/>
              <w:rPr>
                <w:sz w:val="16"/>
              </w:rPr>
            </w:pPr>
            <w:r w:rsidRPr="004B2783">
              <w:rPr>
                <w:sz w:val="16"/>
              </w:rPr>
              <w:t>14,7</w:t>
            </w:r>
          </w:p>
        </w:tc>
        <w:tc>
          <w:tcPr>
            <w:tcW w:w="737" w:type="dxa"/>
            <w:tcBorders>
              <w:top w:val="nil"/>
              <w:left w:val="nil"/>
              <w:bottom w:val="nil"/>
              <w:right w:val="nil"/>
            </w:tcBorders>
            <w:shd w:val="clear" w:color="auto" w:fill="auto"/>
            <w:vAlign w:val="center"/>
          </w:tcPr>
          <w:p w14:paraId="571F6554" w14:textId="0EED0858" w:rsidR="004B2783" w:rsidRPr="004B2783" w:rsidRDefault="004B2783" w:rsidP="004B2783">
            <w:pPr>
              <w:spacing w:after="0" w:line="240" w:lineRule="auto"/>
              <w:jc w:val="right"/>
              <w:rPr>
                <w:sz w:val="16"/>
              </w:rPr>
            </w:pPr>
            <w:r w:rsidRPr="004B2783">
              <w:rPr>
                <w:sz w:val="16"/>
              </w:rPr>
              <w:t>172,7</w:t>
            </w:r>
          </w:p>
        </w:tc>
        <w:tc>
          <w:tcPr>
            <w:tcW w:w="737" w:type="dxa"/>
            <w:tcBorders>
              <w:top w:val="nil"/>
              <w:left w:val="nil"/>
              <w:bottom w:val="nil"/>
              <w:right w:val="nil"/>
            </w:tcBorders>
            <w:shd w:val="clear" w:color="auto" w:fill="auto"/>
            <w:vAlign w:val="center"/>
          </w:tcPr>
          <w:p w14:paraId="6A7F2121" w14:textId="3665DD34" w:rsidR="004B2783" w:rsidRPr="004B2783" w:rsidRDefault="004B2783" w:rsidP="004B2783">
            <w:pPr>
              <w:spacing w:after="0" w:line="240" w:lineRule="auto"/>
              <w:jc w:val="right"/>
              <w:rPr>
                <w:sz w:val="16"/>
              </w:rPr>
            </w:pPr>
            <w:r w:rsidRPr="004B2783">
              <w:rPr>
                <w:sz w:val="16"/>
              </w:rPr>
              <w:t>105,4</w:t>
            </w:r>
          </w:p>
        </w:tc>
        <w:tc>
          <w:tcPr>
            <w:tcW w:w="737" w:type="dxa"/>
            <w:tcBorders>
              <w:top w:val="nil"/>
              <w:left w:val="nil"/>
              <w:bottom w:val="nil"/>
              <w:right w:val="nil"/>
            </w:tcBorders>
            <w:shd w:val="clear" w:color="auto" w:fill="auto"/>
            <w:vAlign w:val="center"/>
          </w:tcPr>
          <w:p w14:paraId="2A26D21F" w14:textId="7CE3E76F" w:rsidR="004B2783" w:rsidRPr="004B2783" w:rsidRDefault="004B2783" w:rsidP="004B2783">
            <w:pPr>
              <w:spacing w:after="0" w:line="240" w:lineRule="auto"/>
              <w:jc w:val="right"/>
              <w:rPr>
                <w:sz w:val="16"/>
              </w:rPr>
            </w:pPr>
            <w:r w:rsidRPr="004B2783">
              <w:rPr>
                <w:sz w:val="16"/>
              </w:rPr>
              <w:t>67,3</w:t>
            </w:r>
          </w:p>
        </w:tc>
      </w:tr>
    </w:tbl>
    <w:p w14:paraId="3A8E022A" w14:textId="77777777" w:rsidR="005E53B4" w:rsidRDefault="005E53B4" w:rsidP="00873671">
      <w:pPr>
        <w:spacing w:before="120" w:after="120" w:line="240" w:lineRule="auto"/>
        <w:jc w:val="both"/>
        <w:rPr>
          <w:rFonts w:cs="Arial"/>
          <w:color w:val="000000"/>
          <w:sz w:val="16"/>
          <w:szCs w:val="16"/>
        </w:rPr>
      </w:pPr>
      <w:r>
        <w:rPr>
          <w:rFonts w:cs="Arial"/>
          <w:color w:val="000000"/>
          <w:sz w:val="16"/>
          <w:szCs w:val="16"/>
        </w:rPr>
        <w:t>Pozn.: Přerušení v časové řadě.</w:t>
      </w:r>
    </w:p>
    <w:p w14:paraId="74D409C4" w14:textId="0D1D5D39" w:rsidR="00873671" w:rsidRPr="004B2783" w:rsidRDefault="00873671" w:rsidP="00873671">
      <w:pPr>
        <w:spacing w:before="120" w:after="120" w:line="240" w:lineRule="auto"/>
        <w:jc w:val="both"/>
        <w:rPr>
          <w:rFonts w:cs="Arial"/>
          <w:color w:val="000000"/>
          <w:sz w:val="16"/>
          <w:szCs w:val="16"/>
        </w:rPr>
      </w:pPr>
      <w:r w:rsidRPr="004B2783">
        <w:rPr>
          <w:rFonts w:cs="Arial"/>
          <w:color w:val="000000"/>
          <w:sz w:val="16"/>
          <w:szCs w:val="16"/>
        </w:rPr>
        <w:t>Zdroj: ČSÚ</w:t>
      </w:r>
    </w:p>
    <w:p w14:paraId="3F33E188" w14:textId="240D9B58" w:rsidR="00224FFD" w:rsidRPr="001541E4" w:rsidRDefault="00224FFD" w:rsidP="00224FFD">
      <w:pPr>
        <w:spacing w:before="120" w:after="120"/>
        <w:jc w:val="both"/>
        <w:rPr>
          <w:bCs/>
        </w:rPr>
      </w:pPr>
      <w:r w:rsidRPr="001541E4">
        <w:rPr>
          <w:bCs/>
        </w:rPr>
        <w:t xml:space="preserve">Z celkového počtu nově hlášených případů PN (pracovní neschopnosti) pro </w:t>
      </w:r>
      <w:r w:rsidRPr="001541E4">
        <w:rPr>
          <w:b/>
          <w:bCs/>
        </w:rPr>
        <w:t>pracovní úrazy</w:t>
      </w:r>
      <w:r w:rsidRPr="001541E4">
        <w:rPr>
          <w:bCs/>
        </w:rPr>
        <w:t xml:space="preserve"> připadala v roce 202</w:t>
      </w:r>
      <w:r w:rsidR="001541E4" w:rsidRPr="001541E4">
        <w:rPr>
          <w:bCs/>
        </w:rPr>
        <w:t>2</w:t>
      </w:r>
      <w:r w:rsidRPr="001541E4">
        <w:rPr>
          <w:bCs/>
        </w:rPr>
        <w:t xml:space="preserve"> na ženy </w:t>
      </w:r>
      <w:r w:rsidR="001541E4" w:rsidRPr="001541E4">
        <w:rPr>
          <w:bCs/>
        </w:rPr>
        <w:t>třetina z nich</w:t>
      </w:r>
      <w:r w:rsidRPr="001541E4">
        <w:rPr>
          <w:bCs/>
        </w:rPr>
        <w:t>. Tato skutečnost je dána i odlišnou odvětvovou strukturou zaměstnanosti žen a</w:t>
      </w:r>
      <w:r w:rsidR="000C3BCD">
        <w:rPr>
          <w:bCs/>
        </w:rPr>
        <w:t> </w:t>
      </w:r>
      <w:r w:rsidRPr="001541E4">
        <w:rPr>
          <w:bCs/>
        </w:rPr>
        <w:t>mužů. Odvětví, kde převládají muži a vyskytují se zvýšená rizika pracovního úrazu, jsou např. Těžba a dobývání, Zpracovatelský průmysl, Stavebnictví, Doprava a skladování či Zemědělství, lesnictví, rybářství. Naopak odvětvové sekce, kde převažují v zaměstnání ženy a rizika pracovních úrazů bývají méně častá, jsou Peněžnictví a pojišťovnictví, Veřejná správa, Vzdělávání nebo Zdravotní a sociální péče.</w:t>
      </w:r>
      <w:r w:rsidR="005E53B4" w:rsidRPr="005E53B4">
        <w:rPr>
          <w:noProof/>
        </w:rPr>
        <w:t xml:space="preserve"> </w:t>
      </w:r>
    </w:p>
    <w:p w14:paraId="445FF9AB" w14:textId="62099311" w:rsidR="00361897" w:rsidRPr="005725D0" w:rsidRDefault="00361897" w:rsidP="00361897">
      <w:pPr>
        <w:spacing w:before="120" w:after="120"/>
        <w:jc w:val="both"/>
        <w:rPr>
          <w:bCs/>
        </w:rPr>
      </w:pPr>
      <w:r w:rsidRPr="005725D0">
        <w:rPr>
          <w:bCs/>
        </w:rPr>
        <w:t xml:space="preserve">Až do roku 2020 byl u pracovních neschopností </w:t>
      </w:r>
      <w:r w:rsidRPr="005725D0">
        <w:rPr>
          <w:b/>
          <w:bCs/>
        </w:rPr>
        <w:t>z důvodu nemoci</w:t>
      </w:r>
      <w:r w:rsidRPr="005725D0">
        <w:rPr>
          <w:bCs/>
        </w:rPr>
        <w:t xml:space="preserve"> podíl </w:t>
      </w:r>
      <w:r w:rsidRPr="005725D0">
        <w:rPr>
          <w:b/>
          <w:bCs/>
        </w:rPr>
        <w:t xml:space="preserve">podle pohlaví </w:t>
      </w:r>
      <w:r w:rsidRPr="005725D0">
        <w:rPr>
          <w:bCs/>
        </w:rPr>
        <w:t>dlouhodobě relativně konstantní. Neschopenky mužů činily maximálně 46 %. V roce 2021 se podíl zvýšil na 48 %</w:t>
      </w:r>
      <w:r w:rsidR="00BF7D65" w:rsidRPr="005725D0">
        <w:rPr>
          <w:bCs/>
        </w:rPr>
        <w:t xml:space="preserve"> a o rok později opět poklesl na 45 %. </w:t>
      </w:r>
      <w:r w:rsidRPr="005725D0">
        <w:rPr>
          <w:bCs/>
        </w:rPr>
        <w:t>U pracovních neschopností zapříčiněných úrazem podíl žen v čase roste. Toto je zřejmé zejména u jiných než pracovních úrazů, kdy v roce 201</w:t>
      </w:r>
      <w:r w:rsidR="00BF7D65" w:rsidRPr="005725D0">
        <w:rPr>
          <w:bCs/>
        </w:rPr>
        <w:t>2</w:t>
      </w:r>
      <w:r w:rsidRPr="005725D0">
        <w:rPr>
          <w:bCs/>
        </w:rPr>
        <w:t xml:space="preserve"> ženy nahlásily </w:t>
      </w:r>
      <w:r w:rsidR="00BF7D65" w:rsidRPr="005725D0">
        <w:rPr>
          <w:bCs/>
        </w:rPr>
        <w:t>39</w:t>
      </w:r>
      <w:r w:rsidRPr="005725D0">
        <w:rPr>
          <w:bCs/>
        </w:rPr>
        <w:t xml:space="preserve"> tis. případů, kdežto v roce 202</w:t>
      </w:r>
      <w:r w:rsidR="00BF7D65" w:rsidRPr="005725D0">
        <w:rPr>
          <w:bCs/>
        </w:rPr>
        <w:t>2</w:t>
      </w:r>
      <w:r w:rsidRPr="005725D0">
        <w:rPr>
          <w:bCs/>
        </w:rPr>
        <w:t xml:space="preserve"> to bylo 6</w:t>
      </w:r>
      <w:r w:rsidR="00BF7D65" w:rsidRPr="005725D0">
        <w:rPr>
          <w:bCs/>
        </w:rPr>
        <w:t>7</w:t>
      </w:r>
      <w:r w:rsidRPr="005725D0">
        <w:rPr>
          <w:bCs/>
        </w:rPr>
        <w:t xml:space="preserve"> tis. úrazů. Absolutní nárůst je však patrný i u mužů, počet nově hlášených případů pracovní neschopnosti z důvodu </w:t>
      </w:r>
      <w:r w:rsidRPr="005725D0">
        <w:rPr>
          <w:b/>
          <w:bCs/>
        </w:rPr>
        <w:t>nepracovních (ostatních) úrazů</w:t>
      </w:r>
      <w:r w:rsidRPr="005725D0">
        <w:rPr>
          <w:bCs/>
        </w:rPr>
        <w:t xml:space="preserve"> v roce 201</w:t>
      </w:r>
      <w:r w:rsidR="00BF7D65" w:rsidRPr="005725D0">
        <w:rPr>
          <w:bCs/>
        </w:rPr>
        <w:t>2</w:t>
      </w:r>
      <w:r w:rsidRPr="005725D0">
        <w:rPr>
          <w:bCs/>
        </w:rPr>
        <w:t xml:space="preserve"> činil </w:t>
      </w:r>
      <w:r w:rsidR="005725D0" w:rsidRPr="005725D0">
        <w:rPr>
          <w:bCs/>
        </w:rPr>
        <w:t>76</w:t>
      </w:r>
      <w:r w:rsidRPr="005725D0">
        <w:rPr>
          <w:bCs/>
        </w:rPr>
        <w:t xml:space="preserve"> tis. a o 10 let později </w:t>
      </w:r>
      <w:r w:rsidR="005725D0" w:rsidRPr="005725D0">
        <w:rPr>
          <w:bCs/>
        </w:rPr>
        <w:t>překonal hranici</w:t>
      </w:r>
      <w:r w:rsidRPr="005725D0">
        <w:rPr>
          <w:bCs/>
        </w:rPr>
        <w:t xml:space="preserve"> 100 tis.</w:t>
      </w:r>
    </w:p>
    <w:p w14:paraId="30F9F81A" w14:textId="4B1941D7" w:rsidR="00361897" w:rsidRPr="005725D0" w:rsidRDefault="00361897" w:rsidP="00361897">
      <w:pPr>
        <w:spacing w:before="120" w:after="120"/>
        <w:jc w:val="both"/>
        <w:rPr>
          <w:bCs/>
        </w:rPr>
      </w:pPr>
      <w:r w:rsidRPr="005725D0">
        <w:rPr>
          <w:rFonts w:cs="Arial"/>
        </w:rPr>
        <w:t xml:space="preserve">Meziroční nárůst pracovní neschopnosti byl vyšší </w:t>
      </w:r>
      <w:r w:rsidRPr="005725D0">
        <w:rPr>
          <w:rFonts w:cs="Arial"/>
          <w:b/>
        </w:rPr>
        <w:t>u žen</w:t>
      </w:r>
      <w:r w:rsidRPr="005725D0">
        <w:rPr>
          <w:rFonts w:cs="Arial"/>
        </w:rPr>
        <w:t xml:space="preserve">. Absolutní počet nově hlášených případů pracovní neschopnosti se meziročně zvýšil </w:t>
      </w:r>
      <w:proofErr w:type="gramStart"/>
      <w:r w:rsidRPr="005725D0">
        <w:rPr>
          <w:rFonts w:cs="Arial"/>
        </w:rPr>
        <w:t>z</w:t>
      </w:r>
      <w:r w:rsidR="005725D0" w:rsidRPr="005725D0">
        <w:rPr>
          <w:rFonts w:cs="Arial"/>
        </w:rPr>
        <w:t>e</w:t>
      </w:r>
      <w:proofErr w:type="gramEnd"/>
      <w:r w:rsidRPr="005725D0">
        <w:rPr>
          <w:rFonts w:cs="Arial"/>
        </w:rPr>
        <w:t> </w:t>
      </w:r>
      <w:r w:rsidR="005725D0" w:rsidRPr="005725D0">
        <w:rPr>
          <w:rFonts w:cs="Arial"/>
        </w:rPr>
        <w:t>1 412</w:t>
      </w:r>
      <w:r w:rsidRPr="005725D0">
        <w:rPr>
          <w:rFonts w:cs="Arial"/>
        </w:rPr>
        <w:t xml:space="preserve"> tis. případů (u </w:t>
      </w:r>
      <w:r w:rsidR="005725D0" w:rsidRPr="005725D0">
        <w:rPr>
          <w:rFonts w:cs="Arial"/>
        </w:rPr>
        <w:t>mužů</w:t>
      </w:r>
      <w:r w:rsidRPr="005725D0">
        <w:rPr>
          <w:rFonts w:cs="Arial"/>
        </w:rPr>
        <w:t xml:space="preserve"> z </w:t>
      </w:r>
      <w:r w:rsidR="005725D0" w:rsidRPr="005725D0">
        <w:rPr>
          <w:rFonts w:cs="Arial"/>
        </w:rPr>
        <w:t xml:space="preserve">1 343 </w:t>
      </w:r>
      <w:r w:rsidRPr="005725D0">
        <w:rPr>
          <w:rFonts w:cs="Arial"/>
        </w:rPr>
        <w:t>tis. případů) v roce 202</w:t>
      </w:r>
      <w:r w:rsidR="005725D0" w:rsidRPr="005725D0">
        <w:rPr>
          <w:rFonts w:cs="Arial"/>
        </w:rPr>
        <w:t>1</w:t>
      </w:r>
      <w:r w:rsidRPr="005725D0">
        <w:rPr>
          <w:rFonts w:cs="Arial"/>
        </w:rPr>
        <w:t xml:space="preserve"> na </w:t>
      </w:r>
      <w:r w:rsidR="005725D0" w:rsidRPr="005725D0">
        <w:rPr>
          <w:rFonts w:cs="Arial"/>
        </w:rPr>
        <w:t>1 869</w:t>
      </w:r>
      <w:r w:rsidRPr="005725D0">
        <w:rPr>
          <w:rFonts w:cs="Arial"/>
        </w:rPr>
        <w:t xml:space="preserve"> tis. případů (u </w:t>
      </w:r>
      <w:r w:rsidR="005725D0" w:rsidRPr="005725D0">
        <w:rPr>
          <w:rFonts w:cs="Arial"/>
        </w:rPr>
        <w:t>mužů</w:t>
      </w:r>
      <w:r w:rsidRPr="005725D0">
        <w:rPr>
          <w:rFonts w:cs="Arial"/>
        </w:rPr>
        <w:t xml:space="preserve"> na </w:t>
      </w:r>
      <w:r w:rsidR="005725D0" w:rsidRPr="005725D0">
        <w:rPr>
          <w:rFonts w:cs="Arial"/>
        </w:rPr>
        <w:t>1</w:t>
      </w:r>
      <w:r w:rsidR="00BF32D9">
        <w:rPr>
          <w:rFonts w:cs="Arial"/>
        </w:rPr>
        <w:t> </w:t>
      </w:r>
      <w:r w:rsidR="005725D0" w:rsidRPr="005725D0">
        <w:rPr>
          <w:rFonts w:cs="Arial"/>
        </w:rPr>
        <w:t>589</w:t>
      </w:r>
      <w:r w:rsidRPr="005725D0">
        <w:rPr>
          <w:rFonts w:cs="Arial"/>
        </w:rPr>
        <w:t xml:space="preserve"> </w:t>
      </w:r>
      <w:r w:rsidR="00BF32D9" w:rsidRPr="005725D0">
        <w:rPr>
          <w:rFonts w:cs="Arial"/>
        </w:rPr>
        <w:t>tis.</w:t>
      </w:r>
      <w:r w:rsidR="00BF32D9">
        <w:rPr>
          <w:rFonts w:cs="Arial"/>
        </w:rPr>
        <w:t xml:space="preserve"> </w:t>
      </w:r>
      <w:r w:rsidRPr="005725D0">
        <w:rPr>
          <w:rFonts w:cs="Arial"/>
        </w:rPr>
        <w:t>případů) v roce 202</w:t>
      </w:r>
      <w:r w:rsidR="000C3BCD">
        <w:rPr>
          <w:rFonts w:cs="Arial"/>
        </w:rPr>
        <w:t>2</w:t>
      </w:r>
      <w:r w:rsidRPr="005725D0">
        <w:rPr>
          <w:rFonts w:cs="Arial"/>
        </w:rPr>
        <w:t xml:space="preserve">. Vzrostl tak o </w:t>
      </w:r>
      <w:r w:rsidR="005725D0" w:rsidRPr="005725D0">
        <w:rPr>
          <w:rFonts w:cs="Arial"/>
        </w:rPr>
        <w:t xml:space="preserve">32 </w:t>
      </w:r>
      <w:r w:rsidRPr="005725D0">
        <w:rPr>
          <w:rFonts w:cs="Arial"/>
          <w:lang w:val="en-US"/>
        </w:rPr>
        <w:t xml:space="preserve">% </w:t>
      </w:r>
      <w:r w:rsidRPr="005725D0">
        <w:rPr>
          <w:rFonts w:cs="Arial"/>
        </w:rPr>
        <w:t>(o </w:t>
      </w:r>
      <w:r w:rsidR="005725D0" w:rsidRPr="005725D0">
        <w:rPr>
          <w:rFonts w:cs="Arial"/>
        </w:rPr>
        <w:t>18</w:t>
      </w:r>
      <w:r w:rsidRPr="005725D0">
        <w:rPr>
          <w:rFonts w:cs="Arial"/>
        </w:rPr>
        <w:t xml:space="preserve"> </w:t>
      </w:r>
      <w:r w:rsidRPr="005725D0">
        <w:rPr>
          <w:rFonts w:cs="Arial"/>
          <w:lang w:val="en-US"/>
        </w:rPr>
        <w:t>%</w:t>
      </w:r>
      <w:r w:rsidRPr="005725D0">
        <w:rPr>
          <w:rFonts w:cs="Arial"/>
        </w:rPr>
        <w:t xml:space="preserve"> u </w:t>
      </w:r>
      <w:r w:rsidR="005725D0" w:rsidRPr="005725D0">
        <w:rPr>
          <w:rFonts w:cs="Arial"/>
        </w:rPr>
        <w:t>mužů</w:t>
      </w:r>
      <w:r w:rsidRPr="005725D0">
        <w:rPr>
          <w:rFonts w:cs="Arial"/>
        </w:rPr>
        <w:t xml:space="preserve">). Co se týče neschopností </w:t>
      </w:r>
      <w:r w:rsidRPr="005725D0">
        <w:rPr>
          <w:rFonts w:cs="Arial"/>
          <w:b/>
        </w:rPr>
        <w:t>pro nemoc</w:t>
      </w:r>
      <w:r w:rsidRPr="005725D0">
        <w:rPr>
          <w:rFonts w:cs="Arial"/>
        </w:rPr>
        <w:t>, v</w:t>
      </w:r>
      <w:r w:rsidRPr="005725D0">
        <w:rPr>
          <w:bCs/>
        </w:rPr>
        <w:t xml:space="preserve"> případě </w:t>
      </w:r>
      <w:r w:rsidR="005725D0" w:rsidRPr="005725D0">
        <w:rPr>
          <w:bCs/>
        </w:rPr>
        <w:t>žen</w:t>
      </w:r>
      <w:r w:rsidRPr="005725D0">
        <w:rPr>
          <w:bCs/>
        </w:rPr>
        <w:t xml:space="preserve"> jejich počet meziročně vzrostl o </w:t>
      </w:r>
      <w:r w:rsidR="005725D0" w:rsidRPr="005725D0">
        <w:rPr>
          <w:bCs/>
        </w:rPr>
        <w:t>více než třetinu</w:t>
      </w:r>
      <w:r w:rsidRPr="005725D0">
        <w:rPr>
          <w:bCs/>
        </w:rPr>
        <w:t xml:space="preserve"> (</w:t>
      </w:r>
      <w:r w:rsidR="005725D0" w:rsidRPr="005725D0">
        <w:rPr>
          <w:bCs/>
        </w:rPr>
        <w:t>451</w:t>
      </w:r>
      <w:r w:rsidRPr="005725D0">
        <w:rPr>
          <w:bCs/>
        </w:rPr>
        <w:t xml:space="preserve"> tis.), u </w:t>
      </w:r>
      <w:r w:rsidR="005725D0" w:rsidRPr="005725D0">
        <w:rPr>
          <w:bCs/>
        </w:rPr>
        <w:t>mužů</w:t>
      </w:r>
      <w:r w:rsidRPr="005725D0">
        <w:rPr>
          <w:bCs/>
        </w:rPr>
        <w:t xml:space="preserve"> to bylo o </w:t>
      </w:r>
      <w:r w:rsidR="005725D0" w:rsidRPr="005725D0">
        <w:rPr>
          <w:bCs/>
        </w:rPr>
        <w:t>pětinu</w:t>
      </w:r>
      <w:r w:rsidRPr="005725D0">
        <w:rPr>
          <w:bCs/>
        </w:rPr>
        <w:t xml:space="preserve"> (</w:t>
      </w:r>
      <w:r w:rsidR="005725D0" w:rsidRPr="005725D0">
        <w:rPr>
          <w:bCs/>
        </w:rPr>
        <w:t>240</w:t>
      </w:r>
      <w:r w:rsidRPr="005725D0">
        <w:rPr>
          <w:bCs/>
        </w:rPr>
        <w:t xml:space="preserve"> tis.).</w:t>
      </w:r>
    </w:p>
    <w:p w14:paraId="00AFD544" w14:textId="675D01AB" w:rsidR="00361897" w:rsidRPr="000A1C7A" w:rsidRDefault="00361897" w:rsidP="00361897">
      <w:pPr>
        <w:spacing w:before="120" w:after="120"/>
        <w:jc w:val="both"/>
        <w:rPr>
          <w:rFonts w:cs="Arial"/>
          <w:lang w:val="en-US"/>
        </w:rPr>
      </w:pPr>
      <w:r w:rsidRPr="000A1C7A">
        <w:rPr>
          <w:rFonts w:cs="Arial"/>
        </w:rPr>
        <w:t xml:space="preserve">Z hlediska </w:t>
      </w:r>
      <w:r w:rsidRPr="005E53B4">
        <w:rPr>
          <w:rFonts w:cs="Arial"/>
          <w:b/>
          <w:bCs/>
        </w:rPr>
        <w:t>příčin</w:t>
      </w:r>
      <w:r w:rsidRPr="000A1C7A">
        <w:rPr>
          <w:rFonts w:cs="Arial"/>
        </w:rPr>
        <w:t xml:space="preserve"> se </w:t>
      </w:r>
      <w:r w:rsidR="005725D0" w:rsidRPr="000A1C7A">
        <w:rPr>
          <w:rFonts w:cs="Arial"/>
        </w:rPr>
        <w:t>1 787</w:t>
      </w:r>
      <w:r w:rsidRPr="000A1C7A">
        <w:rPr>
          <w:rFonts w:cs="Arial"/>
        </w:rPr>
        <w:t xml:space="preserve"> tis. (9</w:t>
      </w:r>
      <w:r w:rsidR="005725D0" w:rsidRPr="000A1C7A">
        <w:rPr>
          <w:rFonts w:cs="Arial"/>
        </w:rPr>
        <w:t>6</w:t>
      </w:r>
      <w:r w:rsidRPr="000A1C7A">
        <w:rPr>
          <w:rFonts w:cs="Arial"/>
        </w:rPr>
        <w:t xml:space="preserve"> %) nově hlášených případů dočasné pracovní neschopnosti </w:t>
      </w:r>
      <w:r w:rsidR="005725D0" w:rsidRPr="000A1C7A">
        <w:rPr>
          <w:rFonts w:cs="Arial"/>
        </w:rPr>
        <w:t>žen</w:t>
      </w:r>
      <w:r w:rsidRPr="000A1C7A">
        <w:rPr>
          <w:rFonts w:cs="Arial"/>
        </w:rPr>
        <w:t xml:space="preserve"> týkalo nemoci, 1</w:t>
      </w:r>
      <w:r w:rsidR="005725D0" w:rsidRPr="000A1C7A">
        <w:rPr>
          <w:rFonts w:cs="Arial"/>
        </w:rPr>
        <w:t>5</w:t>
      </w:r>
      <w:r w:rsidRPr="000A1C7A">
        <w:rPr>
          <w:rFonts w:cs="Arial"/>
        </w:rPr>
        <w:t> tis. (</w:t>
      </w:r>
      <w:r w:rsidR="005725D0" w:rsidRPr="000A1C7A">
        <w:rPr>
          <w:rFonts w:cs="Arial"/>
        </w:rPr>
        <w:t>0,8</w:t>
      </w:r>
      <w:r w:rsidRPr="000A1C7A">
        <w:rPr>
          <w:rFonts w:cs="Arial"/>
        </w:rPr>
        <w:t xml:space="preserve"> %) pracovních úrazů a </w:t>
      </w:r>
      <w:r w:rsidR="005725D0" w:rsidRPr="000A1C7A">
        <w:rPr>
          <w:rFonts w:cs="Arial"/>
        </w:rPr>
        <w:t>67</w:t>
      </w:r>
      <w:r w:rsidRPr="000A1C7A">
        <w:rPr>
          <w:rFonts w:cs="Arial"/>
        </w:rPr>
        <w:t> tis. (</w:t>
      </w:r>
      <w:r w:rsidR="005725D0" w:rsidRPr="000A1C7A">
        <w:rPr>
          <w:rFonts w:cs="Arial"/>
        </w:rPr>
        <w:t>4</w:t>
      </w:r>
      <w:r w:rsidRPr="000A1C7A">
        <w:rPr>
          <w:rFonts w:cs="Arial"/>
        </w:rPr>
        <w:t xml:space="preserve"> %) ostatních úrazů. </w:t>
      </w:r>
      <w:r w:rsidR="005725D0" w:rsidRPr="000A1C7A">
        <w:rPr>
          <w:rFonts w:cs="Arial"/>
          <w:b/>
        </w:rPr>
        <w:t>Muži</w:t>
      </w:r>
      <w:r w:rsidRPr="000A1C7A">
        <w:rPr>
          <w:rFonts w:cs="Arial"/>
        </w:rPr>
        <w:t xml:space="preserve"> byl</w:t>
      </w:r>
      <w:r w:rsidR="005725D0" w:rsidRPr="000A1C7A">
        <w:rPr>
          <w:rFonts w:cs="Arial"/>
        </w:rPr>
        <w:t>i</w:t>
      </w:r>
      <w:r w:rsidRPr="000A1C7A">
        <w:rPr>
          <w:rFonts w:cs="Arial"/>
        </w:rPr>
        <w:t xml:space="preserve"> v pracovní neschopnosti z důvodu nemoci v 1 </w:t>
      </w:r>
      <w:r w:rsidR="005725D0" w:rsidRPr="000A1C7A">
        <w:rPr>
          <w:rFonts w:cs="Arial"/>
        </w:rPr>
        <w:t>453</w:t>
      </w:r>
      <w:r w:rsidRPr="000A1C7A">
        <w:rPr>
          <w:rFonts w:cs="Arial"/>
        </w:rPr>
        <w:t xml:space="preserve"> tis. případech (9</w:t>
      </w:r>
      <w:r w:rsidR="005725D0" w:rsidRPr="000A1C7A">
        <w:rPr>
          <w:rFonts w:cs="Arial"/>
        </w:rPr>
        <w:t>1</w:t>
      </w:r>
      <w:r w:rsidRPr="000A1C7A">
        <w:rPr>
          <w:rFonts w:cs="Arial"/>
        </w:rPr>
        <w:t xml:space="preserve"> %), kvůli pracovnímu úrazu ve </w:t>
      </w:r>
      <w:r w:rsidR="005725D0" w:rsidRPr="000A1C7A">
        <w:rPr>
          <w:rFonts w:cs="Arial"/>
        </w:rPr>
        <w:t>30</w:t>
      </w:r>
      <w:r w:rsidRPr="000A1C7A">
        <w:rPr>
          <w:rFonts w:cs="Arial"/>
        </w:rPr>
        <w:t xml:space="preserve"> tis. případech</w:t>
      </w:r>
      <w:r w:rsidR="005725D0" w:rsidRPr="000A1C7A">
        <w:rPr>
          <w:rFonts w:cs="Arial"/>
        </w:rPr>
        <w:t xml:space="preserve"> (2</w:t>
      </w:r>
      <w:r w:rsidRPr="000A1C7A">
        <w:rPr>
          <w:rFonts w:cs="Arial"/>
        </w:rPr>
        <w:t xml:space="preserve"> %) a z důvodu ostatních úrazů </w:t>
      </w:r>
      <w:proofErr w:type="gramStart"/>
      <w:r w:rsidRPr="000A1C7A">
        <w:rPr>
          <w:rFonts w:cs="Arial"/>
        </w:rPr>
        <w:t>v</w:t>
      </w:r>
      <w:r w:rsidR="005725D0" w:rsidRPr="000A1C7A">
        <w:rPr>
          <w:rFonts w:cs="Arial"/>
        </w:rPr>
        <w:t>e</w:t>
      </w:r>
      <w:r w:rsidRPr="000A1C7A">
        <w:rPr>
          <w:rFonts w:cs="Arial"/>
        </w:rPr>
        <w:t> </w:t>
      </w:r>
      <w:r w:rsidR="005725D0" w:rsidRPr="000A1C7A">
        <w:rPr>
          <w:rFonts w:cs="Arial"/>
        </w:rPr>
        <w:t>105</w:t>
      </w:r>
      <w:proofErr w:type="gramEnd"/>
      <w:r w:rsidR="000A1C7A" w:rsidRPr="000A1C7A">
        <w:rPr>
          <w:rFonts w:cs="Arial"/>
        </w:rPr>
        <w:t xml:space="preserve"> tis. případech</w:t>
      </w:r>
      <w:r w:rsidRPr="000A1C7A">
        <w:rPr>
          <w:rFonts w:cs="Arial"/>
        </w:rPr>
        <w:t xml:space="preserve"> (</w:t>
      </w:r>
      <w:r w:rsidR="005725D0" w:rsidRPr="000A1C7A">
        <w:rPr>
          <w:rFonts w:cs="Arial"/>
        </w:rPr>
        <w:t>7</w:t>
      </w:r>
      <w:r w:rsidRPr="000A1C7A">
        <w:rPr>
          <w:rFonts w:cs="Arial"/>
        </w:rPr>
        <w:t xml:space="preserve"> %)</w:t>
      </w:r>
      <w:r w:rsidRPr="000A1C7A">
        <w:rPr>
          <w:rFonts w:cs="Arial"/>
          <w:lang w:val="en-US"/>
        </w:rPr>
        <w:t>.</w:t>
      </w:r>
    </w:p>
    <w:p w14:paraId="749540AE" w14:textId="3E937D26" w:rsidR="00C60872" w:rsidRPr="000A1C7A" w:rsidRDefault="00C60872" w:rsidP="00C60872">
      <w:pPr>
        <w:spacing w:before="120" w:after="120"/>
        <w:jc w:val="both"/>
        <w:rPr>
          <w:noProof/>
        </w:rPr>
      </w:pPr>
      <w:r w:rsidRPr="000A1C7A">
        <w:rPr>
          <w:noProof/>
        </w:rPr>
        <w:lastRenderedPageBreak/>
        <w:t xml:space="preserve">Za </w:t>
      </w:r>
      <w:r w:rsidRPr="000A1C7A">
        <w:rPr>
          <w:b/>
          <w:noProof/>
        </w:rPr>
        <w:t>posledních pět let</w:t>
      </w:r>
      <w:r w:rsidRPr="000A1C7A">
        <w:rPr>
          <w:noProof/>
        </w:rPr>
        <w:t xml:space="preserve"> počet nově hlášených případů pracovní neschopnosti výrazně vzrostl – o 1 </w:t>
      </w:r>
      <w:r w:rsidR="000A1C7A" w:rsidRPr="000A1C7A">
        <w:rPr>
          <w:noProof/>
        </w:rPr>
        <w:t>750</w:t>
      </w:r>
      <w:r w:rsidRPr="000A1C7A">
        <w:rPr>
          <w:noProof/>
        </w:rPr>
        <w:t xml:space="preserve"> tis. případů (o </w:t>
      </w:r>
      <w:r w:rsidR="000A1C7A" w:rsidRPr="000A1C7A">
        <w:rPr>
          <w:noProof/>
        </w:rPr>
        <w:t>102</w:t>
      </w:r>
      <w:r w:rsidRPr="000A1C7A">
        <w:rPr>
          <w:noProof/>
        </w:rPr>
        <w:t xml:space="preserve"> %) z</w:t>
      </w:r>
      <w:r w:rsidR="000A1C7A" w:rsidRPr="000A1C7A">
        <w:rPr>
          <w:noProof/>
        </w:rPr>
        <w:t> 1 70</w:t>
      </w:r>
      <w:r w:rsidR="005E53B4">
        <w:rPr>
          <w:noProof/>
        </w:rPr>
        <w:t>8</w:t>
      </w:r>
      <w:r w:rsidRPr="000A1C7A">
        <w:rPr>
          <w:noProof/>
        </w:rPr>
        <w:t xml:space="preserve"> tis. případů v roce 201</w:t>
      </w:r>
      <w:r w:rsidR="000A1C7A" w:rsidRPr="000A1C7A">
        <w:rPr>
          <w:noProof/>
        </w:rPr>
        <w:t>7</w:t>
      </w:r>
      <w:r w:rsidRPr="000A1C7A">
        <w:rPr>
          <w:noProof/>
        </w:rPr>
        <w:t xml:space="preserve"> na </w:t>
      </w:r>
      <w:r w:rsidR="000A1C7A" w:rsidRPr="000A1C7A">
        <w:rPr>
          <w:noProof/>
        </w:rPr>
        <w:t>3 458</w:t>
      </w:r>
      <w:r w:rsidRPr="000A1C7A">
        <w:rPr>
          <w:noProof/>
        </w:rPr>
        <w:t xml:space="preserve"> tis. v roce 202</w:t>
      </w:r>
      <w:r w:rsidR="000A1C7A" w:rsidRPr="000A1C7A">
        <w:rPr>
          <w:noProof/>
        </w:rPr>
        <w:t>2</w:t>
      </w:r>
      <w:r w:rsidRPr="000A1C7A">
        <w:rPr>
          <w:noProof/>
        </w:rPr>
        <w:t>. Na zvýšení se větší měrou podílely ženy (+</w:t>
      </w:r>
      <w:r w:rsidR="000A1C7A" w:rsidRPr="000A1C7A">
        <w:rPr>
          <w:noProof/>
        </w:rPr>
        <w:t>976</w:t>
      </w:r>
      <w:r w:rsidRPr="000A1C7A">
        <w:rPr>
          <w:noProof/>
        </w:rPr>
        <w:t xml:space="preserve"> tis. případů). Za nárůstem stály především výše zmíněné neschopenky z důvodu nemoci. </w:t>
      </w:r>
    </w:p>
    <w:p w14:paraId="1CDF4F25" w14:textId="390D9CCD" w:rsidR="00C60872" w:rsidRPr="000A1C7A" w:rsidRDefault="000A1C7A" w:rsidP="00C60872">
      <w:pPr>
        <w:spacing w:before="120" w:after="120"/>
        <w:jc w:val="both"/>
        <w:rPr>
          <w:rFonts w:cs="Arial"/>
          <w:b/>
          <w:lang w:val="en-US"/>
        </w:rPr>
      </w:pPr>
      <w:r w:rsidRPr="000A1C7A">
        <w:rPr>
          <w:noProof/>
        </w:rPr>
        <mc:AlternateContent>
          <mc:Choice Requires="wps">
            <w:drawing>
              <wp:anchor distT="0" distB="0" distL="114300" distR="114300" simplePos="0" relativeHeight="251673088" behindDoc="0" locked="0" layoutInCell="1" allowOverlap="1" wp14:anchorId="591218F1" wp14:editId="5BED57BA">
                <wp:simplePos x="0" y="0"/>
                <wp:positionH relativeFrom="column">
                  <wp:posOffset>1127760</wp:posOffset>
                </wp:positionH>
                <wp:positionV relativeFrom="paragraph">
                  <wp:posOffset>1316355</wp:posOffset>
                </wp:positionV>
                <wp:extent cx="914400" cy="462583"/>
                <wp:effectExtent l="0" t="0" r="0" b="0"/>
                <wp:wrapNone/>
                <wp:docPr id="53" name="TextovéPole 1"/>
                <wp:cNvGraphicFramePr/>
                <a:graphic xmlns:a="http://schemas.openxmlformats.org/drawingml/2006/main">
                  <a:graphicData uri="http://schemas.microsoft.com/office/word/2010/wordprocessingShape">
                    <wps:wsp>
                      <wps:cNvSpPr txBox="1"/>
                      <wps:spPr>
                        <a:xfrm>
                          <a:off x="0" y="0"/>
                          <a:ext cx="914400" cy="462583"/>
                        </a:xfrm>
                        <a:prstGeom prst="rect">
                          <a:avLst/>
                        </a:prstGeom>
                      </wps:spPr>
                      <wps:txbx>
                        <w:txbxContent>
                          <w:p w14:paraId="7CBEC0FE" w14:textId="733C68F0" w:rsidR="00EC4603" w:rsidRDefault="00EC4603" w:rsidP="000A1C7A">
                            <w:pPr>
                              <w:pStyle w:val="Normlnweb"/>
                              <w:spacing w:before="0" w:beforeAutospacing="0" w:after="0" w:afterAutospacing="0"/>
                            </w:pPr>
                            <w:r>
                              <w:rPr>
                                <w:rFonts w:ascii="Arial" w:hAnsi="Arial" w:cs="Arial"/>
                                <w:b/>
                                <w:bCs/>
                                <w:sz w:val="20"/>
                                <w:szCs w:val="20"/>
                              </w:rPr>
                              <w:t>1 588,5 tis.</w:t>
                            </w:r>
                          </w:p>
                        </w:txbxContent>
                      </wps:txbx>
                      <wps:bodyPr vertOverflow="clip" wrap="square" rtlCol="0"/>
                    </wps:wsp>
                  </a:graphicData>
                </a:graphic>
              </wp:anchor>
            </w:drawing>
          </mc:Choice>
          <mc:Fallback>
            <w:pict>
              <v:shape w14:anchorId="591218F1" id="TextovéPole 1" o:spid="_x0000_s1033" type="#_x0000_t202" style="position:absolute;left:0;text-align:left;margin-left:88.8pt;margin-top:103.65pt;width:1in;height:36.4pt;z-index:2516730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" filled="f" stroked="f">
                <v:textbox>
                  <w:txbxContent>
                    <w:p w14:paraId="7CBEC0FE" w14:textId="733C68F0" w:rsidR="00EC4603" w:rsidRDefault="00EC4603" w:rsidP="000A1C7A">
                      <w:pPr>
                        <w:pStyle w:val="Normlnweb"/>
                        <w:spacing w:before="0" w:beforeAutospacing="0" w:after="0" w:afterAutospacing="0"/>
                      </w:pPr>
                      <w:r>
                        <w:rPr>
                          <w:rFonts w:ascii="Arial" w:hAnsi="Arial" w:cs="Arial"/>
                          <w:b/>
                          <w:bCs/>
                          <w:sz w:val="20"/>
                          <w:szCs w:val="20"/>
                        </w:rPr>
                        <w:t>1 588,5 tis.</w:t>
                      </w:r>
                    </w:p>
                  </w:txbxContent>
                </v:textbox>
              </v:shape>
            </w:pict>
          </mc:Fallback>
        </mc:AlternateContent>
      </w:r>
      <w:r w:rsidRPr="000A1C7A">
        <w:rPr>
          <w:noProof/>
        </w:rPr>
        <w:drawing>
          <wp:anchor distT="0" distB="0" distL="114300" distR="114300" simplePos="0" relativeHeight="251670016" behindDoc="1" locked="0" layoutInCell="1" allowOverlap="1" wp14:anchorId="2344D144" wp14:editId="0D51F7F2">
            <wp:simplePos x="0" y="0"/>
            <wp:positionH relativeFrom="margin">
              <wp:posOffset>2794000</wp:posOffset>
            </wp:positionH>
            <wp:positionV relativeFrom="paragraph">
              <wp:posOffset>249555</wp:posOffset>
            </wp:positionV>
            <wp:extent cx="3267075" cy="2085975"/>
            <wp:effectExtent l="0" t="0" r="9525" b="9525"/>
            <wp:wrapTight wrapText="bothSides">
              <wp:wrapPolygon edited="0">
                <wp:start x="0" y="0"/>
                <wp:lineTo x="0" y="21501"/>
                <wp:lineTo x="21537" y="21501"/>
                <wp:lineTo x="21537" y="0"/>
                <wp:lineTo x="0" y="0"/>
              </wp:wrapPolygon>
            </wp:wrapTight>
            <wp:docPr id="49" name="Graf 4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r w:rsidRPr="000A1C7A">
        <w:rPr>
          <w:noProof/>
        </w:rPr>
        <w:drawing>
          <wp:anchor distT="0" distB="0" distL="114300" distR="114300" simplePos="0" relativeHeight="251671040" behindDoc="1" locked="0" layoutInCell="1" allowOverlap="1" wp14:anchorId="0424414C" wp14:editId="27E95632">
            <wp:simplePos x="0" y="0"/>
            <wp:positionH relativeFrom="margin">
              <wp:align>left</wp:align>
            </wp:positionH>
            <wp:positionV relativeFrom="paragraph">
              <wp:posOffset>249555</wp:posOffset>
            </wp:positionV>
            <wp:extent cx="3324225" cy="2076450"/>
            <wp:effectExtent l="0" t="0" r="9525" b="0"/>
            <wp:wrapTight wrapText="bothSides">
              <wp:wrapPolygon edited="0">
                <wp:start x="0" y="0"/>
                <wp:lineTo x="0" y="21402"/>
                <wp:lineTo x="21538" y="21402"/>
                <wp:lineTo x="21538" y="0"/>
                <wp:lineTo x="0" y="0"/>
              </wp:wrapPolygon>
            </wp:wrapTight>
            <wp:docPr id="45" name="Graf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r w:rsidR="00C60872" w:rsidRPr="000A1C7A">
        <w:rPr>
          <w:rFonts w:cs="Arial"/>
          <w:b/>
          <w:lang w:val="en-US"/>
        </w:rPr>
        <w:t>Graf 2.</w:t>
      </w:r>
      <w:r w:rsidR="008E2EF1">
        <w:rPr>
          <w:rFonts w:cs="Arial"/>
          <w:b/>
          <w:lang w:val="en-US"/>
        </w:rPr>
        <w:t>2</w:t>
      </w:r>
      <w:r w:rsidR="00C60872" w:rsidRPr="000A1C7A">
        <w:rPr>
          <w:rFonts w:cs="Arial"/>
          <w:b/>
          <w:lang w:val="en-US"/>
        </w:rPr>
        <w:t xml:space="preserve">: </w:t>
      </w:r>
      <w:r w:rsidR="00C60872" w:rsidRPr="000A1C7A">
        <w:rPr>
          <w:rFonts w:cs="Arial"/>
          <w:b/>
        </w:rPr>
        <w:t xml:space="preserve">Nově hlášené případy dočasné pracovní neschopnosti podle příčiny a pohlaví, </w:t>
      </w:r>
      <w:r w:rsidRPr="000A1C7A">
        <w:rPr>
          <w:rFonts w:cs="Arial"/>
          <w:b/>
          <w:lang w:val="en-US"/>
        </w:rPr>
        <w:t>2022</w:t>
      </w:r>
    </w:p>
    <w:p w14:paraId="3DEC0E17" w14:textId="0C23308C" w:rsidR="00B47414" w:rsidRPr="000A1C7A" w:rsidRDefault="00B47414" w:rsidP="00B47414">
      <w:pPr>
        <w:spacing w:before="120" w:after="120" w:line="240" w:lineRule="auto"/>
        <w:jc w:val="both"/>
        <w:rPr>
          <w:rFonts w:cs="Arial"/>
          <w:color w:val="000000"/>
          <w:sz w:val="16"/>
          <w:szCs w:val="16"/>
        </w:rPr>
      </w:pPr>
      <w:r w:rsidRPr="000A1C7A">
        <w:rPr>
          <w:rFonts w:cs="Arial"/>
          <w:color w:val="000000"/>
          <w:sz w:val="16"/>
          <w:szCs w:val="16"/>
        </w:rPr>
        <w:t>Zdroj: ČSÚ</w:t>
      </w:r>
    </w:p>
    <w:p w14:paraId="23E5656B" w14:textId="2B9D4332" w:rsidR="00B47414" w:rsidRPr="0002281B" w:rsidRDefault="00B47414" w:rsidP="00B47414">
      <w:pPr>
        <w:pStyle w:val="Seznam"/>
        <w:spacing w:before="120" w:after="120"/>
        <w:contextualSpacing w:val="0"/>
        <w:jc w:val="both"/>
      </w:pPr>
      <w:r w:rsidRPr="0002281B">
        <w:t xml:space="preserve">Dopad legislativních změn na výskyt pracovní neschopnosti je zřejmý zejména na vývoji případů pracovní neschopnosti </w:t>
      </w:r>
      <w:r w:rsidRPr="0002281B">
        <w:rPr>
          <w:b/>
        </w:rPr>
        <w:t>pro nemoc</w:t>
      </w:r>
      <w:r w:rsidRPr="0002281B">
        <w:t xml:space="preserve">. </w:t>
      </w:r>
      <w:r w:rsidR="0002281B" w:rsidRPr="0002281B">
        <w:t>Na počet</w:t>
      </w:r>
      <w:r w:rsidRPr="0002281B">
        <w:t xml:space="preserve"> případů pracovní neschopnosti pro úrazy </w:t>
      </w:r>
      <w:r w:rsidR="0002281B" w:rsidRPr="0002281B">
        <w:t>takový vliv nemají.</w:t>
      </w:r>
      <w:r w:rsidRPr="0002281B">
        <w:t xml:space="preserve"> Legislativní úpravy ve vyplácení dávek nemocenského se nejvíce projevují v četnosti případů méně závažných a</w:t>
      </w:r>
      <w:r w:rsidR="0002281B">
        <w:t> </w:t>
      </w:r>
      <w:r w:rsidRPr="0002281B">
        <w:t>krátkodobých pracovních neschopností, např. u nemocí dýchacích cest (běžná nachlazení, záněty horních cest dýchacích apod.).</w:t>
      </w:r>
    </w:p>
    <w:p w14:paraId="2003C43B" w14:textId="77777777" w:rsidR="0002281B" w:rsidRPr="00CF382E" w:rsidRDefault="00B47414" w:rsidP="005725D0">
      <w:pPr>
        <w:pStyle w:val="Seznam"/>
        <w:spacing w:before="120" w:after="120"/>
        <w:contextualSpacing w:val="0"/>
        <w:jc w:val="both"/>
      </w:pPr>
      <w:r w:rsidRPr="00CF382E">
        <w:t xml:space="preserve">Do roku 2018 platil trend, že </w:t>
      </w:r>
      <w:r w:rsidRPr="00CF382E">
        <w:rPr>
          <w:b/>
        </w:rPr>
        <w:t>v prvním půlroce</w:t>
      </w:r>
      <w:r w:rsidRPr="00CF382E">
        <w:t xml:space="preserve"> je hlášeno značně více případů pracovní neschopnosti než v pololetí druhém. Možným vysvětlením mohou být jarní chřipkové epidemie. Naopak poklesu </w:t>
      </w:r>
      <w:r w:rsidR="0002281B" w:rsidRPr="00CF382E">
        <w:t xml:space="preserve">v druhém pololetí </w:t>
      </w:r>
      <w:r w:rsidRPr="00CF382E">
        <w:t>nahrávají prázdniny, zejména letní, ale také podzimní a vánoční. Pokud se nejedná o onemocnění závažnějšího charakteru, může se pojištěnec během dovolené sám zotavit bez nutnosti návštěvy lékaře a</w:t>
      </w:r>
      <w:r w:rsidR="0002281B" w:rsidRPr="00CF382E">
        <w:t> </w:t>
      </w:r>
      <w:r w:rsidRPr="00CF382E">
        <w:t xml:space="preserve">vystavení pracovní neschopnosti. Jak již bylo zmíněno výše, jedním z faktorů, které zapříčinily meziroční nárůst počtu nových případů pracovní neschopnosti </w:t>
      </w:r>
      <w:r w:rsidRPr="00CF382E">
        <w:rPr>
          <w:b/>
        </w:rPr>
        <w:t>způsobených nemocí</w:t>
      </w:r>
      <w:r w:rsidRPr="00CF382E">
        <w:t xml:space="preserve"> oproti 1. pol. 2018, je patrně </w:t>
      </w:r>
      <w:r w:rsidRPr="00CF382E">
        <w:rPr>
          <w:b/>
        </w:rPr>
        <w:t>zrušení karenční doby od 1. července 2019</w:t>
      </w:r>
      <w:r w:rsidRPr="00CF382E">
        <w:t xml:space="preserve">, kdy je náhrada mzdy od zaměstnavatele zaměstnanci vyplácena již od prvního dne, a nikoliv až od čtvrtého. Rozdíl mezi prvním a druhým pololetím v roce 2019 již tedy není tak markantní. </w:t>
      </w:r>
    </w:p>
    <w:p w14:paraId="09B6B3D4" w14:textId="439A4CCE" w:rsidR="00F130FF" w:rsidRDefault="00B47414" w:rsidP="00CF382E">
      <w:pPr>
        <w:spacing w:before="120" w:after="120"/>
        <w:jc w:val="both"/>
      </w:pPr>
      <w:r w:rsidRPr="00CF382E">
        <w:t xml:space="preserve">V roce 2020 </w:t>
      </w:r>
      <w:r w:rsidR="0068452B">
        <w:t>statistiky pracovní neschopnosti ovládla</w:t>
      </w:r>
      <w:r w:rsidRPr="00CF382E">
        <w:rPr>
          <w:b/>
        </w:rPr>
        <w:t xml:space="preserve"> </w:t>
      </w:r>
      <w:proofErr w:type="spellStart"/>
      <w:r w:rsidRPr="00CF382E">
        <w:rPr>
          <w:b/>
        </w:rPr>
        <w:t>koronavirová</w:t>
      </w:r>
      <w:proofErr w:type="spellEnd"/>
      <w:r w:rsidRPr="00CF382E">
        <w:rPr>
          <w:b/>
        </w:rPr>
        <w:t xml:space="preserve"> pandemie</w:t>
      </w:r>
      <w:r w:rsidRPr="00CF382E">
        <w:t>, kdy v druhém pololetí Česko zasáhla podzimní vlna onemocnění. Zatímco mezi prvními pololetími roku 2019 a 2020 došlo k nárůstu o</w:t>
      </w:r>
      <w:r w:rsidR="00A5543F">
        <w:t> </w:t>
      </w:r>
      <w:r w:rsidRPr="00CF382E">
        <w:t>104</w:t>
      </w:r>
      <w:r w:rsidR="00A5543F">
        <w:t> </w:t>
      </w:r>
      <w:r w:rsidRPr="00CF382E">
        <w:t>tis. (o 12 %) případů pracovní neschopnosti pro nemoc, mezi druhými pololetími se počet navýšil o</w:t>
      </w:r>
      <w:r w:rsidR="00A5543F">
        <w:t> </w:t>
      </w:r>
      <w:r w:rsidRPr="00CF382E">
        <w:t>387</w:t>
      </w:r>
      <w:r w:rsidR="00A5543F">
        <w:t> </w:t>
      </w:r>
      <w:r w:rsidRPr="00CF382E">
        <w:t>tis. (o 46 %). V porovnání počtu nově hlášených případů pracovní neschopnosti z důvodu nemoci v druhém pololetí roku 2018 a stejného období v roce 2020 došlo k nárůstu o 72 %. G</w:t>
      </w:r>
      <w:r w:rsidR="009F53E6" w:rsidRPr="00CF382E">
        <w:t>raf 2.</w:t>
      </w:r>
      <w:r w:rsidR="008E2EF1">
        <w:t>3</w:t>
      </w:r>
      <w:r w:rsidR="009F53E6" w:rsidRPr="00CF382E">
        <w:t xml:space="preserve"> dále ilustruje vysoké hodnoty v druhých pololetích let 2020 a 2021, kam spadají podzimní vlny onemocnění </w:t>
      </w:r>
      <w:r w:rsidR="008D4DE1" w:rsidRPr="00CF382E">
        <w:t>c</w:t>
      </w:r>
      <w:r w:rsidR="009F53E6" w:rsidRPr="00CF382E">
        <w:t xml:space="preserve">ovid-19. </w:t>
      </w:r>
      <w:r w:rsidR="00EB51F0" w:rsidRPr="00CF382E">
        <w:t>T</w:t>
      </w:r>
      <w:r w:rsidR="001140E6">
        <w:t>o</w:t>
      </w:r>
      <w:r w:rsidR="00EB51F0" w:rsidRPr="00CF382E">
        <w:t xml:space="preserve">to období </w:t>
      </w:r>
      <w:r w:rsidR="001140E6">
        <w:t xml:space="preserve">už </w:t>
      </w:r>
      <w:r w:rsidR="00EB51F0" w:rsidRPr="00CF382E">
        <w:t>ovšem nevykazuj</w:t>
      </w:r>
      <w:r w:rsidR="001140E6">
        <w:t>e</w:t>
      </w:r>
      <w:r w:rsidR="00EB51F0" w:rsidRPr="00CF382E">
        <w:t xml:space="preserve"> takový</w:t>
      </w:r>
      <w:r w:rsidR="009F53E6" w:rsidRPr="00CF382E">
        <w:t xml:space="preserve"> </w:t>
      </w:r>
      <w:r w:rsidR="0002281B" w:rsidRPr="00CF382E">
        <w:t xml:space="preserve">meziroční </w:t>
      </w:r>
      <w:r w:rsidR="009F53E6" w:rsidRPr="00CF382E">
        <w:t xml:space="preserve">nárůst. </w:t>
      </w:r>
      <w:r w:rsidR="0002281B" w:rsidRPr="00CF382E">
        <w:t xml:space="preserve">Na podobné úrovni se nachází údaj za </w:t>
      </w:r>
      <w:r w:rsidR="001140E6">
        <w:t>2</w:t>
      </w:r>
      <w:r w:rsidR="0002281B" w:rsidRPr="00CF382E">
        <w:t xml:space="preserve">. polovinu roku 2022. </w:t>
      </w:r>
      <w:r w:rsidR="009F53E6" w:rsidRPr="00CF382E">
        <w:t>Dramatické zvýšení počtu případů pracovní neschopnosti pro nemoc (+</w:t>
      </w:r>
      <w:r w:rsidR="00E9405E">
        <w:t>642</w:t>
      </w:r>
      <w:r w:rsidR="009F53E6" w:rsidRPr="00CF382E">
        <w:t xml:space="preserve"> tis., </w:t>
      </w:r>
      <w:r w:rsidR="00E9405E">
        <w:t>4</w:t>
      </w:r>
      <w:r w:rsidR="001140E6">
        <w:t>9</w:t>
      </w:r>
      <w:r w:rsidR="009F53E6" w:rsidRPr="00CF382E">
        <w:t xml:space="preserve"> %) lze vidět v 1.</w:t>
      </w:r>
      <w:r w:rsidR="00A5543F">
        <w:t> </w:t>
      </w:r>
      <w:r w:rsidR="009F53E6" w:rsidRPr="00CF382E">
        <w:t>pololetí roku 202</w:t>
      </w:r>
      <w:r w:rsidR="001140E6">
        <w:t>2</w:t>
      </w:r>
      <w:r w:rsidR="00D85AE3" w:rsidRPr="00CF382E">
        <w:t>. To je ovšem do určité míry zkresleno.</w:t>
      </w:r>
      <w:r w:rsidR="00CF382E" w:rsidRPr="00CF382E">
        <w:t xml:space="preserve"> Jak již bylo zmíněno výše, ve statistikách ze začátku roku 2022 se mohou nacházet duplicity</w:t>
      </w:r>
      <w:r w:rsidR="00CF382E">
        <w:t xml:space="preserve"> </w:t>
      </w:r>
      <w:r w:rsidR="0068452B">
        <w:t xml:space="preserve">vzniklé </w:t>
      </w:r>
      <w:r w:rsidR="00744047">
        <w:t xml:space="preserve">v zájmu </w:t>
      </w:r>
      <w:r w:rsidR="00CF382E">
        <w:t>zajištění</w:t>
      </w:r>
      <w:r w:rsidR="00744047">
        <w:t xml:space="preserve"> co nejrychlejšího </w:t>
      </w:r>
      <w:r w:rsidR="0068452B">
        <w:t>zabránění šíření onemocnění</w:t>
      </w:r>
      <w:r w:rsidR="00CF382E" w:rsidRPr="00CF382E">
        <w:t xml:space="preserve">. </w:t>
      </w:r>
      <w:r w:rsidR="00744047">
        <w:t>Tyto případy však není možné identifikovat a</w:t>
      </w:r>
      <w:r w:rsidR="00653F8C">
        <w:t> </w:t>
      </w:r>
      <w:r w:rsidR="00744047">
        <w:t>z</w:t>
      </w:r>
      <w:r w:rsidR="00D6015C">
        <w:t> </w:t>
      </w:r>
      <w:r w:rsidR="00744047">
        <w:t>celkových dat vyloučit.</w:t>
      </w:r>
      <w:r w:rsidR="00D85AE3" w:rsidRPr="00CF382E">
        <w:t xml:space="preserve"> </w:t>
      </w:r>
    </w:p>
    <w:p w14:paraId="0EA74279" w14:textId="37E6654C" w:rsidR="00DD04AA" w:rsidRPr="00CF382E" w:rsidRDefault="00DD04AA" w:rsidP="00DD04AA">
      <w:pPr>
        <w:spacing w:after="120"/>
        <w:jc w:val="both"/>
      </w:pPr>
      <w:r w:rsidRPr="000C2C11">
        <w:t>Srovnáme-li 2. pol. 2022</w:t>
      </w:r>
      <w:r>
        <w:t>, které</w:t>
      </w:r>
      <w:r w:rsidRPr="000C2C11">
        <w:t xml:space="preserve"> </w:t>
      </w:r>
      <w:r>
        <w:t xml:space="preserve">již není zatížené duplicitami, </w:t>
      </w:r>
      <w:r w:rsidRPr="000C2C11">
        <w:t>s</w:t>
      </w:r>
      <w:r w:rsidR="00D6015C">
        <w:t> </w:t>
      </w:r>
      <w:r w:rsidRPr="000C2C11">
        <w:t>obdobím před pandemií (tedy s</w:t>
      </w:r>
      <w:r w:rsidR="00D6015C">
        <w:t> </w:t>
      </w:r>
      <w:r w:rsidRPr="000C2C11">
        <w:t xml:space="preserve">2. pol. 2019), počet </w:t>
      </w:r>
      <w:r w:rsidRPr="00DD04AA">
        <w:rPr>
          <w:b/>
        </w:rPr>
        <w:t>neschopenek</w:t>
      </w:r>
      <w:r w:rsidRPr="000C2C11">
        <w:t xml:space="preserve"> </w:t>
      </w:r>
      <w:r w:rsidRPr="00DD04AA">
        <w:rPr>
          <w:b/>
        </w:rPr>
        <w:t>pro nemoc</w:t>
      </w:r>
      <w:r w:rsidRPr="000C2C11">
        <w:t xml:space="preserve"> se zvýšil o 55 %</w:t>
      </w:r>
      <w:r>
        <w:t xml:space="preserve"> (+459 tis.)</w:t>
      </w:r>
      <w:r w:rsidRPr="000C2C11">
        <w:t xml:space="preserve">. </w:t>
      </w:r>
      <w:r w:rsidRPr="00DD04AA">
        <w:rPr>
          <w:b/>
        </w:rPr>
        <w:t>U mužů</w:t>
      </w:r>
      <w:r w:rsidRPr="000C2C11">
        <w:t xml:space="preserve"> vzrostl o 51 % (+194 tis.), </w:t>
      </w:r>
      <w:r w:rsidRPr="00DD04AA">
        <w:rPr>
          <w:b/>
        </w:rPr>
        <w:t>u žen</w:t>
      </w:r>
      <w:r w:rsidRPr="000C2C11">
        <w:t xml:space="preserve"> o 58</w:t>
      </w:r>
      <w:r w:rsidR="001140E6">
        <w:t> </w:t>
      </w:r>
      <w:r w:rsidRPr="000C2C11">
        <w:t xml:space="preserve">% (+266 tis.). </w:t>
      </w:r>
    </w:p>
    <w:p w14:paraId="330CC4CC" w14:textId="77777777" w:rsidR="001140E6" w:rsidRDefault="001140E6">
      <w:pPr>
        <w:spacing w:after="0" w:line="240" w:lineRule="auto"/>
      </w:pPr>
      <w:r>
        <w:br w:type="page"/>
      </w:r>
    </w:p>
    <w:p w14:paraId="218F596F" w14:textId="548CA7C3" w:rsidR="00B47414" w:rsidRPr="0002281B" w:rsidRDefault="00B47414" w:rsidP="00B47414">
      <w:pPr>
        <w:spacing w:before="120" w:after="0"/>
        <w:jc w:val="both"/>
        <w:rPr>
          <w:b/>
          <w:bCs/>
        </w:rPr>
      </w:pPr>
      <w:r w:rsidRPr="0002281B">
        <w:rPr>
          <w:b/>
          <w:bCs/>
        </w:rPr>
        <w:lastRenderedPageBreak/>
        <w:t>Graf 2.</w:t>
      </w:r>
      <w:r w:rsidR="008E2EF1">
        <w:rPr>
          <w:b/>
          <w:bCs/>
        </w:rPr>
        <w:t>3</w:t>
      </w:r>
      <w:r w:rsidRPr="0002281B">
        <w:rPr>
          <w:b/>
          <w:bCs/>
        </w:rPr>
        <w:t>: Nově hlášené případy dočasné pracovní n</w:t>
      </w:r>
      <w:r w:rsidR="0002281B" w:rsidRPr="0002281B">
        <w:rPr>
          <w:b/>
          <w:bCs/>
        </w:rPr>
        <w:t xml:space="preserve">eschopnosti </w:t>
      </w:r>
      <w:r w:rsidR="0002281B" w:rsidRPr="008E48CF">
        <w:rPr>
          <w:b/>
          <w:bCs/>
          <w:u w:val="single"/>
        </w:rPr>
        <w:t>pro nemoc</w:t>
      </w:r>
      <w:r w:rsidR="0002281B" w:rsidRPr="0002281B">
        <w:rPr>
          <w:b/>
          <w:bCs/>
        </w:rPr>
        <w:t>, 2015–2022</w:t>
      </w:r>
    </w:p>
    <w:p w14:paraId="1366AF4C" w14:textId="53533B79" w:rsidR="00B47414" w:rsidRPr="0002281B" w:rsidRDefault="00E9405E" w:rsidP="00B47414">
      <w:pPr>
        <w:spacing w:before="120" w:after="0"/>
        <w:jc w:val="both"/>
        <w:rPr>
          <w:b/>
          <w:bCs/>
        </w:rPr>
      </w:pPr>
      <w:r>
        <w:rPr>
          <w:noProof/>
        </w:rPr>
        <mc:AlternateContent>
          <mc:Choice Requires="wps">
            <w:drawing>
              <wp:anchor distT="0" distB="0" distL="114300" distR="114300" simplePos="0" relativeHeight="251681280" behindDoc="0" locked="0" layoutInCell="1" allowOverlap="1" wp14:anchorId="37AB5550" wp14:editId="25CA530C">
                <wp:simplePos x="0" y="0"/>
                <wp:positionH relativeFrom="column">
                  <wp:posOffset>5267325</wp:posOffset>
                </wp:positionH>
                <wp:positionV relativeFrom="paragraph">
                  <wp:posOffset>101600</wp:posOffset>
                </wp:positionV>
                <wp:extent cx="0" cy="2483485"/>
                <wp:effectExtent l="57150" t="19050" r="76200" b="88265"/>
                <wp:wrapNone/>
                <wp:docPr id="37" name="Přímá spojnice 3"/>
                <wp:cNvGraphicFramePr/>
                <a:graphic xmlns:a="http://schemas.openxmlformats.org/drawingml/2006/main">
                  <a:graphicData uri="http://schemas.microsoft.com/office/word/2010/wordprocessingShape">
                    <wps:wsp>
                      <wps:cNvCnPr/>
                      <wps:spPr>
                        <a:xfrm>
                          <a:off x="0" y="0"/>
                          <a:ext cx="0" cy="2483485"/>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w14:anchorId="4455D8E0" id="Přímá spojnice 3" o:spid="_x0000_s1026" style="position:absolute;z-index:251681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14.75pt,8pt" to="414.75pt,20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" strokecolor="#c00000" strokeweight=".5pt">
                <v:stroke dashstyle="dash"/>
                <v:shadow on="t" color="black" opacity="24903f" origin=",.5" offset="0,.55556mm"/>
              </v:line>
            </w:pict>
          </mc:Fallback>
        </mc:AlternateContent>
      </w:r>
      <w:r>
        <w:rPr>
          <w:noProof/>
        </w:rPr>
        <w:drawing>
          <wp:inline distT="0" distB="0" distL="0" distR="0" wp14:anchorId="09FEAC8B" wp14:editId="5DBD0351">
            <wp:extent cx="6086475" cy="2771775"/>
            <wp:effectExtent l="0" t="0" r="9525" b="9525"/>
            <wp:docPr id="41" name="Graf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74F53D03" w14:textId="77777777" w:rsidR="005E53B4" w:rsidRDefault="005E53B4" w:rsidP="005E53B4">
      <w:pPr>
        <w:spacing w:before="120" w:after="120" w:line="240" w:lineRule="auto"/>
        <w:jc w:val="both"/>
        <w:rPr>
          <w:rFonts w:cs="Arial"/>
          <w:color w:val="000000"/>
          <w:sz w:val="16"/>
          <w:szCs w:val="16"/>
        </w:rPr>
      </w:pPr>
      <w:r>
        <w:rPr>
          <w:rFonts w:cs="Arial"/>
          <w:color w:val="000000"/>
          <w:sz w:val="16"/>
          <w:szCs w:val="16"/>
        </w:rPr>
        <w:t>Pozn.: Přerušení v časové řadě.</w:t>
      </w:r>
    </w:p>
    <w:p w14:paraId="655FC462" w14:textId="77777777" w:rsidR="00B47414" w:rsidRPr="0002281B" w:rsidRDefault="00B47414" w:rsidP="00B47414">
      <w:pPr>
        <w:spacing w:before="120" w:after="120" w:line="240" w:lineRule="auto"/>
        <w:jc w:val="both"/>
        <w:rPr>
          <w:rFonts w:cs="Arial"/>
          <w:color w:val="000000"/>
          <w:sz w:val="16"/>
          <w:szCs w:val="16"/>
        </w:rPr>
      </w:pPr>
      <w:r w:rsidRPr="0002281B">
        <w:rPr>
          <w:rFonts w:cs="Arial"/>
          <w:color w:val="000000"/>
          <w:sz w:val="16"/>
          <w:szCs w:val="16"/>
        </w:rPr>
        <w:t>Zdroj: ČSÚ</w:t>
      </w:r>
    </w:p>
    <w:p w14:paraId="318F3EED" w14:textId="3CC1736C" w:rsidR="00653F8C" w:rsidRPr="00653F8C" w:rsidRDefault="00692DCA" w:rsidP="00653F8C">
      <w:pPr>
        <w:pStyle w:val="Seznam"/>
        <w:spacing w:before="120" w:after="120"/>
        <w:contextualSpacing w:val="0"/>
        <w:jc w:val="both"/>
      </w:pPr>
      <w:r w:rsidRPr="00653F8C">
        <w:t>V</w:t>
      </w:r>
      <w:r w:rsidR="00D6015C">
        <w:t> </w:t>
      </w:r>
      <w:r w:rsidRPr="00653F8C">
        <w:t>relativním pohledu v</w:t>
      </w:r>
      <w:r w:rsidR="00D6015C">
        <w:t> </w:t>
      </w:r>
      <w:r w:rsidRPr="00653F8C">
        <w:t>roce 202</w:t>
      </w:r>
      <w:r w:rsidR="00653F8C" w:rsidRPr="00653F8C">
        <w:t>2</w:t>
      </w:r>
      <w:r w:rsidRPr="00653F8C">
        <w:t xml:space="preserve"> meziročně přibylo </w:t>
      </w:r>
      <w:r w:rsidR="00653F8C" w:rsidRPr="00653F8C">
        <w:t>14</w:t>
      </w:r>
      <w:r w:rsidR="00CB66C6" w:rsidRPr="00653F8C">
        <w:t xml:space="preserve"> </w:t>
      </w:r>
      <w:r w:rsidR="00CB66C6" w:rsidRPr="005E53B4">
        <w:rPr>
          <w:b/>
          <w:bCs/>
        </w:rPr>
        <w:t>případů</w:t>
      </w:r>
      <w:r w:rsidRPr="005E53B4">
        <w:rPr>
          <w:b/>
          <w:bCs/>
        </w:rPr>
        <w:t xml:space="preserve"> </w:t>
      </w:r>
      <w:r w:rsidR="00EA56EA" w:rsidRPr="005E53B4">
        <w:rPr>
          <w:b/>
          <w:bCs/>
        </w:rPr>
        <w:t xml:space="preserve">pracovní neschopnosti </w:t>
      </w:r>
      <w:r w:rsidRPr="005E53B4">
        <w:rPr>
          <w:b/>
          <w:bCs/>
        </w:rPr>
        <w:t>na 100 pojištěnců</w:t>
      </w:r>
      <w:r w:rsidRPr="00653F8C">
        <w:t xml:space="preserve"> a</w:t>
      </w:r>
      <w:r w:rsidR="008D4DE1" w:rsidRPr="00653F8C">
        <w:t> </w:t>
      </w:r>
      <w:r w:rsidR="00EA56EA" w:rsidRPr="00653F8C">
        <w:t xml:space="preserve">celková </w:t>
      </w:r>
      <w:r w:rsidRPr="00653F8C">
        <w:t xml:space="preserve">hodnota tak činila </w:t>
      </w:r>
      <w:r w:rsidR="00653F8C" w:rsidRPr="00653F8C">
        <w:t>73</w:t>
      </w:r>
      <w:r w:rsidRPr="00653F8C">
        <w:t xml:space="preserve"> případů. </w:t>
      </w:r>
      <w:r w:rsidR="00053C77">
        <w:t>Zatímco u mužů počet případů dosáhl 67,</w:t>
      </w:r>
      <w:r w:rsidR="005E53B4" w:rsidRPr="005E53B4">
        <w:rPr>
          <w:noProof/>
        </w:rPr>
        <w:t xml:space="preserve"> </w:t>
      </w:r>
      <w:r w:rsidR="00053C77">
        <w:t>mezi ženami to bylo 78</w:t>
      </w:r>
      <w:r w:rsidR="00A5543F">
        <w:t> </w:t>
      </w:r>
      <w:r w:rsidR="00053C77">
        <w:t xml:space="preserve">neschopností. </w:t>
      </w:r>
      <w:r w:rsidRPr="00653F8C">
        <w:t xml:space="preserve">Na 100 pojištěnců </w:t>
      </w:r>
      <w:r w:rsidR="008E48CF">
        <w:t xml:space="preserve">(bez ohledu na pohlaví) </w:t>
      </w:r>
      <w:r w:rsidRPr="00653F8C">
        <w:t xml:space="preserve">připadalo </w:t>
      </w:r>
      <w:r w:rsidR="00653F8C" w:rsidRPr="00653F8C">
        <w:t>68</w:t>
      </w:r>
      <w:r w:rsidRPr="00653F8C">
        <w:t xml:space="preserve"> nově hlášených případů pracovní neschopnosti </w:t>
      </w:r>
      <w:r w:rsidRPr="00653F8C">
        <w:rPr>
          <w:b/>
        </w:rPr>
        <w:t>pro nemoc</w:t>
      </w:r>
      <w:r w:rsidRPr="00653F8C">
        <w:t xml:space="preserve">, což bylo </w:t>
      </w:r>
      <w:r w:rsidR="00653F8C" w:rsidRPr="00653F8C">
        <w:t>téměř třik</w:t>
      </w:r>
      <w:r w:rsidRPr="00653F8C">
        <w:t>rát více než v</w:t>
      </w:r>
      <w:r w:rsidR="00D6015C">
        <w:t> </w:t>
      </w:r>
      <w:r w:rsidRPr="00653F8C">
        <w:t>roce 201</w:t>
      </w:r>
      <w:r w:rsidR="00653F8C" w:rsidRPr="00653F8C">
        <w:t>2</w:t>
      </w:r>
      <w:r w:rsidRPr="00653F8C">
        <w:t>.</w:t>
      </w:r>
      <w:r w:rsidR="00653F8C" w:rsidRPr="00653F8C">
        <w:t xml:space="preserve"> Co se týče počtu neschopenek z</w:t>
      </w:r>
      <w:r w:rsidR="00D6015C">
        <w:t> </w:t>
      </w:r>
      <w:r w:rsidR="00653F8C" w:rsidRPr="00653F8C">
        <w:t xml:space="preserve">důvodu </w:t>
      </w:r>
      <w:r w:rsidR="00653F8C" w:rsidRPr="00653F8C">
        <w:rPr>
          <w:b/>
        </w:rPr>
        <w:t>úrazů</w:t>
      </w:r>
      <w:r w:rsidR="00653F8C" w:rsidRPr="00653F8C">
        <w:t>, tak pokud pomineme rok 2020, kdy počet úrazů na 100 pojištěnců poklesl, panuje zde víceméně stagnace. Dá se předpokládat, že předloňský výkyv souvisel s</w:t>
      </w:r>
      <w:r w:rsidR="00D6015C">
        <w:t> </w:t>
      </w:r>
      <w:r w:rsidR="00653F8C" w:rsidRPr="00653F8C">
        <w:t>vyhlášením nouzového stavu, celkovým omezením pohybu, uzavřením některých podniků a větší mírou práce z</w:t>
      </w:r>
      <w:r w:rsidR="00D6015C">
        <w:t> </w:t>
      </w:r>
      <w:r w:rsidR="00653F8C" w:rsidRPr="00653F8C">
        <w:t xml:space="preserve">domova. </w:t>
      </w:r>
      <w:r w:rsidR="001140E6">
        <w:t>N</w:t>
      </w:r>
      <w:r w:rsidR="00653F8C" w:rsidRPr="00653F8C">
        <w:t xml:space="preserve">ěkterá bezpečnostní opatření jsou i nadále vyžadována a využívání </w:t>
      </w:r>
      <w:proofErr w:type="spellStart"/>
      <w:r w:rsidR="00653F8C" w:rsidRPr="00653F8C">
        <w:t>home</w:t>
      </w:r>
      <w:proofErr w:type="spellEnd"/>
      <w:r w:rsidR="00653F8C" w:rsidRPr="00653F8C">
        <w:t xml:space="preserve"> </w:t>
      </w:r>
      <w:proofErr w:type="spellStart"/>
      <w:r w:rsidR="00653F8C" w:rsidRPr="00653F8C">
        <w:t>office</w:t>
      </w:r>
      <w:proofErr w:type="spellEnd"/>
      <w:r w:rsidR="00653F8C" w:rsidRPr="00653F8C">
        <w:t xml:space="preserve"> se v některých odvětvích uplatňuje ve větší míře než dříve. Zejména v manuálních profesích se však digitalizace </w:t>
      </w:r>
      <w:r w:rsidR="00617FAA">
        <w:t>prosazuje</w:t>
      </w:r>
      <w:r w:rsidR="00653F8C" w:rsidRPr="00653F8C">
        <w:t xml:space="preserve"> pomaleji</w:t>
      </w:r>
      <w:r w:rsidR="008E48CF">
        <w:t>, nebo je zcela nemožná</w:t>
      </w:r>
      <w:r w:rsidR="00653F8C" w:rsidRPr="00653F8C">
        <w:t xml:space="preserve"> a</w:t>
      </w:r>
      <w:r w:rsidR="00A5543F">
        <w:t> </w:t>
      </w:r>
      <w:r w:rsidR="00653F8C" w:rsidRPr="00653F8C">
        <w:t>už v roce 2021 se pracovní úrazovost vrátila na úroveň před pandemií.</w:t>
      </w:r>
    </w:p>
    <w:p w14:paraId="25FDD246" w14:textId="63A15135" w:rsidR="00692DCA" w:rsidRPr="00653F8C" w:rsidRDefault="00653F8C" w:rsidP="00692DCA">
      <w:pPr>
        <w:pStyle w:val="Seznam"/>
        <w:spacing w:before="120" w:after="120"/>
        <w:contextualSpacing w:val="0"/>
        <w:jc w:val="both"/>
      </w:pPr>
      <w:r w:rsidRPr="00653F8C">
        <w:t>Počet</w:t>
      </w:r>
      <w:r w:rsidR="00692DCA" w:rsidRPr="00653F8C">
        <w:t xml:space="preserve"> neschopenek z důvodu </w:t>
      </w:r>
      <w:r w:rsidR="00692DCA" w:rsidRPr="00653F8C">
        <w:rPr>
          <w:b/>
        </w:rPr>
        <w:t>pracovního úrazu</w:t>
      </w:r>
      <w:r w:rsidRPr="00653F8C">
        <w:t xml:space="preserve"> </w:t>
      </w:r>
      <w:r w:rsidR="00692DCA" w:rsidRPr="00653F8C">
        <w:t xml:space="preserve">se pohybuje okolo 1 případu na 100 pojištěnců. </w:t>
      </w:r>
      <w:r w:rsidR="00692DCA" w:rsidRPr="00653F8C">
        <w:rPr>
          <w:b/>
        </w:rPr>
        <w:t>U</w:t>
      </w:r>
      <w:r>
        <w:rPr>
          <w:b/>
        </w:rPr>
        <w:t> </w:t>
      </w:r>
      <w:r w:rsidR="00692DCA" w:rsidRPr="00653F8C">
        <w:rPr>
          <w:b/>
        </w:rPr>
        <w:t>mimopracovních úrazů</w:t>
      </w:r>
      <w:r w:rsidR="00692DCA" w:rsidRPr="00653F8C">
        <w:t xml:space="preserve"> </w:t>
      </w:r>
      <w:r>
        <w:t xml:space="preserve">hodnota </w:t>
      </w:r>
      <w:r w:rsidRPr="00653F8C">
        <w:t>v roce 2022</w:t>
      </w:r>
      <w:r>
        <w:t xml:space="preserve"> činila</w:t>
      </w:r>
      <w:r w:rsidRPr="00653F8C">
        <w:t xml:space="preserve"> 3,6.</w:t>
      </w:r>
    </w:p>
    <w:p w14:paraId="157885C6" w14:textId="244FBD8F" w:rsidR="00B47414" w:rsidRPr="00653F8C" w:rsidRDefault="00692DCA" w:rsidP="00B47414">
      <w:pPr>
        <w:pStyle w:val="Seznam"/>
        <w:spacing w:before="120" w:after="120"/>
        <w:contextualSpacing w:val="0"/>
        <w:jc w:val="both"/>
      </w:pPr>
      <w:r w:rsidRPr="00653F8C">
        <w:rPr>
          <w:b/>
          <w:spacing w:val="-4"/>
        </w:rPr>
        <w:t>Graf 2.</w:t>
      </w:r>
      <w:r w:rsidR="008E2EF1">
        <w:rPr>
          <w:b/>
          <w:spacing w:val="-4"/>
        </w:rPr>
        <w:t>4</w:t>
      </w:r>
      <w:r w:rsidRPr="00653F8C">
        <w:rPr>
          <w:b/>
          <w:spacing w:val="-4"/>
        </w:rPr>
        <w:t>: Nově hlášené případy dočasné pracovní neschopnosti na 10</w:t>
      </w:r>
      <w:r w:rsidR="00653F8C" w:rsidRPr="00653F8C">
        <w:rPr>
          <w:b/>
          <w:spacing w:val="-4"/>
        </w:rPr>
        <w:t>0 pojištěnců podle příčiny, 2012–2022</w:t>
      </w:r>
      <w:r w:rsidRPr="00653F8C">
        <w:rPr>
          <w:b/>
        </w:rPr>
        <w:t xml:space="preserve"> </w:t>
      </w:r>
      <w:r w:rsidRPr="00653F8C">
        <w:t xml:space="preserve"> </w:t>
      </w:r>
    </w:p>
    <w:p w14:paraId="4BB0B533" w14:textId="1A43A693" w:rsidR="00C60872" w:rsidRPr="00166BEB" w:rsidRDefault="00AF3C2F" w:rsidP="00361897">
      <w:pPr>
        <w:spacing w:before="120" w:after="120"/>
        <w:jc w:val="both"/>
        <w:rPr>
          <w:rFonts w:cs="Arial"/>
          <w:highlight w:val="yellow"/>
          <w:lang w:val="en-US"/>
        </w:rPr>
      </w:pPr>
      <w:r>
        <w:rPr>
          <w:noProof/>
        </w:rPr>
        <w:drawing>
          <wp:inline distT="0" distB="0" distL="0" distR="0" wp14:anchorId="305A262D" wp14:editId="7D5999B8">
            <wp:extent cx="6120130" cy="2585085"/>
            <wp:effectExtent l="0" t="0" r="13970" b="5715"/>
            <wp:docPr id="54" name="Graf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00617FAA">
        <w:rPr>
          <w:noProof/>
        </w:rPr>
        <mc:AlternateContent>
          <mc:Choice Requires="wps">
            <w:drawing>
              <wp:anchor distT="0" distB="0" distL="114300" distR="114300" simplePos="0" relativeHeight="251683328" behindDoc="0" locked="0" layoutInCell="1" allowOverlap="1" wp14:anchorId="01EFED98" wp14:editId="4BC14667">
                <wp:simplePos x="0" y="0"/>
                <wp:positionH relativeFrom="column">
                  <wp:posOffset>4632960</wp:posOffset>
                </wp:positionH>
                <wp:positionV relativeFrom="paragraph">
                  <wp:posOffset>40005</wp:posOffset>
                </wp:positionV>
                <wp:extent cx="0" cy="2520000"/>
                <wp:effectExtent l="57150" t="19050" r="76200" b="52070"/>
                <wp:wrapNone/>
                <wp:docPr id="38" name="Přímá spojnice 3"/>
                <wp:cNvGraphicFramePr/>
                <a:graphic xmlns:a="http://schemas.openxmlformats.org/drawingml/2006/main">
                  <a:graphicData uri="http://schemas.microsoft.com/office/word/2010/wordprocessingShape">
                    <wps:wsp>
                      <wps:cNvCnPr/>
                      <wps:spPr>
                        <a:xfrm>
                          <a:off x="0" y="0"/>
                          <a:ext cx="0" cy="2520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w14:anchorId="6E57D92B" id="Přímá spojnice 3" o:spid="_x0000_s1026" style="position:absolute;z-index:2516833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64.8pt,3.15pt" to="364.8pt,20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" strokecolor="#c00000" strokeweight=".5pt">
                <v:stroke dashstyle="dash"/>
                <v:shadow on="t" color="black" opacity="24903f" origin=",.5" offset="0,.55556mm"/>
              </v:line>
            </w:pict>
          </mc:Fallback>
        </mc:AlternateContent>
      </w:r>
    </w:p>
    <w:p w14:paraId="27DCCBB9" w14:textId="77777777" w:rsidR="00617FAA" w:rsidRDefault="00617FAA" w:rsidP="00617FAA">
      <w:pPr>
        <w:spacing w:before="120" w:after="120" w:line="240" w:lineRule="auto"/>
        <w:jc w:val="both"/>
        <w:rPr>
          <w:rFonts w:cs="Arial"/>
          <w:color w:val="000000"/>
          <w:sz w:val="16"/>
          <w:szCs w:val="16"/>
        </w:rPr>
      </w:pPr>
      <w:r>
        <w:rPr>
          <w:rFonts w:cs="Arial"/>
          <w:color w:val="000000"/>
          <w:sz w:val="16"/>
          <w:szCs w:val="16"/>
        </w:rPr>
        <w:t>Pozn.: Přerušení v časové řadě.</w:t>
      </w:r>
    </w:p>
    <w:p w14:paraId="55244F2D" w14:textId="5A95A43B" w:rsidR="00692DCA" w:rsidRPr="00653F8C" w:rsidRDefault="00692DCA" w:rsidP="00692DCA">
      <w:pPr>
        <w:spacing w:before="120" w:after="120" w:line="240" w:lineRule="auto"/>
        <w:jc w:val="both"/>
        <w:rPr>
          <w:rFonts w:cs="Arial"/>
          <w:color w:val="000000"/>
          <w:sz w:val="16"/>
          <w:szCs w:val="16"/>
        </w:rPr>
      </w:pPr>
      <w:r w:rsidRPr="00653F8C">
        <w:rPr>
          <w:rFonts w:cs="Arial"/>
          <w:color w:val="000000"/>
          <w:sz w:val="16"/>
          <w:szCs w:val="16"/>
        </w:rPr>
        <w:t>Zdroj: ČSÚ</w:t>
      </w:r>
    </w:p>
    <w:p w14:paraId="6CFE4F88" w14:textId="2D261096" w:rsidR="00EB51F0" w:rsidRPr="003B41D2" w:rsidRDefault="00EB51F0" w:rsidP="00EB51F0">
      <w:pPr>
        <w:autoSpaceDE w:val="0"/>
        <w:autoSpaceDN w:val="0"/>
        <w:adjustRightInd w:val="0"/>
        <w:spacing w:before="120" w:after="120"/>
        <w:jc w:val="both"/>
        <w:rPr>
          <w:rFonts w:cs="Arial"/>
        </w:rPr>
      </w:pPr>
      <w:r w:rsidRPr="003B41D2">
        <w:rPr>
          <w:rFonts w:cs="Arial"/>
        </w:rPr>
        <w:lastRenderedPageBreak/>
        <w:t>Nejvíce nových případů dočasné pracovní neschopnosti bylo v roce 202</w:t>
      </w:r>
      <w:r w:rsidR="003B41D2" w:rsidRPr="003B41D2">
        <w:rPr>
          <w:rFonts w:cs="Arial"/>
        </w:rPr>
        <w:t>2</w:t>
      </w:r>
      <w:r w:rsidRPr="003B41D2">
        <w:rPr>
          <w:rFonts w:cs="Arial"/>
        </w:rPr>
        <w:t xml:space="preserve"> nahlášeno v subjektech, které dle převažující ekonomické činnosti spadají do </w:t>
      </w:r>
      <w:r w:rsidRPr="003B41D2">
        <w:rPr>
          <w:rFonts w:cs="Arial"/>
          <w:b/>
        </w:rPr>
        <w:t>odvětvové sekce</w:t>
      </w:r>
      <w:r w:rsidRPr="003B41D2">
        <w:rPr>
          <w:rFonts w:cs="Arial"/>
        </w:rPr>
        <w:t xml:space="preserve"> Zpracovatelský průmysl (</w:t>
      </w:r>
      <w:r w:rsidR="003B41D2" w:rsidRPr="003B41D2">
        <w:rPr>
          <w:rFonts w:cs="Arial"/>
        </w:rPr>
        <w:t xml:space="preserve">1 </w:t>
      </w:r>
      <w:r w:rsidR="000B513F">
        <w:rPr>
          <w:rFonts w:cs="Arial"/>
        </w:rPr>
        <w:t>132</w:t>
      </w:r>
      <w:r w:rsidRPr="003B41D2">
        <w:rPr>
          <w:rFonts w:cs="Arial"/>
        </w:rPr>
        <w:t xml:space="preserve"> tis. případů) a Velkoobchod a maloobchod; opravy a údržba motorových vozidel (</w:t>
      </w:r>
      <w:r w:rsidR="003B41D2" w:rsidRPr="003B41D2">
        <w:rPr>
          <w:rFonts w:cs="Arial"/>
        </w:rPr>
        <w:t>455</w:t>
      </w:r>
      <w:r w:rsidRPr="003B41D2">
        <w:rPr>
          <w:rFonts w:cs="Arial"/>
        </w:rPr>
        <w:t xml:space="preserve"> tis.). Není divu, protože jde o odvětví, kde pracuje nejvíce osob, jak bylo uvedeno výše v kap. 4.1. Naopak nejméně případů bylo v absolutních číslech hlášeno v odvětvích Těžba a dobývání (14 tis.) a Výroba a rozvod elektřiny, plynu, tepla a</w:t>
      </w:r>
      <w:r w:rsidR="00A5543F">
        <w:rPr>
          <w:rFonts w:cs="Arial"/>
        </w:rPr>
        <w:t> </w:t>
      </w:r>
      <w:r w:rsidR="003B41D2" w:rsidRPr="003B41D2">
        <w:rPr>
          <w:rFonts w:cs="Arial"/>
        </w:rPr>
        <w:t>klimatizovaného vzduchu (20</w:t>
      </w:r>
      <w:r w:rsidRPr="003B41D2">
        <w:rPr>
          <w:rFonts w:cs="Arial"/>
        </w:rPr>
        <w:t xml:space="preserve"> tis.).</w:t>
      </w:r>
    </w:p>
    <w:p w14:paraId="733DFA9B" w14:textId="3E4E89C4" w:rsidR="006E58D2" w:rsidRPr="003B41D2" w:rsidRDefault="006E58D2" w:rsidP="006E58D2">
      <w:pPr>
        <w:autoSpaceDE w:val="0"/>
        <w:autoSpaceDN w:val="0"/>
        <w:adjustRightInd w:val="0"/>
        <w:spacing w:before="120" w:after="120"/>
        <w:jc w:val="both"/>
        <w:rPr>
          <w:rFonts w:cs="Arial"/>
        </w:rPr>
      </w:pPr>
      <w:r w:rsidRPr="003B41D2">
        <w:rPr>
          <w:rFonts w:cs="Arial"/>
        </w:rPr>
        <w:t>V roce 202</w:t>
      </w:r>
      <w:r w:rsidR="003B41D2" w:rsidRPr="003B41D2">
        <w:rPr>
          <w:rFonts w:cs="Arial"/>
        </w:rPr>
        <w:t>2</w:t>
      </w:r>
      <w:r w:rsidRPr="003B41D2">
        <w:rPr>
          <w:rFonts w:cs="Arial"/>
          <w:b/>
        </w:rPr>
        <w:t xml:space="preserve"> meziročně</w:t>
      </w:r>
      <w:r w:rsidRPr="003B41D2">
        <w:rPr>
          <w:rFonts w:cs="Arial"/>
        </w:rPr>
        <w:t xml:space="preserve"> vzrostl počet případů dočasné pracovní neschopnosti procentuálně nejvíce v odvětvové sekci Vzdělávání, a to o </w:t>
      </w:r>
      <w:r w:rsidR="003B41D2" w:rsidRPr="003B41D2">
        <w:rPr>
          <w:rFonts w:cs="Arial"/>
        </w:rPr>
        <w:t>60</w:t>
      </w:r>
      <w:r w:rsidR="002A3DEB" w:rsidRPr="003B41D2">
        <w:rPr>
          <w:rFonts w:cs="Arial"/>
        </w:rPr>
        <w:t> </w:t>
      </w:r>
      <w:r w:rsidRPr="003B41D2">
        <w:rPr>
          <w:rFonts w:cs="Arial"/>
        </w:rPr>
        <w:t>% (</w:t>
      </w:r>
      <w:r w:rsidR="003B41D2" w:rsidRPr="003B41D2">
        <w:rPr>
          <w:rFonts w:cs="Arial"/>
        </w:rPr>
        <w:t>132</w:t>
      </w:r>
      <w:r w:rsidRPr="003B41D2">
        <w:rPr>
          <w:rFonts w:cs="Arial"/>
        </w:rPr>
        <w:t xml:space="preserve"> tis.). </w:t>
      </w:r>
      <w:r w:rsidR="000B513F">
        <w:rPr>
          <w:rFonts w:cs="Arial"/>
        </w:rPr>
        <w:t xml:space="preserve">Učitelé </w:t>
      </w:r>
      <w:r w:rsidR="00D7456A">
        <w:rPr>
          <w:rFonts w:cs="Arial"/>
        </w:rPr>
        <w:t xml:space="preserve">(včetně očkovaných) </w:t>
      </w:r>
      <w:r w:rsidR="000B513F">
        <w:rPr>
          <w:rFonts w:cs="Arial"/>
        </w:rPr>
        <w:t>často nastupovali do karantény, pokud se při povinném testování žáků u některého</w:t>
      </w:r>
      <w:r w:rsidR="00D7456A">
        <w:rPr>
          <w:rFonts w:cs="Arial"/>
        </w:rPr>
        <w:t xml:space="preserve"> z</w:t>
      </w:r>
      <w:r w:rsidR="00417C54">
        <w:rPr>
          <w:rFonts w:cs="Arial"/>
        </w:rPr>
        <w:t> </w:t>
      </w:r>
      <w:r w:rsidR="00D7456A">
        <w:rPr>
          <w:rFonts w:cs="Arial"/>
        </w:rPr>
        <w:t xml:space="preserve">nich objevil pozitivní test na covid-19. </w:t>
      </w:r>
      <w:r w:rsidRPr="003B41D2">
        <w:rPr>
          <w:rFonts w:cs="Arial"/>
        </w:rPr>
        <w:t>Absolutně nejvíce (o 1</w:t>
      </w:r>
      <w:r w:rsidR="003B41D2" w:rsidRPr="003B41D2">
        <w:rPr>
          <w:rFonts w:cs="Arial"/>
        </w:rPr>
        <w:t>72</w:t>
      </w:r>
      <w:r w:rsidRPr="003B41D2">
        <w:rPr>
          <w:rFonts w:cs="Arial"/>
        </w:rPr>
        <w:t xml:space="preserve"> tis.) vzrostl počet nově nahlášených případů dočasné pracovní neschopnosti ve Zpracovatelském průmyslu. Meziročně vzrostl počet nahlášených případů ve všech odvětvích. </w:t>
      </w:r>
    </w:p>
    <w:p w14:paraId="19BC5F60" w14:textId="3C35FA3B" w:rsidR="006E58D2" w:rsidRPr="003B41D2" w:rsidRDefault="006E58D2" w:rsidP="006E58D2">
      <w:pPr>
        <w:autoSpaceDE w:val="0"/>
        <w:autoSpaceDN w:val="0"/>
        <w:adjustRightInd w:val="0"/>
        <w:spacing w:before="120" w:after="120"/>
        <w:jc w:val="both"/>
        <w:rPr>
          <w:rFonts w:cs="Arial"/>
        </w:rPr>
      </w:pPr>
      <w:r w:rsidRPr="003B41D2">
        <w:rPr>
          <w:rFonts w:cs="Arial"/>
        </w:rPr>
        <w:t>Absolutní počty nově hlášených případů jsou ovlivněny odvětvovou strukturou národního hospodářství a zaměstnaností v</w:t>
      </w:r>
      <w:r w:rsidR="00417C54">
        <w:rPr>
          <w:rFonts w:cs="Arial"/>
        </w:rPr>
        <w:t> </w:t>
      </w:r>
      <w:r w:rsidRPr="003B41D2">
        <w:rPr>
          <w:rFonts w:cs="Arial"/>
        </w:rPr>
        <w:t>jednotlivých odvětvích. Z</w:t>
      </w:r>
      <w:r w:rsidR="00417C54">
        <w:rPr>
          <w:rFonts w:cs="Arial"/>
        </w:rPr>
        <w:t> </w:t>
      </w:r>
      <w:r w:rsidRPr="003B41D2">
        <w:rPr>
          <w:rFonts w:cs="Arial"/>
        </w:rPr>
        <w:t xml:space="preserve">toho důvodu má vyšší vypovídací schopnost již zmíněný </w:t>
      </w:r>
      <w:r w:rsidR="00235B67" w:rsidRPr="003B41D2">
        <w:rPr>
          <w:rFonts w:cs="Arial"/>
        </w:rPr>
        <w:t xml:space="preserve">relativní </w:t>
      </w:r>
      <w:r w:rsidRPr="003B41D2">
        <w:rPr>
          <w:rFonts w:cs="Arial"/>
        </w:rPr>
        <w:t>ukazatel – počet nově hlášených případů na 100 pojištěnců v</w:t>
      </w:r>
      <w:r w:rsidR="00417C54">
        <w:rPr>
          <w:rFonts w:cs="Arial"/>
        </w:rPr>
        <w:t> </w:t>
      </w:r>
      <w:r w:rsidRPr="003B41D2">
        <w:rPr>
          <w:rFonts w:cs="Arial"/>
        </w:rPr>
        <w:t>daném odvětví.</w:t>
      </w:r>
    </w:p>
    <w:p w14:paraId="6AA3AC28" w14:textId="47E6D636" w:rsidR="00EB51F0" w:rsidRPr="003B41D2" w:rsidRDefault="00EB51F0" w:rsidP="00EB51F0">
      <w:pPr>
        <w:spacing w:after="0"/>
        <w:jc w:val="both"/>
        <w:rPr>
          <w:b/>
        </w:rPr>
      </w:pPr>
      <w:r w:rsidRPr="003B41D2">
        <w:rPr>
          <w:b/>
        </w:rPr>
        <w:t>Graf 2.</w:t>
      </w:r>
      <w:r w:rsidR="00243B43">
        <w:rPr>
          <w:b/>
        </w:rPr>
        <w:t>5</w:t>
      </w:r>
      <w:r w:rsidRPr="003B41D2">
        <w:rPr>
          <w:b/>
        </w:rPr>
        <w:t>: Nově hlášené případy dočasné pracovní neschopnosti na 100 pojištěnců podle odvětví (sekce CZ-NACE), 201</w:t>
      </w:r>
      <w:r w:rsidR="003B41D2" w:rsidRPr="003B41D2">
        <w:rPr>
          <w:b/>
        </w:rPr>
        <w:t>9 a 2022</w:t>
      </w:r>
    </w:p>
    <w:p w14:paraId="241062E9" w14:textId="06415D98" w:rsidR="00CB66C6" w:rsidRPr="00166BEB" w:rsidRDefault="003B41D2" w:rsidP="00EB51F0">
      <w:pPr>
        <w:spacing w:after="0"/>
        <w:jc w:val="both"/>
        <w:rPr>
          <w:b/>
          <w:highlight w:val="yellow"/>
        </w:rPr>
      </w:pPr>
      <w:r>
        <w:rPr>
          <w:noProof/>
        </w:rPr>
        <w:drawing>
          <wp:inline distT="0" distB="0" distL="0" distR="0" wp14:anchorId="14B03E14" wp14:editId="3BFBCF9F">
            <wp:extent cx="6120130" cy="5111115"/>
            <wp:effectExtent l="0" t="0" r="13970" b="13335"/>
            <wp:docPr id="56" name="Graf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23AF3919" w14:textId="77777777" w:rsidR="00EB51F0" w:rsidRPr="00166BEB" w:rsidRDefault="00EB51F0" w:rsidP="00EB51F0">
      <w:pPr>
        <w:spacing w:after="0"/>
        <w:jc w:val="both"/>
        <w:rPr>
          <w:rFonts w:cs="Arial"/>
          <w:highlight w:val="yellow"/>
        </w:rPr>
      </w:pPr>
      <w:r w:rsidRPr="00166BEB">
        <w:rPr>
          <w:rFonts w:cs="Arial"/>
          <w:highlight w:val="yellow"/>
        </w:rPr>
        <w:t xml:space="preserve"> </w:t>
      </w:r>
    </w:p>
    <w:p w14:paraId="142E2D41" w14:textId="77777777" w:rsidR="00EB51F0" w:rsidRPr="003B41D2" w:rsidRDefault="00EB51F0" w:rsidP="00EB51F0">
      <w:pPr>
        <w:spacing w:before="120" w:after="120" w:line="240" w:lineRule="auto"/>
        <w:jc w:val="both"/>
        <w:rPr>
          <w:rFonts w:cs="Arial"/>
          <w:color w:val="000000"/>
          <w:sz w:val="16"/>
          <w:szCs w:val="16"/>
        </w:rPr>
      </w:pPr>
      <w:r w:rsidRPr="003B41D2">
        <w:rPr>
          <w:rFonts w:cs="Arial"/>
          <w:color w:val="000000"/>
          <w:sz w:val="16"/>
          <w:szCs w:val="16"/>
        </w:rPr>
        <w:t>Zdroj: ČSÚ</w:t>
      </w:r>
    </w:p>
    <w:p w14:paraId="4A8AE0CB" w14:textId="0737A12F" w:rsidR="006E58D2" w:rsidRPr="00D22149" w:rsidRDefault="006E58D2" w:rsidP="006E58D2">
      <w:pPr>
        <w:pStyle w:val="Seznam"/>
        <w:spacing w:after="120"/>
        <w:contextualSpacing w:val="0"/>
        <w:jc w:val="both"/>
      </w:pPr>
      <w:r w:rsidRPr="00D22149">
        <w:rPr>
          <w:rFonts w:cs="Arial"/>
        </w:rPr>
        <w:lastRenderedPageBreak/>
        <w:t xml:space="preserve">Nejvíce případů dočasné pracovní neschopnosti </w:t>
      </w:r>
      <w:r w:rsidRPr="00D22149">
        <w:rPr>
          <w:rFonts w:cs="Arial"/>
          <w:b/>
        </w:rPr>
        <w:t>na 100 pojištěnců</w:t>
      </w:r>
      <w:r w:rsidRPr="00D22149">
        <w:rPr>
          <w:rFonts w:cs="Arial"/>
        </w:rPr>
        <w:t xml:space="preserve"> bylo v</w:t>
      </w:r>
      <w:r w:rsidR="00417C54">
        <w:rPr>
          <w:rFonts w:cs="Arial"/>
        </w:rPr>
        <w:t> </w:t>
      </w:r>
      <w:r w:rsidRPr="00D22149">
        <w:rPr>
          <w:rFonts w:cs="Arial"/>
        </w:rPr>
        <w:t>roce 202</w:t>
      </w:r>
      <w:r w:rsidR="00D22149" w:rsidRPr="00D22149">
        <w:rPr>
          <w:rFonts w:cs="Arial"/>
        </w:rPr>
        <w:t>2</w:t>
      </w:r>
      <w:r w:rsidRPr="00D22149">
        <w:rPr>
          <w:rFonts w:cs="Arial"/>
        </w:rPr>
        <w:t xml:space="preserve"> zaznamenáno </w:t>
      </w:r>
      <w:r w:rsidR="00CB66C6" w:rsidRPr="00D22149">
        <w:rPr>
          <w:rFonts w:cs="Arial"/>
        </w:rPr>
        <w:t xml:space="preserve">rovněž </w:t>
      </w:r>
      <w:r w:rsidRPr="00D22149">
        <w:rPr>
          <w:rFonts w:cs="Arial"/>
        </w:rPr>
        <w:t>v</w:t>
      </w:r>
      <w:r w:rsidR="00417C54">
        <w:rPr>
          <w:rFonts w:cs="Arial"/>
        </w:rPr>
        <w:t> </w:t>
      </w:r>
      <w:r w:rsidRPr="00D22149">
        <w:rPr>
          <w:rFonts w:cs="Arial"/>
        </w:rPr>
        <w:t>odvětví Zpracovatelský průmysl (</w:t>
      </w:r>
      <w:r w:rsidR="00D22149" w:rsidRPr="00D22149">
        <w:rPr>
          <w:rFonts w:cs="Arial"/>
        </w:rPr>
        <w:t>95</w:t>
      </w:r>
      <w:r w:rsidRPr="00D22149">
        <w:rPr>
          <w:rFonts w:cs="Arial"/>
        </w:rPr>
        <w:t>). Následoval</w:t>
      </w:r>
      <w:r w:rsidR="00D22149" w:rsidRPr="00D22149">
        <w:rPr>
          <w:rFonts w:cs="Arial"/>
        </w:rPr>
        <w:t>o</w:t>
      </w:r>
      <w:r w:rsidRPr="00D22149">
        <w:rPr>
          <w:rFonts w:cs="Arial"/>
        </w:rPr>
        <w:t xml:space="preserve"> </w:t>
      </w:r>
      <w:r w:rsidR="00D22149" w:rsidRPr="00D22149">
        <w:rPr>
          <w:rFonts w:cs="Arial"/>
        </w:rPr>
        <w:t>Vzdělávání</w:t>
      </w:r>
      <w:r w:rsidRPr="00D22149">
        <w:rPr>
          <w:rFonts w:cs="Arial"/>
        </w:rPr>
        <w:t xml:space="preserve"> (</w:t>
      </w:r>
      <w:r w:rsidR="00D22149" w:rsidRPr="00D22149">
        <w:rPr>
          <w:rFonts w:cs="Arial"/>
        </w:rPr>
        <w:t>86</w:t>
      </w:r>
      <w:r w:rsidRPr="00D22149">
        <w:rPr>
          <w:rFonts w:cs="Arial"/>
        </w:rPr>
        <w:t xml:space="preserve">) a </w:t>
      </w:r>
      <w:r w:rsidR="00D22149" w:rsidRPr="00D22149">
        <w:rPr>
          <w:rFonts w:cs="Arial"/>
        </w:rPr>
        <w:t xml:space="preserve">Veřejná správa a obrana; povinné sociální zabezpečení (77). </w:t>
      </w:r>
    </w:p>
    <w:p w14:paraId="4CDE9ED7" w14:textId="747B1955" w:rsidR="006E58D2" w:rsidRPr="00D22149" w:rsidRDefault="006E58D2" w:rsidP="006E58D2">
      <w:pPr>
        <w:autoSpaceDE w:val="0"/>
        <w:autoSpaceDN w:val="0"/>
        <w:adjustRightInd w:val="0"/>
        <w:spacing w:before="120" w:after="120"/>
        <w:jc w:val="both"/>
        <w:rPr>
          <w:rFonts w:cs="Arial"/>
        </w:rPr>
      </w:pPr>
      <w:r w:rsidRPr="00D22149">
        <w:rPr>
          <w:rFonts w:cs="Arial"/>
        </w:rPr>
        <w:t>Nejnižší počet případů dočasné pracovní neschopnosti v</w:t>
      </w:r>
      <w:r w:rsidR="00417C54">
        <w:rPr>
          <w:rFonts w:cs="Arial"/>
        </w:rPr>
        <w:t> </w:t>
      </w:r>
      <w:r w:rsidRPr="00D22149">
        <w:rPr>
          <w:rFonts w:cs="Arial"/>
        </w:rPr>
        <w:t xml:space="preserve">přepočtu na 100 </w:t>
      </w:r>
      <w:proofErr w:type="spellStart"/>
      <w:r w:rsidRPr="00D22149">
        <w:rPr>
          <w:rFonts w:cs="Arial"/>
        </w:rPr>
        <w:t>nemocensky</w:t>
      </w:r>
      <w:proofErr w:type="spellEnd"/>
      <w:r w:rsidRPr="00D22149">
        <w:rPr>
          <w:rFonts w:cs="Arial"/>
        </w:rPr>
        <w:t xml:space="preserve"> pojištěných byl evidován v</w:t>
      </w:r>
      <w:r w:rsidR="00417C54">
        <w:rPr>
          <w:rFonts w:cs="Arial"/>
        </w:rPr>
        <w:t> </w:t>
      </w:r>
      <w:r w:rsidRPr="00D22149">
        <w:rPr>
          <w:rFonts w:cs="Arial"/>
        </w:rPr>
        <w:t>odvětví Činnosti v</w:t>
      </w:r>
      <w:r w:rsidR="00417C54">
        <w:rPr>
          <w:rFonts w:cs="Arial"/>
        </w:rPr>
        <w:t> </w:t>
      </w:r>
      <w:r w:rsidRPr="00D22149">
        <w:rPr>
          <w:rFonts w:cs="Arial"/>
        </w:rPr>
        <w:t>oblasti nemovitostí (</w:t>
      </w:r>
      <w:r w:rsidR="00D22149" w:rsidRPr="00D22149">
        <w:rPr>
          <w:rFonts w:cs="Arial"/>
        </w:rPr>
        <w:t>35</w:t>
      </w:r>
      <w:r w:rsidRPr="00D22149">
        <w:rPr>
          <w:rFonts w:cs="Arial"/>
        </w:rPr>
        <w:t>)</w:t>
      </w:r>
      <w:r w:rsidR="00D22149" w:rsidRPr="00D22149">
        <w:rPr>
          <w:rFonts w:cs="Arial"/>
        </w:rPr>
        <w:t xml:space="preserve"> a Informační a komunikační činnosti (39)</w:t>
      </w:r>
      <w:r w:rsidRPr="00D22149">
        <w:rPr>
          <w:rFonts w:cs="Arial"/>
        </w:rPr>
        <w:t xml:space="preserve">. Celorepublikový průměr bez ohledu na odvětví činil již zmíněných </w:t>
      </w:r>
      <w:r w:rsidR="00D22149" w:rsidRPr="00D22149">
        <w:rPr>
          <w:rFonts w:cs="Arial"/>
        </w:rPr>
        <w:t>73</w:t>
      </w:r>
      <w:r w:rsidRPr="00D22149">
        <w:rPr>
          <w:rFonts w:cs="Arial"/>
        </w:rPr>
        <w:t> případů na 100 pojištěnců.</w:t>
      </w:r>
    </w:p>
    <w:p w14:paraId="138088CE" w14:textId="412020C0" w:rsidR="00DA4D31" w:rsidRPr="00D22149" w:rsidRDefault="00DA4D31" w:rsidP="00DA4D31">
      <w:pPr>
        <w:spacing w:before="120" w:after="120"/>
        <w:jc w:val="both"/>
        <w:rPr>
          <w:rFonts w:cs="Arial"/>
        </w:rPr>
      </w:pPr>
      <w:r w:rsidRPr="00D22149">
        <w:rPr>
          <w:rFonts w:cs="Arial"/>
          <w:color w:val="000000"/>
          <w:szCs w:val="16"/>
        </w:rPr>
        <w:t>Vývoj počtu případů pracovní neschopnosti na 100 pojištěnců v</w:t>
      </w:r>
      <w:r w:rsidR="00417C54">
        <w:rPr>
          <w:rFonts w:cs="Arial"/>
          <w:color w:val="000000"/>
          <w:szCs w:val="16"/>
        </w:rPr>
        <w:t> </w:t>
      </w:r>
      <w:r w:rsidRPr="00D22149">
        <w:rPr>
          <w:rFonts w:cs="Arial"/>
          <w:color w:val="000000"/>
          <w:szCs w:val="16"/>
        </w:rPr>
        <w:t>jednotlivých</w:t>
      </w:r>
      <w:r w:rsidR="00243B43">
        <w:rPr>
          <w:rFonts w:cs="Arial"/>
          <w:color w:val="000000"/>
          <w:szCs w:val="16"/>
        </w:rPr>
        <w:t xml:space="preserve"> odvětvích je zřejmý z</w:t>
      </w:r>
      <w:r w:rsidR="00417C54">
        <w:rPr>
          <w:rFonts w:cs="Arial"/>
          <w:color w:val="000000"/>
          <w:szCs w:val="16"/>
        </w:rPr>
        <w:t> </w:t>
      </w:r>
      <w:r w:rsidR="00243B43">
        <w:rPr>
          <w:rFonts w:cs="Arial"/>
          <w:color w:val="000000"/>
          <w:szCs w:val="16"/>
        </w:rPr>
        <w:t>grafu 2.5</w:t>
      </w:r>
      <w:r w:rsidRPr="00D22149">
        <w:rPr>
          <w:rFonts w:cs="Arial"/>
          <w:color w:val="000000"/>
          <w:szCs w:val="16"/>
        </w:rPr>
        <w:t xml:space="preserve">, resp. </w:t>
      </w:r>
      <w:r w:rsidR="00AF3C2F">
        <w:rPr>
          <w:rFonts w:cs="Arial"/>
          <w:color w:val="000000"/>
          <w:szCs w:val="16"/>
        </w:rPr>
        <w:t>z</w:t>
      </w:r>
      <w:r w:rsidR="00417C54">
        <w:rPr>
          <w:rFonts w:cs="Arial"/>
          <w:color w:val="000000"/>
          <w:szCs w:val="16"/>
        </w:rPr>
        <w:t> </w:t>
      </w:r>
      <w:r w:rsidRPr="00D22149">
        <w:rPr>
          <w:rFonts w:cs="Arial"/>
          <w:color w:val="000000"/>
          <w:szCs w:val="16"/>
        </w:rPr>
        <w:t>tabulky 2.2. V</w:t>
      </w:r>
      <w:r w:rsidR="00417C54">
        <w:rPr>
          <w:rFonts w:cs="Arial"/>
          <w:color w:val="000000"/>
          <w:szCs w:val="16"/>
        </w:rPr>
        <w:t> </w:t>
      </w:r>
      <w:r w:rsidRPr="00D22149">
        <w:rPr>
          <w:rFonts w:cs="Arial"/>
          <w:color w:val="000000"/>
          <w:szCs w:val="16"/>
        </w:rPr>
        <w:t>roce 202</w:t>
      </w:r>
      <w:r w:rsidR="00D22149" w:rsidRPr="00D22149">
        <w:rPr>
          <w:rFonts w:cs="Arial"/>
          <w:color w:val="000000"/>
          <w:szCs w:val="16"/>
        </w:rPr>
        <w:t>2</w:t>
      </w:r>
      <w:r w:rsidRPr="00D22149">
        <w:rPr>
          <w:rFonts w:cs="Arial"/>
          <w:color w:val="000000"/>
          <w:szCs w:val="16"/>
        </w:rPr>
        <w:t xml:space="preserve"> bylo nahlášeno o </w:t>
      </w:r>
      <w:r w:rsidR="00D22149" w:rsidRPr="00D22149">
        <w:rPr>
          <w:rFonts w:cs="Arial"/>
          <w:color w:val="000000"/>
          <w:szCs w:val="16"/>
        </w:rPr>
        <w:t>4</w:t>
      </w:r>
      <w:r w:rsidR="00CD649D">
        <w:rPr>
          <w:rFonts w:cs="Arial"/>
          <w:color w:val="000000"/>
          <w:szCs w:val="16"/>
        </w:rPr>
        <w:t>5</w:t>
      </w:r>
      <w:r w:rsidRPr="00D22149">
        <w:rPr>
          <w:rFonts w:cs="Arial"/>
          <w:color w:val="000000"/>
          <w:szCs w:val="16"/>
        </w:rPr>
        <w:t xml:space="preserve"> případů na 100 pojištěnců více než před deseti lety. Nejdynamičtější nárůst </w:t>
      </w:r>
      <w:r w:rsidR="00D22149" w:rsidRPr="00D22149">
        <w:rPr>
          <w:rFonts w:cs="Arial"/>
          <w:color w:val="000000"/>
          <w:szCs w:val="16"/>
        </w:rPr>
        <w:t xml:space="preserve">za tu dobu </w:t>
      </w:r>
      <w:r w:rsidRPr="00D22149">
        <w:rPr>
          <w:rFonts w:cs="Arial"/>
          <w:color w:val="000000"/>
          <w:szCs w:val="16"/>
        </w:rPr>
        <w:t>je patrný v</w:t>
      </w:r>
      <w:r w:rsidR="00D22149" w:rsidRPr="00D22149">
        <w:rPr>
          <w:rFonts w:cs="Arial"/>
          <w:color w:val="000000"/>
          <w:szCs w:val="16"/>
        </w:rPr>
        <w:t>e Vzdělávání</w:t>
      </w:r>
      <w:r w:rsidR="00CD649D">
        <w:rPr>
          <w:rFonts w:cs="Arial"/>
          <w:color w:val="000000"/>
          <w:szCs w:val="16"/>
        </w:rPr>
        <w:t xml:space="preserve"> (+</w:t>
      </w:r>
      <w:r w:rsidR="00CD649D" w:rsidRPr="00D22149">
        <w:rPr>
          <w:rFonts w:cs="Arial"/>
          <w:color w:val="000000"/>
          <w:szCs w:val="16"/>
        </w:rPr>
        <w:t>6</w:t>
      </w:r>
      <w:r w:rsidR="007054AD">
        <w:rPr>
          <w:rFonts w:cs="Arial"/>
          <w:color w:val="000000"/>
          <w:szCs w:val="16"/>
        </w:rPr>
        <w:t>5</w:t>
      </w:r>
      <w:r w:rsidR="00CD649D">
        <w:rPr>
          <w:rFonts w:cs="Arial"/>
          <w:color w:val="000000"/>
          <w:szCs w:val="16"/>
        </w:rPr>
        <w:t xml:space="preserve"> případů, tj. 298 %) resp.</w:t>
      </w:r>
      <w:r w:rsidR="00D22149" w:rsidRPr="00D22149">
        <w:rPr>
          <w:rFonts w:cs="Arial"/>
          <w:color w:val="000000"/>
          <w:szCs w:val="16"/>
        </w:rPr>
        <w:t xml:space="preserve"> Zpracovatelském průmyslu, kde </w:t>
      </w:r>
      <w:r w:rsidR="007054AD">
        <w:rPr>
          <w:rFonts w:cs="Arial"/>
          <w:color w:val="000000"/>
          <w:szCs w:val="16"/>
        </w:rPr>
        <w:t xml:space="preserve">hodnota </w:t>
      </w:r>
      <w:r w:rsidR="00D22149" w:rsidRPr="00D22149">
        <w:rPr>
          <w:rFonts w:cs="Arial"/>
          <w:color w:val="000000"/>
          <w:szCs w:val="16"/>
        </w:rPr>
        <w:t>ukazat</w:t>
      </w:r>
      <w:r w:rsidRPr="00D22149">
        <w:rPr>
          <w:rFonts w:cs="Arial"/>
          <w:color w:val="000000"/>
          <w:szCs w:val="16"/>
        </w:rPr>
        <w:t>el</w:t>
      </w:r>
      <w:r w:rsidR="007054AD">
        <w:rPr>
          <w:rFonts w:cs="Arial"/>
          <w:color w:val="000000"/>
          <w:szCs w:val="16"/>
        </w:rPr>
        <w:t>e</w:t>
      </w:r>
      <w:r w:rsidRPr="00D22149">
        <w:rPr>
          <w:rFonts w:cs="Arial"/>
          <w:color w:val="000000"/>
          <w:szCs w:val="16"/>
        </w:rPr>
        <w:t xml:space="preserve"> </w:t>
      </w:r>
      <w:r w:rsidR="007054AD">
        <w:rPr>
          <w:rFonts w:cs="Arial"/>
          <w:color w:val="000000"/>
          <w:szCs w:val="16"/>
        </w:rPr>
        <w:t>vzrostla o 60</w:t>
      </w:r>
      <w:r w:rsidR="00D22149" w:rsidRPr="00D22149">
        <w:rPr>
          <w:rFonts w:cs="Arial"/>
          <w:color w:val="000000"/>
          <w:szCs w:val="16"/>
        </w:rPr>
        <w:t xml:space="preserve"> případů</w:t>
      </w:r>
      <w:r w:rsidR="00CD649D">
        <w:rPr>
          <w:rFonts w:cs="Arial"/>
          <w:color w:val="000000"/>
          <w:szCs w:val="16"/>
        </w:rPr>
        <w:t>, tj. 179 %</w:t>
      </w:r>
      <w:r w:rsidR="00D22149" w:rsidRPr="00D22149">
        <w:rPr>
          <w:rFonts w:cs="Arial"/>
          <w:color w:val="000000"/>
          <w:szCs w:val="16"/>
        </w:rPr>
        <w:t xml:space="preserve">. </w:t>
      </w:r>
      <w:r w:rsidR="00577453" w:rsidRPr="00D22149">
        <w:rPr>
          <w:rFonts w:cs="Arial"/>
          <w:color w:val="000000"/>
          <w:szCs w:val="16"/>
        </w:rPr>
        <w:t xml:space="preserve">Ve všech sekcích došlo </w:t>
      </w:r>
      <w:r w:rsidRPr="00D22149">
        <w:rPr>
          <w:rFonts w:cs="Arial"/>
          <w:color w:val="000000"/>
          <w:szCs w:val="16"/>
        </w:rPr>
        <w:t xml:space="preserve">za zmiňované období </w:t>
      </w:r>
      <w:r w:rsidR="00577453" w:rsidRPr="00D22149">
        <w:rPr>
          <w:rFonts w:cs="Arial"/>
          <w:color w:val="000000"/>
          <w:szCs w:val="16"/>
        </w:rPr>
        <w:t>ke zvýšení počtu případů na 100 pojištěných osob.</w:t>
      </w:r>
    </w:p>
    <w:p w14:paraId="450D137D" w14:textId="0405CFB7" w:rsidR="00DA4D31" w:rsidRPr="00D22149" w:rsidRDefault="00DA4D31" w:rsidP="00DA4D31">
      <w:pPr>
        <w:spacing w:before="120" w:after="0"/>
        <w:jc w:val="both"/>
        <w:rPr>
          <w:rFonts w:cs="Arial"/>
          <w:b/>
          <w:color w:val="000000"/>
          <w:szCs w:val="16"/>
        </w:rPr>
      </w:pPr>
      <w:r w:rsidRPr="00D22149">
        <w:rPr>
          <w:rFonts w:cs="Arial"/>
          <w:b/>
          <w:color w:val="000000"/>
          <w:szCs w:val="16"/>
        </w:rPr>
        <w:t>Graf 2.</w:t>
      </w:r>
      <w:r w:rsidR="00243B43">
        <w:rPr>
          <w:rFonts w:cs="Arial"/>
          <w:b/>
          <w:color w:val="000000"/>
          <w:szCs w:val="16"/>
        </w:rPr>
        <w:t>6</w:t>
      </w:r>
      <w:r w:rsidRPr="00D22149">
        <w:rPr>
          <w:rFonts w:cs="Arial"/>
          <w:b/>
          <w:color w:val="000000"/>
          <w:szCs w:val="16"/>
        </w:rPr>
        <w:t xml:space="preserve">: Nově hlášené případy dočasné pracovní neschopnosti </w:t>
      </w:r>
      <w:r w:rsidRPr="00597354">
        <w:rPr>
          <w:rFonts w:cs="Arial"/>
          <w:b/>
          <w:color w:val="000000"/>
          <w:szCs w:val="16"/>
          <w:u w:val="single"/>
        </w:rPr>
        <w:t>pro nemoc</w:t>
      </w:r>
      <w:r w:rsidRPr="00D22149">
        <w:rPr>
          <w:rFonts w:cs="Arial"/>
          <w:b/>
          <w:color w:val="000000"/>
          <w:szCs w:val="16"/>
        </w:rPr>
        <w:t xml:space="preserve"> na 100 pojištěnců podle odvětví (sekc</w:t>
      </w:r>
      <w:r w:rsidR="00D22149" w:rsidRPr="00D22149">
        <w:rPr>
          <w:rFonts w:cs="Arial"/>
          <w:b/>
          <w:color w:val="000000"/>
          <w:szCs w:val="16"/>
        </w:rPr>
        <w:t>e CZ-NACE), 2019 a 2022</w:t>
      </w:r>
    </w:p>
    <w:p w14:paraId="21B17548" w14:textId="7285BDC0" w:rsidR="006E58D2" w:rsidRPr="00166BEB" w:rsidRDefault="00D22149" w:rsidP="006E58D2">
      <w:pPr>
        <w:autoSpaceDE w:val="0"/>
        <w:autoSpaceDN w:val="0"/>
        <w:adjustRightInd w:val="0"/>
        <w:spacing w:before="120" w:after="120"/>
        <w:jc w:val="both"/>
        <w:rPr>
          <w:rFonts w:cs="Arial"/>
          <w:highlight w:val="yellow"/>
        </w:rPr>
      </w:pPr>
      <w:r>
        <w:rPr>
          <w:noProof/>
        </w:rPr>
        <w:drawing>
          <wp:inline distT="0" distB="0" distL="0" distR="0" wp14:anchorId="0FCD636B" wp14:editId="74FAB823">
            <wp:extent cx="6120130" cy="5471795"/>
            <wp:effectExtent l="0" t="0" r="13970" b="14605"/>
            <wp:docPr id="57" name="Graf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2FED20F3" w14:textId="77777777" w:rsidR="00DA4D31" w:rsidRPr="00D22149" w:rsidRDefault="00DA4D31" w:rsidP="00DA4D31">
      <w:pPr>
        <w:spacing w:before="120" w:after="120" w:line="240" w:lineRule="auto"/>
        <w:jc w:val="both"/>
        <w:rPr>
          <w:rFonts w:cs="Arial"/>
          <w:color w:val="000000"/>
          <w:sz w:val="16"/>
          <w:szCs w:val="16"/>
        </w:rPr>
      </w:pPr>
      <w:r w:rsidRPr="00D22149">
        <w:rPr>
          <w:rFonts w:cs="Arial"/>
          <w:color w:val="000000"/>
          <w:sz w:val="16"/>
          <w:szCs w:val="16"/>
        </w:rPr>
        <w:t>Zdroj: ČSÚ</w:t>
      </w:r>
    </w:p>
    <w:p w14:paraId="3715E34B" w14:textId="7D8930A6" w:rsidR="008F77F4" w:rsidRPr="00CD649D" w:rsidRDefault="008F77F4" w:rsidP="008F77F4">
      <w:pPr>
        <w:spacing w:before="120" w:after="120"/>
        <w:jc w:val="both"/>
      </w:pPr>
      <w:r w:rsidRPr="00CD649D">
        <w:t>Odvětvím s</w:t>
      </w:r>
      <w:r w:rsidR="00417C54">
        <w:t> </w:t>
      </w:r>
      <w:r w:rsidRPr="00CD649D">
        <w:t xml:space="preserve">největším </w:t>
      </w:r>
      <w:r w:rsidRPr="00CD649D">
        <w:rPr>
          <w:b/>
        </w:rPr>
        <w:t>nárůstem</w:t>
      </w:r>
      <w:r w:rsidR="00554433">
        <w:t xml:space="preserve"> (50</w:t>
      </w:r>
      <w:r w:rsidRPr="00CD649D">
        <w:t xml:space="preserve"> případů</w:t>
      </w:r>
      <w:r w:rsidR="00554433">
        <w:t>)</w:t>
      </w:r>
      <w:r w:rsidRPr="00CD649D">
        <w:t xml:space="preserve"> pracovní neschopnosti </w:t>
      </w:r>
      <w:r w:rsidRPr="00CD649D">
        <w:rPr>
          <w:b/>
        </w:rPr>
        <w:t>pro nemoc</w:t>
      </w:r>
      <w:r w:rsidRPr="00CD649D">
        <w:t xml:space="preserve"> na 100 pojištěnců </w:t>
      </w:r>
      <w:r w:rsidR="008B2C0B" w:rsidRPr="00CD649D">
        <w:t>mezi lety 2019 (te</w:t>
      </w:r>
      <w:r w:rsidR="00CD649D" w:rsidRPr="00CD649D">
        <w:t>dy obdobím před pandemií) a 2022 bylo V</w:t>
      </w:r>
      <w:r w:rsidR="00554433">
        <w:t>zdělávání. Enormní nárůst by mohl souviset s</w:t>
      </w:r>
      <w:r w:rsidR="00417C54">
        <w:t> </w:t>
      </w:r>
      <w:r w:rsidR="00554433">
        <w:t xml:space="preserve">nelehkými výzvami, kterými si pracovníci ve školství za uplynulé 3 roky prošli. Od distanční výuky, přes opětovnou adaptaci na prezenční výuku, až po integraci ukrajinských dětí. </w:t>
      </w:r>
      <w:r w:rsidR="00554433" w:rsidRPr="00321DDE">
        <w:t xml:space="preserve">Nárůsty přes </w:t>
      </w:r>
      <w:r w:rsidR="00554433">
        <w:t>40</w:t>
      </w:r>
      <w:r w:rsidR="00554433" w:rsidRPr="00321DDE">
        <w:t xml:space="preserve"> případů</w:t>
      </w:r>
      <w:r w:rsidR="00554433">
        <w:t xml:space="preserve"> pracovní neschopnosti </w:t>
      </w:r>
      <w:r w:rsidR="00554433">
        <w:lastRenderedPageBreak/>
        <w:t>pro nemoc na 100 pojištěnců</w:t>
      </w:r>
      <w:r w:rsidR="00554433" w:rsidRPr="00321DDE">
        <w:t xml:space="preserve"> zaznamenaly i sekce </w:t>
      </w:r>
      <w:r w:rsidR="007054AD">
        <w:t>Zpracovatelský průmysl či</w:t>
      </w:r>
      <w:r w:rsidR="00554433">
        <w:t xml:space="preserve"> </w:t>
      </w:r>
      <w:r w:rsidR="00554433" w:rsidRPr="00321DDE">
        <w:t>Veřejná správa a obrana; povinné sociální zabezpečení.</w:t>
      </w:r>
      <w:r w:rsidR="00554433">
        <w:t xml:space="preserve"> </w:t>
      </w:r>
      <w:r w:rsidR="00554433">
        <w:rPr>
          <w:rFonts w:cs="Arial"/>
        </w:rPr>
        <w:t>Naopak v</w:t>
      </w:r>
      <w:r w:rsidR="00417C54">
        <w:t> </w:t>
      </w:r>
      <w:r w:rsidR="00896E98" w:rsidRPr="00CD649D">
        <w:t>sekci Peněžnictví a pojišťovnictví resp. Informační a komunikační činnosti došlo k</w:t>
      </w:r>
      <w:r w:rsidR="00417C54">
        <w:t> </w:t>
      </w:r>
      <w:r w:rsidR="00554433">
        <w:t xml:space="preserve">nejmenším nárůstům, a sice </w:t>
      </w:r>
      <w:r w:rsidR="00CD649D" w:rsidRPr="00CD649D">
        <w:t>o 11 případů</w:t>
      </w:r>
      <w:r w:rsidR="00417C54">
        <w:t xml:space="preserve"> na 100 pojištěnců</w:t>
      </w:r>
      <w:r w:rsidR="00896E98" w:rsidRPr="00CD649D">
        <w:t>.</w:t>
      </w:r>
    </w:p>
    <w:p w14:paraId="57245568" w14:textId="4EB42A07" w:rsidR="00554433" w:rsidRPr="00554433" w:rsidRDefault="00896E98" w:rsidP="00896E98">
      <w:pPr>
        <w:spacing w:before="120" w:after="120"/>
        <w:jc w:val="both"/>
      </w:pPr>
      <w:r w:rsidRPr="00554433">
        <w:t xml:space="preserve">Nejvíce případů dočasné pracovní neschopnosti </w:t>
      </w:r>
      <w:r w:rsidRPr="00554433">
        <w:rPr>
          <w:b/>
        </w:rPr>
        <w:t>pro pracovní úraz</w:t>
      </w:r>
      <w:r w:rsidR="00F668BE" w:rsidRPr="00554433">
        <w:t xml:space="preserve"> na 100 pojištěnců</w:t>
      </w:r>
      <w:r w:rsidRPr="00554433">
        <w:t>, což je možné chápat jako ukazatel vyjadřující „stupeň rizikovosti“ daného odvětví, bylo v roce 202</w:t>
      </w:r>
      <w:r w:rsidR="00554433" w:rsidRPr="00554433">
        <w:t>2</w:t>
      </w:r>
      <w:r w:rsidRPr="00554433">
        <w:t xml:space="preserve"> (ale je již dlouhodobě) evidováno u sekce Zemědělství, lesnictví a rybářství (2,</w:t>
      </w:r>
      <w:r w:rsidR="00554433" w:rsidRPr="00554433">
        <w:t>4</w:t>
      </w:r>
      <w:r w:rsidRPr="00554433">
        <w:t>), následované oblastmi Zásobování vodou; činnosti související s odpady a sanacemi (2,0) a Těžba a dobývání (1,</w:t>
      </w:r>
      <w:r w:rsidR="00554433" w:rsidRPr="00554433">
        <w:t>9</w:t>
      </w:r>
      <w:r w:rsidRPr="00554433">
        <w:t>). Naproti tomu nejméně pracovních úrazů bylo zaznamenáno ve firmách působících v odvětví Peněžnictví a pojišťovnictví (0,06) a v oblasti Informační a komunikační činnosti (0,0</w:t>
      </w:r>
      <w:r w:rsidR="00554433" w:rsidRPr="00554433">
        <w:t>9</w:t>
      </w:r>
      <w:r w:rsidRPr="00554433">
        <w:t>). Jak již bylo zmíněno výše, průměrně za všechna odvětví připadal na 100</w:t>
      </w:r>
      <w:r w:rsidR="00DC2A86" w:rsidRPr="00554433">
        <w:t> </w:t>
      </w:r>
      <w:r w:rsidRPr="00554433">
        <w:t>pojištěnců 1 případ pracovní neschopnosti pro pracovní úraz. Více o pracovních úrazech v kap. 4.5.</w:t>
      </w:r>
      <w:r w:rsidR="00597354" w:rsidRPr="00597354">
        <w:rPr>
          <w:noProof/>
        </w:rPr>
        <w:t xml:space="preserve"> </w:t>
      </w:r>
    </w:p>
    <w:p w14:paraId="4ACA41A2" w14:textId="791BCCA6" w:rsidR="00896E98" w:rsidRPr="00554433" w:rsidRDefault="00597354" w:rsidP="00896E98">
      <w:pPr>
        <w:pStyle w:val="Seznam"/>
        <w:spacing w:after="0"/>
        <w:contextualSpacing w:val="0"/>
        <w:jc w:val="both"/>
      </w:pPr>
      <w:r>
        <w:rPr>
          <w:noProof/>
        </w:rPr>
        <mc:AlternateContent>
          <mc:Choice Requires="wps">
            <w:drawing>
              <wp:anchor distT="0" distB="0" distL="114300" distR="114300" simplePos="0" relativeHeight="251685376" behindDoc="0" locked="0" layoutInCell="1" allowOverlap="1" wp14:anchorId="7AA615F2" wp14:editId="09870FC3">
                <wp:simplePos x="0" y="0"/>
                <wp:positionH relativeFrom="column">
                  <wp:posOffset>5813425</wp:posOffset>
                </wp:positionH>
                <wp:positionV relativeFrom="paragraph">
                  <wp:posOffset>344170</wp:posOffset>
                </wp:positionV>
                <wp:extent cx="0" cy="4968000"/>
                <wp:effectExtent l="57150" t="19050" r="76200" b="80645"/>
                <wp:wrapNone/>
                <wp:docPr id="40" name="Přímá spojnice 3"/>
                <wp:cNvGraphicFramePr/>
                <a:graphic xmlns:a="http://schemas.openxmlformats.org/drawingml/2006/main">
                  <a:graphicData uri="http://schemas.microsoft.com/office/word/2010/wordprocessingShape">
                    <wps:wsp>
                      <wps:cNvCnPr/>
                      <wps:spPr>
                        <a:xfrm>
                          <a:off x="0" y="0"/>
                          <a:ext cx="0" cy="4968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5227E9" id="Přímá spojnice 3" o:spid="_x0000_s1026" style="position:absolute;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7.75pt,27.1pt" to="457.75pt,41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" strokecolor="#c00000" strokeweight=".5pt">
                <v:stroke dashstyle="dash"/>
                <v:shadow on="t" color="black" opacity="24903f" origin=",.5" offset="0,.55556mm"/>
              </v:line>
            </w:pict>
          </mc:Fallback>
        </mc:AlternateContent>
      </w:r>
      <w:r w:rsidR="00896E98" w:rsidRPr="00554433">
        <w:rPr>
          <w:b/>
        </w:rPr>
        <w:t>Tab. 2.2: Nově hlášené případy dočasné pracovní neschopnosti na 100 pojištěnců podle odvětví (sekce CZ-NACE), 201</w:t>
      </w:r>
      <w:r w:rsidR="00554433" w:rsidRPr="00554433">
        <w:rPr>
          <w:b/>
        </w:rPr>
        <w:t>2–2022</w:t>
      </w:r>
    </w:p>
    <w:tbl>
      <w:tblPr>
        <w:tblW w:w="9713" w:type="dxa"/>
        <w:tblCellMar>
          <w:left w:w="70" w:type="dxa"/>
          <w:right w:w="70" w:type="dxa"/>
        </w:tblCellMar>
        <w:tblLook w:val="04A0" w:firstRow="1" w:lastRow="0" w:firstColumn="1" w:lastColumn="0" w:noHBand="0" w:noVBand="1"/>
      </w:tblPr>
      <w:tblGrid>
        <w:gridCol w:w="3476"/>
        <w:gridCol w:w="567"/>
        <w:gridCol w:w="567"/>
        <w:gridCol w:w="567"/>
        <w:gridCol w:w="567"/>
        <w:gridCol w:w="567"/>
        <w:gridCol w:w="567"/>
        <w:gridCol w:w="567"/>
        <w:gridCol w:w="567"/>
        <w:gridCol w:w="567"/>
        <w:gridCol w:w="567"/>
        <w:gridCol w:w="567"/>
      </w:tblGrid>
      <w:tr w:rsidR="00554433" w:rsidRPr="00554433" w14:paraId="1AC2ED2B" w14:textId="7DF83644" w:rsidTr="00840644">
        <w:trPr>
          <w:trHeight w:val="300"/>
        </w:trPr>
        <w:tc>
          <w:tcPr>
            <w:tcW w:w="3476" w:type="dxa"/>
            <w:tcBorders>
              <w:top w:val="single" w:sz="4" w:space="0" w:color="auto"/>
              <w:left w:val="nil"/>
              <w:bottom w:val="single" w:sz="4" w:space="0" w:color="auto"/>
              <w:right w:val="single" w:sz="4" w:space="0" w:color="auto"/>
            </w:tcBorders>
            <w:shd w:val="clear" w:color="000000" w:fill="F5DADD"/>
            <w:noWrap/>
            <w:vAlign w:val="center"/>
            <w:hideMark/>
          </w:tcPr>
          <w:p w14:paraId="4C44ADF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Sekce CZ-NACE</w:t>
            </w:r>
          </w:p>
        </w:tc>
        <w:tc>
          <w:tcPr>
            <w:tcW w:w="567" w:type="dxa"/>
            <w:tcBorders>
              <w:top w:val="single" w:sz="4" w:space="0" w:color="auto"/>
              <w:left w:val="nil"/>
              <w:bottom w:val="single" w:sz="4" w:space="0" w:color="auto"/>
              <w:right w:val="nil"/>
            </w:tcBorders>
            <w:shd w:val="clear" w:color="000000" w:fill="F5DADD"/>
            <w:noWrap/>
            <w:vAlign w:val="center"/>
            <w:hideMark/>
          </w:tcPr>
          <w:p w14:paraId="7E254CC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2012</w:t>
            </w:r>
          </w:p>
        </w:tc>
        <w:tc>
          <w:tcPr>
            <w:tcW w:w="567" w:type="dxa"/>
            <w:tcBorders>
              <w:top w:val="single" w:sz="4" w:space="0" w:color="auto"/>
              <w:left w:val="nil"/>
              <w:bottom w:val="single" w:sz="4" w:space="0" w:color="auto"/>
              <w:right w:val="nil"/>
            </w:tcBorders>
            <w:shd w:val="clear" w:color="000000" w:fill="F5DADD"/>
            <w:noWrap/>
            <w:vAlign w:val="center"/>
            <w:hideMark/>
          </w:tcPr>
          <w:p w14:paraId="78006D7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2013</w:t>
            </w:r>
          </w:p>
        </w:tc>
        <w:tc>
          <w:tcPr>
            <w:tcW w:w="567" w:type="dxa"/>
            <w:tcBorders>
              <w:top w:val="single" w:sz="4" w:space="0" w:color="auto"/>
              <w:left w:val="nil"/>
              <w:bottom w:val="single" w:sz="4" w:space="0" w:color="auto"/>
              <w:right w:val="nil"/>
            </w:tcBorders>
            <w:shd w:val="clear" w:color="000000" w:fill="F5DADD"/>
            <w:noWrap/>
            <w:vAlign w:val="center"/>
            <w:hideMark/>
          </w:tcPr>
          <w:p w14:paraId="4374CEC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2014</w:t>
            </w:r>
          </w:p>
        </w:tc>
        <w:tc>
          <w:tcPr>
            <w:tcW w:w="567" w:type="dxa"/>
            <w:tcBorders>
              <w:top w:val="single" w:sz="4" w:space="0" w:color="auto"/>
              <w:left w:val="nil"/>
              <w:bottom w:val="single" w:sz="4" w:space="0" w:color="auto"/>
              <w:right w:val="nil"/>
            </w:tcBorders>
            <w:shd w:val="clear" w:color="000000" w:fill="F5DADD"/>
            <w:noWrap/>
            <w:vAlign w:val="center"/>
            <w:hideMark/>
          </w:tcPr>
          <w:p w14:paraId="732E03C1"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2015</w:t>
            </w:r>
          </w:p>
        </w:tc>
        <w:tc>
          <w:tcPr>
            <w:tcW w:w="567" w:type="dxa"/>
            <w:tcBorders>
              <w:top w:val="single" w:sz="4" w:space="0" w:color="auto"/>
              <w:left w:val="nil"/>
              <w:bottom w:val="single" w:sz="4" w:space="0" w:color="auto"/>
              <w:right w:val="nil"/>
            </w:tcBorders>
            <w:shd w:val="clear" w:color="000000" w:fill="F5DADD"/>
            <w:noWrap/>
            <w:vAlign w:val="center"/>
            <w:hideMark/>
          </w:tcPr>
          <w:p w14:paraId="4753044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2016</w:t>
            </w:r>
          </w:p>
        </w:tc>
        <w:tc>
          <w:tcPr>
            <w:tcW w:w="567" w:type="dxa"/>
            <w:tcBorders>
              <w:top w:val="single" w:sz="4" w:space="0" w:color="auto"/>
              <w:left w:val="nil"/>
              <w:bottom w:val="single" w:sz="4" w:space="0" w:color="auto"/>
              <w:right w:val="nil"/>
            </w:tcBorders>
            <w:shd w:val="clear" w:color="000000" w:fill="F5DADD"/>
            <w:noWrap/>
            <w:vAlign w:val="center"/>
            <w:hideMark/>
          </w:tcPr>
          <w:p w14:paraId="56D86A6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2017</w:t>
            </w:r>
          </w:p>
        </w:tc>
        <w:tc>
          <w:tcPr>
            <w:tcW w:w="567" w:type="dxa"/>
            <w:tcBorders>
              <w:top w:val="single" w:sz="4" w:space="0" w:color="auto"/>
              <w:left w:val="nil"/>
              <w:bottom w:val="single" w:sz="4" w:space="0" w:color="auto"/>
              <w:right w:val="nil"/>
            </w:tcBorders>
            <w:shd w:val="clear" w:color="000000" w:fill="F5DADD"/>
            <w:noWrap/>
            <w:vAlign w:val="center"/>
            <w:hideMark/>
          </w:tcPr>
          <w:p w14:paraId="4777550D"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2018</w:t>
            </w:r>
          </w:p>
        </w:tc>
        <w:tc>
          <w:tcPr>
            <w:tcW w:w="567" w:type="dxa"/>
            <w:tcBorders>
              <w:top w:val="single" w:sz="4" w:space="0" w:color="auto"/>
              <w:left w:val="nil"/>
              <w:bottom w:val="single" w:sz="4" w:space="0" w:color="auto"/>
              <w:right w:val="nil"/>
            </w:tcBorders>
            <w:shd w:val="clear" w:color="000000" w:fill="F5DADD"/>
            <w:noWrap/>
            <w:vAlign w:val="center"/>
            <w:hideMark/>
          </w:tcPr>
          <w:p w14:paraId="4806A6D1"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2019</w:t>
            </w:r>
          </w:p>
        </w:tc>
        <w:tc>
          <w:tcPr>
            <w:tcW w:w="567" w:type="dxa"/>
            <w:tcBorders>
              <w:top w:val="single" w:sz="4" w:space="0" w:color="auto"/>
              <w:left w:val="nil"/>
              <w:bottom w:val="single" w:sz="4" w:space="0" w:color="auto"/>
              <w:right w:val="nil"/>
            </w:tcBorders>
            <w:shd w:val="clear" w:color="000000" w:fill="F5DADD"/>
            <w:noWrap/>
            <w:vAlign w:val="center"/>
            <w:hideMark/>
          </w:tcPr>
          <w:p w14:paraId="423A8AA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2020</w:t>
            </w:r>
          </w:p>
        </w:tc>
        <w:tc>
          <w:tcPr>
            <w:tcW w:w="567" w:type="dxa"/>
            <w:tcBorders>
              <w:top w:val="single" w:sz="4" w:space="0" w:color="auto"/>
              <w:left w:val="nil"/>
              <w:bottom w:val="single" w:sz="4" w:space="0" w:color="auto"/>
              <w:right w:val="nil"/>
            </w:tcBorders>
            <w:shd w:val="clear" w:color="000000" w:fill="F5DADD"/>
            <w:noWrap/>
            <w:vAlign w:val="center"/>
            <w:hideMark/>
          </w:tcPr>
          <w:p w14:paraId="5AE4E8C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2021</w:t>
            </w:r>
          </w:p>
        </w:tc>
        <w:tc>
          <w:tcPr>
            <w:tcW w:w="567" w:type="dxa"/>
            <w:tcBorders>
              <w:top w:val="single" w:sz="4" w:space="0" w:color="auto"/>
              <w:bottom w:val="single" w:sz="4" w:space="0" w:color="auto"/>
            </w:tcBorders>
            <w:shd w:val="clear" w:color="auto" w:fill="F5DADD"/>
            <w:vAlign w:val="center"/>
          </w:tcPr>
          <w:p w14:paraId="3646B80E" w14:textId="398687FD"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2022</w:t>
            </w:r>
          </w:p>
        </w:tc>
      </w:tr>
      <w:tr w:rsidR="00554433" w:rsidRPr="00554433" w14:paraId="762F1E69" w14:textId="3F67E01F" w:rsidTr="00840644">
        <w:trPr>
          <w:trHeight w:val="300"/>
        </w:trPr>
        <w:tc>
          <w:tcPr>
            <w:tcW w:w="3476" w:type="dxa"/>
            <w:tcBorders>
              <w:top w:val="nil"/>
              <w:left w:val="nil"/>
              <w:bottom w:val="nil"/>
              <w:right w:val="single" w:sz="4" w:space="0" w:color="auto"/>
            </w:tcBorders>
            <w:shd w:val="clear" w:color="auto" w:fill="auto"/>
            <w:vAlign w:val="center"/>
            <w:hideMark/>
          </w:tcPr>
          <w:p w14:paraId="43113A0D" w14:textId="77777777" w:rsidR="00554433" w:rsidRPr="00554433" w:rsidRDefault="00554433" w:rsidP="00554433">
            <w:pPr>
              <w:spacing w:after="0" w:line="240" w:lineRule="auto"/>
              <w:rPr>
                <w:rFonts w:cs="Arial"/>
                <w:b/>
                <w:bCs/>
                <w:color w:val="000000"/>
                <w:sz w:val="16"/>
                <w:szCs w:val="16"/>
              </w:rPr>
            </w:pPr>
            <w:r w:rsidRPr="00554433">
              <w:rPr>
                <w:rFonts w:cs="Arial"/>
                <w:b/>
                <w:bCs/>
                <w:color w:val="000000"/>
                <w:sz w:val="16"/>
                <w:szCs w:val="16"/>
              </w:rPr>
              <w:t xml:space="preserve">Celkem </w:t>
            </w:r>
          </w:p>
        </w:tc>
        <w:tc>
          <w:tcPr>
            <w:tcW w:w="567" w:type="dxa"/>
            <w:tcBorders>
              <w:top w:val="nil"/>
              <w:left w:val="nil"/>
              <w:bottom w:val="nil"/>
              <w:right w:val="nil"/>
            </w:tcBorders>
            <w:shd w:val="clear" w:color="auto" w:fill="auto"/>
            <w:noWrap/>
            <w:vAlign w:val="center"/>
            <w:hideMark/>
          </w:tcPr>
          <w:p w14:paraId="48036D68"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27,4</w:t>
            </w:r>
          </w:p>
        </w:tc>
        <w:tc>
          <w:tcPr>
            <w:tcW w:w="567" w:type="dxa"/>
            <w:tcBorders>
              <w:top w:val="nil"/>
              <w:left w:val="nil"/>
              <w:bottom w:val="nil"/>
              <w:right w:val="nil"/>
            </w:tcBorders>
            <w:shd w:val="clear" w:color="auto" w:fill="auto"/>
            <w:noWrap/>
            <w:vAlign w:val="center"/>
            <w:hideMark/>
          </w:tcPr>
          <w:p w14:paraId="46890F24"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30,0</w:t>
            </w:r>
          </w:p>
        </w:tc>
        <w:tc>
          <w:tcPr>
            <w:tcW w:w="567" w:type="dxa"/>
            <w:tcBorders>
              <w:top w:val="nil"/>
              <w:left w:val="nil"/>
              <w:bottom w:val="nil"/>
              <w:right w:val="nil"/>
            </w:tcBorders>
            <w:shd w:val="clear" w:color="auto" w:fill="auto"/>
            <w:noWrap/>
            <w:vAlign w:val="center"/>
            <w:hideMark/>
          </w:tcPr>
          <w:p w14:paraId="1316A22F"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29,5</w:t>
            </w:r>
          </w:p>
        </w:tc>
        <w:tc>
          <w:tcPr>
            <w:tcW w:w="567" w:type="dxa"/>
            <w:tcBorders>
              <w:top w:val="nil"/>
              <w:left w:val="nil"/>
              <w:bottom w:val="nil"/>
              <w:right w:val="nil"/>
            </w:tcBorders>
            <w:shd w:val="clear" w:color="auto" w:fill="auto"/>
            <w:noWrap/>
            <w:vAlign w:val="center"/>
            <w:hideMark/>
          </w:tcPr>
          <w:p w14:paraId="6658B133"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34,7</w:t>
            </w:r>
          </w:p>
        </w:tc>
        <w:tc>
          <w:tcPr>
            <w:tcW w:w="567" w:type="dxa"/>
            <w:tcBorders>
              <w:top w:val="nil"/>
              <w:left w:val="nil"/>
              <w:bottom w:val="nil"/>
              <w:right w:val="nil"/>
            </w:tcBorders>
            <w:shd w:val="clear" w:color="auto" w:fill="auto"/>
            <w:noWrap/>
            <w:vAlign w:val="center"/>
            <w:hideMark/>
          </w:tcPr>
          <w:p w14:paraId="7392E058"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35,7</w:t>
            </w:r>
          </w:p>
        </w:tc>
        <w:tc>
          <w:tcPr>
            <w:tcW w:w="567" w:type="dxa"/>
            <w:tcBorders>
              <w:top w:val="nil"/>
              <w:left w:val="nil"/>
              <w:bottom w:val="nil"/>
              <w:right w:val="nil"/>
            </w:tcBorders>
            <w:shd w:val="clear" w:color="auto" w:fill="auto"/>
            <w:noWrap/>
            <w:vAlign w:val="center"/>
            <w:hideMark/>
          </w:tcPr>
          <w:p w14:paraId="64B5829B"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36,6</w:t>
            </w:r>
          </w:p>
        </w:tc>
        <w:tc>
          <w:tcPr>
            <w:tcW w:w="567" w:type="dxa"/>
            <w:tcBorders>
              <w:top w:val="nil"/>
              <w:left w:val="nil"/>
              <w:bottom w:val="nil"/>
              <w:right w:val="nil"/>
            </w:tcBorders>
            <w:shd w:val="clear" w:color="auto" w:fill="auto"/>
            <w:noWrap/>
            <w:vAlign w:val="center"/>
            <w:hideMark/>
          </w:tcPr>
          <w:p w14:paraId="22607137"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39,1</w:t>
            </w:r>
          </w:p>
        </w:tc>
        <w:tc>
          <w:tcPr>
            <w:tcW w:w="567" w:type="dxa"/>
            <w:tcBorders>
              <w:top w:val="nil"/>
              <w:left w:val="nil"/>
              <w:bottom w:val="nil"/>
              <w:right w:val="nil"/>
            </w:tcBorders>
            <w:shd w:val="clear" w:color="auto" w:fill="auto"/>
            <w:noWrap/>
            <w:vAlign w:val="center"/>
            <w:hideMark/>
          </w:tcPr>
          <w:p w14:paraId="68E41CF3"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40,5</w:t>
            </w:r>
          </w:p>
        </w:tc>
        <w:tc>
          <w:tcPr>
            <w:tcW w:w="567" w:type="dxa"/>
            <w:tcBorders>
              <w:top w:val="nil"/>
              <w:left w:val="nil"/>
              <w:bottom w:val="nil"/>
              <w:right w:val="nil"/>
            </w:tcBorders>
            <w:shd w:val="clear" w:color="auto" w:fill="auto"/>
            <w:noWrap/>
            <w:vAlign w:val="center"/>
            <w:hideMark/>
          </w:tcPr>
          <w:p w14:paraId="12378B8B" w14:textId="77777777"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51,0</w:t>
            </w:r>
          </w:p>
        </w:tc>
        <w:tc>
          <w:tcPr>
            <w:tcW w:w="567" w:type="dxa"/>
            <w:tcBorders>
              <w:top w:val="nil"/>
              <w:left w:val="nil"/>
              <w:bottom w:val="nil"/>
              <w:right w:val="nil"/>
            </w:tcBorders>
            <w:shd w:val="clear" w:color="auto" w:fill="auto"/>
            <w:noWrap/>
            <w:vAlign w:val="center"/>
            <w:hideMark/>
          </w:tcPr>
          <w:p w14:paraId="77F1113C" w14:textId="65674630" w:rsidR="00554433" w:rsidRPr="00554433" w:rsidRDefault="00554433" w:rsidP="00554433">
            <w:pPr>
              <w:spacing w:after="0" w:line="240" w:lineRule="auto"/>
              <w:jc w:val="center"/>
              <w:rPr>
                <w:rFonts w:cs="Arial"/>
                <w:b/>
                <w:bCs/>
                <w:color w:val="000000"/>
                <w:sz w:val="16"/>
                <w:szCs w:val="16"/>
              </w:rPr>
            </w:pPr>
            <w:r w:rsidRPr="00554433">
              <w:rPr>
                <w:rFonts w:cs="Arial"/>
                <w:b/>
                <w:bCs/>
                <w:color w:val="000000"/>
                <w:sz w:val="16"/>
                <w:szCs w:val="16"/>
              </w:rPr>
              <w:t>58,5</w:t>
            </w:r>
          </w:p>
        </w:tc>
        <w:tc>
          <w:tcPr>
            <w:tcW w:w="567" w:type="dxa"/>
            <w:tcBorders>
              <w:top w:val="single" w:sz="4" w:space="0" w:color="auto"/>
            </w:tcBorders>
            <w:vAlign w:val="center"/>
          </w:tcPr>
          <w:p w14:paraId="0F0DCC13" w14:textId="6BF284BA" w:rsidR="00554433" w:rsidRPr="000C02B0" w:rsidRDefault="00554433" w:rsidP="00554433">
            <w:pPr>
              <w:spacing w:after="0" w:line="240" w:lineRule="auto"/>
              <w:jc w:val="center"/>
              <w:rPr>
                <w:rFonts w:cs="Arial"/>
                <w:b/>
                <w:color w:val="000000"/>
                <w:sz w:val="16"/>
                <w:szCs w:val="16"/>
              </w:rPr>
            </w:pPr>
            <w:r w:rsidRPr="000C02B0">
              <w:rPr>
                <w:rFonts w:cs="Arial"/>
                <w:b/>
                <w:color w:val="000000"/>
                <w:sz w:val="16"/>
                <w:szCs w:val="16"/>
              </w:rPr>
              <w:t>72,8</w:t>
            </w:r>
          </w:p>
        </w:tc>
      </w:tr>
      <w:tr w:rsidR="00554433" w:rsidRPr="00554433" w14:paraId="5685555E" w14:textId="71F7DA0F" w:rsidTr="00840644">
        <w:trPr>
          <w:trHeight w:val="300"/>
        </w:trPr>
        <w:tc>
          <w:tcPr>
            <w:tcW w:w="3476" w:type="dxa"/>
            <w:tcBorders>
              <w:top w:val="nil"/>
              <w:left w:val="nil"/>
              <w:bottom w:val="nil"/>
              <w:right w:val="single" w:sz="4" w:space="0" w:color="auto"/>
            </w:tcBorders>
            <w:shd w:val="clear" w:color="auto" w:fill="auto"/>
            <w:vAlign w:val="center"/>
            <w:hideMark/>
          </w:tcPr>
          <w:p w14:paraId="08AE867A"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A – Zemědělství, lesnictví a rybářství</w:t>
            </w:r>
          </w:p>
        </w:tc>
        <w:tc>
          <w:tcPr>
            <w:tcW w:w="567" w:type="dxa"/>
            <w:tcBorders>
              <w:top w:val="nil"/>
              <w:left w:val="nil"/>
              <w:bottom w:val="nil"/>
              <w:right w:val="nil"/>
            </w:tcBorders>
            <w:shd w:val="clear" w:color="auto" w:fill="auto"/>
            <w:noWrap/>
            <w:vAlign w:val="center"/>
            <w:hideMark/>
          </w:tcPr>
          <w:p w14:paraId="33E5BA4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24,4</w:t>
            </w:r>
          </w:p>
        </w:tc>
        <w:tc>
          <w:tcPr>
            <w:tcW w:w="567" w:type="dxa"/>
            <w:tcBorders>
              <w:top w:val="nil"/>
              <w:left w:val="nil"/>
              <w:bottom w:val="nil"/>
              <w:right w:val="nil"/>
            </w:tcBorders>
            <w:shd w:val="clear" w:color="auto" w:fill="auto"/>
            <w:noWrap/>
            <w:vAlign w:val="center"/>
            <w:hideMark/>
          </w:tcPr>
          <w:p w14:paraId="0F28CDC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27,4</w:t>
            </w:r>
          </w:p>
        </w:tc>
        <w:tc>
          <w:tcPr>
            <w:tcW w:w="567" w:type="dxa"/>
            <w:tcBorders>
              <w:top w:val="nil"/>
              <w:left w:val="nil"/>
              <w:bottom w:val="nil"/>
              <w:right w:val="nil"/>
            </w:tcBorders>
            <w:shd w:val="clear" w:color="auto" w:fill="auto"/>
            <w:noWrap/>
            <w:vAlign w:val="center"/>
            <w:hideMark/>
          </w:tcPr>
          <w:p w14:paraId="2B6C034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26,5</w:t>
            </w:r>
          </w:p>
        </w:tc>
        <w:tc>
          <w:tcPr>
            <w:tcW w:w="567" w:type="dxa"/>
            <w:tcBorders>
              <w:top w:val="nil"/>
              <w:left w:val="nil"/>
              <w:bottom w:val="nil"/>
              <w:right w:val="nil"/>
            </w:tcBorders>
            <w:shd w:val="clear" w:color="auto" w:fill="auto"/>
            <w:noWrap/>
            <w:vAlign w:val="center"/>
            <w:hideMark/>
          </w:tcPr>
          <w:p w14:paraId="69C73B9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30,6</w:t>
            </w:r>
          </w:p>
        </w:tc>
        <w:tc>
          <w:tcPr>
            <w:tcW w:w="567" w:type="dxa"/>
            <w:tcBorders>
              <w:top w:val="nil"/>
              <w:left w:val="nil"/>
              <w:bottom w:val="nil"/>
              <w:right w:val="nil"/>
            </w:tcBorders>
            <w:shd w:val="clear" w:color="auto" w:fill="auto"/>
            <w:noWrap/>
            <w:vAlign w:val="center"/>
            <w:hideMark/>
          </w:tcPr>
          <w:p w14:paraId="1B453C6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30,9</w:t>
            </w:r>
          </w:p>
        </w:tc>
        <w:tc>
          <w:tcPr>
            <w:tcW w:w="567" w:type="dxa"/>
            <w:tcBorders>
              <w:top w:val="nil"/>
              <w:left w:val="nil"/>
              <w:bottom w:val="nil"/>
              <w:right w:val="nil"/>
            </w:tcBorders>
            <w:shd w:val="clear" w:color="auto" w:fill="auto"/>
            <w:noWrap/>
            <w:vAlign w:val="center"/>
            <w:hideMark/>
          </w:tcPr>
          <w:p w14:paraId="4A2A6E7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32,4</w:t>
            </w:r>
          </w:p>
        </w:tc>
        <w:tc>
          <w:tcPr>
            <w:tcW w:w="567" w:type="dxa"/>
            <w:tcBorders>
              <w:top w:val="nil"/>
              <w:left w:val="nil"/>
              <w:bottom w:val="nil"/>
              <w:right w:val="nil"/>
            </w:tcBorders>
            <w:shd w:val="clear" w:color="auto" w:fill="auto"/>
            <w:noWrap/>
            <w:vAlign w:val="center"/>
            <w:hideMark/>
          </w:tcPr>
          <w:p w14:paraId="58DCB68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34,4</w:t>
            </w:r>
          </w:p>
        </w:tc>
        <w:tc>
          <w:tcPr>
            <w:tcW w:w="567" w:type="dxa"/>
            <w:tcBorders>
              <w:top w:val="nil"/>
              <w:left w:val="nil"/>
              <w:bottom w:val="nil"/>
              <w:right w:val="nil"/>
            </w:tcBorders>
            <w:shd w:val="clear" w:color="auto" w:fill="auto"/>
            <w:noWrap/>
            <w:vAlign w:val="center"/>
            <w:hideMark/>
          </w:tcPr>
          <w:p w14:paraId="2653371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34,6</w:t>
            </w:r>
          </w:p>
        </w:tc>
        <w:tc>
          <w:tcPr>
            <w:tcW w:w="567" w:type="dxa"/>
            <w:tcBorders>
              <w:top w:val="nil"/>
              <w:left w:val="nil"/>
              <w:bottom w:val="nil"/>
              <w:right w:val="nil"/>
            </w:tcBorders>
            <w:shd w:val="clear" w:color="auto" w:fill="auto"/>
            <w:noWrap/>
            <w:vAlign w:val="center"/>
            <w:hideMark/>
          </w:tcPr>
          <w:p w14:paraId="6174D28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43,0</w:t>
            </w:r>
          </w:p>
        </w:tc>
        <w:tc>
          <w:tcPr>
            <w:tcW w:w="567" w:type="dxa"/>
            <w:tcBorders>
              <w:top w:val="nil"/>
              <w:left w:val="nil"/>
              <w:bottom w:val="nil"/>
              <w:right w:val="nil"/>
            </w:tcBorders>
            <w:shd w:val="clear" w:color="auto" w:fill="auto"/>
            <w:noWrap/>
            <w:vAlign w:val="center"/>
            <w:hideMark/>
          </w:tcPr>
          <w:p w14:paraId="59BD843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52,8</w:t>
            </w:r>
          </w:p>
        </w:tc>
        <w:tc>
          <w:tcPr>
            <w:tcW w:w="567" w:type="dxa"/>
            <w:vAlign w:val="center"/>
          </w:tcPr>
          <w:p w14:paraId="4C75539B" w14:textId="3197EC22"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58,1</w:t>
            </w:r>
          </w:p>
        </w:tc>
      </w:tr>
      <w:tr w:rsidR="00554433" w:rsidRPr="00554433" w14:paraId="4082CF79" w14:textId="6545F594" w:rsidTr="00840644">
        <w:trPr>
          <w:trHeight w:val="300"/>
        </w:trPr>
        <w:tc>
          <w:tcPr>
            <w:tcW w:w="3476" w:type="dxa"/>
            <w:tcBorders>
              <w:top w:val="nil"/>
              <w:left w:val="nil"/>
              <w:bottom w:val="nil"/>
              <w:right w:val="single" w:sz="4" w:space="0" w:color="auto"/>
            </w:tcBorders>
            <w:shd w:val="clear" w:color="auto" w:fill="auto"/>
            <w:vAlign w:val="center"/>
            <w:hideMark/>
          </w:tcPr>
          <w:p w14:paraId="5428E3DE"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B – Těžba a dobývání</w:t>
            </w:r>
          </w:p>
        </w:tc>
        <w:tc>
          <w:tcPr>
            <w:tcW w:w="567" w:type="dxa"/>
            <w:tcBorders>
              <w:top w:val="nil"/>
              <w:left w:val="nil"/>
              <w:bottom w:val="nil"/>
              <w:right w:val="nil"/>
            </w:tcBorders>
            <w:shd w:val="clear" w:color="auto" w:fill="auto"/>
            <w:noWrap/>
            <w:vAlign w:val="center"/>
            <w:hideMark/>
          </w:tcPr>
          <w:p w14:paraId="773EA8F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36,5</w:t>
            </w:r>
          </w:p>
        </w:tc>
        <w:tc>
          <w:tcPr>
            <w:tcW w:w="567" w:type="dxa"/>
            <w:tcBorders>
              <w:top w:val="nil"/>
              <w:left w:val="nil"/>
              <w:bottom w:val="nil"/>
              <w:right w:val="nil"/>
            </w:tcBorders>
            <w:shd w:val="clear" w:color="auto" w:fill="auto"/>
            <w:noWrap/>
            <w:vAlign w:val="center"/>
            <w:hideMark/>
          </w:tcPr>
          <w:p w14:paraId="39E4EBA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38,9</w:t>
            </w:r>
          </w:p>
        </w:tc>
        <w:tc>
          <w:tcPr>
            <w:tcW w:w="567" w:type="dxa"/>
            <w:tcBorders>
              <w:top w:val="nil"/>
              <w:left w:val="nil"/>
              <w:bottom w:val="nil"/>
              <w:right w:val="nil"/>
            </w:tcBorders>
            <w:shd w:val="clear" w:color="auto" w:fill="auto"/>
            <w:noWrap/>
            <w:vAlign w:val="center"/>
            <w:hideMark/>
          </w:tcPr>
          <w:p w14:paraId="1E30B93D"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36,0</w:t>
            </w:r>
          </w:p>
        </w:tc>
        <w:tc>
          <w:tcPr>
            <w:tcW w:w="567" w:type="dxa"/>
            <w:tcBorders>
              <w:top w:val="nil"/>
              <w:left w:val="nil"/>
              <w:bottom w:val="nil"/>
              <w:right w:val="nil"/>
            </w:tcBorders>
            <w:shd w:val="clear" w:color="auto" w:fill="auto"/>
            <w:noWrap/>
            <w:vAlign w:val="center"/>
            <w:hideMark/>
          </w:tcPr>
          <w:p w14:paraId="4E3F17A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39,7</w:t>
            </w:r>
          </w:p>
        </w:tc>
        <w:tc>
          <w:tcPr>
            <w:tcW w:w="567" w:type="dxa"/>
            <w:tcBorders>
              <w:top w:val="nil"/>
              <w:left w:val="nil"/>
              <w:bottom w:val="nil"/>
              <w:right w:val="nil"/>
            </w:tcBorders>
            <w:shd w:val="clear" w:color="auto" w:fill="auto"/>
            <w:noWrap/>
            <w:vAlign w:val="center"/>
            <w:hideMark/>
          </w:tcPr>
          <w:p w14:paraId="657B27E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39,7</w:t>
            </w:r>
          </w:p>
        </w:tc>
        <w:tc>
          <w:tcPr>
            <w:tcW w:w="567" w:type="dxa"/>
            <w:tcBorders>
              <w:top w:val="nil"/>
              <w:left w:val="nil"/>
              <w:bottom w:val="nil"/>
              <w:right w:val="nil"/>
            </w:tcBorders>
            <w:shd w:val="clear" w:color="auto" w:fill="auto"/>
            <w:noWrap/>
            <w:vAlign w:val="center"/>
            <w:hideMark/>
          </w:tcPr>
          <w:p w14:paraId="40B59DC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39,5</w:t>
            </w:r>
          </w:p>
        </w:tc>
        <w:tc>
          <w:tcPr>
            <w:tcW w:w="567" w:type="dxa"/>
            <w:tcBorders>
              <w:top w:val="nil"/>
              <w:left w:val="nil"/>
              <w:bottom w:val="nil"/>
              <w:right w:val="nil"/>
            </w:tcBorders>
            <w:shd w:val="clear" w:color="auto" w:fill="auto"/>
            <w:noWrap/>
            <w:vAlign w:val="center"/>
            <w:hideMark/>
          </w:tcPr>
          <w:p w14:paraId="1272E09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42,7</w:t>
            </w:r>
          </w:p>
        </w:tc>
        <w:tc>
          <w:tcPr>
            <w:tcW w:w="567" w:type="dxa"/>
            <w:tcBorders>
              <w:top w:val="nil"/>
              <w:left w:val="nil"/>
              <w:bottom w:val="nil"/>
              <w:right w:val="nil"/>
            </w:tcBorders>
            <w:shd w:val="clear" w:color="auto" w:fill="auto"/>
            <w:noWrap/>
            <w:vAlign w:val="center"/>
            <w:hideMark/>
          </w:tcPr>
          <w:p w14:paraId="5C1EE00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44,5</w:t>
            </w:r>
          </w:p>
        </w:tc>
        <w:tc>
          <w:tcPr>
            <w:tcW w:w="567" w:type="dxa"/>
            <w:tcBorders>
              <w:top w:val="nil"/>
              <w:left w:val="nil"/>
              <w:bottom w:val="nil"/>
              <w:right w:val="nil"/>
            </w:tcBorders>
            <w:shd w:val="clear" w:color="auto" w:fill="auto"/>
            <w:noWrap/>
            <w:vAlign w:val="center"/>
            <w:hideMark/>
          </w:tcPr>
          <w:p w14:paraId="2784C72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71,1</w:t>
            </w:r>
          </w:p>
        </w:tc>
        <w:tc>
          <w:tcPr>
            <w:tcW w:w="567" w:type="dxa"/>
            <w:tcBorders>
              <w:top w:val="nil"/>
              <w:left w:val="nil"/>
              <w:bottom w:val="nil"/>
              <w:right w:val="nil"/>
            </w:tcBorders>
            <w:shd w:val="clear" w:color="auto" w:fill="auto"/>
            <w:noWrap/>
            <w:vAlign w:val="center"/>
            <w:hideMark/>
          </w:tcPr>
          <w:p w14:paraId="2BD90ADF"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70,1</w:t>
            </w:r>
          </w:p>
        </w:tc>
        <w:tc>
          <w:tcPr>
            <w:tcW w:w="567" w:type="dxa"/>
            <w:vAlign w:val="center"/>
          </w:tcPr>
          <w:p w14:paraId="47EB1E55" w14:textId="3C3A36BA"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75,3</w:t>
            </w:r>
          </w:p>
        </w:tc>
      </w:tr>
      <w:tr w:rsidR="00554433" w:rsidRPr="00554433" w14:paraId="233704B6" w14:textId="3121B1DE" w:rsidTr="00840644">
        <w:trPr>
          <w:trHeight w:val="300"/>
        </w:trPr>
        <w:tc>
          <w:tcPr>
            <w:tcW w:w="3476" w:type="dxa"/>
            <w:tcBorders>
              <w:top w:val="nil"/>
              <w:left w:val="nil"/>
              <w:bottom w:val="nil"/>
              <w:right w:val="single" w:sz="4" w:space="0" w:color="auto"/>
            </w:tcBorders>
            <w:shd w:val="clear" w:color="auto" w:fill="auto"/>
            <w:vAlign w:val="center"/>
            <w:hideMark/>
          </w:tcPr>
          <w:p w14:paraId="755E3337"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C – Zpracovatelský průmysl</w:t>
            </w:r>
          </w:p>
        </w:tc>
        <w:tc>
          <w:tcPr>
            <w:tcW w:w="567" w:type="dxa"/>
            <w:tcBorders>
              <w:top w:val="nil"/>
              <w:left w:val="nil"/>
              <w:bottom w:val="nil"/>
              <w:right w:val="nil"/>
            </w:tcBorders>
            <w:shd w:val="clear" w:color="auto" w:fill="auto"/>
            <w:noWrap/>
            <w:vAlign w:val="center"/>
            <w:hideMark/>
          </w:tcPr>
          <w:p w14:paraId="55C24EAB"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33,9</w:t>
            </w:r>
          </w:p>
        </w:tc>
        <w:tc>
          <w:tcPr>
            <w:tcW w:w="567" w:type="dxa"/>
            <w:tcBorders>
              <w:top w:val="nil"/>
              <w:left w:val="nil"/>
              <w:bottom w:val="nil"/>
              <w:right w:val="nil"/>
            </w:tcBorders>
            <w:shd w:val="clear" w:color="auto" w:fill="auto"/>
            <w:noWrap/>
            <w:vAlign w:val="center"/>
            <w:hideMark/>
          </w:tcPr>
          <w:p w14:paraId="1A50E16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37,6</w:t>
            </w:r>
          </w:p>
        </w:tc>
        <w:tc>
          <w:tcPr>
            <w:tcW w:w="567" w:type="dxa"/>
            <w:tcBorders>
              <w:top w:val="nil"/>
              <w:left w:val="nil"/>
              <w:bottom w:val="nil"/>
              <w:right w:val="nil"/>
            </w:tcBorders>
            <w:shd w:val="clear" w:color="auto" w:fill="auto"/>
            <w:noWrap/>
            <w:vAlign w:val="center"/>
            <w:hideMark/>
          </w:tcPr>
          <w:p w14:paraId="2BE4A3E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37,7</w:t>
            </w:r>
          </w:p>
        </w:tc>
        <w:tc>
          <w:tcPr>
            <w:tcW w:w="567" w:type="dxa"/>
            <w:tcBorders>
              <w:top w:val="nil"/>
              <w:left w:val="nil"/>
              <w:bottom w:val="nil"/>
              <w:right w:val="nil"/>
            </w:tcBorders>
            <w:shd w:val="clear" w:color="auto" w:fill="auto"/>
            <w:noWrap/>
            <w:vAlign w:val="center"/>
            <w:hideMark/>
          </w:tcPr>
          <w:p w14:paraId="7D70D38B"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45,1</w:t>
            </w:r>
          </w:p>
        </w:tc>
        <w:tc>
          <w:tcPr>
            <w:tcW w:w="567" w:type="dxa"/>
            <w:tcBorders>
              <w:top w:val="nil"/>
              <w:left w:val="nil"/>
              <w:bottom w:val="nil"/>
              <w:right w:val="nil"/>
            </w:tcBorders>
            <w:shd w:val="clear" w:color="auto" w:fill="auto"/>
            <w:noWrap/>
            <w:vAlign w:val="center"/>
            <w:hideMark/>
          </w:tcPr>
          <w:p w14:paraId="6C707AA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47,2</w:t>
            </w:r>
          </w:p>
        </w:tc>
        <w:tc>
          <w:tcPr>
            <w:tcW w:w="567" w:type="dxa"/>
            <w:tcBorders>
              <w:top w:val="nil"/>
              <w:left w:val="nil"/>
              <w:bottom w:val="nil"/>
              <w:right w:val="nil"/>
            </w:tcBorders>
            <w:shd w:val="clear" w:color="auto" w:fill="auto"/>
            <w:noWrap/>
            <w:vAlign w:val="center"/>
            <w:hideMark/>
          </w:tcPr>
          <w:p w14:paraId="321E159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48,2</w:t>
            </w:r>
          </w:p>
        </w:tc>
        <w:tc>
          <w:tcPr>
            <w:tcW w:w="567" w:type="dxa"/>
            <w:tcBorders>
              <w:top w:val="nil"/>
              <w:left w:val="nil"/>
              <w:bottom w:val="nil"/>
              <w:right w:val="nil"/>
            </w:tcBorders>
            <w:shd w:val="clear" w:color="auto" w:fill="auto"/>
            <w:noWrap/>
            <w:vAlign w:val="center"/>
            <w:hideMark/>
          </w:tcPr>
          <w:p w14:paraId="472EE8E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51,8</w:t>
            </w:r>
          </w:p>
        </w:tc>
        <w:tc>
          <w:tcPr>
            <w:tcW w:w="567" w:type="dxa"/>
            <w:tcBorders>
              <w:top w:val="nil"/>
              <w:left w:val="nil"/>
              <w:bottom w:val="nil"/>
              <w:right w:val="nil"/>
            </w:tcBorders>
            <w:shd w:val="clear" w:color="auto" w:fill="auto"/>
            <w:noWrap/>
            <w:vAlign w:val="center"/>
            <w:hideMark/>
          </w:tcPr>
          <w:p w14:paraId="6DA9650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53,9</w:t>
            </w:r>
          </w:p>
        </w:tc>
        <w:tc>
          <w:tcPr>
            <w:tcW w:w="567" w:type="dxa"/>
            <w:tcBorders>
              <w:top w:val="nil"/>
              <w:left w:val="nil"/>
              <w:bottom w:val="nil"/>
              <w:right w:val="nil"/>
            </w:tcBorders>
            <w:shd w:val="clear" w:color="auto" w:fill="auto"/>
            <w:noWrap/>
            <w:vAlign w:val="center"/>
            <w:hideMark/>
          </w:tcPr>
          <w:p w14:paraId="169543C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67,1</w:t>
            </w:r>
          </w:p>
        </w:tc>
        <w:tc>
          <w:tcPr>
            <w:tcW w:w="567" w:type="dxa"/>
            <w:tcBorders>
              <w:top w:val="nil"/>
              <w:left w:val="nil"/>
              <w:bottom w:val="nil"/>
              <w:right w:val="nil"/>
            </w:tcBorders>
            <w:shd w:val="clear" w:color="auto" w:fill="auto"/>
            <w:noWrap/>
            <w:vAlign w:val="center"/>
            <w:hideMark/>
          </w:tcPr>
          <w:p w14:paraId="77556CAC" w14:textId="0C482DF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80,4</w:t>
            </w:r>
          </w:p>
        </w:tc>
        <w:tc>
          <w:tcPr>
            <w:tcW w:w="567" w:type="dxa"/>
            <w:vAlign w:val="center"/>
          </w:tcPr>
          <w:p w14:paraId="74B1596D" w14:textId="52C0AB40"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94,6</w:t>
            </w:r>
          </w:p>
        </w:tc>
      </w:tr>
      <w:tr w:rsidR="00554433" w:rsidRPr="00554433" w14:paraId="3B3165A3" w14:textId="44768B72" w:rsidTr="00840644">
        <w:trPr>
          <w:trHeight w:val="480"/>
        </w:trPr>
        <w:tc>
          <w:tcPr>
            <w:tcW w:w="3476" w:type="dxa"/>
            <w:tcBorders>
              <w:top w:val="nil"/>
              <w:left w:val="nil"/>
              <w:bottom w:val="nil"/>
              <w:right w:val="single" w:sz="4" w:space="0" w:color="auto"/>
            </w:tcBorders>
            <w:shd w:val="clear" w:color="auto" w:fill="auto"/>
            <w:vAlign w:val="center"/>
            <w:hideMark/>
          </w:tcPr>
          <w:p w14:paraId="10BC8845"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D – Výroba a rozvod elektřiny, plynu, </w:t>
            </w:r>
            <w:r w:rsidRPr="00554433">
              <w:rPr>
                <w:rFonts w:cs="Arial"/>
                <w:color w:val="000000"/>
                <w:sz w:val="16"/>
                <w:szCs w:val="16"/>
              </w:rPr>
              <w:br/>
              <w:t xml:space="preserve">          tepla a klimatizovaného vzduchu</w:t>
            </w:r>
          </w:p>
        </w:tc>
        <w:tc>
          <w:tcPr>
            <w:tcW w:w="567" w:type="dxa"/>
            <w:tcBorders>
              <w:top w:val="nil"/>
              <w:left w:val="nil"/>
              <w:bottom w:val="nil"/>
              <w:right w:val="nil"/>
            </w:tcBorders>
            <w:shd w:val="clear" w:color="auto" w:fill="auto"/>
            <w:noWrap/>
            <w:vAlign w:val="center"/>
            <w:hideMark/>
          </w:tcPr>
          <w:p w14:paraId="2D03124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16,7</w:t>
            </w:r>
          </w:p>
        </w:tc>
        <w:tc>
          <w:tcPr>
            <w:tcW w:w="567" w:type="dxa"/>
            <w:tcBorders>
              <w:top w:val="nil"/>
              <w:left w:val="nil"/>
              <w:bottom w:val="nil"/>
              <w:right w:val="nil"/>
            </w:tcBorders>
            <w:shd w:val="clear" w:color="auto" w:fill="auto"/>
            <w:noWrap/>
            <w:vAlign w:val="center"/>
            <w:hideMark/>
          </w:tcPr>
          <w:p w14:paraId="69E1A7C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20,2</w:t>
            </w:r>
          </w:p>
        </w:tc>
        <w:tc>
          <w:tcPr>
            <w:tcW w:w="567" w:type="dxa"/>
            <w:tcBorders>
              <w:top w:val="nil"/>
              <w:left w:val="nil"/>
              <w:bottom w:val="nil"/>
              <w:right w:val="nil"/>
            </w:tcBorders>
            <w:shd w:val="clear" w:color="auto" w:fill="auto"/>
            <w:noWrap/>
            <w:vAlign w:val="center"/>
            <w:hideMark/>
          </w:tcPr>
          <w:p w14:paraId="10ED6F2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19,7</w:t>
            </w:r>
          </w:p>
        </w:tc>
        <w:tc>
          <w:tcPr>
            <w:tcW w:w="567" w:type="dxa"/>
            <w:tcBorders>
              <w:top w:val="nil"/>
              <w:left w:val="nil"/>
              <w:bottom w:val="nil"/>
              <w:right w:val="nil"/>
            </w:tcBorders>
            <w:shd w:val="clear" w:color="auto" w:fill="auto"/>
            <w:noWrap/>
            <w:vAlign w:val="center"/>
            <w:hideMark/>
          </w:tcPr>
          <w:p w14:paraId="7FCE156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23,0</w:t>
            </w:r>
          </w:p>
        </w:tc>
        <w:tc>
          <w:tcPr>
            <w:tcW w:w="567" w:type="dxa"/>
            <w:tcBorders>
              <w:top w:val="nil"/>
              <w:left w:val="nil"/>
              <w:bottom w:val="nil"/>
              <w:right w:val="nil"/>
            </w:tcBorders>
            <w:shd w:val="clear" w:color="auto" w:fill="auto"/>
            <w:noWrap/>
            <w:vAlign w:val="center"/>
            <w:hideMark/>
          </w:tcPr>
          <w:p w14:paraId="20187314" w14:textId="31AEFA91"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23,5</w:t>
            </w:r>
          </w:p>
        </w:tc>
        <w:tc>
          <w:tcPr>
            <w:tcW w:w="567" w:type="dxa"/>
            <w:tcBorders>
              <w:top w:val="nil"/>
              <w:left w:val="nil"/>
              <w:bottom w:val="nil"/>
              <w:right w:val="nil"/>
            </w:tcBorders>
            <w:shd w:val="clear" w:color="auto" w:fill="auto"/>
            <w:noWrap/>
            <w:vAlign w:val="center"/>
            <w:hideMark/>
          </w:tcPr>
          <w:p w14:paraId="65038B9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25,3</w:t>
            </w:r>
          </w:p>
        </w:tc>
        <w:tc>
          <w:tcPr>
            <w:tcW w:w="567" w:type="dxa"/>
            <w:tcBorders>
              <w:top w:val="nil"/>
              <w:left w:val="nil"/>
              <w:bottom w:val="nil"/>
              <w:right w:val="nil"/>
            </w:tcBorders>
            <w:shd w:val="clear" w:color="auto" w:fill="auto"/>
            <w:noWrap/>
            <w:vAlign w:val="center"/>
            <w:hideMark/>
          </w:tcPr>
          <w:p w14:paraId="540E60E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29,0</w:t>
            </w:r>
          </w:p>
        </w:tc>
        <w:tc>
          <w:tcPr>
            <w:tcW w:w="567" w:type="dxa"/>
            <w:tcBorders>
              <w:top w:val="nil"/>
              <w:left w:val="nil"/>
              <w:bottom w:val="nil"/>
              <w:right w:val="nil"/>
            </w:tcBorders>
            <w:shd w:val="clear" w:color="auto" w:fill="auto"/>
            <w:noWrap/>
            <w:vAlign w:val="center"/>
            <w:hideMark/>
          </w:tcPr>
          <w:p w14:paraId="46A8DB0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30,0</w:t>
            </w:r>
          </w:p>
        </w:tc>
        <w:tc>
          <w:tcPr>
            <w:tcW w:w="567" w:type="dxa"/>
            <w:tcBorders>
              <w:top w:val="nil"/>
              <w:left w:val="nil"/>
              <w:bottom w:val="nil"/>
              <w:right w:val="nil"/>
            </w:tcBorders>
            <w:shd w:val="clear" w:color="auto" w:fill="auto"/>
            <w:noWrap/>
            <w:vAlign w:val="center"/>
            <w:hideMark/>
          </w:tcPr>
          <w:p w14:paraId="56E79C9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36,1</w:t>
            </w:r>
          </w:p>
        </w:tc>
        <w:tc>
          <w:tcPr>
            <w:tcW w:w="567" w:type="dxa"/>
            <w:tcBorders>
              <w:top w:val="nil"/>
              <w:left w:val="nil"/>
              <w:bottom w:val="nil"/>
              <w:right w:val="nil"/>
            </w:tcBorders>
            <w:shd w:val="clear" w:color="auto" w:fill="auto"/>
            <w:noWrap/>
            <w:vAlign w:val="center"/>
            <w:hideMark/>
          </w:tcPr>
          <w:p w14:paraId="0E6E5EA4" w14:textId="34C07F3C"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41,9</w:t>
            </w:r>
          </w:p>
        </w:tc>
        <w:tc>
          <w:tcPr>
            <w:tcW w:w="567" w:type="dxa"/>
            <w:vAlign w:val="center"/>
          </w:tcPr>
          <w:p w14:paraId="12D05C0C" w14:textId="5E6804B6"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51,5</w:t>
            </w:r>
          </w:p>
        </w:tc>
      </w:tr>
      <w:tr w:rsidR="00554433" w:rsidRPr="00554433" w14:paraId="0E754475" w14:textId="5789977A" w:rsidTr="00840644">
        <w:trPr>
          <w:trHeight w:val="480"/>
        </w:trPr>
        <w:tc>
          <w:tcPr>
            <w:tcW w:w="3476" w:type="dxa"/>
            <w:tcBorders>
              <w:top w:val="nil"/>
              <w:left w:val="nil"/>
              <w:bottom w:val="nil"/>
              <w:right w:val="single" w:sz="4" w:space="0" w:color="auto"/>
            </w:tcBorders>
            <w:shd w:val="clear" w:color="auto" w:fill="auto"/>
            <w:vAlign w:val="center"/>
            <w:hideMark/>
          </w:tcPr>
          <w:p w14:paraId="7114F08F" w14:textId="3882940D"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E – Zásobování vodou; činnosti </w:t>
            </w:r>
            <w:r w:rsidRPr="00554433">
              <w:rPr>
                <w:rFonts w:cs="Arial"/>
                <w:color w:val="000000"/>
                <w:sz w:val="16"/>
                <w:szCs w:val="16"/>
              </w:rPr>
              <w:br/>
              <w:t xml:space="preserve">          související s odpady a sanacemi</w:t>
            </w:r>
          </w:p>
        </w:tc>
        <w:tc>
          <w:tcPr>
            <w:tcW w:w="567" w:type="dxa"/>
            <w:tcBorders>
              <w:top w:val="nil"/>
              <w:left w:val="nil"/>
              <w:bottom w:val="nil"/>
              <w:right w:val="nil"/>
            </w:tcBorders>
            <w:shd w:val="clear" w:color="auto" w:fill="auto"/>
            <w:noWrap/>
            <w:vAlign w:val="center"/>
            <w:hideMark/>
          </w:tcPr>
          <w:p w14:paraId="5F5E48F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25,6</w:t>
            </w:r>
          </w:p>
        </w:tc>
        <w:tc>
          <w:tcPr>
            <w:tcW w:w="567" w:type="dxa"/>
            <w:tcBorders>
              <w:top w:val="nil"/>
              <w:left w:val="nil"/>
              <w:bottom w:val="nil"/>
              <w:right w:val="nil"/>
            </w:tcBorders>
            <w:shd w:val="clear" w:color="auto" w:fill="auto"/>
            <w:noWrap/>
            <w:vAlign w:val="center"/>
            <w:hideMark/>
          </w:tcPr>
          <w:p w14:paraId="3F216F5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29,8</w:t>
            </w:r>
          </w:p>
        </w:tc>
        <w:tc>
          <w:tcPr>
            <w:tcW w:w="567" w:type="dxa"/>
            <w:tcBorders>
              <w:top w:val="nil"/>
              <w:left w:val="nil"/>
              <w:bottom w:val="nil"/>
              <w:right w:val="nil"/>
            </w:tcBorders>
            <w:shd w:val="clear" w:color="auto" w:fill="auto"/>
            <w:noWrap/>
            <w:vAlign w:val="center"/>
            <w:hideMark/>
          </w:tcPr>
          <w:p w14:paraId="00B9270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29,7</w:t>
            </w:r>
          </w:p>
        </w:tc>
        <w:tc>
          <w:tcPr>
            <w:tcW w:w="567" w:type="dxa"/>
            <w:tcBorders>
              <w:top w:val="nil"/>
              <w:left w:val="nil"/>
              <w:bottom w:val="nil"/>
              <w:right w:val="nil"/>
            </w:tcBorders>
            <w:shd w:val="clear" w:color="auto" w:fill="auto"/>
            <w:noWrap/>
            <w:vAlign w:val="center"/>
            <w:hideMark/>
          </w:tcPr>
          <w:p w14:paraId="5A1A5FB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34,5</w:t>
            </w:r>
          </w:p>
        </w:tc>
        <w:tc>
          <w:tcPr>
            <w:tcW w:w="567" w:type="dxa"/>
            <w:tcBorders>
              <w:top w:val="nil"/>
              <w:left w:val="nil"/>
              <w:bottom w:val="nil"/>
              <w:right w:val="nil"/>
            </w:tcBorders>
            <w:shd w:val="clear" w:color="auto" w:fill="auto"/>
            <w:noWrap/>
            <w:vAlign w:val="center"/>
            <w:hideMark/>
          </w:tcPr>
          <w:p w14:paraId="40D740E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36,1</w:t>
            </w:r>
          </w:p>
        </w:tc>
        <w:tc>
          <w:tcPr>
            <w:tcW w:w="567" w:type="dxa"/>
            <w:tcBorders>
              <w:top w:val="nil"/>
              <w:left w:val="nil"/>
              <w:bottom w:val="nil"/>
              <w:right w:val="nil"/>
            </w:tcBorders>
            <w:shd w:val="clear" w:color="auto" w:fill="auto"/>
            <w:noWrap/>
            <w:vAlign w:val="center"/>
            <w:hideMark/>
          </w:tcPr>
          <w:p w14:paraId="1CE1DD8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37,7</w:t>
            </w:r>
          </w:p>
        </w:tc>
        <w:tc>
          <w:tcPr>
            <w:tcW w:w="567" w:type="dxa"/>
            <w:tcBorders>
              <w:top w:val="nil"/>
              <w:left w:val="nil"/>
              <w:bottom w:val="nil"/>
              <w:right w:val="nil"/>
            </w:tcBorders>
            <w:shd w:val="clear" w:color="auto" w:fill="auto"/>
            <w:noWrap/>
            <w:vAlign w:val="center"/>
            <w:hideMark/>
          </w:tcPr>
          <w:p w14:paraId="1FFC1DF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40,9</w:t>
            </w:r>
          </w:p>
        </w:tc>
        <w:tc>
          <w:tcPr>
            <w:tcW w:w="567" w:type="dxa"/>
            <w:tcBorders>
              <w:top w:val="nil"/>
              <w:left w:val="nil"/>
              <w:bottom w:val="nil"/>
              <w:right w:val="nil"/>
            </w:tcBorders>
            <w:shd w:val="clear" w:color="auto" w:fill="auto"/>
            <w:noWrap/>
            <w:vAlign w:val="center"/>
            <w:hideMark/>
          </w:tcPr>
          <w:p w14:paraId="26168717" w14:textId="02C4E3E2"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42,6</w:t>
            </w:r>
          </w:p>
        </w:tc>
        <w:tc>
          <w:tcPr>
            <w:tcW w:w="567" w:type="dxa"/>
            <w:tcBorders>
              <w:top w:val="nil"/>
              <w:left w:val="nil"/>
              <w:bottom w:val="nil"/>
              <w:right w:val="nil"/>
            </w:tcBorders>
            <w:shd w:val="clear" w:color="auto" w:fill="auto"/>
            <w:noWrap/>
            <w:vAlign w:val="center"/>
            <w:hideMark/>
          </w:tcPr>
          <w:p w14:paraId="49494895" w14:textId="14152956"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51,8</w:t>
            </w:r>
          </w:p>
        </w:tc>
        <w:tc>
          <w:tcPr>
            <w:tcW w:w="567" w:type="dxa"/>
            <w:tcBorders>
              <w:top w:val="nil"/>
              <w:left w:val="nil"/>
              <w:bottom w:val="nil"/>
              <w:right w:val="nil"/>
            </w:tcBorders>
            <w:shd w:val="clear" w:color="auto" w:fill="auto"/>
            <w:noWrap/>
            <w:vAlign w:val="center"/>
            <w:hideMark/>
          </w:tcPr>
          <w:p w14:paraId="1B72640F" w14:textId="23898F5F"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65,6</w:t>
            </w:r>
          </w:p>
        </w:tc>
        <w:tc>
          <w:tcPr>
            <w:tcW w:w="567" w:type="dxa"/>
            <w:vAlign w:val="center"/>
          </w:tcPr>
          <w:p w14:paraId="54850999" w14:textId="6A6D6588"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75,4</w:t>
            </w:r>
          </w:p>
        </w:tc>
      </w:tr>
      <w:tr w:rsidR="00554433" w:rsidRPr="00554433" w14:paraId="29B898C0" w14:textId="116640EB" w:rsidTr="00840644">
        <w:trPr>
          <w:trHeight w:val="300"/>
        </w:trPr>
        <w:tc>
          <w:tcPr>
            <w:tcW w:w="3476" w:type="dxa"/>
            <w:tcBorders>
              <w:top w:val="nil"/>
              <w:left w:val="nil"/>
              <w:bottom w:val="nil"/>
              <w:right w:val="single" w:sz="4" w:space="0" w:color="auto"/>
            </w:tcBorders>
            <w:shd w:val="clear" w:color="auto" w:fill="auto"/>
            <w:vAlign w:val="center"/>
            <w:hideMark/>
          </w:tcPr>
          <w:p w14:paraId="43CFE80A" w14:textId="3FC1CC70"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F – Stavebnictví</w:t>
            </w:r>
          </w:p>
        </w:tc>
        <w:tc>
          <w:tcPr>
            <w:tcW w:w="567" w:type="dxa"/>
            <w:tcBorders>
              <w:top w:val="nil"/>
              <w:left w:val="nil"/>
              <w:bottom w:val="nil"/>
              <w:right w:val="nil"/>
            </w:tcBorders>
            <w:shd w:val="clear" w:color="auto" w:fill="auto"/>
            <w:noWrap/>
            <w:vAlign w:val="center"/>
            <w:hideMark/>
          </w:tcPr>
          <w:p w14:paraId="62616F8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26,7</w:t>
            </w:r>
          </w:p>
        </w:tc>
        <w:tc>
          <w:tcPr>
            <w:tcW w:w="567" w:type="dxa"/>
            <w:tcBorders>
              <w:top w:val="nil"/>
              <w:left w:val="nil"/>
              <w:bottom w:val="nil"/>
              <w:right w:val="nil"/>
            </w:tcBorders>
            <w:shd w:val="clear" w:color="auto" w:fill="auto"/>
            <w:noWrap/>
            <w:vAlign w:val="center"/>
            <w:hideMark/>
          </w:tcPr>
          <w:p w14:paraId="4F00CE0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28,9</w:t>
            </w:r>
          </w:p>
        </w:tc>
        <w:tc>
          <w:tcPr>
            <w:tcW w:w="567" w:type="dxa"/>
            <w:tcBorders>
              <w:top w:val="nil"/>
              <w:left w:val="nil"/>
              <w:bottom w:val="nil"/>
              <w:right w:val="nil"/>
            </w:tcBorders>
            <w:shd w:val="clear" w:color="auto" w:fill="auto"/>
            <w:noWrap/>
            <w:vAlign w:val="center"/>
            <w:hideMark/>
          </w:tcPr>
          <w:p w14:paraId="6CEC0A8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27,0</w:t>
            </w:r>
          </w:p>
        </w:tc>
        <w:tc>
          <w:tcPr>
            <w:tcW w:w="567" w:type="dxa"/>
            <w:tcBorders>
              <w:top w:val="nil"/>
              <w:left w:val="nil"/>
              <w:bottom w:val="nil"/>
              <w:right w:val="nil"/>
            </w:tcBorders>
            <w:shd w:val="clear" w:color="auto" w:fill="auto"/>
            <w:noWrap/>
            <w:vAlign w:val="center"/>
            <w:hideMark/>
          </w:tcPr>
          <w:p w14:paraId="365BC04B"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30,9</w:t>
            </w:r>
          </w:p>
        </w:tc>
        <w:tc>
          <w:tcPr>
            <w:tcW w:w="567" w:type="dxa"/>
            <w:tcBorders>
              <w:top w:val="nil"/>
              <w:left w:val="nil"/>
              <w:bottom w:val="nil"/>
              <w:right w:val="nil"/>
            </w:tcBorders>
            <w:shd w:val="clear" w:color="auto" w:fill="auto"/>
            <w:noWrap/>
            <w:vAlign w:val="center"/>
            <w:hideMark/>
          </w:tcPr>
          <w:p w14:paraId="78ECD76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31,2</w:t>
            </w:r>
          </w:p>
        </w:tc>
        <w:tc>
          <w:tcPr>
            <w:tcW w:w="567" w:type="dxa"/>
            <w:tcBorders>
              <w:top w:val="nil"/>
              <w:left w:val="nil"/>
              <w:bottom w:val="nil"/>
              <w:right w:val="nil"/>
            </w:tcBorders>
            <w:shd w:val="clear" w:color="auto" w:fill="auto"/>
            <w:noWrap/>
            <w:vAlign w:val="center"/>
            <w:hideMark/>
          </w:tcPr>
          <w:p w14:paraId="310FB82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31,6</w:t>
            </w:r>
          </w:p>
        </w:tc>
        <w:tc>
          <w:tcPr>
            <w:tcW w:w="567" w:type="dxa"/>
            <w:tcBorders>
              <w:top w:val="nil"/>
              <w:left w:val="nil"/>
              <w:bottom w:val="nil"/>
              <w:right w:val="nil"/>
            </w:tcBorders>
            <w:shd w:val="clear" w:color="auto" w:fill="auto"/>
            <w:noWrap/>
            <w:vAlign w:val="center"/>
            <w:hideMark/>
          </w:tcPr>
          <w:p w14:paraId="431852D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32,7</w:t>
            </w:r>
          </w:p>
        </w:tc>
        <w:tc>
          <w:tcPr>
            <w:tcW w:w="567" w:type="dxa"/>
            <w:tcBorders>
              <w:top w:val="nil"/>
              <w:left w:val="nil"/>
              <w:bottom w:val="nil"/>
              <w:right w:val="nil"/>
            </w:tcBorders>
            <w:shd w:val="clear" w:color="auto" w:fill="auto"/>
            <w:noWrap/>
            <w:vAlign w:val="center"/>
            <w:hideMark/>
          </w:tcPr>
          <w:p w14:paraId="172F9F96" w14:textId="66A09E98"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33,9</w:t>
            </w:r>
          </w:p>
        </w:tc>
        <w:tc>
          <w:tcPr>
            <w:tcW w:w="567" w:type="dxa"/>
            <w:tcBorders>
              <w:top w:val="nil"/>
              <w:left w:val="nil"/>
              <w:bottom w:val="nil"/>
              <w:right w:val="nil"/>
            </w:tcBorders>
            <w:shd w:val="clear" w:color="auto" w:fill="auto"/>
            <w:noWrap/>
            <w:vAlign w:val="center"/>
            <w:hideMark/>
          </w:tcPr>
          <w:p w14:paraId="1909F2EB"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44,2</w:t>
            </w:r>
          </w:p>
        </w:tc>
        <w:tc>
          <w:tcPr>
            <w:tcW w:w="567" w:type="dxa"/>
            <w:tcBorders>
              <w:top w:val="nil"/>
              <w:left w:val="nil"/>
              <w:bottom w:val="nil"/>
              <w:right w:val="nil"/>
            </w:tcBorders>
            <w:shd w:val="clear" w:color="auto" w:fill="auto"/>
            <w:noWrap/>
            <w:vAlign w:val="center"/>
            <w:hideMark/>
          </w:tcPr>
          <w:p w14:paraId="2DB8E868" w14:textId="49C56669"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52,4</w:t>
            </w:r>
          </w:p>
        </w:tc>
        <w:tc>
          <w:tcPr>
            <w:tcW w:w="567" w:type="dxa"/>
            <w:vAlign w:val="center"/>
          </w:tcPr>
          <w:p w14:paraId="1AD53710" w14:textId="00AE236E"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56,0</w:t>
            </w:r>
          </w:p>
        </w:tc>
      </w:tr>
      <w:tr w:rsidR="00554433" w:rsidRPr="00554433" w14:paraId="367973CD" w14:textId="3391D26F" w:rsidTr="00840644">
        <w:trPr>
          <w:trHeight w:val="480"/>
        </w:trPr>
        <w:tc>
          <w:tcPr>
            <w:tcW w:w="3476" w:type="dxa"/>
            <w:tcBorders>
              <w:top w:val="nil"/>
              <w:left w:val="nil"/>
              <w:bottom w:val="nil"/>
              <w:right w:val="single" w:sz="4" w:space="0" w:color="auto"/>
            </w:tcBorders>
            <w:shd w:val="clear" w:color="auto" w:fill="auto"/>
            <w:vAlign w:val="center"/>
            <w:hideMark/>
          </w:tcPr>
          <w:p w14:paraId="29C8D5B8" w14:textId="2FE6436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G – Velkoobchod a maloobchod; </w:t>
            </w:r>
            <w:r w:rsidRPr="00554433">
              <w:rPr>
                <w:rFonts w:cs="Arial"/>
                <w:color w:val="000000"/>
                <w:sz w:val="16"/>
                <w:szCs w:val="16"/>
              </w:rPr>
              <w:br/>
              <w:t xml:space="preserve">          opravy a údržba motorových vozidel</w:t>
            </w:r>
          </w:p>
        </w:tc>
        <w:tc>
          <w:tcPr>
            <w:tcW w:w="567" w:type="dxa"/>
            <w:tcBorders>
              <w:top w:val="nil"/>
              <w:left w:val="nil"/>
              <w:bottom w:val="nil"/>
              <w:right w:val="nil"/>
            </w:tcBorders>
            <w:shd w:val="clear" w:color="auto" w:fill="auto"/>
            <w:noWrap/>
            <w:vAlign w:val="center"/>
            <w:hideMark/>
          </w:tcPr>
          <w:p w14:paraId="7378F62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24,1</w:t>
            </w:r>
          </w:p>
        </w:tc>
        <w:tc>
          <w:tcPr>
            <w:tcW w:w="567" w:type="dxa"/>
            <w:tcBorders>
              <w:top w:val="nil"/>
              <w:left w:val="nil"/>
              <w:bottom w:val="nil"/>
              <w:right w:val="nil"/>
            </w:tcBorders>
            <w:shd w:val="clear" w:color="auto" w:fill="auto"/>
            <w:noWrap/>
            <w:vAlign w:val="center"/>
            <w:hideMark/>
          </w:tcPr>
          <w:p w14:paraId="0288947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26,6</w:t>
            </w:r>
          </w:p>
        </w:tc>
        <w:tc>
          <w:tcPr>
            <w:tcW w:w="567" w:type="dxa"/>
            <w:tcBorders>
              <w:top w:val="nil"/>
              <w:left w:val="nil"/>
              <w:bottom w:val="nil"/>
              <w:right w:val="nil"/>
            </w:tcBorders>
            <w:shd w:val="clear" w:color="auto" w:fill="auto"/>
            <w:noWrap/>
            <w:vAlign w:val="center"/>
            <w:hideMark/>
          </w:tcPr>
          <w:p w14:paraId="4CB509D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26,3</w:t>
            </w:r>
          </w:p>
        </w:tc>
        <w:tc>
          <w:tcPr>
            <w:tcW w:w="567" w:type="dxa"/>
            <w:tcBorders>
              <w:top w:val="nil"/>
              <w:left w:val="nil"/>
              <w:bottom w:val="nil"/>
              <w:right w:val="nil"/>
            </w:tcBorders>
            <w:shd w:val="clear" w:color="auto" w:fill="auto"/>
            <w:noWrap/>
            <w:vAlign w:val="center"/>
            <w:hideMark/>
          </w:tcPr>
          <w:p w14:paraId="5846C70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30,3</w:t>
            </w:r>
          </w:p>
        </w:tc>
        <w:tc>
          <w:tcPr>
            <w:tcW w:w="567" w:type="dxa"/>
            <w:tcBorders>
              <w:top w:val="nil"/>
              <w:left w:val="nil"/>
              <w:bottom w:val="nil"/>
              <w:right w:val="nil"/>
            </w:tcBorders>
            <w:shd w:val="clear" w:color="auto" w:fill="auto"/>
            <w:noWrap/>
            <w:vAlign w:val="center"/>
            <w:hideMark/>
          </w:tcPr>
          <w:p w14:paraId="2E4D830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33,8</w:t>
            </w:r>
          </w:p>
        </w:tc>
        <w:tc>
          <w:tcPr>
            <w:tcW w:w="567" w:type="dxa"/>
            <w:tcBorders>
              <w:top w:val="nil"/>
              <w:left w:val="nil"/>
              <w:bottom w:val="nil"/>
              <w:right w:val="nil"/>
            </w:tcBorders>
            <w:shd w:val="clear" w:color="auto" w:fill="auto"/>
            <w:noWrap/>
            <w:vAlign w:val="center"/>
            <w:hideMark/>
          </w:tcPr>
          <w:p w14:paraId="6EA85B3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34,5</w:t>
            </w:r>
          </w:p>
        </w:tc>
        <w:tc>
          <w:tcPr>
            <w:tcW w:w="567" w:type="dxa"/>
            <w:tcBorders>
              <w:top w:val="nil"/>
              <w:left w:val="nil"/>
              <w:bottom w:val="nil"/>
              <w:right w:val="nil"/>
            </w:tcBorders>
            <w:shd w:val="clear" w:color="auto" w:fill="auto"/>
            <w:noWrap/>
            <w:vAlign w:val="center"/>
            <w:hideMark/>
          </w:tcPr>
          <w:p w14:paraId="4BC0253F"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37,6</w:t>
            </w:r>
          </w:p>
        </w:tc>
        <w:tc>
          <w:tcPr>
            <w:tcW w:w="567" w:type="dxa"/>
            <w:tcBorders>
              <w:top w:val="nil"/>
              <w:left w:val="nil"/>
              <w:bottom w:val="nil"/>
              <w:right w:val="nil"/>
            </w:tcBorders>
            <w:shd w:val="clear" w:color="auto" w:fill="auto"/>
            <w:noWrap/>
            <w:vAlign w:val="center"/>
            <w:hideMark/>
          </w:tcPr>
          <w:p w14:paraId="2561BAD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40,3</w:t>
            </w:r>
          </w:p>
        </w:tc>
        <w:tc>
          <w:tcPr>
            <w:tcW w:w="567" w:type="dxa"/>
            <w:tcBorders>
              <w:top w:val="nil"/>
              <w:left w:val="nil"/>
              <w:bottom w:val="nil"/>
              <w:right w:val="nil"/>
            </w:tcBorders>
            <w:shd w:val="clear" w:color="auto" w:fill="auto"/>
            <w:noWrap/>
            <w:vAlign w:val="center"/>
            <w:hideMark/>
          </w:tcPr>
          <w:p w14:paraId="314921CC" w14:textId="10A6779C"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49,9</w:t>
            </w:r>
          </w:p>
        </w:tc>
        <w:tc>
          <w:tcPr>
            <w:tcW w:w="567" w:type="dxa"/>
            <w:tcBorders>
              <w:top w:val="nil"/>
              <w:left w:val="nil"/>
              <w:bottom w:val="nil"/>
              <w:right w:val="nil"/>
            </w:tcBorders>
            <w:shd w:val="clear" w:color="auto" w:fill="auto"/>
            <w:noWrap/>
            <w:vAlign w:val="center"/>
            <w:hideMark/>
          </w:tcPr>
          <w:p w14:paraId="5DA24D39" w14:textId="6EB010BE"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56,9</w:t>
            </w:r>
          </w:p>
        </w:tc>
        <w:tc>
          <w:tcPr>
            <w:tcW w:w="567" w:type="dxa"/>
            <w:vAlign w:val="center"/>
          </w:tcPr>
          <w:p w14:paraId="7C42AAE3" w14:textId="24A2C582"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71,7</w:t>
            </w:r>
          </w:p>
        </w:tc>
      </w:tr>
      <w:tr w:rsidR="00554433" w:rsidRPr="00554433" w14:paraId="7DEE79C3" w14:textId="137FD1D7" w:rsidTr="00840644">
        <w:trPr>
          <w:trHeight w:val="300"/>
        </w:trPr>
        <w:tc>
          <w:tcPr>
            <w:tcW w:w="3476" w:type="dxa"/>
            <w:tcBorders>
              <w:top w:val="nil"/>
              <w:left w:val="nil"/>
              <w:bottom w:val="nil"/>
              <w:right w:val="single" w:sz="4" w:space="0" w:color="auto"/>
            </w:tcBorders>
            <w:shd w:val="clear" w:color="auto" w:fill="auto"/>
            <w:vAlign w:val="center"/>
            <w:hideMark/>
          </w:tcPr>
          <w:p w14:paraId="6C5C4F1E"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H – Doprava a skladování</w:t>
            </w:r>
          </w:p>
        </w:tc>
        <w:tc>
          <w:tcPr>
            <w:tcW w:w="567" w:type="dxa"/>
            <w:tcBorders>
              <w:top w:val="nil"/>
              <w:left w:val="nil"/>
              <w:bottom w:val="nil"/>
              <w:right w:val="nil"/>
            </w:tcBorders>
            <w:shd w:val="clear" w:color="auto" w:fill="auto"/>
            <w:noWrap/>
            <w:vAlign w:val="center"/>
            <w:hideMark/>
          </w:tcPr>
          <w:p w14:paraId="358E7BB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24,8</w:t>
            </w:r>
          </w:p>
        </w:tc>
        <w:tc>
          <w:tcPr>
            <w:tcW w:w="567" w:type="dxa"/>
            <w:tcBorders>
              <w:top w:val="nil"/>
              <w:left w:val="nil"/>
              <w:bottom w:val="nil"/>
              <w:right w:val="nil"/>
            </w:tcBorders>
            <w:shd w:val="clear" w:color="auto" w:fill="auto"/>
            <w:noWrap/>
            <w:vAlign w:val="center"/>
            <w:hideMark/>
          </w:tcPr>
          <w:p w14:paraId="362C9E5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27,5</w:t>
            </w:r>
          </w:p>
        </w:tc>
        <w:tc>
          <w:tcPr>
            <w:tcW w:w="567" w:type="dxa"/>
            <w:tcBorders>
              <w:top w:val="nil"/>
              <w:left w:val="nil"/>
              <w:bottom w:val="nil"/>
              <w:right w:val="nil"/>
            </w:tcBorders>
            <w:shd w:val="clear" w:color="auto" w:fill="auto"/>
            <w:noWrap/>
            <w:vAlign w:val="center"/>
            <w:hideMark/>
          </w:tcPr>
          <w:p w14:paraId="68C2D29B" w14:textId="6AD0E9F1"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27,3</w:t>
            </w:r>
          </w:p>
        </w:tc>
        <w:tc>
          <w:tcPr>
            <w:tcW w:w="567" w:type="dxa"/>
            <w:tcBorders>
              <w:top w:val="nil"/>
              <w:left w:val="nil"/>
              <w:bottom w:val="nil"/>
              <w:right w:val="nil"/>
            </w:tcBorders>
            <w:shd w:val="clear" w:color="auto" w:fill="auto"/>
            <w:noWrap/>
            <w:vAlign w:val="center"/>
            <w:hideMark/>
          </w:tcPr>
          <w:p w14:paraId="1516793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32,5</w:t>
            </w:r>
          </w:p>
        </w:tc>
        <w:tc>
          <w:tcPr>
            <w:tcW w:w="567" w:type="dxa"/>
            <w:tcBorders>
              <w:top w:val="nil"/>
              <w:left w:val="nil"/>
              <w:bottom w:val="nil"/>
              <w:right w:val="nil"/>
            </w:tcBorders>
            <w:shd w:val="clear" w:color="auto" w:fill="auto"/>
            <w:noWrap/>
            <w:vAlign w:val="center"/>
            <w:hideMark/>
          </w:tcPr>
          <w:p w14:paraId="1A345ACB"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33,6</w:t>
            </w:r>
          </w:p>
        </w:tc>
        <w:tc>
          <w:tcPr>
            <w:tcW w:w="567" w:type="dxa"/>
            <w:tcBorders>
              <w:top w:val="nil"/>
              <w:left w:val="nil"/>
              <w:bottom w:val="nil"/>
              <w:right w:val="nil"/>
            </w:tcBorders>
            <w:shd w:val="clear" w:color="auto" w:fill="auto"/>
            <w:noWrap/>
            <w:vAlign w:val="center"/>
            <w:hideMark/>
          </w:tcPr>
          <w:p w14:paraId="658BD93D"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36,4</w:t>
            </w:r>
          </w:p>
        </w:tc>
        <w:tc>
          <w:tcPr>
            <w:tcW w:w="567" w:type="dxa"/>
            <w:tcBorders>
              <w:top w:val="nil"/>
              <w:left w:val="nil"/>
              <w:bottom w:val="nil"/>
              <w:right w:val="nil"/>
            </w:tcBorders>
            <w:shd w:val="clear" w:color="auto" w:fill="auto"/>
            <w:noWrap/>
            <w:vAlign w:val="center"/>
            <w:hideMark/>
          </w:tcPr>
          <w:p w14:paraId="4119DB8B" w14:textId="0D717A3A"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39,2</w:t>
            </w:r>
          </w:p>
        </w:tc>
        <w:tc>
          <w:tcPr>
            <w:tcW w:w="567" w:type="dxa"/>
            <w:tcBorders>
              <w:top w:val="nil"/>
              <w:left w:val="nil"/>
              <w:bottom w:val="nil"/>
              <w:right w:val="nil"/>
            </w:tcBorders>
            <w:shd w:val="clear" w:color="auto" w:fill="auto"/>
            <w:noWrap/>
            <w:vAlign w:val="center"/>
            <w:hideMark/>
          </w:tcPr>
          <w:p w14:paraId="180829EE" w14:textId="2F3AE884"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39,9</w:t>
            </w:r>
          </w:p>
        </w:tc>
        <w:tc>
          <w:tcPr>
            <w:tcW w:w="567" w:type="dxa"/>
            <w:tcBorders>
              <w:top w:val="nil"/>
              <w:left w:val="nil"/>
              <w:bottom w:val="nil"/>
              <w:right w:val="nil"/>
            </w:tcBorders>
            <w:shd w:val="clear" w:color="auto" w:fill="auto"/>
            <w:noWrap/>
            <w:vAlign w:val="center"/>
            <w:hideMark/>
          </w:tcPr>
          <w:p w14:paraId="0C3D5F6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50,0</w:t>
            </w:r>
          </w:p>
        </w:tc>
        <w:tc>
          <w:tcPr>
            <w:tcW w:w="567" w:type="dxa"/>
            <w:tcBorders>
              <w:top w:val="nil"/>
              <w:left w:val="nil"/>
              <w:bottom w:val="nil"/>
              <w:right w:val="nil"/>
            </w:tcBorders>
            <w:shd w:val="clear" w:color="auto" w:fill="auto"/>
            <w:noWrap/>
            <w:vAlign w:val="center"/>
            <w:hideMark/>
          </w:tcPr>
          <w:p w14:paraId="298211B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61,2</w:t>
            </w:r>
          </w:p>
        </w:tc>
        <w:tc>
          <w:tcPr>
            <w:tcW w:w="567" w:type="dxa"/>
            <w:vAlign w:val="center"/>
          </w:tcPr>
          <w:p w14:paraId="29A1CEC4" w14:textId="3F860EBE"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70,0</w:t>
            </w:r>
          </w:p>
        </w:tc>
      </w:tr>
      <w:tr w:rsidR="00554433" w:rsidRPr="00554433" w14:paraId="1850202C" w14:textId="14F06B30" w:rsidTr="00840644">
        <w:trPr>
          <w:trHeight w:val="480"/>
        </w:trPr>
        <w:tc>
          <w:tcPr>
            <w:tcW w:w="3476" w:type="dxa"/>
            <w:tcBorders>
              <w:top w:val="nil"/>
              <w:left w:val="nil"/>
              <w:bottom w:val="nil"/>
              <w:right w:val="single" w:sz="4" w:space="0" w:color="auto"/>
            </w:tcBorders>
            <w:shd w:val="clear" w:color="auto" w:fill="auto"/>
            <w:vAlign w:val="center"/>
            <w:hideMark/>
          </w:tcPr>
          <w:p w14:paraId="40C21757"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I – Ubytování, stravování </w:t>
            </w:r>
            <w:r w:rsidRPr="00554433">
              <w:rPr>
                <w:rFonts w:cs="Arial"/>
                <w:color w:val="000000"/>
                <w:sz w:val="16"/>
                <w:szCs w:val="16"/>
              </w:rPr>
              <w:br/>
              <w:t xml:space="preserve">         a pohostinství</w:t>
            </w:r>
          </w:p>
        </w:tc>
        <w:tc>
          <w:tcPr>
            <w:tcW w:w="567" w:type="dxa"/>
            <w:tcBorders>
              <w:top w:val="nil"/>
              <w:left w:val="nil"/>
              <w:bottom w:val="nil"/>
              <w:right w:val="nil"/>
            </w:tcBorders>
            <w:shd w:val="clear" w:color="auto" w:fill="auto"/>
            <w:noWrap/>
            <w:vAlign w:val="center"/>
            <w:hideMark/>
          </w:tcPr>
          <w:p w14:paraId="16267DA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22,6</w:t>
            </w:r>
          </w:p>
        </w:tc>
        <w:tc>
          <w:tcPr>
            <w:tcW w:w="567" w:type="dxa"/>
            <w:tcBorders>
              <w:top w:val="nil"/>
              <w:left w:val="nil"/>
              <w:bottom w:val="nil"/>
              <w:right w:val="nil"/>
            </w:tcBorders>
            <w:shd w:val="clear" w:color="auto" w:fill="auto"/>
            <w:noWrap/>
            <w:vAlign w:val="center"/>
            <w:hideMark/>
          </w:tcPr>
          <w:p w14:paraId="5DAECC8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23,7</w:t>
            </w:r>
          </w:p>
        </w:tc>
        <w:tc>
          <w:tcPr>
            <w:tcW w:w="567" w:type="dxa"/>
            <w:tcBorders>
              <w:top w:val="nil"/>
              <w:left w:val="nil"/>
              <w:bottom w:val="nil"/>
              <w:right w:val="nil"/>
            </w:tcBorders>
            <w:shd w:val="clear" w:color="auto" w:fill="auto"/>
            <w:noWrap/>
            <w:vAlign w:val="center"/>
            <w:hideMark/>
          </w:tcPr>
          <w:p w14:paraId="15E9299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23,7</w:t>
            </w:r>
          </w:p>
        </w:tc>
        <w:tc>
          <w:tcPr>
            <w:tcW w:w="567" w:type="dxa"/>
            <w:tcBorders>
              <w:top w:val="nil"/>
              <w:left w:val="nil"/>
              <w:bottom w:val="nil"/>
              <w:right w:val="nil"/>
            </w:tcBorders>
            <w:shd w:val="clear" w:color="auto" w:fill="auto"/>
            <w:noWrap/>
            <w:vAlign w:val="center"/>
            <w:hideMark/>
          </w:tcPr>
          <w:p w14:paraId="2CEE4C5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26,9</w:t>
            </w:r>
          </w:p>
        </w:tc>
        <w:tc>
          <w:tcPr>
            <w:tcW w:w="567" w:type="dxa"/>
            <w:tcBorders>
              <w:top w:val="nil"/>
              <w:left w:val="nil"/>
              <w:bottom w:val="nil"/>
              <w:right w:val="nil"/>
            </w:tcBorders>
            <w:shd w:val="clear" w:color="auto" w:fill="auto"/>
            <w:noWrap/>
            <w:vAlign w:val="center"/>
            <w:hideMark/>
          </w:tcPr>
          <w:p w14:paraId="4CF2A8ED" w14:textId="7CA61429"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28,0</w:t>
            </w:r>
          </w:p>
        </w:tc>
        <w:tc>
          <w:tcPr>
            <w:tcW w:w="567" w:type="dxa"/>
            <w:tcBorders>
              <w:top w:val="nil"/>
              <w:left w:val="nil"/>
              <w:bottom w:val="nil"/>
              <w:right w:val="nil"/>
            </w:tcBorders>
            <w:shd w:val="clear" w:color="auto" w:fill="auto"/>
            <w:noWrap/>
            <w:vAlign w:val="center"/>
            <w:hideMark/>
          </w:tcPr>
          <w:p w14:paraId="14475C59" w14:textId="17DE59CF"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27,9</w:t>
            </w:r>
          </w:p>
        </w:tc>
        <w:tc>
          <w:tcPr>
            <w:tcW w:w="567" w:type="dxa"/>
            <w:tcBorders>
              <w:top w:val="nil"/>
              <w:left w:val="nil"/>
              <w:bottom w:val="nil"/>
              <w:right w:val="nil"/>
            </w:tcBorders>
            <w:shd w:val="clear" w:color="auto" w:fill="auto"/>
            <w:noWrap/>
            <w:vAlign w:val="center"/>
            <w:hideMark/>
          </w:tcPr>
          <w:p w14:paraId="10AE8A6B"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29,9</w:t>
            </w:r>
          </w:p>
        </w:tc>
        <w:tc>
          <w:tcPr>
            <w:tcW w:w="567" w:type="dxa"/>
            <w:tcBorders>
              <w:top w:val="nil"/>
              <w:left w:val="nil"/>
              <w:bottom w:val="nil"/>
              <w:right w:val="nil"/>
            </w:tcBorders>
            <w:shd w:val="clear" w:color="auto" w:fill="auto"/>
            <w:noWrap/>
            <w:vAlign w:val="center"/>
            <w:hideMark/>
          </w:tcPr>
          <w:p w14:paraId="1300D44F"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30,8</w:t>
            </w:r>
          </w:p>
        </w:tc>
        <w:tc>
          <w:tcPr>
            <w:tcW w:w="567" w:type="dxa"/>
            <w:tcBorders>
              <w:top w:val="nil"/>
              <w:left w:val="nil"/>
              <w:bottom w:val="nil"/>
              <w:right w:val="nil"/>
            </w:tcBorders>
            <w:shd w:val="clear" w:color="auto" w:fill="auto"/>
            <w:noWrap/>
            <w:vAlign w:val="center"/>
            <w:hideMark/>
          </w:tcPr>
          <w:p w14:paraId="21DD9F5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41,5</w:t>
            </w:r>
          </w:p>
        </w:tc>
        <w:tc>
          <w:tcPr>
            <w:tcW w:w="567" w:type="dxa"/>
            <w:tcBorders>
              <w:top w:val="nil"/>
              <w:left w:val="nil"/>
              <w:bottom w:val="nil"/>
              <w:right w:val="nil"/>
            </w:tcBorders>
            <w:shd w:val="clear" w:color="auto" w:fill="auto"/>
            <w:noWrap/>
            <w:vAlign w:val="center"/>
            <w:hideMark/>
          </w:tcPr>
          <w:p w14:paraId="4E36686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39,2</w:t>
            </w:r>
          </w:p>
        </w:tc>
        <w:tc>
          <w:tcPr>
            <w:tcW w:w="567" w:type="dxa"/>
            <w:vAlign w:val="center"/>
          </w:tcPr>
          <w:p w14:paraId="664CD3F2" w14:textId="2C6BDE01"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51,9</w:t>
            </w:r>
          </w:p>
        </w:tc>
      </w:tr>
      <w:tr w:rsidR="00554433" w:rsidRPr="00554433" w14:paraId="29034E36" w14:textId="4130A634" w:rsidTr="00840644">
        <w:trPr>
          <w:trHeight w:val="300"/>
        </w:trPr>
        <w:tc>
          <w:tcPr>
            <w:tcW w:w="3476" w:type="dxa"/>
            <w:tcBorders>
              <w:top w:val="nil"/>
              <w:left w:val="nil"/>
              <w:bottom w:val="nil"/>
              <w:right w:val="single" w:sz="4" w:space="0" w:color="auto"/>
            </w:tcBorders>
            <w:shd w:val="clear" w:color="auto" w:fill="auto"/>
            <w:vAlign w:val="center"/>
            <w:hideMark/>
          </w:tcPr>
          <w:p w14:paraId="54EEE8E9" w14:textId="52DDB3B2"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J – Informační a komunikační činnosti</w:t>
            </w:r>
          </w:p>
        </w:tc>
        <w:tc>
          <w:tcPr>
            <w:tcW w:w="567" w:type="dxa"/>
            <w:tcBorders>
              <w:top w:val="nil"/>
              <w:left w:val="nil"/>
              <w:bottom w:val="nil"/>
              <w:right w:val="nil"/>
            </w:tcBorders>
            <w:shd w:val="clear" w:color="auto" w:fill="auto"/>
            <w:noWrap/>
            <w:vAlign w:val="center"/>
            <w:hideMark/>
          </w:tcPr>
          <w:p w14:paraId="3EF17A3D"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21,3</w:t>
            </w:r>
          </w:p>
        </w:tc>
        <w:tc>
          <w:tcPr>
            <w:tcW w:w="567" w:type="dxa"/>
            <w:tcBorders>
              <w:top w:val="nil"/>
              <w:left w:val="nil"/>
              <w:bottom w:val="nil"/>
              <w:right w:val="nil"/>
            </w:tcBorders>
            <w:shd w:val="clear" w:color="auto" w:fill="auto"/>
            <w:noWrap/>
            <w:vAlign w:val="center"/>
            <w:hideMark/>
          </w:tcPr>
          <w:p w14:paraId="50EB5E1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23,0</w:t>
            </w:r>
          </w:p>
        </w:tc>
        <w:tc>
          <w:tcPr>
            <w:tcW w:w="567" w:type="dxa"/>
            <w:tcBorders>
              <w:top w:val="nil"/>
              <w:left w:val="nil"/>
              <w:bottom w:val="nil"/>
              <w:right w:val="nil"/>
            </w:tcBorders>
            <w:shd w:val="clear" w:color="auto" w:fill="auto"/>
            <w:noWrap/>
            <w:vAlign w:val="center"/>
            <w:hideMark/>
          </w:tcPr>
          <w:p w14:paraId="7085495B"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21,7</w:t>
            </w:r>
          </w:p>
        </w:tc>
        <w:tc>
          <w:tcPr>
            <w:tcW w:w="567" w:type="dxa"/>
            <w:tcBorders>
              <w:top w:val="nil"/>
              <w:left w:val="nil"/>
              <w:bottom w:val="nil"/>
              <w:right w:val="nil"/>
            </w:tcBorders>
            <w:shd w:val="clear" w:color="auto" w:fill="auto"/>
            <w:noWrap/>
            <w:vAlign w:val="center"/>
            <w:hideMark/>
          </w:tcPr>
          <w:p w14:paraId="445C205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23,1</w:t>
            </w:r>
          </w:p>
        </w:tc>
        <w:tc>
          <w:tcPr>
            <w:tcW w:w="567" w:type="dxa"/>
            <w:tcBorders>
              <w:top w:val="nil"/>
              <w:left w:val="nil"/>
              <w:bottom w:val="nil"/>
              <w:right w:val="nil"/>
            </w:tcBorders>
            <w:shd w:val="clear" w:color="auto" w:fill="auto"/>
            <w:noWrap/>
            <w:vAlign w:val="center"/>
            <w:hideMark/>
          </w:tcPr>
          <w:p w14:paraId="1D50B1C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23,8</w:t>
            </w:r>
          </w:p>
        </w:tc>
        <w:tc>
          <w:tcPr>
            <w:tcW w:w="567" w:type="dxa"/>
            <w:tcBorders>
              <w:top w:val="nil"/>
              <w:left w:val="nil"/>
              <w:bottom w:val="nil"/>
              <w:right w:val="nil"/>
            </w:tcBorders>
            <w:shd w:val="clear" w:color="auto" w:fill="auto"/>
            <w:noWrap/>
            <w:vAlign w:val="center"/>
            <w:hideMark/>
          </w:tcPr>
          <w:p w14:paraId="3BC1A7F1"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24,7</w:t>
            </w:r>
          </w:p>
        </w:tc>
        <w:tc>
          <w:tcPr>
            <w:tcW w:w="567" w:type="dxa"/>
            <w:tcBorders>
              <w:top w:val="nil"/>
              <w:left w:val="nil"/>
              <w:bottom w:val="nil"/>
              <w:right w:val="nil"/>
            </w:tcBorders>
            <w:shd w:val="clear" w:color="auto" w:fill="auto"/>
            <w:noWrap/>
            <w:vAlign w:val="center"/>
            <w:hideMark/>
          </w:tcPr>
          <w:p w14:paraId="0F54914F"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25,7</w:t>
            </w:r>
          </w:p>
        </w:tc>
        <w:tc>
          <w:tcPr>
            <w:tcW w:w="567" w:type="dxa"/>
            <w:tcBorders>
              <w:top w:val="nil"/>
              <w:left w:val="nil"/>
              <w:bottom w:val="nil"/>
              <w:right w:val="nil"/>
            </w:tcBorders>
            <w:shd w:val="clear" w:color="auto" w:fill="auto"/>
            <w:noWrap/>
            <w:vAlign w:val="center"/>
            <w:hideMark/>
          </w:tcPr>
          <w:p w14:paraId="3A57457D"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27,3</w:t>
            </w:r>
          </w:p>
        </w:tc>
        <w:tc>
          <w:tcPr>
            <w:tcW w:w="567" w:type="dxa"/>
            <w:tcBorders>
              <w:top w:val="nil"/>
              <w:left w:val="nil"/>
              <w:bottom w:val="nil"/>
              <w:right w:val="nil"/>
            </w:tcBorders>
            <w:shd w:val="clear" w:color="auto" w:fill="auto"/>
            <w:noWrap/>
            <w:vAlign w:val="center"/>
            <w:hideMark/>
          </w:tcPr>
          <w:p w14:paraId="4111925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26,0</w:t>
            </w:r>
          </w:p>
        </w:tc>
        <w:tc>
          <w:tcPr>
            <w:tcW w:w="567" w:type="dxa"/>
            <w:tcBorders>
              <w:top w:val="nil"/>
              <w:left w:val="nil"/>
              <w:bottom w:val="nil"/>
              <w:right w:val="nil"/>
            </w:tcBorders>
            <w:shd w:val="clear" w:color="auto" w:fill="auto"/>
            <w:noWrap/>
            <w:vAlign w:val="center"/>
            <w:hideMark/>
          </w:tcPr>
          <w:p w14:paraId="5A27195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28,9</w:t>
            </w:r>
          </w:p>
        </w:tc>
        <w:tc>
          <w:tcPr>
            <w:tcW w:w="567" w:type="dxa"/>
            <w:vAlign w:val="center"/>
          </w:tcPr>
          <w:p w14:paraId="0264EA91" w14:textId="74876FB3"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38,7</w:t>
            </w:r>
          </w:p>
        </w:tc>
      </w:tr>
      <w:tr w:rsidR="00554433" w:rsidRPr="00554433" w14:paraId="28421230" w14:textId="0AD51A9F" w:rsidTr="00840644">
        <w:trPr>
          <w:trHeight w:val="300"/>
        </w:trPr>
        <w:tc>
          <w:tcPr>
            <w:tcW w:w="3476" w:type="dxa"/>
            <w:tcBorders>
              <w:top w:val="nil"/>
              <w:left w:val="nil"/>
              <w:bottom w:val="nil"/>
              <w:right w:val="single" w:sz="4" w:space="0" w:color="auto"/>
            </w:tcBorders>
            <w:shd w:val="clear" w:color="auto" w:fill="auto"/>
            <w:vAlign w:val="center"/>
            <w:hideMark/>
          </w:tcPr>
          <w:p w14:paraId="7EDC24E9"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K – Peněžnictví a pojišťovnictví</w:t>
            </w:r>
          </w:p>
        </w:tc>
        <w:tc>
          <w:tcPr>
            <w:tcW w:w="567" w:type="dxa"/>
            <w:tcBorders>
              <w:top w:val="nil"/>
              <w:left w:val="nil"/>
              <w:bottom w:val="nil"/>
              <w:right w:val="nil"/>
            </w:tcBorders>
            <w:shd w:val="clear" w:color="auto" w:fill="auto"/>
            <w:noWrap/>
            <w:vAlign w:val="center"/>
            <w:hideMark/>
          </w:tcPr>
          <w:p w14:paraId="1608593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23,7</w:t>
            </w:r>
          </w:p>
        </w:tc>
        <w:tc>
          <w:tcPr>
            <w:tcW w:w="567" w:type="dxa"/>
            <w:tcBorders>
              <w:top w:val="nil"/>
              <w:left w:val="nil"/>
              <w:bottom w:val="nil"/>
              <w:right w:val="nil"/>
            </w:tcBorders>
            <w:shd w:val="clear" w:color="auto" w:fill="auto"/>
            <w:noWrap/>
            <w:vAlign w:val="center"/>
            <w:hideMark/>
          </w:tcPr>
          <w:p w14:paraId="59537B4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26,6</w:t>
            </w:r>
          </w:p>
        </w:tc>
        <w:tc>
          <w:tcPr>
            <w:tcW w:w="567" w:type="dxa"/>
            <w:tcBorders>
              <w:top w:val="nil"/>
              <w:left w:val="nil"/>
              <w:bottom w:val="nil"/>
              <w:right w:val="nil"/>
            </w:tcBorders>
            <w:shd w:val="clear" w:color="auto" w:fill="auto"/>
            <w:noWrap/>
            <w:vAlign w:val="center"/>
            <w:hideMark/>
          </w:tcPr>
          <w:p w14:paraId="72AD4D0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25,2</w:t>
            </w:r>
          </w:p>
        </w:tc>
        <w:tc>
          <w:tcPr>
            <w:tcW w:w="567" w:type="dxa"/>
            <w:tcBorders>
              <w:top w:val="nil"/>
              <w:left w:val="nil"/>
              <w:bottom w:val="nil"/>
              <w:right w:val="nil"/>
            </w:tcBorders>
            <w:shd w:val="clear" w:color="auto" w:fill="auto"/>
            <w:noWrap/>
            <w:vAlign w:val="center"/>
            <w:hideMark/>
          </w:tcPr>
          <w:p w14:paraId="7D6FDCA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28,3</w:t>
            </w:r>
          </w:p>
        </w:tc>
        <w:tc>
          <w:tcPr>
            <w:tcW w:w="567" w:type="dxa"/>
            <w:tcBorders>
              <w:top w:val="nil"/>
              <w:left w:val="nil"/>
              <w:bottom w:val="nil"/>
              <w:right w:val="nil"/>
            </w:tcBorders>
            <w:shd w:val="clear" w:color="auto" w:fill="auto"/>
            <w:noWrap/>
            <w:vAlign w:val="center"/>
            <w:hideMark/>
          </w:tcPr>
          <w:p w14:paraId="4770E2F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27,8</w:t>
            </w:r>
          </w:p>
        </w:tc>
        <w:tc>
          <w:tcPr>
            <w:tcW w:w="567" w:type="dxa"/>
            <w:tcBorders>
              <w:top w:val="nil"/>
              <w:left w:val="nil"/>
              <w:bottom w:val="nil"/>
              <w:right w:val="nil"/>
            </w:tcBorders>
            <w:shd w:val="clear" w:color="auto" w:fill="auto"/>
            <w:noWrap/>
            <w:vAlign w:val="center"/>
            <w:hideMark/>
          </w:tcPr>
          <w:p w14:paraId="50C0C22D"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27,3</w:t>
            </w:r>
          </w:p>
        </w:tc>
        <w:tc>
          <w:tcPr>
            <w:tcW w:w="567" w:type="dxa"/>
            <w:tcBorders>
              <w:top w:val="nil"/>
              <w:left w:val="nil"/>
              <w:bottom w:val="nil"/>
              <w:right w:val="nil"/>
            </w:tcBorders>
            <w:shd w:val="clear" w:color="auto" w:fill="auto"/>
            <w:noWrap/>
            <w:vAlign w:val="center"/>
            <w:hideMark/>
          </w:tcPr>
          <w:p w14:paraId="0DE6100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29,4</w:t>
            </w:r>
          </w:p>
        </w:tc>
        <w:tc>
          <w:tcPr>
            <w:tcW w:w="567" w:type="dxa"/>
            <w:tcBorders>
              <w:top w:val="nil"/>
              <w:left w:val="nil"/>
              <w:bottom w:val="nil"/>
              <w:right w:val="nil"/>
            </w:tcBorders>
            <w:shd w:val="clear" w:color="auto" w:fill="auto"/>
            <w:noWrap/>
            <w:vAlign w:val="center"/>
            <w:hideMark/>
          </w:tcPr>
          <w:p w14:paraId="4E0130D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30,9</w:t>
            </w:r>
          </w:p>
        </w:tc>
        <w:tc>
          <w:tcPr>
            <w:tcW w:w="567" w:type="dxa"/>
            <w:tcBorders>
              <w:top w:val="nil"/>
              <w:left w:val="nil"/>
              <w:bottom w:val="nil"/>
              <w:right w:val="nil"/>
            </w:tcBorders>
            <w:shd w:val="clear" w:color="auto" w:fill="auto"/>
            <w:noWrap/>
            <w:vAlign w:val="center"/>
            <w:hideMark/>
          </w:tcPr>
          <w:p w14:paraId="1EBC45BC"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30,2</w:t>
            </w:r>
          </w:p>
        </w:tc>
        <w:tc>
          <w:tcPr>
            <w:tcW w:w="567" w:type="dxa"/>
            <w:tcBorders>
              <w:top w:val="nil"/>
              <w:left w:val="nil"/>
              <w:bottom w:val="nil"/>
              <w:right w:val="nil"/>
            </w:tcBorders>
            <w:shd w:val="clear" w:color="auto" w:fill="auto"/>
            <w:noWrap/>
            <w:vAlign w:val="center"/>
            <w:hideMark/>
          </w:tcPr>
          <w:p w14:paraId="37CC00A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31,2</w:t>
            </w:r>
          </w:p>
        </w:tc>
        <w:tc>
          <w:tcPr>
            <w:tcW w:w="567" w:type="dxa"/>
            <w:vAlign w:val="center"/>
          </w:tcPr>
          <w:p w14:paraId="2C6B023B" w14:textId="20415B51"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41,7</w:t>
            </w:r>
          </w:p>
        </w:tc>
      </w:tr>
      <w:tr w:rsidR="00554433" w:rsidRPr="00554433" w14:paraId="3750DF11" w14:textId="0658E9A7" w:rsidTr="00840644">
        <w:trPr>
          <w:trHeight w:val="300"/>
        </w:trPr>
        <w:tc>
          <w:tcPr>
            <w:tcW w:w="3476" w:type="dxa"/>
            <w:tcBorders>
              <w:top w:val="nil"/>
              <w:left w:val="nil"/>
              <w:bottom w:val="nil"/>
              <w:right w:val="single" w:sz="4" w:space="0" w:color="auto"/>
            </w:tcBorders>
            <w:shd w:val="clear" w:color="auto" w:fill="auto"/>
            <w:vAlign w:val="center"/>
            <w:hideMark/>
          </w:tcPr>
          <w:p w14:paraId="09C07729"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L – Činnosti v oblasti nemovitostí</w:t>
            </w:r>
          </w:p>
        </w:tc>
        <w:tc>
          <w:tcPr>
            <w:tcW w:w="567" w:type="dxa"/>
            <w:tcBorders>
              <w:top w:val="nil"/>
              <w:left w:val="nil"/>
              <w:bottom w:val="nil"/>
              <w:right w:val="nil"/>
            </w:tcBorders>
            <w:shd w:val="clear" w:color="auto" w:fill="auto"/>
            <w:noWrap/>
            <w:vAlign w:val="center"/>
            <w:hideMark/>
          </w:tcPr>
          <w:p w14:paraId="44A5E49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13,9</w:t>
            </w:r>
          </w:p>
        </w:tc>
        <w:tc>
          <w:tcPr>
            <w:tcW w:w="567" w:type="dxa"/>
            <w:tcBorders>
              <w:top w:val="nil"/>
              <w:left w:val="nil"/>
              <w:bottom w:val="nil"/>
              <w:right w:val="nil"/>
            </w:tcBorders>
            <w:shd w:val="clear" w:color="auto" w:fill="auto"/>
            <w:noWrap/>
            <w:vAlign w:val="center"/>
            <w:hideMark/>
          </w:tcPr>
          <w:p w14:paraId="2B3EAC7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14,7</w:t>
            </w:r>
          </w:p>
        </w:tc>
        <w:tc>
          <w:tcPr>
            <w:tcW w:w="567" w:type="dxa"/>
            <w:tcBorders>
              <w:top w:val="nil"/>
              <w:left w:val="nil"/>
              <w:bottom w:val="nil"/>
              <w:right w:val="nil"/>
            </w:tcBorders>
            <w:shd w:val="clear" w:color="auto" w:fill="auto"/>
            <w:noWrap/>
            <w:vAlign w:val="center"/>
            <w:hideMark/>
          </w:tcPr>
          <w:p w14:paraId="1E6B8C5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14,0</w:t>
            </w:r>
          </w:p>
        </w:tc>
        <w:tc>
          <w:tcPr>
            <w:tcW w:w="567" w:type="dxa"/>
            <w:tcBorders>
              <w:top w:val="nil"/>
              <w:left w:val="nil"/>
              <w:bottom w:val="nil"/>
              <w:right w:val="nil"/>
            </w:tcBorders>
            <w:shd w:val="clear" w:color="auto" w:fill="auto"/>
            <w:noWrap/>
            <w:vAlign w:val="center"/>
            <w:hideMark/>
          </w:tcPr>
          <w:p w14:paraId="1EF33B5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16,3</w:t>
            </w:r>
          </w:p>
        </w:tc>
        <w:tc>
          <w:tcPr>
            <w:tcW w:w="567" w:type="dxa"/>
            <w:tcBorders>
              <w:top w:val="nil"/>
              <w:left w:val="nil"/>
              <w:bottom w:val="nil"/>
              <w:right w:val="nil"/>
            </w:tcBorders>
            <w:shd w:val="clear" w:color="auto" w:fill="auto"/>
            <w:noWrap/>
            <w:vAlign w:val="center"/>
            <w:hideMark/>
          </w:tcPr>
          <w:p w14:paraId="74388E1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16,5</w:t>
            </w:r>
          </w:p>
        </w:tc>
        <w:tc>
          <w:tcPr>
            <w:tcW w:w="567" w:type="dxa"/>
            <w:tcBorders>
              <w:top w:val="nil"/>
              <w:left w:val="nil"/>
              <w:bottom w:val="nil"/>
              <w:right w:val="nil"/>
            </w:tcBorders>
            <w:shd w:val="clear" w:color="auto" w:fill="auto"/>
            <w:noWrap/>
            <w:vAlign w:val="center"/>
            <w:hideMark/>
          </w:tcPr>
          <w:p w14:paraId="38AFCA2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15,7</w:t>
            </w:r>
          </w:p>
        </w:tc>
        <w:tc>
          <w:tcPr>
            <w:tcW w:w="567" w:type="dxa"/>
            <w:tcBorders>
              <w:top w:val="nil"/>
              <w:left w:val="nil"/>
              <w:bottom w:val="nil"/>
              <w:right w:val="nil"/>
            </w:tcBorders>
            <w:shd w:val="clear" w:color="auto" w:fill="auto"/>
            <w:noWrap/>
            <w:vAlign w:val="center"/>
            <w:hideMark/>
          </w:tcPr>
          <w:p w14:paraId="4AEAB38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17,4</w:t>
            </w:r>
          </w:p>
        </w:tc>
        <w:tc>
          <w:tcPr>
            <w:tcW w:w="567" w:type="dxa"/>
            <w:tcBorders>
              <w:top w:val="nil"/>
              <w:left w:val="nil"/>
              <w:bottom w:val="nil"/>
              <w:right w:val="nil"/>
            </w:tcBorders>
            <w:shd w:val="clear" w:color="auto" w:fill="auto"/>
            <w:noWrap/>
            <w:vAlign w:val="center"/>
            <w:hideMark/>
          </w:tcPr>
          <w:p w14:paraId="28F508F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18,4</w:t>
            </w:r>
          </w:p>
        </w:tc>
        <w:tc>
          <w:tcPr>
            <w:tcW w:w="567" w:type="dxa"/>
            <w:tcBorders>
              <w:top w:val="nil"/>
              <w:left w:val="nil"/>
              <w:bottom w:val="nil"/>
              <w:right w:val="nil"/>
            </w:tcBorders>
            <w:shd w:val="clear" w:color="auto" w:fill="auto"/>
            <w:noWrap/>
            <w:vAlign w:val="center"/>
            <w:hideMark/>
          </w:tcPr>
          <w:p w14:paraId="5B65F94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24,3</w:t>
            </w:r>
          </w:p>
        </w:tc>
        <w:tc>
          <w:tcPr>
            <w:tcW w:w="567" w:type="dxa"/>
            <w:tcBorders>
              <w:top w:val="nil"/>
              <w:left w:val="nil"/>
              <w:bottom w:val="nil"/>
              <w:right w:val="nil"/>
            </w:tcBorders>
            <w:shd w:val="clear" w:color="auto" w:fill="auto"/>
            <w:noWrap/>
            <w:vAlign w:val="center"/>
            <w:hideMark/>
          </w:tcPr>
          <w:p w14:paraId="7218AA7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28,7</w:t>
            </w:r>
          </w:p>
        </w:tc>
        <w:tc>
          <w:tcPr>
            <w:tcW w:w="567" w:type="dxa"/>
            <w:vAlign w:val="center"/>
          </w:tcPr>
          <w:p w14:paraId="1C085A20" w14:textId="077648C8"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34,5</w:t>
            </w:r>
          </w:p>
        </w:tc>
      </w:tr>
      <w:tr w:rsidR="00554433" w:rsidRPr="00554433" w14:paraId="3A4BD685" w14:textId="5FD2DB40" w:rsidTr="00840644">
        <w:trPr>
          <w:trHeight w:val="480"/>
        </w:trPr>
        <w:tc>
          <w:tcPr>
            <w:tcW w:w="3476" w:type="dxa"/>
            <w:tcBorders>
              <w:top w:val="nil"/>
              <w:left w:val="nil"/>
              <w:bottom w:val="nil"/>
              <w:right w:val="single" w:sz="4" w:space="0" w:color="auto"/>
            </w:tcBorders>
            <w:shd w:val="clear" w:color="auto" w:fill="auto"/>
            <w:vAlign w:val="center"/>
            <w:hideMark/>
          </w:tcPr>
          <w:p w14:paraId="348A5370"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M – Profesní, vědecké a technické </w:t>
            </w:r>
            <w:r w:rsidRPr="00554433">
              <w:rPr>
                <w:rFonts w:cs="Arial"/>
                <w:color w:val="000000"/>
                <w:sz w:val="16"/>
                <w:szCs w:val="16"/>
              </w:rPr>
              <w:br/>
              <w:t xml:space="preserve">          činnosti</w:t>
            </w:r>
          </w:p>
        </w:tc>
        <w:tc>
          <w:tcPr>
            <w:tcW w:w="567" w:type="dxa"/>
            <w:tcBorders>
              <w:top w:val="nil"/>
              <w:left w:val="nil"/>
              <w:bottom w:val="nil"/>
              <w:right w:val="nil"/>
            </w:tcBorders>
            <w:shd w:val="clear" w:color="auto" w:fill="auto"/>
            <w:noWrap/>
            <w:vAlign w:val="center"/>
            <w:hideMark/>
          </w:tcPr>
          <w:p w14:paraId="24CDD481" w14:textId="55A8E52F"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17,8</w:t>
            </w:r>
          </w:p>
        </w:tc>
        <w:tc>
          <w:tcPr>
            <w:tcW w:w="567" w:type="dxa"/>
            <w:tcBorders>
              <w:top w:val="nil"/>
              <w:left w:val="nil"/>
              <w:bottom w:val="nil"/>
              <w:right w:val="nil"/>
            </w:tcBorders>
            <w:shd w:val="clear" w:color="auto" w:fill="auto"/>
            <w:noWrap/>
            <w:vAlign w:val="center"/>
            <w:hideMark/>
          </w:tcPr>
          <w:p w14:paraId="075E2E4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19,4</w:t>
            </w:r>
          </w:p>
        </w:tc>
        <w:tc>
          <w:tcPr>
            <w:tcW w:w="567" w:type="dxa"/>
            <w:tcBorders>
              <w:top w:val="nil"/>
              <w:left w:val="nil"/>
              <w:bottom w:val="nil"/>
              <w:right w:val="nil"/>
            </w:tcBorders>
            <w:shd w:val="clear" w:color="auto" w:fill="auto"/>
            <w:noWrap/>
            <w:vAlign w:val="center"/>
            <w:hideMark/>
          </w:tcPr>
          <w:p w14:paraId="43225CB1"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18,3</w:t>
            </w:r>
          </w:p>
        </w:tc>
        <w:tc>
          <w:tcPr>
            <w:tcW w:w="567" w:type="dxa"/>
            <w:tcBorders>
              <w:top w:val="nil"/>
              <w:left w:val="nil"/>
              <w:bottom w:val="nil"/>
              <w:right w:val="nil"/>
            </w:tcBorders>
            <w:shd w:val="clear" w:color="auto" w:fill="auto"/>
            <w:noWrap/>
            <w:vAlign w:val="center"/>
            <w:hideMark/>
          </w:tcPr>
          <w:p w14:paraId="184AD8A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21,1</w:t>
            </w:r>
          </w:p>
        </w:tc>
        <w:tc>
          <w:tcPr>
            <w:tcW w:w="567" w:type="dxa"/>
            <w:tcBorders>
              <w:top w:val="nil"/>
              <w:left w:val="nil"/>
              <w:bottom w:val="nil"/>
              <w:right w:val="nil"/>
            </w:tcBorders>
            <w:shd w:val="clear" w:color="auto" w:fill="auto"/>
            <w:noWrap/>
            <w:vAlign w:val="center"/>
            <w:hideMark/>
          </w:tcPr>
          <w:p w14:paraId="0A665D2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21,3</w:t>
            </w:r>
          </w:p>
        </w:tc>
        <w:tc>
          <w:tcPr>
            <w:tcW w:w="567" w:type="dxa"/>
            <w:tcBorders>
              <w:top w:val="nil"/>
              <w:left w:val="nil"/>
              <w:bottom w:val="nil"/>
              <w:right w:val="nil"/>
            </w:tcBorders>
            <w:shd w:val="clear" w:color="auto" w:fill="auto"/>
            <w:noWrap/>
            <w:vAlign w:val="center"/>
            <w:hideMark/>
          </w:tcPr>
          <w:p w14:paraId="14107CE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21,8</w:t>
            </w:r>
          </w:p>
        </w:tc>
        <w:tc>
          <w:tcPr>
            <w:tcW w:w="567" w:type="dxa"/>
            <w:tcBorders>
              <w:top w:val="nil"/>
              <w:left w:val="nil"/>
              <w:bottom w:val="nil"/>
              <w:right w:val="nil"/>
            </w:tcBorders>
            <w:shd w:val="clear" w:color="auto" w:fill="auto"/>
            <w:noWrap/>
            <w:vAlign w:val="center"/>
            <w:hideMark/>
          </w:tcPr>
          <w:p w14:paraId="5793AA2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22,5</w:t>
            </w:r>
          </w:p>
        </w:tc>
        <w:tc>
          <w:tcPr>
            <w:tcW w:w="567" w:type="dxa"/>
            <w:tcBorders>
              <w:top w:val="nil"/>
              <w:left w:val="nil"/>
              <w:bottom w:val="nil"/>
              <w:right w:val="nil"/>
            </w:tcBorders>
            <w:shd w:val="clear" w:color="auto" w:fill="auto"/>
            <w:noWrap/>
            <w:vAlign w:val="center"/>
            <w:hideMark/>
          </w:tcPr>
          <w:p w14:paraId="56F3F2B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23,0</w:t>
            </w:r>
          </w:p>
        </w:tc>
        <w:tc>
          <w:tcPr>
            <w:tcW w:w="567" w:type="dxa"/>
            <w:tcBorders>
              <w:top w:val="nil"/>
              <w:left w:val="nil"/>
              <w:bottom w:val="nil"/>
              <w:right w:val="nil"/>
            </w:tcBorders>
            <w:shd w:val="clear" w:color="auto" w:fill="auto"/>
            <w:noWrap/>
            <w:vAlign w:val="center"/>
            <w:hideMark/>
          </w:tcPr>
          <w:p w14:paraId="67B307B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27,6</w:t>
            </w:r>
          </w:p>
        </w:tc>
        <w:tc>
          <w:tcPr>
            <w:tcW w:w="567" w:type="dxa"/>
            <w:tcBorders>
              <w:top w:val="nil"/>
              <w:left w:val="nil"/>
              <w:bottom w:val="nil"/>
              <w:right w:val="nil"/>
            </w:tcBorders>
            <w:shd w:val="clear" w:color="auto" w:fill="auto"/>
            <w:noWrap/>
            <w:vAlign w:val="center"/>
            <w:hideMark/>
          </w:tcPr>
          <w:p w14:paraId="5A3B918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30,3</w:t>
            </w:r>
          </w:p>
        </w:tc>
        <w:tc>
          <w:tcPr>
            <w:tcW w:w="567" w:type="dxa"/>
            <w:vAlign w:val="center"/>
          </w:tcPr>
          <w:p w14:paraId="373201BD" w14:textId="1479812F"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39,5</w:t>
            </w:r>
          </w:p>
        </w:tc>
      </w:tr>
      <w:tr w:rsidR="00554433" w:rsidRPr="00554433" w14:paraId="6F7B144E" w14:textId="145DB388" w:rsidTr="00840644">
        <w:trPr>
          <w:trHeight w:val="480"/>
        </w:trPr>
        <w:tc>
          <w:tcPr>
            <w:tcW w:w="3476" w:type="dxa"/>
            <w:tcBorders>
              <w:top w:val="nil"/>
              <w:left w:val="nil"/>
              <w:bottom w:val="nil"/>
              <w:right w:val="single" w:sz="4" w:space="0" w:color="auto"/>
            </w:tcBorders>
            <w:shd w:val="clear" w:color="auto" w:fill="auto"/>
            <w:vAlign w:val="center"/>
            <w:hideMark/>
          </w:tcPr>
          <w:p w14:paraId="0A716F4E"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N – Administrativní a podpůrné </w:t>
            </w:r>
            <w:r w:rsidRPr="00554433">
              <w:rPr>
                <w:rFonts w:cs="Arial"/>
                <w:color w:val="000000"/>
                <w:sz w:val="16"/>
                <w:szCs w:val="16"/>
              </w:rPr>
              <w:br/>
              <w:t xml:space="preserve">          činnosti</w:t>
            </w:r>
          </w:p>
        </w:tc>
        <w:tc>
          <w:tcPr>
            <w:tcW w:w="567" w:type="dxa"/>
            <w:tcBorders>
              <w:top w:val="nil"/>
              <w:left w:val="nil"/>
              <w:bottom w:val="nil"/>
              <w:right w:val="nil"/>
            </w:tcBorders>
            <w:shd w:val="clear" w:color="auto" w:fill="auto"/>
            <w:noWrap/>
            <w:vAlign w:val="center"/>
            <w:hideMark/>
          </w:tcPr>
          <w:p w14:paraId="56F641A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31,1</w:t>
            </w:r>
          </w:p>
        </w:tc>
        <w:tc>
          <w:tcPr>
            <w:tcW w:w="567" w:type="dxa"/>
            <w:tcBorders>
              <w:top w:val="nil"/>
              <w:left w:val="nil"/>
              <w:bottom w:val="nil"/>
              <w:right w:val="nil"/>
            </w:tcBorders>
            <w:shd w:val="clear" w:color="auto" w:fill="auto"/>
            <w:noWrap/>
            <w:vAlign w:val="center"/>
            <w:hideMark/>
          </w:tcPr>
          <w:p w14:paraId="40408C8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36,1</w:t>
            </w:r>
          </w:p>
        </w:tc>
        <w:tc>
          <w:tcPr>
            <w:tcW w:w="567" w:type="dxa"/>
            <w:tcBorders>
              <w:top w:val="nil"/>
              <w:left w:val="nil"/>
              <w:bottom w:val="nil"/>
              <w:right w:val="nil"/>
            </w:tcBorders>
            <w:shd w:val="clear" w:color="auto" w:fill="auto"/>
            <w:noWrap/>
            <w:vAlign w:val="center"/>
            <w:hideMark/>
          </w:tcPr>
          <w:p w14:paraId="075C55D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40,3</w:t>
            </w:r>
          </w:p>
        </w:tc>
        <w:tc>
          <w:tcPr>
            <w:tcW w:w="567" w:type="dxa"/>
            <w:tcBorders>
              <w:top w:val="nil"/>
              <w:left w:val="nil"/>
              <w:bottom w:val="nil"/>
              <w:right w:val="nil"/>
            </w:tcBorders>
            <w:shd w:val="clear" w:color="auto" w:fill="auto"/>
            <w:noWrap/>
            <w:vAlign w:val="center"/>
            <w:hideMark/>
          </w:tcPr>
          <w:p w14:paraId="7C54D191"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48,2</w:t>
            </w:r>
          </w:p>
        </w:tc>
        <w:tc>
          <w:tcPr>
            <w:tcW w:w="567" w:type="dxa"/>
            <w:tcBorders>
              <w:top w:val="nil"/>
              <w:left w:val="nil"/>
              <w:bottom w:val="nil"/>
              <w:right w:val="nil"/>
            </w:tcBorders>
            <w:shd w:val="clear" w:color="auto" w:fill="auto"/>
            <w:noWrap/>
            <w:vAlign w:val="center"/>
            <w:hideMark/>
          </w:tcPr>
          <w:p w14:paraId="5CF8B30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49,4</w:t>
            </w:r>
          </w:p>
        </w:tc>
        <w:tc>
          <w:tcPr>
            <w:tcW w:w="567" w:type="dxa"/>
            <w:tcBorders>
              <w:top w:val="nil"/>
              <w:left w:val="nil"/>
              <w:bottom w:val="nil"/>
              <w:right w:val="nil"/>
            </w:tcBorders>
            <w:shd w:val="clear" w:color="auto" w:fill="auto"/>
            <w:noWrap/>
            <w:vAlign w:val="center"/>
            <w:hideMark/>
          </w:tcPr>
          <w:p w14:paraId="4BF9812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48,6</w:t>
            </w:r>
          </w:p>
        </w:tc>
        <w:tc>
          <w:tcPr>
            <w:tcW w:w="567" w:type="dxa"/>
            <w:tcBorders>
              <w:top w:val="nil"/>
              <w:left w:val="nil"/>
              <w:bottom w:val="nil"/>
              <w:right w:val="nil"/>
            </w:tcBorders>
            <w:shd w:val="clear" w:color="auto" w:fill="auto"/>
            <w:noWrap/>
            <w:vAlign w:val="center"/>
            <w:hideMark/>
          </w:tcPr>
          <w:p w14:paraId="3DDC1B3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48,6</w:t>
            </w:r>
          </w:p>
        </w:tc>
        <w:tc>
          <w:tcPr>
            <w:tcW w:w="567" w:type="dxa"/>
            <w:tcBorders>
              <w:top w:val="nil"/>
              <w:left w:val="nil"/>
              <w:bottom w:val="nil"/>
              <w:right w:val="nil"/>
            </w:tcBorders>
            <w:shd w:val="clear" w:color="auto" w:fill="auto"/>
            <w:noWrap/>
            <w:vAlign w:val="center"/>
            <w:hideMark/>
          </w:tcPr>
          <w:p w14:paraId="400DF93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49,7</w:t>
            </w:r>
          </w:p>
        </w:tc>
        <w:tc>
          <w:tcPr>
            <w:tcW w:w="567" w:type="dxa"/>
            <w:tcBorders>
              <w:top w:val="nil"/>
              <w:left w:val="nil"/>
              <w:bottom w:val="nil"/>
              <w:right w:val="nil"/>
            </w:tcBorders>
            <w:shd w:val="clear" w:color="auto" w:fill="auto"/>
            <w:noWrap/>
            <w:vAlign w:val="center"/>
            <w:hideMark/>
          </w:tcPr>
          <w:p w14:paraId="731E3E5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56,9</w:t>
            </w:r>
          </w:p>
        </w:tc>
        <w:tc>
          <w:tcPr>
            <w:tcW w:w="567" w:type="dxa"/>
            <w:tcBorders>
              <w:top w:val="nil"/>
              <w:left w:val="nil"/>
              <w:bottom w:val="nil"/>
              <w:right w:val="nil"/>
            </w:tcBorders>
            <w:shd w:val="clear" w:color="auto" w:fill="auto"/>
            <w:noWrap/>
            <w:vAlign w:val="center"/>
            <w:hideMark/>
          </w:tcPr>
          <w:p w14:paraId="6A4B8D5D"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66,4</w:t>
            </w:r>
          </w:p>
        </w:tc>
        <w:tc>
          <w:tcPr>
            <w:tcW w:w="567" w:type="dxa"/>
            <w:vAlign w:val="center"/>
          </w:tcPr>
          <w:p w14:paraId="69BD1882" w14:textId="16622499"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70,4</w:t>
            </w:r>
          </w:p>
        </w:tc>
      </w:tr>
      <w:tr w:rsidR="00554433" w:rsidRPr="00554433" w14:paraId="726DFF56" w14:textId="4E22AE3D" w:rsidTr="00840644">
        <w:trPr>
          <w:trHeight w:val="480"/>
        </w:trPr>
        <w:tc>
          <w:tcPr>
            <w:tcW w:w="3476" w:type="dxa"/>
            <w:tcBorders>
              <w:top w:val="nil"/>
              <w:left w:val="nil"/>
              <w:bottom w:val="nil"/>
              <w:right w:val="single" w:sz="4" w:space="0" w:color="auto"/>
            </w:tcBorders>
            <w:shd w:val="clear" w:color="auto" w:fill="auto"/>
            <w:vAlign w:val="center"/>
            <w:hideMark/>
          </w:tcPr>
          <w:p w14:paraId="5FC6E746" w14:textId="77777777"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O – Veřejná správa a obrana; </w:t>
            </w:r>
            <w:r w:rsidRPr="00554433">
              <w:rPr>
                <w:rFonts w:cs="Arial"/>
                <w:color w:val="000000"/>
                <w:sz w:val="16"/>
                <w:szCs w:val="16"/>
              </w:rPr>
              <w:br/>
              <w:t xml:space="preserve">          povinné sociální zabezpečení</w:t>
            </w:r>
          </w:p>
        </w:tc>
        <w:tc>
          <w:tcPr>
            <w:tcW w:w="567" w:type="dxa"/>
            <w:tcBorders>
              <w:top w:val="nil"/>
              <w:left w:val="nil"/>
              <w:bottom w:val="nil"/>
              <w:right w:val="nil"/>
            </w:tcBorders>
            <w:shd w:val="clear" w:color="auto" w:fill="auto"/>
            <w:noWrap/>
            <w:vAlign w:val="center"/>
            <w:hideMark/>
          </w:tcPr>
          <w:p w14:paraId="51E0F85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24,5</w:t>
            </w:r>
          </w:p>
        </w:tc>
        <w:tc>
          <w:tcPr>
            <w:tcW w:w="567" w:type="dxa"/>
            <w:tcBorders>
              <w:top w:val="nil"/>
              <w:left w:val="nil"/>
              <w:bottom w:val="nil"/>
              <w:right w:val="nil"/>
            </w:tcBorders>
            <w:shd w:val="clear" w:color="auto" w:fill="auto"/>
            <w:noWrap/>
            <w:vAlign w:val="center"/>
            <w:hideMark/>
          </w:tcPr>
          <w:p w14:paraId="3EA3325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28,1</w:t>
            </w:r>
          </w:p>
        </w:tc>
        <w:tc>
          <w:tcPr>
            <w:tcW w:w="567" w:type="dxa"/>
            <w:tcBorders>
              <w:top w:val="nil"/>
              <w:left w:val="nil"/>
              <w:bottom w:val="nil"/>
              <w:right w:val="nil"/>
            </w:tcBorders>
            <w:shd w:val="clear" w:color="auto" w:fill="auto"/>
            <w:noWrap/>
            <w:vAlign w:val="center"/>
            <w:hideMark/>
          </w:tcPr>
          <w:p w14:paraId="15CEF13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26,3</w:t>
            </w:r>
          </w:p>
        </w:tc>
        <w:tc>
          <w:tcPr>
            <w:tcW w:w="567" w:type="dxa"/>
            <w:tcBorders>
              <w:top w:val="nil"/>
              <w:left w:val="nil"/>
              <w:bottom w:val="nil"/>
              <w:right w:val="nil"/>
            </w:tcBorders>
            <w:shd w:val="clear" w:color="auto" w:fill="auto"/>
            <w:noWrap/>
            <w:vAlign w:val="center"/>
            <w:hideMark/>
          </w:tcPr>
          <w:p w14:paraId="3F07F0D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31,5</w:t>
            </w:r>
          </w:p>
        </w:tc>
        <w:tc>
          <w:tcPr>
            <w:tcW w:w="567" w:type="dxa"/>
            <w:tcBorders>
              <w:top w:val="nil"/>
              <w:left w:val="nil"/>
              <w:bottom w:val="nil"/>
              <w:right w:val="nil"/>
            </w:tcBorders>
            <w:shd w:val="clear" w:color="auto" w:fill="auto"/>
            <w:noWrap/>
            <w:vAlign w:val="center"/>
            <w:hideMark/>
          </w:tcPr>
          <w:p w14:paraId="2EAF549A" w14:textId="7A771A06"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30,7</w:t>
            </w:r>
          </w:p>
        </w:tc>
        <w:tc>
          <w:tcPr>
            <w:tcW w:w="567" w:type="dxa"/>
            <w:tcBorders>
              <w:top w:val="nil"/>
              <w:left w:val="nil"/>
              <w:bottom w:val="nil"/>
              <w:right w:val="nil"/>
            </w:tcBorders>
            <w:shd w:val="clear" w:color="auto" w:fill="auto"/>
            <w:noWrap/>
            <w:vAlign w:val="center"/>
            <w:hideMark/>
          </w:tcPr>
          <w:p w14:paraId="174D726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31,3</w:t>
            </w:r>
          </w:p>
        </w:tc>
        <w:tc>
          <w:tcPr>
            <w:tcW w:w="567" w:type="dxa"/>
            <w:tcBorders>
              <w:top w:val="nil"/>
              <w:left w:val="nil"/>
              <w:bottom w:val="nil"/>
              <w:right w:val="nil"/>
            </w:tcBorders>
            <w:shd w:val="clear" w:color="auto" w:fill="auto"/>
            <w:noWrap/>
            <w:vAlign w:val="center"/>
            <w:hideMark/>
          </w:tcPr>
          <w:p w14:paraId="1129FCA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34,0</w:t>
            </w:r>
          </w:p>
        </w:tc>
        <w:tc>
          <w:tcPr>
            <w:tcW w:w="567" w:type="dxa"/>
            <w:tcBorders>
              <w:top w:val="nil"/>
              <w:left w:val="nil"/>
              <w:bottom w:val="nil"/>
              <w:right w:val="nil"/>
            </w:tcBorders>
            <w:shd w:val="clear" w:color="auto" w:fill="auto"/>
            <w:noWrap/>
            <w:vAlign w:val="center"/>
            <w:hideMark/>
          </w:tcPr>
          <w:p w14:paraId="12CE97D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35,5</w:t>
            </w:r>
          </w:p>
        </w:tc>
        <w:tc>
          <w:tcPr>
            <w:tcW w:w="567" w:type="dxa"/>
            <w:tcBorders>
              <w:top w:val="nil"/>
              <w:left w:val="nil"/>
              <w:bottom w:val="nil"/>
              <w:right w:val="nil"/>
            </w:tcBorders>
            <w:shd w:val="clear" w:color="auto" w:fill="auto"/>
            <w:noWrap/>
            <w:vAlign w:val="center"/>
            <w:hideMark/>
          </w:tcPr>
          <w:p w14:paraId="1AA2FE2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44,9</w:t>
            </w:r>
          </w:p>
        </w:tc>
        <w:tc>
          <w:tcPr>
            <w:tcW w:w="567" w:type="dxa"/>
            <w:tcBorders>
              <w:top w:val="nil"/>
              <w:left w:val="nil"/>
              <w:bottom w:val="nil"/>
              <w:right w:val="nil"/>
            </w:tcBorders>
            <w:shd w:val="clear" w:color="auto" w:fill="auto"/>
            <w:noWrap/>
            <w:vAlign w:val="center"/>
            <w:hideMark/>
          </w:tcPr>
          <w:p w14:paraId="79FCCDBF"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52,7</w:t>
            </w:r>
          </w:p>
        </w:tc>
        <w:tc>
          <w:tcPr>
            <w:tcW w:w="567" w:type="dxa"/>
            <w:vAlign w:val="center"/>
          </w:tcPr>
          <w:p w14:paraId="23833DE4" w14:textId="7CEA2499"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77,0</w:t>
            </w:r>
          </w:p>
        </w:tc>
      </w:tr>
      <w:tr w:rsidR="00554433" w:rsidRPr="00554433" w14:paraId="36EE2413" w14:textId="3D8AFA71" w:rsidTr="00840644">
        <w:trPr>
          <w:trHeight w:val="300"/>
        </w:trPr>
        <w:tc>
          <w:tcPr>
            <w:tcW w:w="3476" w:type="dxa"/>
            <w:tcBorders>
              <w:top w:val="nil"/>
              <w:left w:val="nil"/>
              <w:bottom w:val="nil"/>
              <w:right w:val="single" w:sz="4" w:space="0" w:color="auto"/>
            </w:tcBorders>
            <w:shd w:val="clear" w:color="auto" w:fill="auto"/>
            <w:vAlign w:val="center"/>
            <w:hideMark/>
          </w:tcPr>
          <w:p w14:paraId="00E97644" w14:textId="517854EC"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P – Vzdělávání</w:t>
            </w:r>
          </w:p>
        </w:tc>
        <w:tc>
          <w:tcPr>
            <w:tcW w:w="567" w:type="dxa"/>
            <w:tcBorders>
              <w:top w:val="nil"/>
              <w:left w:val="nil"/>
              <w:bottom w:val="nil"/>
              <w:right w:val="nil"/>
            </w:tcBorders>
            <w:shd w:val="clear" w:color="auto" w:fill="auto"/>
            <w:noWrap/>
            <w:vAlign w:val="center"/>
            <w:hideMark/>
          </w:tcPr>
          <w:p w14:paraId="7318CDD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21,7</w:t>
            </w:r>
          </w:p>
        </w:tc>
        <w:tc>
          <w:tcPr>
            <w:tcW w:w="567" w:type="dxa"/>
            <w:tcBorders>
              <w:top w:val="nil"/>
              <w:left w:val="nil"/>
              <w:bottom w:val="nil"/>
              <w:right w:val="nil"/>
            </w:tcBorders>
            <w:shd w:val="clear" w:color="auto" w:fill="auto"/>
            <w:noWrap/>
            <w:vAlign w:val="center"/>
            <w:hideMark/>
          </w:tcPr>
          <w:p w14:paraId="199EB56D" w14:textId="6CD37072"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25,2</w:t>
            </w:r>
          </w:p>
        </w:tc>
        <w:tc>
          <w:tcPr>
            <w:tcW w:w="567" w:type="dxa"/>
            <w:tcBorders>
              <w:top w:val="nil"/>
              <w:left w:val="nil"/>
              <w:bottom w:val="nil"/>
              <w:right w:val="nil"/>
            </w:tcBorders>
            <w:shd w:val="clear" w:color="auto" w:fill="auto"/>
            <w:noWrap/>
            <w:vAlign w:val="center"/>
            <w:hideMark/>
          </w:tcPr>
          <w:p w14:paraId="78A2C48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24,4</w:t>
            </w:r>
          </w:p>
        </w:tc>
        <w:tc>
          <w:tcPr>
            <w:tcW w:w="567" w:type="dxa"/>
            <w:tcBorders>
              <w:top w:val="nil"/>
              <w:left w:val="nil"/>
              <w:bottom w:val="nil"/>
              <w:right w:val="nil"/>
            </w:tcBorders>
            <w:shd w:val="clear" w:color="auto" w:fill="auto"/>
            <w:noWrap/>
            <w:vAlign w:val="center"/>
            <w:hideMark/>
          </w:tcPr>
          <w:p w14:paraId="175A562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30,5</w:t>
            </w:r>
          </w:p>
        </w:tc>
        <w:tc>
          <w:tcPr>
            <w:tcW w:w="567" w:type="dxa"/>
            <w:tcBorders>
              <w:top w:val="nil"/>
              <w:left w:val="nil"/>
              <w:bottom w:val="nil"/>
              <w:right w:val="nil"/>
            </w:tcBorders>
            <w:shd w:val="clear" w:color="auto" w:fill="auto"/>
            <w:noWrap/>
            <w:vAlign w:val="center"/>
            <w:hideMark/>
          </w:tcPr>
          <w:p w14:paraId="7FA7A0E1"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30,5</w:t>
            </w:r>
          </w:p>
        </w:tc>
        <w:tc>
          <w:tcPr>
            <w:tcW w:w="567" w:type="dxa"/>
            <w:tcBorders>
              <w:top w:val="nil"/>
              <w:left w:val="nil"/>
              <w:bottom w:val="nil"/>
              <w:right w:val="nil"/>
            </w:tcBorders>
            <w:shd w:val="clear" w:color="auto" w:fill="auto"/>
            <w:noWrap/>
            <w:vAlign w:val="center"/>
            <w:hideMark/>
          </w:tcPr>
          <w:p w14:paraId="5CD3D6F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32,6</w:t>
            </w:r>
          </w:p>
        </w:tc>
        <w:tc>
          <w:tcPr>
            <w:tcW w:w="567" w:type="dxa"/>
            <w:tcBorders>
              <w:top w:val="nil"/>
              <w:left w:val="nil"/>
              <w:bottom w:val="nil"/>
              <w:right w:val="nil"/>
            </w:tcBorders>
            <w:shd w:val="clear" w:color="auto" w:fill="auto"/>
            <w:noWrap/>
            <w:vAlign w:val="center"/>
            <w:hideMark/>
          </w:tcPr>
          <w:p w14:paraId="45EAAC0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35,9</w:t>
            </w:r>
          </w:p>
        </w:tc>
        <w:tc>
          <w:tcPr>
            <w:tcW w:w="567" w:type="dxa"/>
            <w:tcBorders>
              <w:top w:val="nil"/>
              <w:left w:val="nil"/>
              <w:bottom w:val="nil"/>
              <w:right w:val="nil"/>
            </w:tcBorders>
            <w:shd w:val="clear" w:color="auto" w:fill="auto"/>
            <w:noWrap/>
            <w:vAlign w:val="center"/>
            <w:hideMark/>
          </w:tcPr>
          <w:p w14:paraId="56D76542" w14:textId="409FE120"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36,0</w:t>
            </w:r>
          </w:p>
        </w:tc>
        <w:tc>
          <w:tcPr>
            <w:tcW w:w="567" w:type="dxa"/>
            <w:tcBorders>
              <w:top w:val="nil"/>
              <w:left w:val="nil"/>
              <w:bottom w:val="nil"/>
              <w:right w:val="nil"/>
            </w:tcBorders>
            <w:shd w:val="clear" w:color="auto" w:fill="auto"/>
            <w:noWrap/>
            <w:vAlign w:val="center"/>
            <w:hideMark/>
          </w:tcPr>
          <w:p w14:paraId="20547C7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43,3</w:t>
            </w:r>
          </w:p>
        </w:tc>
        <w:tc>
          <w:tcPr>
            <w:tcW w:w="567" w:type="dxa"/>
            <w:tcBorders>
              <w:top w:val="nil"/>
              <w:left w:val="nil"/>
              <w:bottom w:val="nil"/>
              <w:right w:val="nil"/>
            </w:tcBorders>
            <w:shd w:val="clear" w:color="auto" w:fill="auto"/>
            <w:noWrap/>
            <w:vAlign w:val="center"/>
            <w:hideMark/>
          </w:tcPr>
          <w:p w14:paraId="6437420F" w14:textId="53FA2BC1"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55,7</w:t>
            </w:r>
          </w:p>
        </w:tc>
        <w:tc>
          <w:tcPr>
            <w:tcW w:w="567" w:type="dxa"/>
            <w:vAlign w:val="center"/>
          </w:tcPr>
          <w:p w14:paraId="17B69A71" w14:textId="534FAF46"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86,4</w:t>
            </w:r>
          </w:p>
        </w:tc>
      </w:tr>
      <w:tr w:rsidR="00554433" w:rsidRPr="00554433" w14:paraId="02B445CD" w14:textId="3304028C" w:rsidTr="00840644">
        <w:trPr>
          <w:trHeight w:val="300"/>
        </w:trPr>
        <w:tc>
          <w:tcPr>
            <w:tcW w:w="3476" w:type="dxa"/>
            <w:tcBorders>
              <w:top w:val="nil"/>
              <w:left w:val="nil"/>
              <w:bottom w:val="nil"/>
              <w:right w:val="single" w:sz="4" w:space="0" w:color="auto"/>
            </w:tcBorders>
            <w:shd w:val="clear" w:color="auto" w:fill="auto"/>
            <w:vAlign w:val="center"/>
            <w:hideMark/>
          </w:tcPr>
          <w:p w14:paraId="68EAB295" w14:textId="3EAA4D0B"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Q – Zdravotní a sociální péče</w:t>
            </w:r>
          </w:p>
        </w:tc>
        <w:tc>
          <w:tcPr>
            <w:tcW w:w="567" w:type="dxa"/>
            <w:tcBorders>
              <w:top w:val="nil"/>
              <w:left w:val="nil"/>
              <w:bottom w:val="nil"/>
              <w:right w:val="nil"/>
            </w:tcBorders>
            <w:shd w:val="clear" w:color="auto" w:fill="auto"/>
            <w:noWrap/>
            <w:vAlign w:val="center"/>
            <w:hideMark/>
          </w:tcPr>
          <w:p w14:paraId="28A9997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22,3</w:t>
            </w:r>
          </w:p>
        </w:tc>
        <w:tc>
          <w:tcPr>
            <w:tcW w:w="567" w:type="dxa"/>
            <w:tcBorders>
              <w:top w:val="nil"/>
              <w:left w:val="nil"/>
              <w:bottom w:val="nil"/>
              <w:right w:val="nil"/>
            </w:tcBorders>
            <w:shd w:val="clear" w:color="auto" w:fill="auto"/>
            <w:noWrap/>
            <w:vAlign w:val="center"/>
            <w:hideMark/>
          </w:tcPr>
          <w:p w14:paraId="0D7146C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25,5</w:t>
            </w:r>
          </w:p>
        </w:tc>
        <w:tc>
          <w:tcPr>
            <w:tcW w:w="567" w:type="dxa"/>
            <w:tcBorders>
              <w:top w:val="nil"/>
              <w:left w:val="nil"/>
              <w:bottom w:val="nil"/>
              <w:right w:val="nil"/>
            </w:tcBorders>
            <w:shd w:val="clear" w:color="auto" w:fill="auto"/>
            <w:noWrap/>
            <w:vAlign w:val="center"/>
            <w:hideMark/>
          </w:tcPr>
          <w:p w14:paraId="4DB4B38E" w14:textId="6DAF2B4E"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25,4</w:t>
            </w:r>
          </w:p>
        </w:tc>
        <w:tc>
          <w:tcPr>
            <w:tcW w:w="567" w:type="dxa"/>
            <w:tcBorders>
              <w:top w:val="nil"/>
              <w:left w:val="nil"/>
              <w:bottom w:val="nil"/>
              <w:right w:val="nil"/>
            </w:tcBorders>
            <w:shd w:val="clear" w:color="auto" w:fill="auto"/>
            <w:noWrap/>
            <w:vAlign w:val="center"/>
            <w:hideMark/>
          </w:tcPr>
          <w:p w14:paraId="28592D13"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29,7</w:t>
            </w:r>
          </w:p>
        </w:tc>
        <w:tc>
          <w:tcPr>
            <w:tcW w:w="567" w:type="dxa"/>
            <w:tcBorders>
              <w:top w:val="nil"/>
              <w:left w:val="nil"/>
              <w:bottom w:val="nil"/>
              <w:right w:val="nil"/>
            </w:tcBorders>
            <w:shd w:val="clear" w:color="auto" w:fill="auto"/>
            <w:noWrap/>
            <w:vAlign w:val="center"/>
            <w:hideMark/>
          </w:tcPr>
          <w:p w14:paraId="0022E741" w14:textId="19044589"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30,4</w:t>
            </w:r>
          </w:p>
        </w:tc>
        <w:tc>
          <w:tcPr>
            <w:tcW w:w="567" w:type="dxa"/>
            <w:tcBorders>
              <w:top w:val="nil"/>
              <w:left w:val="nil"/>
              <w:bottom w:val="nil"/>
              <w:right w:val="nil"/>
            </w:tcBorders>
            <w:shd w:val="clear" w:color="auto" w:fill="auto"/>
            <w:noWrap/>
            <w:vAlign w:val="center"/>
            <w:hideMark/>
          </w:tcPr>
          <w:p w14:paraId="560E68AD" w14:textId="08ACB65E"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31,3</w:t>
            </w:r>
          </w:p>
        </w:tc>
        <w:tc>
          <w:tcPr>
            <w:tcW w:w="567" w:type="dxa"/>
            <w:tcBorders>
              <w:top w:val="nil"/>
              <w:left w:val="nil"/>
              <w:bottom w:val="nil"/>
              <w:right w:val="nil"/>
            </w:tcBorders>
            <w:shd w:val="clear" w:color="auto" w:fill="auto"/>
            <w:noWrap/>
            <w:vAlign w:val="center"/>
            <w:hideMark/>
          </w:tcPr>
          <w:p w14:paraId="01D29A4E" w14:textId="2627807C"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33,7</w:t>
            </w:r>
          </w:p>
        </w:tc>
        <w:tc>
          <w:tcPr>
            <w:tcW w:w="567" w:type="dxa"/>
            <w:tcBorders>
              <w:top w:val="nil"/>
              <w:left w:val="nil"/>
              <w:bottom w:val="nil"/>
              <w:right w:val="nil"/>
            </w:tcBorders>
            <w:shd w:val="clear" w:color="auto" w:fill="auto"/>
            <w:noWrap/>
            <w:vAlign w:val="center"/>
            <w:hideMark/>
          </w:tcPr>
          <w:p w14:paraId="077661F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35,2</w:t>
            </w:r>
          </w:p>
        </w:tc>
        <w:tc>
          <w:tcPr>
            <w:tcW w:w="567" w:type="dxa"/>
            <w:tcBorders>
              <w:top w:val="nil"/>
              <w:left w:val="nil"/>
              <w:bottom w:val="nil"/>
              <w:right w:val="nil"/>
            </w:tcBorders>
            <w:shd w:val="clear" w:color="auto" w:fill="auto"/>
            <w:noWrap/>
            <w:vAlign w:val="center"/>
            <w:hideMark/>
          </w:tcPr>
          <w:p w14:paraId="6398894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59,7</w:t>
            </w:r>
          </w:p>
        </w:tc>
        <w:tc>
          <w:tcPr>
            <w:tcW w:w="567" w:type="dxa"/>
            <w:tcBorders>
              <w:top w:val="nil"/>
              <w:left w:val="nil"/>
              <w:bottom w:val="nil"/>
              <w:right w:val="nil"/>
            </w:tcBorders>
            <w:shd w:val="clear" w:color="auto" w:fill="auto"/>
            <w:noWrap/>
            <w:vAlign w:val="center"/>
            <w:hideMark/>
          </w:tcPr>
          <w:p w14:paraId="6DD79677" w14:textId="5FF04105"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52,1</w:t>
            </w:r>
          </w:p>
        </w:tc>
        <w:tc>
          <w:tcPr>
            <w:tcW w:w="567" w:type="dxa"/>
            <w:vAlign w:val="center"/>
          </w:tcPr>
          <w:p w14:paraId="3BE280D6" w14:textId="318F9A21"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72,2</w:t>
            </w:r>
          </w:p>
        </w:tc>
      </w:tr>
      <w:tr w:rsidR="00554433" w:rsidRPr="00554433" w14:paraId="55A3B6DC" w14:textId="63BB38A4" w:rsidTr="00840644">
        <w:trPr>
          <w:trHeight w:val="480"/>
        </w:trPr>
        <w:tc>
          <w:tcPr>
            <w:tcW w:w="3476" w:type="dxa"/>
            <w:tcBorders>
              <w:top w:val="nil"/>
              <w:left w:val="nil"/>
              <w:bottom w:val="nil"/>
              <w:right w:val="single" w:sz="4" w:space="0" w:color="auto"/>
            </w:tcBorders>
            <w:shd w:val="clear" w:color="auto" w:fill="auto"/>
            <w:vAlign w:val="center"/>
            <w:hideMark/>
          </w:tcPr>
          <w:p w14:paraId="58E6729B" w14:textId="3055D311"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 xml:space="preserve">R – Kulturní, zábavní a rekreační </w:t>
            </w:r>
            <w:r w:rsidRPr="00554433">
              <w:rPr>
                <w:rFonts w:cs="Arial"/>
                <w:color w:val="000000"/>
                <w:sz w:val="16"/>
                <w:szCs w:val="16"/>
              </w:rPr>
              <w:br/>
              <w:t xml:space="preserve">          činnosti</w:t>
            </w:r>
          </w:p>
        </w:tc>
        <w:tc>
          <w:tcPr>
            <w:tcW w:w="567" w:type="dxa"/>
            <w:tcBorders>
              <w:top w:val="nil"/>
              <w:left w:val="nil"/>
              <w:bottom w:val="nil"/>
              <w:right w:val="nil"/>
            </w:tcBorders>
            <w:shd w:val="clear" w:color="auto" w:fill="auto"/>
            <w:noWrap/>
            <w:vAlign w:val="center"/>
            <w:hideMark/>
          </w:tcPr>
          <w:p w14:paraId="536410C2"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18,4</w:t>
            </w:r>
          </w:p>
        </w:tc>
        <w:tc>
          <w:tcPr>
            <w:tcW w:w="567" w:type="dxa"/>
            <w:tcBorders>
              <w:top w:val="nil"/>
              <w:left w:val="nil"/>
              <w:bottom w:val="nil"/>
              <w:right w:val="nil"/>
            </w:tcBorders>
            <w:shd w:val="clear" w:color="auto" w:fill="auto"/>
            <w:noWrap/>
            <w:vAlign w:val="center"/>
            <w:hideMark/>
          </w:tcPr>
          <w:p w14:paraId="40E3C0A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20,9</w:t>
            </w:r>
          </w:p>
        </w:tc>
        <w:tc>
          <w:tcPr>
            <w:tcW w:w="567" w:type="dxa"/>
            <w:tcBorders>
              <w:top w:val="nil"/>
              <w:left w:val="nil"/>
              <w:bottom w:val="nil"/>
              <w:right w:val="nil"/>
            </w:tcBorders>
            <w:shd w:val="clear" w:color="auto" w:fill="auto"/>
            <w:noWrap/>
            <w:vAlign w:val="center"/>
            <w:hideMark/>
          </w:tcPr>
          <w:p w14:paraId="7C62F998"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20,5</w:t>
            </w:r>
          </w:p>
        </w:tc>
        <w:tc>
          <w:tcPr>
            <w:tcW w:w="567" w:type="dxa"/>
            <w:tcBorders>
              <w:top w:val="nil"/>
              <w:left w:val="nil"/>
              <w:bottom w:val="nil"/>
              <w:right w:val="nil"/>
            </w:tcBorders>
            <w:shd w:val="clear" w:color="auto" w:fill="auto"/>
            <w:noWrap/>
            <w:vAlign w:val="center"/>
            <w:hideMark/>
          </w:tcPr>
          <w:p w14:paraId="7C0E332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24,1</w:t>
            </w:r>
          </w:p>
        </w:tc>
        <w:tc>
          <w:tcPr>
            <w:tcW w:w="567" w:type="dxa"/>
            <w:tcBorders>
              <w:top w:val="nil"/>
              <w:left w:val="nil"/>
              <w:bottom w:val="nil"/>
              <w:right w:val="nil"/>
            </w:tcBorders>
            <w:shd w:val="clear" w:color="auto" w:fill="auto"/>
            <w:noWrap/>
            <w:vAlign w:val="center"/>
            <w:hideMark/>
          </w:tcPr>
          <w:p w14:paraId="47CC5D04"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24,6</w:t>
            </w:r>
          </w:p>
        </w:tc>
        <w:tc>
          <w:tcPr>
            <w:tcW w:w="567" w:type="dxa"/>
            <w:tcBorders>
              <w:top w:val="nil"/>
              <w:left w:val="nil"/>
              <w:bottom w:val="nil"/>
              <w:right w:val="nil"/>
            </w:tcBorders>
            <w:shd w:val="clear" w:color="auto" w:fill="auto"/>
            <w:noWrap/>
            <w:vAlign w:val="center"/>
            <w:hideMark/>
          </w:tcPr>
          <w:p w14:paraId="06194F2E" w14:textId="13BDA30C"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24,4</w:t>
            </w:r>
          </w:p>
        </w:tc>
        <w:tc>
          <w:tcPr>
            <w:tcW w:w="567" w:type="dxa"/>
            <w:tcBorders>
              <w:top w:val="nil"/>
              <w:left w:val="nil"/>
              <w:bottom w:val="nil"/>
              <w:right w:val="nil"/>
            </w:tcBorders>
            <w:shd w:val="clear" w:color="auto" w:fill="auto"/>
            <w:noWrap/>
            <w:vAlign w:val="center"/>
            <w:hideMark/>
          </w:tcPr>
          <w:p w14:paraId="13FF3A5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26,8</w:t>
            </w:r>
          </w:p>
        </w:tc>
        <w:tc>
          <w:tcPr>
            <w:tcW w:w="567" w:type="dxa"/>
            <w:tcBorders>
              <w:top w:val="nil"/>
              <w:left w:val="nil"/>
              <w:bottom w:val="nil"/>
              <w:right w:val="nil"/>
            </w:tcBorders>
            <w:shd w:val="clear" w:color="auto" w:fill="auto"/>
            <w:noWrap/>
            <w:vAlign w:val="center"/>
            <w:hideMark/>
          </w:tcPr>
          <w:p w14:paraId="416D7F35"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27,9</w:t>
            </w:r>
          </w:p>
        </w:tc>
        <w:tc>
          <w:tcPr>
            <w:tcW w:w="567" w:type="dxa"/>
            <w:tcBorders>
              <w:top w:val="nil"/>
              <w:left w:val="nil"/>
              <w:bottom w:val="nil"/>
              <w:right w:val="nil"/>
            </w:tcBorders>
            <w:shd w:val="clear" w:color="auto" w:fill="auto"/>
            <w:noWrap/>
            <w:vAlign w:val="center"/>
            <w:hideMark/>
          </w:tcPr>
          <w:p w14:paraId="20B5F42A"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34,1</w:t>
            </w:r>
          </w:p>
        </w:tc>
        <w:tc>
          <w:tcPr>
            <w:tcW w:w="567" w:type="dxa"/>
            <w:tcBorders>
              <w:top w:val="nil"/>
              <w:left w:val="nil"/>
              <w:bottom w:val="nil"/>
              <w:right w:val="nil"/>
            </w:tcBorders>
            <w:shd w:val="clear" w:color="auto" w:fill="auto"/>
            <w:noWrap/>
            <w:vAlign w:val="center"/>
            <w:hideMark/>
          </w:tcPr>
          <w:p w14:paraId="7F64B5E9" w14:textId="45941808"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36,5</w:t>
            </w:r>
          </w:p>
        </w:tc>
        <w:tc>
          <w:tcPr>
            <w:tcW w:w="567" w:type="dxa"/>
            <w:vAlign w:val="center"/>
          </w:tcPr>
          <w:p w14:paraId="2078E796" w14:textId="6F46E496"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56,1</w:t>
            </w:r>
          </w:p>
        </w:tc>
      </w:tr>
      <w:tr w:rsidR="00554433" w:rsidRPr="00554433" w14:paraId="1593E39C" w14:textId="4DA92B07" w:rsidTr="00840644">
        <w:trPr>
          <w:trHeight w:val="300"/>
        </w:trPr>
        <w:tc>
          <w:tcPr>
            <w:tcW w:w="3476" w:type="dxa"/>
            <w:tcBorders>
              <w:top w:val="nil"/>
              <w:left w:val="nil"/>
              <w:bottom w:val="nil"/>
              <w:right w:val="single" w:sz="4" w:space="0" w:color="auto"/>
            </w:tcBorders>
            <w:shd w:val="clear" w:color="auto" w:fill="auto"/>
            <w:vAlign w:val="center"/>
            <w:hideMark/>
          </w:tcPr>
          <w:p w14:paraId="04AB02A6" w14:textId="6A1B7309" w:rsidR="00554433" w:rsidRPr="00554433" w:rsidRDefault="00554433" w:rsidP="00554433">
            <w:pPr>
              <w:spacing w:after="0" w:line="240" w:lineRule="auto"/>
              <w:ind w:firstLineChars="100" w:firstLine="160"/>
              <w:rPr>
                <w:rFonts w:cs="Arial"/>
                <w:color w:val="000000"/>
                <w:sz w:val="16"/>
                <w:szCs w:val="16"/>
              </w:rPr>
            </w:pPr>
            <w:r w:rsidRPr="00554433">
              <w:rPr>
                <w:rFonts w:cs="Arial"/>
                <w:color w:val="000000"/>
                <w:sz w:val="16"/>
                <w:szCs w:val="16"/>
              </w:rPr>
              <w:t>S – Ostatní činnosti</w:t>
            </w:r>
          </w:p>
        </w:tc>
        <w:tc>
          <w:tcPr>
            <w:tcW w:w="567" w:type="dxa"/>
            <w:tcBorders>
              <w:top w:val="nil"/>
              <w:left w:val="nil"/>
              <w:bottom w:val="nil"/>
              <w:right w:val="nil"/>
            </w:tcBorders>
            <w:shd w:val="clear" w:color="auto" w:fill="auto"/>
            <w:noWrap/>
            <w:vAlign w:val="center"/>
            <w:hideMark/>
          </w:tcPr>
          <w:p w14:paraId="71DB006C" w14:textId="634989C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21,3</w:t>
            </w:r>
          </w:p>
        </w:tc>
        <w:tc>
          <w:tcPr>
            <w:tcW w:w="567" w:type="dxa"/>
            <w:tcBorders>
              <w:top w:val="nil"/>
              <w:left w:val="nil"/>
              <w:bottom w:val="nil"/>
              <w:right w:val="nil"/>
            </w:tcBorders>
            <w:shd w:val="clear" w:color="auto" w:fill="auto"/>
            <w:noWrap/>
            <w:vAlign w:val="center"/>
            <w:hideMark/>
          </w:tcPr>
          <w:p w14:paraId="79AC3581" w14:textId="15E7A9A3"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23,5</w:t>
            </w:r>
          </w:p>
        </w:tc>
        <w:tc>
          <w:tcPr>
            <w:tcW w:w="567" w:type="dxa"/>
            <w:tcBorders>
              <w:top w:val="nil"/>
              <w:left w:val="nil"/>
              <w:bottom w:val="nil"/>
              <w:right w:val="nil"/>
            </w:tcBorders>
            <w:shd w:val="clear" w:color="auto" w:fill="auto"/>
            <w:noWrap/>
            <w:vAlign w:val="center"/>
            <w:hideMark/>
          </w:tcPr>
          <w:p w14:paraId="5E8D82E2" w14:textId="40CCBCA9"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23,5</w:t>
            </w:r>
          </w:p>
        </w:tc>
        <w:tc>
          <w:tcPr>
            <w:tcW w:w="567" w:type="dxa"/>
            <w:tcBorders>
              <w:top w:val="nil"/>
              <w:left w:val="nil"/>
              <w:bottom w:val="nil"/>
              <w:right w:val="nil"/>
            </w:tcBorders>
            <w:shd w:val="clear" w:color="auto" w:fill="auto"/>
            <w:noWrap/>
            <w:vAlign w:val="center"/>
            <w:hideMark/>
          </w:tcPr>
          <w:p w14:paraId="75E2FD07"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27,5</w:t>
            </w:r>
          </w:p>
        </w:tc>
        <w:tc>
          <w:tcPr>
            <w:tcW w:w="567" w:type="dxa"/>
            <w:tcBorders>
              <w:top w:val="nil"/>
              <w:left w:val="nil"/>
              <w:bottom w:val="nil"/>
              <w:right w:val="nil"/>
            </w:tcBorders>
            <w:shd w:val="clear" w:color="auto" w:fill="auto"/>
            <w:noWrap/>
            <w:vAlign w:val="center"/>
            <w:hideMark/>
          </w:tcPr>
          <w:p w14:paraId="2011E916"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28,1</w:t>
            </w:r>
          </w:p>
        </w:tc>
        <w:tc>
          <w:tcPr>
            <w:tcW w:w="567" w:type="dxa"/>
            <w:tcBorders>
              <w:top w:val="nil"/>
              <w:left w:val="nil"/>
              <w:bottom w:val="nil"/>
              <w:right w:val="nil"/>
            </w:tcBorders>
            <w:shd w:val="clear" w:color="auto" w:fill="auto"/>
            <w:noWrap/>
            <w:vAlign w:val="center"/>
            <w:hideMark/>
          </w:tcPr>
          <w:p w14:paraId="6A27A81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27,8</w:t>
            </w:r>
          </w:p>
        </w:tc>
        <w:tc>
          <w:tcPr>
            <w:tcW w:w="567" w:type="dxa"/>
            <w:tcBorders>
              <w:top w:val="nil"/>
              <w:left w:val="nil"/>
              <w:bottom w:val="nil"/>
              <w:right w:val="nil"/>
            </w:tcBorders>
            <w:shd w:val="clear" w:color="auto" w:fill="auto"/>
            <w:noWrap/>
            <w:vAlign w:val="center"/>
            <w:hideMark/>
          </w:tcPr>
          <w:p w14:paraId="0E675B10"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29,8</w:t>
            </w:r>
          </w:p>
        </w:tc>
        <w:tc>
          <w:tcPr>
            <w:tcW w:w="567" w:type="dxa"/>
            <w:tcBorders>
              <w:top w:val="nil"/>
              <w:left w:val="nil"/>
              <w:bottom w:val="nil"/>
              <w:right w:val="nil"/>
            </w:tcBorders>
            <w:shd w:val="clear" w:color="auto" w:fill="auto"/>
            <w:noWrap/>
            <w:vAlign w:val="center"/>
            <w:hideMark/>
          </w:tcPr>
          <w:p w14:paraId="2E1D21D9"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31,3</w:t>
            </w:r>
          </w:p>
        </w:tc>
        <w:tc>
          <w:tcPr>
            <w:tcW w:w="567" w:type="dxa"/>
            <w:tcBorders>
              <w:top w:val="nil"/>
              <w:left w:val="nil"/>
              <w:bottom w:val="nil"/>
              <w:right w:val="nil"/>
            </w:tcBorders>
            <w:shd w:val="clear" w:color="auto" w:fill="auto"/>
            <w:noWrap/>
            <w:vAlign w:val="center"/>
            <w:hideMark/>
          </w:tcPr>
          <w:p w14:paraId="2EA83BAE" w14:textId="77777777"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40,6</w:t>
            </w:r>
          </w:p>
        </w:tc>
        <w:tc>
          <w:tcPr>
            <w:tcW w:w="567" w:type="dxa"/>
            <w:tcBorders>
              <w:top w:val="nil"/>
              <w:left w:val="nil"/>
              <w:bottom w:val="nil"/>
              <w:right w:val="nil"/>
            </w:tcBorders>
            <w:shd w:val="clear" w:color="auto" w:fill="auto"/>
            <w:noWrap/>
            <w:vAlign w:val="center"/>
            <w:hideMark/>
          </w:tcPr>
          <w:p w14:paraId="07063E62" w14:textId="03F5B9A5"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44,2</w:t>
            </w:r>
          </w:p>
        </w:tc>
        <w:tc>
          <w:tcPr>
            <w:tcW w:w="567" w:type="dxa"/>
            <w:vAlign w:val="center"/>
          </w:tcPr>
          <w:p w14:paraId="6DE48B26" w14:textId="4C345F3D" w:rsidR="00554433" w:rsidRPr="00554433" w:rsidRDefault="00554433" w:rsidP="00554433">
            <w:pPr>
              <w:spacing w:after="0" w:line="240" w:lineRule="auto"/>
              <w:jc w:val="center"/>
              <w:rPr>
                <w:rFonts w:cs="Arial"/>
                <w:color w:val="000000"/>
                <w:sz w:val="16"/>
                <w:szCs w:val="16"/>
              </w:rPr>
            </w:pPr>
            <w:r w:rsidRPr="00554433">
              <w:rPr>
                <w:rFonts w:cs="Arial"/>
                <w:color w:val="000000"/>
                <w:sz w:val="16"/>
                <w:szCs w:val="16"/>
              </w:rPr>
              <w:t>56,3</w:t>
            </w:r>
          </w:p>
        </w:tc>
      </w:tr>
    </w:tbl>
    <w:p w14:paraId="7B759D2C" w14:textId="77777777" w:rsidR="00597354" w:rsidRDefault="00597354" w:rsidP="00896E98">
      <w:pPr>
        <w:spacing w:before="120" w:after="120" w:line="240" w:lineRule="auto"/>
        <w:jc w:val="both"/>
        <w:rPr>
          <w:rFonts w:cs="Arial"/>
          <w:color w:val="000000"/>
          <w:sz w:val="16"/>
          <w:szCs w:val="16"/>
        </w:rPr>
      </w:pPr>
      <w:r>
        <w:rPr>
          <w:rFonts w:cs="Arial"/>
          <w:color w:val="000000"/>
          <w:sz w:val="16"/>
          <w:szCs w:val="16"/>
        </w:rPr>
        <w:t>Pozn.: Přerušení v časové řadě.</w:t>
      </w:r>
    </w:p>
    <w:p w14:paraId="658F9F60" w14:textId="4266C3E2" w:rsidR="00896E98" w:rsidRPr="00166BEB" w:rsidRDefault="00896E98" w:rsidP="00896E98">
      <w:pPr>
        <w:spacing w:before="120" w:after="120" w:line="240" w:lineRule="auto"/>
        <w:jc w:val="both"/>
        <w:rPr>
          <w:rFonts w:cs="Arial"/>
          <w:color w:val="000000"/>
          <w:sz w:val="16"/>
          <w:szCs w:val="16"/>
          <w:highlight w:val="yellow"/>
        </w:rPr>
      </w:pPr>
      <w:r w:rsidRPr="00554433">
        <w:rPr>
          <w:rFonts w:cs="Arial"/>
          <w:color w:val="000000"/>
          <w:sz w:val="16"/>
          <w:szCs w:val="16"/>
        </w:rPr>
        <w:t>Zdroj: ČSÚ</w:t>
      </w:r>
    </w:p>
    <w:p w14:paraId="30E6FBCF" w14:textId="471F3968" w:rsidR="005C663E" w:rsidRPr="00166BEB" w:rsidRDefault="00896E98" w:rsidP="00597354">
      <w:pPr>
        <w:spacing w:before="120" w:after="120"/>
        <w:jc w:val="both"/>
        <w:rPr>
          <w:b/>
          <w:spacing w:val="-7"/>
          <w:highlight w:val="yellow"/>
        </w:rPr>
      </w:pPr>
      <w:r w:rsidRPr="00554433">
        <w:t xml:space="preserve">Z pohledu </w:t>
      </w:r>
      <w:r w:rsidRPr="00554433">
        <w:rPr>
          <w:b/>
        </w:rPr>
        <w:t>územního členění</w:t>
      </w:r>
      <w:r w:rsidRPr="00554433">
        <w:t xml:space="preserve"> bylo v roce 202</w:t>
      </w:r>
      <w:r w:rsidR="00554433" w:rsidRPr="00554433">
        <w:t>2</w:t>
      </w:r>
      <w:r w:rsidRPr="00554433">
        <w:t xml:space="preserve"> nejvíce případů pracovní neschopnosti</w:t>
      </w:r>
      <w:r w:rsidR="008A08D2" w:rsidRPr="00554433">
        <w:t xml:space="preserve"> pro nemoc či úraz</w:t>
      </w:r>
      <w:r w:rsidRPr="00554433">
        <w:t xml:space="preserve"> na 100 pojištěnců hlášeno v Libereckém (</w:t>
      </w:r>
      <w:r w:rsidR="00554433" w:rsidRPr="00554433">
        <w:t>89</w:t>
      </w:r>
      <w:r w:rsidRPr="00554433">
        <w:t>), Plzeňském</w:t>
      </w:r>
      <w:r w:rsidR="00554433" w:rsidRPr="00554433">
        <w:t xml:space="preserve"> </w:t>
      </w:r>
      <w:r w:rsidRPr="00554433">
        <w:t xml:space="preserve">a </w:t>
      </w:r>
      <w:r w:rsidR="00554433" w:rsidRPr="00554433">
        <w:t>Ústeckém</w:t>
      </w:r>
      <w:r w:rsidRPr="00554433">
        <w:t xml:space="preserve"> kraji (</w:t>
      </w:r>
      <w:r w:rsidR="00554433" w:rsidRPr="00554433">
        <w:t xml:space="preserve">oba shodně </w:t>
      </w:r>
      <w:r w:rsidRPr="00554433">
        <w:t>8</w:t>
      </w:r>
      <w:r w:rsidR="00554433" w:rsidRPr="00554433">
        <w:t>3</w:t>
      </w:r>
      <w:r w:rsidRPr="00554433">
        <w:t xml:space="preserve">). Jak již bylo zmíněno výše, průměr za Českou republiku činil </w:t>
      </w:r>
      <w:r w:rsidR="00554433" w:rsidRPr="00554433">
        <w:t>73</w:t>
      </w:r>
      <w:r w:rsidRPr="00554433">
        <w:t xml:space="preserve"> případů, přičemž podprůměrné hodnoty vykazovaly následující 2</w:t>
      </w:r>
      <w:r w:rsidR="00554433" w:rsidRPr="00554433">
        <w:t> </w:t>
      </w:r>
      <w:r w:rsidRPr="00554433">
        <w:t>kraje: Hlavní město Praha (</w:t>
      </w:r>
      <w:r w:rsidR="00554433" w:rsidRPr="00554433">
        <w:t>57</w:t>
      </w:r>
      <w:r w:rsidRPr="00554433">
        <w:t>) a Jihomoravský kraj (</w:t>
      </w:r>
      <w:r w:rsidR="00554433" w:rsidRPr="00554433">
        <w:t>71</w:t>
      </w:r>
      <w:r w:rsidRPr="00554433">
        <w:t xml:space="preserve">). Rozdíl dvou extrémních krajů představoval </w:t>
      </w:r>
      <w:r w:rsidR="00554433" w:rsidRPr="00554433">
        <w:t>32 </w:t>
      </w:r>
      <w:r w:rsidRPr="00554433">
        <w:t>případů pracovní neschopnosti</w:t>
      </w:r>
      <w:r w:rsidR="004930CE" w:rsidRPr="00554433">
        <w:t>, zatímco v roce 2019 činil 16 případů</w:t>
      </w:r>
      <w:r w:rsidRPr="00554433">
        <w:t xml:space="preserve">. </w:t>
      </w:r>
      <w:r w:rsidR="00605C5E" w:rsidRPr="00554433">
        <w:t>Počty případů pracovní neschopnosti na 100 pojištěnců</w:t>
      </w:r>
      <w:r w:rsidRPr="00554433">
        <w:t xml:space="preserve"> oproti roku 2019 vzrostly ve všech krajích, což je patrné z grafu 2.</w:t>
      </w:r>
      <w:r w:rsidR="00243B43">
        <w:t>7</w:t>
      </w:r>
      <w:r w:rsidRPr="00554433">
        <w:t>. Nejvíce v</w:t>
      </w:r>
      <w:r w:rsidR="00C74E13" w:rsidRPr="00554433">
        <w:t xml:space="preserve"> Libereckém </w:t>
      </w:r>
      <w:r w:rsidR="00AA617B">
        <w:t>(+40),</w:t>
      </w:r>
      <w:r w:rsidR="00C74E13" w:rsidRPr="00554433">
        <w:t xml:space="preserve"> v </w:t>
      </w:r>
      <w:r w:rsidR="00554433" w:rsidRPr="00554433">
        <w:t>Ústeckém</w:t>
      </w:r>
      <w:r w:rsidR="00C74E13" w:rsidRPr="00554433">
        <w:t xml:space="preserve"> </w:t>
      </w:r>
      <w:r w:rsidR="00AA617B">
        <w:t xml:space="preserve">a Pardubickém </w:t>
      </w:r>
      <w:r w:rsidR="00C74E13" w:rsidRPr="00554433">
        <w:t xml:space="preserve">kraji </w:t>
      </w:r>
      <w:r w:rsidRPr="00554433">
        <w:t>(</w:t>
      </w:r>
      <w:r w:rsidR="00C74E13" w:rsidRPr="00554433">
        <w:t xml:space="preserve">shodně </w:t>
      </w:r>
      <w:r w:rsidRPr="00554433">
        <w:t>+</w:t>
      </w:r>
      <w:r w:rsidR="00C74E13" w:rsidRPr="00554433">
        <w:t>3</w:t>
      </w:r>
      <w:r w:rsidR="00554433" w:rsidRPr="00554433">
        <w:t>8</w:t>
      </w:r>
      <w:r w:rsidR="00C74E13" w:rsidRPr="00554433">
        <w:t xml:space="preserve">). </w:t>
      </w:r>
      <w:r w:rsidRPr="00554433">
        <w:t>Naopak nejnižší nárůst zaznamenala Praha (+</w:t>
      </w:r>
      <w:r w:rsidR="00554433" w:rsidRPr="00554433">
        <w:t>24</w:t>
      </w:r>
      <w:r w:rsidRPr="00554433">
        <w:t>).</w:t>
      </w:r>
      <w:r w:rsidR="000C22F4" w:rsidRPr="000C22F4">
        <w:rPr>
          <w:noProof/>
        </w:rPr>
        <w:t xml:space="preserve"> </w:t>
      </w:r>
      <w:r w:rsidR="005C663E" w:rsidRPr="00166BEB">
        <w:rPr>
          <w:b/>
          <w:spacing w:val="-7"/>
          <w:highlight w:val="yellow"/>
        </w:rPr>
        <w:br w:type="page"/>
      </w:r>
    </w:p>
    <w:p w14:paraId="6AE18A30" w14:textId="011383CA" w:rsidR="00EE1E70" w:rsidRPr="00554433" w:rsidRDefault="00EE1E70" w:rsidP="004930CE">
      <w:pPr>
        <w:spacing w:after="0"/>
        <w:jc w:val="both"/>
        <w:rPr>
          <w:b/>
          <w:spacing w:val="-7"/>
        </w:rPr>
      </w:pPr>
      <w:r w:rsidRPr="00554433">
        <w:rPr>
          <w:b/>
          <w:spacing w:val="-7"/>
        </w:rPr>
        <w:lastRenderedPageBreak/>
        <w:t>Graf 2.</w:t>
      </w:r>
      <w:r w:rsidR="00243B43">
        <w:rPr>
          <w:b/>
          <w:spacing w:val="-7"/>
        </w:rPr>
        <w:t>7</w:t>
      </w:r>
      <w:r w:rsidRPr="00554433">
        <w:rPr>
          <w:b/>
          <w:spacing w:val="-7"/>
        </w:rPr>
        <w:t>: Nově hlášené případy dočasné pracovní neschopnosti na 100 pojištěnců podle krajů ČR, 2019 a 202</w:t>
      </w:r>
      <w:r w:rsidR="00554433" w:rsidRPr="00554433">
        <w:rPr>
          <w:b/>
          <w:spacing w:val="-7"/>
        </w:rPr>
        <w:t>2</w:t>
      </w:r>
    </w:p>
    <w:p w14:paraId="7F25A7C5" w14:textId="7FDDA56B" w:rsidR="00554433" w:rsidRPr="00166BEB" w:rsidRDefault="00554433" w:rsidP="004930CE">
      <w:pPr>
        <w:spacing w:after="0"/>
        <w:jc w:val="both"/>
        <w:rPr>
          <w:b/>
          <w:spacing w:val="-7"/>
          <w:highlight w:val="yellow"/>
        </w:rPr>
      </w:pPr>
      <w:r>
        <w:rPr>
          <w:noProof/>
        </w:rPr>
        <w:drawing>
          <wp:inline distT="0" distB="0" distL="0" distR="0" wp14:anchorId="35D7ACB0" wp14:editId="6311529C">
            <wp:extent cx="6096000" cy="2952750"/>
            <wp:effectExtent l="0" t="0" r="0" b="0"/>
            <wp:docPr id="58" name="Graf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50E45880" w14:textId="133A23D9" w:rsidR="00EE1E70" w:rsidRPr="00554433" w:rsidRDefault="00EE1E70" w:rsidP="00EE1E70">
      <w:pPr>
        <w:spacing w:before="120" w:after="120" w:line="240" w:lineRule="auto"/>
        <w:jc w:val="both"/>
        <w:rPr>
          <w:rFonts w:cs="Arial"/>
          <w:color w:val="000000"/>
          <w:sz w:val="16"/>
          <w:szCs w:val="16"/>
        </w:rPr>
      </w:pPr>
      <w:r w:rsidRPr="00554433">
        <w:rPr>
          <w:rFonts w:cs="Arial"/>
          <w:color w:val="000000"/>
          <w:sz w:val="16"/>
          <w:szCs w:val="16"/>
        </w:rPr>
        <w:t>Zdroj: ČSÚ</w:t>
      </w:r>
    </w:p>
    <w:p w14:paraId="6323FFAA" w14:textId="19943FB9" w:rsidR="00D31FC0" w:rsidRPr="0040267C" w:rsidRDefault="00D31FC0" w:rsidP="00D31FC0">
      <w:pPr>
        <w:spacing w:before="120" w:after="120"/>
        <w:jc w:val="both"/>
      </w:pPr>
      <w:r w:rsidRPr="0040267C">
        <w:t xml:space="preserve">Počet případů dočasné pracovní neschopnosti dle územního členění je značně ovlivněn strukturou zaměstnanosti, charakterem převažující ekonomické činnosti a mírou nezaměstnanosti v daném regionu. Je nutno zohlednit též </w:t>
      </w:r>
      <w:r w:rsidRPr="0040267C">
        <w:rPr>
          <w:b/>
        </w:rPr>
        <w:t>metodiku zpracování dat, kdy rozlišení dle krajů a okresů vychází z údaje o sídle útvaru</w:t>
      </w:r>
      <w:r w:rsidRPr="0040267C">
        <w:t>, který vede evidenci mezd zaměstnavateli osoby, která je v pracovní neschopnosti.</w:t>
      </w:r>
      <w:r w:rsidR="00EC4603" w:rsidRPr="00EC4603">
        <w:rPr>
          <w:noProof/>
        </w:rPr>
        <w:t xml:space="preserve"> </w:t>
      </w:r>
    </w:p>
    <w:p w14:paraId="7713FC70" w14:textId="675D4916" w:rsidR="00D31FC0" w:rsidRPr="0040267C" w:rsidRDefault="00EC4603" w:rsidP="00F77360">
      <w:pPr>
        <w:pStyle w:val="Seznam"/>
        <w:spacing w:after="0"/>
        <w:jc w:val="both"/>
        <w:rPr>
          <w:b/>
          <w:spacing w:val="-6"/>
        </w:rPr>
      </w:pPr>
      <w:r>
        <w:rPr>
          <w:noProof/>
        </w:rPr>
        <mc:AlternateContent>
          <mc:Choice Requires="wps">
            <w:drawing>
              <wp:anchor distT="0" distB="0" distL="114300" distR="114300" simplePos="0" relativeHeight="251726336" behindDoc="0" locked="0" layoutInCell="1" allowOverlap="1" wp14:anchorId="73E20512" wp14:editId="5DB84D97">
                <wp:simplePos x="0" y="0"/>
                <wp:positionH relativeFrom="column">
                  <wp:posOffset>5657850</wp:posOffset>
                </wp:positionH>
                <wp:positionV relativeFrom="paragraph">
                  <wp:posOffset>167005</wp:posOffset>
                </wp:positionV>
                <wp:extent cx="0" cy="3132000"/>
                <wp:effectExtent l="57150" t="19050" r="76200" b="87630"/>
                <wp:wrapNone/>
                <wp:docPr id="28" name="Přímá spojnice 3"/>
                <wp:cNvGraphicFramePr/>
                <a:graphic xmlns:a="http://schemas.openxmlformats.org/drawingml/2006/main">
                  <a:graphicData uri="http://schemas.microsoft.com/office/word/2010/wordprocessingShape">
                    <wps:wsp>
                      <wps:cNvCnPr/>
                      <wps:spPr>
                        <a:xfrm>
                          <a:off x="0" y="0"/>
                          <a:ext cx="0" cy="3132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771E2C8" id="Přímá spojnice 3" o:spid="_x0000_s1026" style="position:absolute;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5pt,13.15pt" to="445.5pt,25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" strokecolor="#c00000" strokeweight=".5pt">
                <v:stroke dashstyle="dash"/>
                <v:shadow on="t" color="black" opacity="24903f" origin=",.5" offset="0,.55556mm"/>
              </v:line>
            </w:pict>
          </mc:Fallback>
        </mc:AlternateContent>
      </w:r>
      <w:r w:rsidR="00D31FC0" w:rsidRPr="0040267C">
        <w:rPr>
          <w:b/>
          <w:spacing w:val="-6"/>
        </w:rPr>
        <w:t>Tab. 2.3: Nově hlášené případy dočasné pracovní neschopnosti na 100 pojištěnců podle krajů ČR, 201</w:t>
      </w:r>
      <w:r w:rsidR="0040267C" w:rsidRPr="0040267C">
        <w:rPr>
          <w:b/>
          <w:spacing w:val="-6"/>
        </w:rPr>
        <w:t>2–2022</w:t>
      </w:r>
    </w:p>
    <w:tbl>
      <w:tblPr>
        <w:tblW w:w="9627" w:type="dxa"/>
        <w:tblCellMar>
          <w:left w:w="70" w:type="dxa"/>
          <w:right w:w="70" w:type="dxa"/>
        </w:tblCellMar>
        <w:tblLook w:val="04A0" w:firstRow="1" w:lastRow="0" w:firstColumn="1" w:lastColumn="0" w:noHBand="0" w:noVBand="1"/>
      </w:tblPr>
      <w:tblGrid>
        <w:gridCol w:w="1960"/>
        <w:gridCol w:w="697"/>
        <w:gridCol w:w="697"/>
        <w:gridCol w:w="697"/>
        <w:gridCol w:w="697"/>
        <w:gridCol w:w="697"/>
        <w:gridCol w:w="697"/>
        <w:gridCol w:w="697"/>
        <w:gridCol w:w="697"/>
        <w:gridCol w:w="697"/>
        <w:gridCol w:w="697"/>
        <w:gridCol w:w="697"/>
      </w:tblGrid>
      <w:tr w:rsidR="0040267C" w:rsidRPr="0040267C" w14:paraId="4FAD1052" w14:textId="78E921EA" w:rsidTr="00840644">
        <w:trPr>
          <w:trHeight w:val="300"/>
        </w:trPr>
        <w:tc>
          <w:tcPr>
            <w:tcW w:w="1960" w:type="dxa"/>
            <w:tcBorders>
              <w:top w:val="single" w:sz="4" w:space="0" w:color="auto"/>
              <w:left w:val="nil"/>
              <w:bottom w:val="single" w:sz="4" w:space="0" w:color="auto"/>
              <w:right w:val="single" w:sz="4" w:space="0" w:color="auto"/>
            </w:tcBorders>
            <w:shd w:val="clear" w:color="000000" w:fill="F5DADD"/>
            <w:noWrap/>
            <w:vAlign w:val="center"/>
            <w:hideMark/>
          </w:tcPr>
          <w:p w14:paraId="54C8532A" w14:textId="77777777"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Kraj ČR</w:t>
            </w:r>
          </w:p>
        </w:tc>
        <w:tc>
          <w:tcPr>
            <w:tcW w:w="697" w:type="dxa"/>
            <w:tcBorders>
              <w:top w:val="single" w:sz="4" w:space="0" w:color="auto"/>
              <w:left w:val="nil"/>
              <w:bottom w:val="single" w:sz="4" w:space="0" w:color="auto"/>
              <w:right w:val="nil"/>
            </w:tcBorders>
            <w:shd w:val="clear" w:color="000000" w:fill="F5DADD"/>
            <w:noWrap/>
            <w:vAlign w:val="center"/>
            <w:hideMark/>
          </w:tcPr>
          <w:p w14:paraId="2F940468" w14:textId="77777777"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2012</w:t>
            </w:r>
          </w:p>
        </w:tc>
        <w:tc>
          <w:tcPr>
            <w:tcW w:w="697" w:type="dxa"/>
            <w:tcBorders>
              <w:top w:val="single" w:sz="4" w:space="0" w:color="auto"/>
              <w:left w:val="nil"/>
              <w:bottom w:val="single" w:sz="4" w:space="0" w:color="auto"/>
              <w:right w:val="nil"/>
            </w:tcBorders>
            <w:shd w:val="clear" w:color="000000" w:fill="F5DADD"/>
            <w:noWrap/>
            <w:vAlign w:val="center"/>
            <w:hideMark/>
          </w:tcPr>
          <w:p w14:paraId="5C79CF63" w14:textId="77777777"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2013</w:t>
            </w:r>
          </w:p>
        </w:tc>
        <w:tc>
          <w:tcPr>
            <w:tcW w:w="697" w:type="dxa"/>
            <w:tcBorders>
              <w:top w:val="single" w:sz="4" w:space="0" w:color="auto"/>
              <w:left w:val="nil"/>
              <w:bottom w:val="single" w:sz="4" w:space="0" w:color="auto"/>
              <w:right w:val="nil"/>
            </w:tcBorders>
            <w:shd w:val="clear" w:color="000000" w:fill="F5DADD"/>
            <w:noWrap/>
            <w:vAlign w:val="center"/>
            <w:hideMark/>
          </w:tcPr>
          <w:p w14:paraId="4815FF5A" w14:textId="38AA7D52"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2014</w:t>
            </w:r>
          </w:p>
        </w:tc>
        <w:tc>
          <w:tcPr>
            <w:tcW w:w="697" w:type="dxa"/>
            <w:tcBorders>
              <w:top w:val="single" w:sz="4" w:space="0" w:color="auto"/>
              <w:left w:val="nil"/>
              <w:bottom w:val="single" w:sz="4" w:space="0" w:color="auto"/>
              <w:right w:val="nil"/>
            </w:tcBorders>
            <w:shd w:val="clear" w:color="000000" w:fill="F5DADD"/>
            <w:noWrap/>
            <w:vAlign w:val="center"/>
            <w:hideMark/>
          </w:tcPr>
          <w:p w14:paraId="0EF1F93D" w14:textId="77777777"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2015</w:t>
            </w:r>
          </w:p>
        </w:tc>
        <w:tc>
          <w:tcPr>
            <w:tcW w:w="697" w:type="dxa"/>
            <w:tcBorders>
              <w:top w:val="single" w:sz="4" w:space="0" w:color="auto"/>
              <w:left w:val="nil"/>
              <w:bottom w:val="single" w:sz="4" w:space="0" w:color="auto"/>
              <w:right w:val="nil"/>
            </w:tcBorders>
            <w:shd w:val="clear" w:color="000000" w:fill="F5DADD"/>
            <w:noWrap/>
            <w:vAlign w:val="center"/>
            <w:hideMark/>
          </w:tcPr>
          <w:p w14:paraId="73F34EF5" w14:textId="77777777"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2016</w:t>
            </w:r>
          </w:p>
        </w:tc>
        <w:tc>
          <w:tcPr>
            <w:tcW w:w="697" w:type="dxa"/>
            <w:tcBorders>
              <w:top w:val="single" w:sz="4" w:space="0" w:color="auto"/>
              <w:left w:val="nil"/>
              <w:bottom w:val="single" w:sz="4" w:space="0" w:color="auto"/>
              <w:right w:val="nil"/>
            </w:tcBorders>
            <w:shd w:val="clear" w:color="000000" w:fill="F5DADD"/>
            <w:noWrap/>
            <w:vAlign w:val="center"/>
            <w:hideMark/>
          </w:tcPr>
          <w:p w14:paraId="5828F6E0" w14:textId="7B107F31"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2017</w:t>
            </w:r>
          </w:p>
        </w:tc>
        <w:tc>
          <w:tcPr>
            <w:tcW w:w="697" w:type="dxa"/>
            <w:tcBorders>
              <w:top w:val="single" w:sz="4" w:space="0" w:color="auto"/>
              <w:left w:val="nil"/>
              <w:bottom w:val="single" w:sz="4" w:space="0" w:color="auto"/>
              <w:right w:val="nil"/>
            </w:tcBorders>
            <w:shd w:val="clear" w:color="000000" w:fill="F5DADD"/>
            <w:noWrap/>
            <w:vAlign w:val="center"/>
            <w:hideMark/>
          </w:tcPr>
          <w:p w14:paraId="3693E28A" w14:textId="77777777"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2018</w:t>
            </w:r>
          </w:p>
        </w:tc>
        <w:tc>
          <w:tcPr>
            <w:tcW w:w="697" w:type="dxa"/>
            <w:tcBorders>
              <w:top w:val="single" w:sz="4" w:space="0" w:color="auto"/>
              <w:left w:val="nil"/>
              <w:bottom w:val="single" w:sz="4" w:space="0" w:color="auto"/>
              <w:right w:val="nil"/>
            </w:tcBorders>
            <w:shd w:val="clear" w:color="000000" w:fill="F5DADD"/>
            <w:noWrap/>
            <w:vAlign w:val="center"/>
            <w:hideMark/>
          </w:tcPr>
          <w:p w14:paraId="6266A8F0" w14:textId="087912D7"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2019</w:t>
            </w:r>
          </w:p>
        </w:tc>
        <w:tc>
          <w:tcPr>
            <w:tcW w:w="697" w:type="dxa"/>
            <w:tcBorders>
              <w:top w:val="single" w:sz="4" w:space="0" w:color="auto"/>
              <w:left w:val="nil"/>
              <w:bottom w:val="single" w:sz="4" w:space="0" w:color="auto"/>
              <w:right w:val="nil"/>
            </w:tcBorders>
            <w:shd w:val="clear" w:color="000000" w:fill="F5DADD"/>
            <w:noWrap/>
            <w:vAlign w:val="center"/>
            <w:hideMark/>
          </w:tcPr>
          <w:p w14:paraId="176BF31B" w14:textId="44807FAC"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2020</w:t>
            </w:r>
          </w:p>
        </w:tc>
        <w:tc>
          <w:tcPr>
            <w:tcW w:w="697" w:type="dxa"/>
            <w:tcBorders>
              <w:top w:val="single" w:sz="4" w:space="0" w:color="auto"/>
              <w:left w:val="nil"/>
              <w:bottom w:val="single" w:sz="4" w:space="0" w:color="auto"/>
              <w:right w:val="nil"/>
            </w:tcBorders>
            <w:shd w:val="clear" w:color="000000" w:fill="F5DADD"/>
            <w:noWrap/>
            <w:vAlign w:val="center"/>
            <w:hideMark/>
          </w:tcPr>
          <w:p w14:paraId="235A0636" w14:textId="31C19E4F"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2021</w:t>
            </w:r>
          </w:p>
        </w:tc>
        <w:tc>
          <w:tcPr>
            <w:tcW w:w="697" w:type="dxa"/>
            <w:tcBorders>
              <w:top w:val="single" w:sz="4" w:space="0" w:color="auto"/>
              <w:bottom w:val="single" w:sz="4" w:space="0" w:color="auto"/>
            </w:tcBorders>
            <w:shd w:val="clear" w:color="auto" w:fill="F5DADD"/>
            <w:vAlign w:val="center"/>
          </w:tcPr>
          <w:p w14:paraId="22C7164E" w14:textId="6A3CD429" w:rsidR="0040267C" w:rsidRPr="0040267C" w:rsidRDefault="0040267C" w:rsidP="0040267C">
            <w:pPr>
              <w:spacing w:after="0" w:line="240" w:lineRule="auto"/>
              <w:jc w:val="center"/>
              <w:rPr>
                <w:rFonts w:cs="Arial"/>
                <w:color w:val="000000"/>
                <w:sz w:val="16"/>
                <w:szCs w:val="16"/>
              </w:rPr>
            </w:pPr>
            <w:r w:rsidRPr="0040267C">
              <w:rPr>
                <w:rFonts w:cs="Arial"/>
                <w:color w:val="000000"/>
                <w:sz w:val="16"/>
                <w:szCs w:val="16"/>
              </w:rPr>
              <w:t>2022</w:t>
            </w:r>
          </w:p>
        </w:tc>
      </w:tr>
      <w:tr w:rsidR="00EC4603" w:rsidRPr="0040267C" w14:paraId="1875B46E" w14:textId="479E1F56" w:rsidTr="00840644">
        <w:trPr>
          <w:trHeight w:val="300"/>
        </w:trPr>
        <w:tc>
          <w:tcPr>
            <w:tcW w:w="1960" w:type="dxa"/>
            <w:tcBorders>
              <w:top w:val="nil"/>
              <w:left w:val="nil"/>
              <w:bottom w:val="nil"/>
              <w:right w:val="single" w:sz="4" w:space="0" w:color="auto"/>
            </w:tcBorders>
            <w:shd w:val="clear" w:color="auto" w:fill="auto"/>
            <w:noWrap/>
            <w:vAlign w:val="center"/>
            <w:hideMark/>
          </w:tcPr>
          <w:p w14:paraId="3D57F74D" w14:textId="77777777" w:rsidR="00EC4603" w:rsidRPr="0040267C" w:rsidRDefault="00EC4603" w:rsidP="00EC4603">
            <w:pPr>
              <w:spacing w:after="0" w:line="240" w:lineRule="auto"/>
              <w:rPr>
                <w:rFonts w:cs="Arial"/>
                <w:b/>
                <w:bCs/>
                <w:color w:val="000000"/>
                <w:sz w:val="16"/>
                <w:szCs w:val="16"/>
              </w:rPr>
            </w:pPr>
            <w:r w:rsidRPr="0040267C">
              <w:rPr>
                <w:rFonts w:cs="Arial"/>
                <w:b/>
                <w:bCs/>
                <w:color w:val="000000"/>
                <w:sz w:val="16"/>
                <w:szCs w:val="16"/>
              </w:rPr>
              <w:t>ČR celkem</w:t>
            </w:r>
          </w:p>
        </w:tc>
        <w:tc>
          <w:tcPr>
            <w:tcW w:w="697" w:type="dxa"/>
            <w:tcBorders>
              <w:top w:val="nil"/>
              <w:left w:val="nil"/>
              <w:bottom w:val="nil"/>
              <w:right w:val="nil"/>
            </w:tcBorders>
            <w:shd w:val="clear" w:color="auto" w:fill="auto"/>
            <w:noWrap/>
            <w:vAlign w:val="center"/>
            <w:hideMark/>
          </w:tcPr>
          <w:p w14:paraId="7459F7EC"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27,4</w:t>
            </w:r>
          </w:p>
        </w:tc>
        <w:tc>
          <w:tcPr>
            <w:tcW w:w="697" w:type="dxa"/>
            <w:tcBorders>
              <w:top w:val="nil"/>
              <w:left w:val="nil"/>
              <w:bottom w:val="nil"/>
              <w:right w:val="nil"/>
            </w:tcBorders>
            <w:shd w:val="clear" w:color="auto" w:fill="auto"/>
            <w:noWrap/>
            <w:vAlign w:val="center"/>
            <w:hideMark/>
          </w:tcPr>
          <w:p w14:paraId="3A891FD5"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30,0</w:t>
            </w:r>
          </w:p>
        </w:tc>
        <w:tc>
          <w:tcPr>
            <w:tcW w:w="697" w:type="dxa"/>
            <w:tcBorders>
              <w:top w:val="nil"/>
              <w:left w:val="nil"/>
              <w:bottom w:val="nil"/>
              <w:right w:val="nil"/>
            </w:tcBorders>
            <w:shd w:val="clear" w:color="auto" w:fill="auto"/>
            <w:noWrap/>
            <w:vAlign w:val="center"/>
            <w:hideMark/>
          </w:tcPr>
          <w:p w14:paraId="3996F509"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29,5</w:t>
            </w:r>
          </w:p>
        </w:tc>
        <w:tc>
          <w:tcPr>
            <w:tcW w:w="697" w:type="dxa"/>
            <w:tcBorders>
              <w:top w:val="nil"/>
              <w:left w:val="nil"/>
              <w:bottom w:val="nil"/>
              <w:right w:val="nil"/>
            </w:tcBorders>
            <w:shd w:val="clear" w:color="auto" w:fill="auto"/>
            <w:noWrap/>
            <w:vAlign w:val="center"/>
            <w:hideMark/>
          </w:tcPr>
          <w:p w14:paraId="6F433F1F"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34,7</w:t>
            </w:r>
          </w:p>
        </w:tc>
        <w:tc>
          <w:tcPr>
            <w:tcW w:w="697" w:type="dxa"/>
            <w:tcBorders>
              <w:top w:val="nil"/>
              <w:left w:val="nil"/>
              <w:bottom w:val="nil"/>
              <w:right w:val="nil"/>
            </w:tcBorders>
            <w:shd w:val="clear" w:color="auto" w:fill="auto"/>
            <w:noWrap/>
            <w:vAlign w:val="center"/>
            <w:hideMark/>
          </w:tcPr>
          <w:p w14:paraId="01D974D6"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35,7</w:t>
            </w:r>
          </w:p>
        </w:tc>
        <w:tc>
          <w:tcPr>
            <w:tcW w:w="697" w:type="dxa"/>
            <w:tcBorders>
              <w:top w:val="nil"/>
              <w:left w:val="nil"/>
              <w:bottom w:val="nil"/>
              <w:right w:val="nil"/>
            </w:tcBorders>
            <w:shd w:val="clear" w:color="auto" w:fill="auto"/>
            <w:noWrap/>
            <w:vAlign w:val="center"/>
            <w:hideMark/>
          </w:tcPr>
          <w:p w14:paraId="0E63F0DD"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36,6</w:t>
            </w:r>
          </w:p>
        </w:tc>
        <w:tc>
          <w:tcPr>
            <w:tcW w:w="697" w:type="dxa"/>
            <w:tcBorders>
              <w:top w:val="nil"/>
              <w:left w:val="nil"/>
              <w:bottom w:val="nil"/>
              <w:right w:val="nil"/>
            </w:tcBorders>
            <w:shd w:val="clear" w:color="auto" w:fill="auto"/>
            <w:noWrap/>
            <w:vAlign w:val="center"/>
            <w:hideMark/>
          </w:tcPr>
          <w:p w14:paraId="2B1C0DD4"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39,1</w:t>
            </w:r>
          </w:p>
        </w:tc>
        <w:tc>
          <w:tcPr>
            <w:tcW w:w="697" w:type="dxa"/>
            <w:tcBorders>
              <w:top w:val="nil"/>
              <w:left w:val="nil"/>
              <w:bottom w:val="nil"/>
              <w:right w:val="nil"/>
            </w:tcBorders>
            <w:shd w:val="clear" w:color="auto" w:fill="auto"/>
            <w:noWrap/>
            <w:vAlign w:val="center"/>
            <w:hideMark/>
          </w:tcPr>
          <w:p w14:paraId="6E4B49B1"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40,5</w:t>
            </w:r>
          </w:p>
        </w:tc>
        <w:tc>
          <w:tcPr>
            <w:tcW w:w="697" w:type="dxa"/>
            <w:tcBorders>
              <w:top w:val="nil"/>
              <w:left w:val="nil"/>
              <w:bottom w:val="nil"/>
              <w:right w:val="nil"/>
            </w:tcBorders>
            <w:shd w:val="clear" w:color="auto" w:fill="auto"/>
            <w:noWrap/>
            <w:vAlign w:val="center"/>
            <w:hideMark/>
          </w:tcPr>
          <w:p w14:paraId="5956F6AC" w14:textId="77777777" w:rsidR="00EC4603" w:rsidRPr="0040267C" w:rsidRDefault="00EC4603" w:rsidP="00EC4603">
            <w:pPr>
              <w:spacing w:after="0" w:line="240" w:lineRule="auto"/>
              <w:jc w:val="center"/>
              <w:rPr>
                <w:rFonts w:cs="Arial"/>
                <w:b/>
                <w:bCs/>
                <w:color w:val="000000"/>
                <w:sz w:val="16"/>
                <w:szCs w:val="16"/>
              </w:rPr>
            </w:pPr>
            <w:r w:rsidRPr="0040267C">
              <w:rPr>
                <w:rFonts w:cs="Arial"/>
                <w:b/>
                <w:bCs/>
                <w:color w:val="000000"/>
                <w:sz w:val="16"/>
                <w:szCs w:val="16"/>
              </w:rPr>
              <w:t>51,0</w:t>
            </w:r>
          </w:p>
        </w:tc>
        <w:tc>
          <w:tcPr>
            <w:tcW w:w="697" w:type="dxa"/>
            <w:tcBorders>
              <w:top w:val="nil"/>
              <w:left w:val="nil"/>
              <w:bottom w:val="nil"/>
              <w:right w:val="nil"/>
            </w:tcBorders>
            <w:shd w:val="clear" w:color="auto" w:fill="auto"/>
            <w:noWrap/>
            <w:vAlign w:val="center"/>
            <w:hideMark/>
          </w:tcPr>
          <w:p w14:paraId="7842098F" w14:textId="14758C6B" w:rsidR="00EC4603" w:rsidRPr="0040267C" w:rsidRDefault="00EC4603" w:rsidP="00EC4603">
            <w:pPr>
              <w:spacing w:after="0" w:line="240" w:lineRule="auto"/>
              <w:jc w:val="center"/>
              <w:rPr>
                <w:rFonts w:cs="Arial"/>
                <w:b/>
                <w:bCs/>
                <w:color w:val="000000"/>
                <w:sz w:val="16"/>
                <w:szCs w:val="16"/>
              </w:rPr>
            </w:pPr>
            <w:r>
              <w:rPr>
                <w:rFonts w:cs="Arial"/>
                <w:b/>
                <w:bCs/>
                <w:color w:val="000000"/>
                <w:sz w:val="16"/>
                <w:szCs w:val="16"/>
              </w:rPr>
              <w:t>58,5</w:t>
            </w:r>
          </w:p>
        </w:tc>
        <w:tc>
          <w:tcPr>
            <w:tcW w:w="697" w:type="dxa"/>
            <w:tcBorders>
              <w:top w:val="single" w:sz="4" w:space="0" w:color="auto"/>
            </w:tcBorders>
            <w:vAlign w:val="center"/>
          </w:tcPr>
          <w:p w14:paraId="1824F272" w14:textId="4A168F4F" w:rsidR="00EC4603" w:rsidRPr="00840644" w:rsidRDefault="00EC4603" w:rsidP="00EC4603">
            <w:pPr>
              <w:spacing w:after="0" w:line="240" w:lineRule="auto"/>
              <w:jc w:val="center"/>
              <w:rPr>
                <w:rFonts w:cs="Arial"/>
                <w:b/>
                <w:color w:val="000000"/>
                <w:sz w:val="16"/>
                <w:szCs w:val="16"/>
              </w:rPr>
            </w:pPr>
            <w:r>
              <w:rPr>
                <w:rFonts w:cs="Arial"/>
                <w:b/>
                <w:bCs/>
                <w:color w:val="000000"/>
                <w:sz w:val="16"/>
                <w:szCs w:val="16"/>
              </w:rPr>
              <w:t>72,8</w:t>
            </w:r>
          </w:p>
        </w:tc>
      </w:tr>
      <w:tr w:rsidR="00EC4603" w:rsidRPr="0040267C" w14:paraId="4A4A2DC2" w14:textId="2E8CD643" w:rsidTr="00840644">
        <w:trPr>
          <w:trHeight w:val="300"/>
        </w:trPr>
        <w:tc>
          <w:tcPr>
            <w:tcW w:w="1960" w:type="dxa"/>
            <w:tcBorders>
              <w:top w:val="nil"/>
              <w:left w:val="nil"/>
              <w:bottom w:val="nil"/>
              <w:right w:val="single" w:sz="4" w:space="0" w:color="auto"/>
            </w:tcBorders>
            <w:shd w:val="clear" w:color="auto" w:fill="auto"/>
            <w:noWrap/>
            <w:vAlign w:val="center"/>
            <w:hideMark/>
          </w:tcPr>
          <w:p w14:paraId="76978EA3"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Hl. m. Praha</w:t>
            </w:r>
          </w:p>
        </w:tc>
        <w:tc>
          <w:tcPr>
            <w:tcW w:w="697" w:type="dxa"/>
            <w:tcBorders>
              <w:top w:val="nil"/>
              <w:left w:val="nil"/>
              <w:bottom w:val="nil"/>
              <w:right w:val="nil"/>
            </w:tcBorders>
            <w:shd w:val="clear" w:color="auto" w:fill="auto"/>
            <w:noWrap/>
            <w:vAlign w:val="center"/>
            <w:hideMark/>
          </w:tcPr>
          <w:p w14:paraId="79A686F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23,8</w:t>
            </w:r>
          </w:p>
        </w:tc>
        <w:tc>
          <w:tcPr>
            <w:tcW w:w="697" w:type="dxa"/>
            <w:tcBorders>
              <w:top w:val="nil"/>
              <w:left w:val="nil"/>
              <w:bottom w:val="nil"/>
              <w:right w:val="nil"/>
            </w:tcBorders>
            <w:shd w:val="clear" w:color="auto" w:fill="auto"/>
            <w:noWrap/>
            <w:vAlign w:val="center"/>
            <w:hideMark/>
          </w:tcPr>
          <w:p w14:paraId="04944F8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25,7</w:t>
            </w:r>
          </w:p>
        </w:tc>
        <w:tc>
          <w:tcPr>
            <w:tcW w:w="697" w:type="dxa"/>
            <w:tcBorders>
              <w:top w:val="nil"/>
              <w:left w:val="nil"/>
              <w:bottom w:val="nil"/>
              <w:right w:val="nil"/>
            </w:tcBorders>
            <w:shd w:val="clear" w:color="auto" w:fill="auto"/>
            <w:noWrap/>
            <w:vAlign w:val="center"/>
            <w:hideMark/>
          </w:tcPr>
          <w:p w14:paraId="48BCB973"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25,8</w:t>
            </w:r>
          </w:p>
        </w:tc>
        <w:tc>
          <w:tcPr>
            <w:tcW w:w="697" w:type="dxa"/>
            <w:tcBorders>
              <w:top w:val="nil"/>
              <w:left w:val="nil"/>
              <w:bottom w:val="nil"/>
              <w:right w:val="nil"/>
            </w:tcBorders>
            <w:shd w:val="clear" w:color="auto" w:fill="auto"/>
            <w:noWrap/>
            <w:vAlign w:val="center"/>
            <w:hideMark/>
          </w:tcPr>
          <w:p w14:paraId="0B2359D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29,4</w:t>
            </w:r>
          </w:p>
        </w:tc>
        <w:tc>
          <w:tcPr>
            <w:tcW w:w="697" w:type="dxa"/>
            <w:tcBorders>
              <w:top w:val="nil"/>
              <w:left w:val="nil"/>
              <w:bottom w:val="nil"/>
              <w:right w:val="nil"/>
            </w:tcBorders>
            <w:shd w:val="clear" w:color="auto" w:fill="auto"/>
            <w:noWrap/>
            <w:vAlign w:val="center"/>
            <w:hideMark/>
          </w:tcPr>
          <w:p w14:paraId="6639E6D1"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30,1</w:t>
            </w:r>
          </w:p>
        </w:tc>
        <w:tc>
          <w:tcPr>
            <w:tcW w:w="697" w:type="dxa"/>
            <w:tcBorders>
              <w:top w:val="nil"/>
              <w:left w:val="nil"/>
              <w:bottom w:val="nil"/>
              <w:right w:val="nil"/>
            </w:tcBorders>
            <w:shd w:val="clear" w:color="auto" w:fill="auto"/>
            <w:noWrap/>
            <w:vAlign w:val="center"/>
            <w:hideMark/>
          </w:tcPr>
          <w:p w14:paraId="5658C0BB"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30,3</w:t>
            </w:r>
          </w:p>
        </w:tc>
        <w:tc>
          <w:tcPr>
            <w:tcW w:w="697" w:type="dxa"/>
            <w:tcBorders>
              <w:top w:val="nil"/>
              <w:left w:val="nil"/>
              <w:bottom w:val="nil"/>
              <w:right w:val="nil"/>
            </w:tcBorders>
            <w:shd w:val="clear" w:color="auto" w:fill="auto"/>
            <w:noWrap/>
            <w:vAlign w:val="center"/>
            <w:hideMark/>
          </w:tcPr>
          <w:p w14:paraId="25E6B9D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31,9</w:t>
            </w:r>
          </w:p>
        </w:tc>
        <w:tc>
          <w:tcPr>
            <w:tcW w:w="697" w:type="dxa"/>
            <w:tcBorders>
              <w:top w:val="nil"/>
              <w:left w:val="nil"/>
              <w:bottom w:val="nil"/>
              <w:right w:val="nil"/>
            </w:tcBorders>
            <w:shd w:val="clear" w:color="auto" w:fill="auto"/>
            <w:noWrap/>
            <w:vAlign w:val="center"/>
            <w:hideMark/>
          </w:tcPr>
          <w:p w14:paraId="1F74939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33,5</w:t>
            </w:r>
          </w:p>
        </w:tc>
        <w:tc>
          <w:tcPr>
            <w:tcW w:w="697" w:type="dxa"/>
            <w:tcBorders>
              <w:top w:val="nil"/>
              <w:left w:val="nil"/>
              <w:bottom w:val="nil"/>
              <w:right w:val="nil"/>
            </w:tcBorders>
            <w:shd w:val="clear" w:color="auto" w:fill="auto"/>
            <w:noWrap/>
            <w:vAlign w:val="center"/>
            <w:hideMark/>
          </w:tcPr>
          <w:p w14:paraId="564F1F4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38,8</w:t>
            </w:r>
          </w:p>
        </w:tc>
        <w:tc>
          <w:tcPr>
            <w:tcW w:w="697" w:type="dxa"/>
            <w:tcBorders>
              <w:top w:val="nil"/>
              <w:left w:val="nil"/>
              <w:bottom w:val="nil"/>
              <w:right w:val="nil"/>
            </w:tcBorders>
            <w:shd w:val="clear" w:color="auto" w:fill="auto"/>
            <w:noWrap/>
            <w:vAlign w:val="center"/>
            <w:hideMark/>
          </w:tcPr>
          <w:p w14:paraId="34701108" w14:textId="7EA18ECE" w:rsidR="00EC4603" w:rsidRPr="0040267C" w:rsidRDefault="00EC4603" w:rsidP="00EC4603">
            <w:pPr>
              <w:spacing w:after="0" w:line="240" w:lineRule="auto"/>
              <w:jc w:val="center"/>
              <w:rPr>
                <w:rFonts w:cs="Arial"/>
                <w:color w:val="000000"/>
                <w:sz w:val="16"/>
                <w:szCs w:val="16"/>
              </w:rPr>
            </w:pPr>
            <w:r>
              <w:rPr>
                <w:rFonts w:cs="Arial"/>
                <w:color w:val="000000"/>
                <w:sz w:val="16"/>
                <w:szCs w:val="16"/>
              </w:rPr>
              <w:t>43,6</w:t>
            </w:r>
          </w:p>
        </w:tc>
        <w:tc>
          <w:tcPr>
            <w:tcW w:w="697" w:type="dxa"/>
            <w:vAlign w:val="center"/>
          </w:tcPr>
          <w:p w14:paraId="6C049F1B" w14:textId="07F3D4ED" w:rsidR="00EC4603" w:rsidRPr="0040267C" w:rsidRDefault="00EC4603" w:rsidP="00EC4603">
            <w:pPr>
              <w:spacing w:after="0" w:line="240" w:lineRule="auto"/>
              <w:jc w:val="center"/>
              <w:rPr>
                <w:rFonts w:cs="Arial"/>
                <w:color w:val="000000"/>
                <w:sz w:val="16"/>
                <w:szCs w:val="16"/>
              </w:rPr>
            </w:pPr>
            <w:r>
              <w:rPr>
                <w:rFonts w:cs="Arial"/>
                <w:color w:val="000000"/>
                <w:sz w:val="16"/>
                <w:szCs w:val="16"/>
              </w:rPr>
              <w:t>57,1</w:t>
            </w:r>
          </w:p>
        </w:tc>
      </w:tr>
      <w:tr w:rsidR="00EC4603" w:rsidRPr="0040267C" w14:paraId="15C6CDA4" w14:textId="4E3EE38C" w:rsidTr="00840644">
        <w:trPr>
          <w:trHeight w:val="300"/>
        </w:trPr>
        <w:tc>
          <w:tcPr>
            <w:tcW w:w="1960" w:type="dxa"/>
            <w:tcBorders>
              <w:top w:val="nil"/>
              <w:left w:val="nil"/>
              <w:bottom w:val="nil"/>
              <w:right w:val="single" w:sz="4" w:space="0" w:color="auto"/>
            </w:tcBorders>
            <w:shd w:val="clear" w:color="auto" w:fill="auto"/>
            <w:noWrap/>
            <w:vAlign w:val="center"/>
            <w:hideMark/>
          </w:tcPr>
          <w:p w14:paraId="1ACA3AC1"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Středočeský kraj</w:t>
            </w:r>
          </w:p>
        </w:tc>
        <w:tc>
          <w:tcPr>
            <w:tcW w:w="697" w:type="dxa"/>
            <w:tcBorders>
              <w:top w:val="nil"/>
              <w:left w:val="nil"/>
              <w:bottom w:val="nil"/>
              <w:right w:val="nil"/>
            </w:tcBorders>
            <w:shd w:val="clear" w:color="auto" w:fill="auto"/>
            <w:noWrap/>
            <w:vAlign w:val="center"/>
            <w:hideMark/>
          </w:tcPr>
          <w:p w14:paraId="437873E3"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29,0</w:t>
            </w:r>
          </w:p>
        </w:tc>
        <w:tc>
          <w:tcPr>
            <w:tcW w:w="697" w:type="dxa"/>
            <w:tcBorders>
              <w:top w:val="nil"/>
              <w:left w:val="nil"/>
              <w:bottom w:val="nil"/>
              <w:right w:val="nil"/>
            </w:tcBorders>
            <w:shd w:val="clear" w:color="auto" w:fill="auto"/>
            <w:noWrap/>
            <w:vAlign w:val="center"/>
            <w:hideMark/>
          </w:tcPr>
          <w:p w14:paraId="7F02B19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31,5</w:t>
            </w:r>
          </w:p>
        </w:tc>
        <w:tc>
          <w:tcPr>
            <w:tcW w:w="697" w:type="dxa"/>
            <w:tcBorders>
              <w:top w:val="nil"/>
              <w:left w:val="nil"/>
              <w:bottom w:val="nil"/>
              <w:right w:val="nil"/>
            </w:tcBorders>
            <w:shd w:val="clear" w:color="auto" w:fill="auto"/>
            <w:noWrap/>
            <w:vAlign w:val="center"/>
            <w:hideMark/>
          </w:tcPr>
          <w:p w14:paraId="2563DDCD"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31,4</w:t>
            </w:r>
          </w:p>
        </w:tc>
        <w:tc>
          <w:tcPr>
            <w:tcW w:w="697" w:type="dxa"/>
            <w:tcBorders>
              <w:top w:val="nil"/>
              <w:left w:val="nil"/>
              <w:bottom w:val="nil"/>
              <w:right w:val="nil"/>
            </w:tcBorders>
            <w:shd w:val="clear" w:color="auto" w:fill="auto"/>
            <w:noWrap/>
            <w:vAlign w:val="center"/>
            <w:hideMark/>
          </w:tcPr>
          <w:p w14:paraId="0340C35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36,6</w:t>
            </w:r>
          </w:p>
        </w:tc>
        <w:tc>
          <w:tcPr>
            <w:tcW w:w="697" w:type="dxa"/>
            <w:tcBorders>
              <w:top w:val="nil"/>
              <w:left w:val="nil"/>
              <w:bottom w:val="nil"/>
              <w:right w:val="nil"/>
            </w:tcBorders>
            <w:shd w:val="clear" w:color="auto" w:fill="auto"/>
            <w:noWrap/>
            <w:vAlign w:val="center"/>
            <w:hideMark/>
          </w:tcPr>
          <w:p w14:paraId="6692871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38,0</w:t>
            </w:r>
          </w:p>
        </w:tc>
        <w:tc>
          <w:tcPr>
            <w:tcW w:w="697" w:type="dxa"/>
            <w:tcBorders>
              <w:top w:val="nil"/>
              <w:left w:val="nil"/>
              <w:bottom w:val="nil"/>
              <w:right w:val="nil"/>
            </w:tcBorders>
            <w:shd w:val="clear" w:color="auto" w:fill="auto"/>
            <w:noWrap/>
            <w:vAlign w:val="center"/>
            <w:hideMark/>
          </w:tcPr>
          <w:p w14:paraId="1E5671A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39,2</w:t>
            </w:r>
          </w:p>
        </w:tc>
        <w:tc>
          <w:tcPr>
            <w:tcW w:w="697" w:type="dxa"/>
            <w:tcBorders>
              <w:top w:val="nil"/>
              <w:left w:val="nil"/>
              <w:bottom w:val="nil"/>
              <w:right w:val="nil"/>
            </w:tcBorders>
            <w:shd w:val="clear" w:color="auto" w:fill="auto"/>
            <w:noWrap/>
            <w:vAlign w:val="center"/>
            <w:hideMark/>
          </w:tcPr>
          <w:p w14:paraId="7553DA4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42,1</w:t>
            </w:r>
          </w:p>
        </w:tc>
        <w:tc>
          <w:tcPr>
            <w:tcW w:w="697" w:type="dxa"/>
            <w:tcBorders>
              <w:top w:val="nil"/>
              <w:left w:val="nil"/>
              <w:bottom w:val="nil"/>
              <w:right w:val="nil"/>
            </w:tcBorders>
            <w:shd w:val="clear" w:color="auto" w:fill="auto"/>
            <w:noWrap/>
            <w:vAlign w:val="center"/>
            <w:hideMark/>
          </w:tcPr>
          <w:p w14:paraId="2CE9CD3B"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43,4</w:t>
            </w:r>
          </w:p>
        </w:tc>
        <w:tc>
          <w:tcPr>
            <w:tcW w:w="697" w:type="dxa"/>
            <w:tcBorders>
              <w:top w:val="nil"/>
              <w:left w:val="nil"/>
              <w:bottom w:val="nil"/>
              <w:right w:val="nil"/>
            </w:tcBorders>
            <w:shd w:val="clear" w:color="auto" w:fill="auto"/>
            <w:noWrap/>
            <w:vAlign w:val="center"/>
            <w:hideMark/>
          </w:tcPr>
          <w:p w14:paraId="2073189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52,9</w:t>
            </w:r>
          </w:p>
        </w:tc>
        <w:tc>
          <w:tcPr>
            <w:tcW w:w="697" w:type="dxa"/>
            <w:tcBorders>
              <w:top w:val="nil"/>
              <w:left w:val="nil"/>
              <w:bottom w:val="nil"/>
              <w:right w:val="nil"/>
            </w:tcBorders>
            <w:shd w:val="clear" w:color="auto" w:fill="auto"/>
            <w:noWrap/>
            <w:vAlign w:val="center"/>
            <w:hideMark/>
          </w:tcPr>
          <w:p w14:paraId="7A832F9F" w14:textId="22734A9F" w:rsidR="00EC4603" w:rsidRPr="0040267C" w:rsidRDefault="00EC4603" w:rsidP="00EC4603">
            <w:pPr>
              <w:spacing w:after="0" w:line="240" w:lineRule="auto"/>
              <w:jc w:val="center"/>
              <w:rPr>
                <w:rFonts w:cs="Arial"/>
                <w:color w:val="000000"/>
                <w:sz w:val="16"/>
                <w:szCs w:val="16"/>
              </w:rPr>
            </w:pPr>
            <w:r>
              <w:rPr>
                <w:rFonts w:cs="Arial"/>
                <w:color w:val="000000"/>
                <w:sz w:val="16"/>
                <w:szCs w:val="16"/>
              </w:rPr>
              <w:t>63,7</w:t>
            </w:r>
          </w:p>
        </w:tc>
        <w:tc>
          <w:tcPr>
            <w:tcW w:w="697" w:type="dxa"/>
            <w:vAlign w:val="center"/>
          </w:tcPr>
          <w:p w14:paraId="5DAC5E0E" w14:textId="129DDE61" w:rsidR="00EC4603" w:rsidRPr="0040267C" w:rsidRDefault="00EC4603" w:rsidP="00EC4603">
            <w:pPr>
              <w:spacing w:after="0" w:line="240" w:lineRule="auto"/>
              <w:jc w:val="center"/>
              <w:rPr>
                <w:rFonts w:cs="Arial"/>
                <w:color w:val="000000"/>
                <w:sz w:val="16"/>
                <w:szCs w:val="16"/>
              </w:rPr>
            </w:pPr>
            <w:r>
              <w:rPr>
                <w:rFonts w:cs="Arial"/>
                <w:color w:val="000000"/>
                <w:sz w:val="16"/>
                <w:szCs w:val="16"/>
              </w:rPr>
              <w:t>79,3</w:t>
            </w:r>
          </w:p>
        </w:tc>
      </w:tr>
      <w:tr w:rsidR="00EC4603" w:rsidRPr="0040267C" w14:paraId="1AA24A2C" w14:textId="18EF7AA2" w:rsidTr="00840644">
        <w:trPr>
          <w:trHeight w:val="300"/>
        </w:trPr>
        <w:tc>
          <w:tcPr>
            <w:tcW w:w="1960" w:type="dxa"/>
            <w:tcBorders>
              <w:top w:val="nil"/>
              <w:left w:val="nil"/>
              <w:bottom w:val="nil"/>
              <w:right w:val="single" w:sz="4" w:space="0" w:color="auto"/>
            </w:tcBorders>
            <w:shd w:val="clear" w:color="auto" w:fill="auto"/>
            <w:noWrap/>
            <w:vAlign w:val="center"/>
            <w:hideMark/>
          </w:tcPr>
          <w:p w14:paraId="06CBCF31"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Jihočeský kraj</w:t>
            </w:r>
          </w:p>
        </w:tc>
        <w:tc>
          <w:tcPr>
            <w:tcW w:w="697" w:type="dxa"/>
            <w:tcBorders>
              <w:top w:val="nil"/>
              <w:left w:val="nil"/>
              <w:bottom w:val="nil"/>
              <w:right w:val="nil"/>
            </w:tcBorders>
            <w:shd w:val="clear" w:color="auto" w:fill="auto"/>
            <w:noWrap/>
            <w:vAlign w:val="center"/>
            <w:hideMark/>
          </w:tcPr>
          <w:p w14:paraId="2C9A3BC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30,4</w:t>
            </w:r>
          </w:p>
        </w:tc>
        <w:tc>
          <w:tcPr>
            <w:tcW w:w="697" w:type="dxa"/>
            <w:tcBorders>
              <w:top w:val="nil"/>
              <w:left w:val="nil"/>
              <w:bottom w:val="nil"/>
              <w:right w:val="nil"/>
            </w:tcBorders>
            <w:shd w:val="clear" w:color="auto" w:fill="auto"/>
            <w:noWrap/>
            <w:vAlign w:val="center"/>
            <w:hideMark/>
          </w:tcPr>
          <w:p w14:paraId="33F434D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34,3</w:t>
            </w:r>
          </w:p>
        </w:tc>
        <w:tc>
          <w:tcPr>
            <w:tcW w:w="697" w:type="dxa"/>
            <w:tcBorders>
              <w:top w:val="nil"/>
              <w:left w:val="nil"/>
              <w:bottom w:val="nil"/>
              <w:right w:val="nil"/>
            </w:tcBorders>
            <w:shd w:val="clear" w:color="auto" w:fill="auto"/>
            <w:noWrap/>
            <w:vAlign w:val="center"/>
            <w:hideMark/>
          </w:tcPr>
          <w:p w14:paraId="3A9BACAA"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33,0</w:t>
            </w:r>
          </w:p>
        </w:tc>
        <w:tc>
          <w:tcPr>
            <w:tcW w:w="697" w:type="dxa"/>
            <w:tcBorders>
              <w:top w:val="nil"/>
              <w:left w:val="nil"/>
              <w:bottom w:val="nil"/>
              <w:right w:val="nil"/>
            </w:tcBorders>
            <w:shd w:val="clear" w:color="auto" w:fill="auto"/>
            <w:noWrap/>
            <w:vAlign w:val="center"/>
            <w:hideMark/>
          </w:tcPr>
          <w:p w14:paraId="013BD51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39,3</w:t>
            </w:r>
          </w:p>
        </w:tc>
        <w:tc>
          <w:tcPr>
            <w:tcW w:w="697" w:type="dxa"/>
            <w:tcBorders>
              <w:top w:val="nil"/>
              <w:left w:val="nil"/>
              <w:bottom w:val="nil"/>
              <w:right w:val="nil"/>
            </w:tcBorders>
            <w:shd w:val="clear" w:color="auto" w:fill="auto"/>
            <w:noWrap/>
            <w:vAlign w:val="center"/>
            <w:hideMark/>
          </w:tcPr>
          <w:p w14:paraId="6F69C8C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40,4</w:t>
            </w:r>
          </w:p>
        </w:tc>
        <w:tc>
          <w:tcPr>
            <w:tcW w:w="697" w:type="dxa"/>
            <w:tcBorders>
              <w:top w:val="nil"/>
              <w:left w:val="nil"/>
              <w:bottom w:val="nil"/>
              <w:right w:val="nil"/>
            </w:tcBorders>
            <w:shd w:val="clear" w:color="auto" w:fill="auto"/>
            <w:noWrap/>
            <w:vAlign w:val="center"/>
            <w:hideMark/>
          </w:tcPr>
          <w:p w14:paraId="4849B30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41,1</w:t>
            </w:r>
          </w:p>
        </w:tc>
        <w:tc>
          <w:tcPr>
            <w:tcW w:w="697" w:type="dxa"/>
            <w:tcBorders>
              <w:top w:val="nil"/>
              <w:left w:val="nil"/>
              <w:bottom w:val="nil"/>
              <w:right w:val="nil"/>
            </w:tcBorders>
            <w:shd w:val="clear" w:color="auto" w:fill="auto"/>
            <w:noWrap/>
            <w:vAlign w:val="center"/>
            <w:hideMark/>
          </w:tcPr>
          <w:p w14:paraId="4E65BBE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43,3</w:t>
            </w:r>
          </w:p>
        </w:tc>
        <w:tc>
          <w:tcPr>
            <w:tcW w:w="697" w:type="dxa"/>
            <w:tcBorders>
              <w:top w:val="nil"/>
              <w:left w:val="nil"/>
              <w:bottom w:val="nil"/>
              <w:right w:val="nil"/>
            </w:tcBorders>
            <w:shd w:val="clear" w:color="auto" w:fill="auto"/>
            <w:noWrap/>
            <w:vAlign w:val="center"/>
            <w:hideMark/>
          </w:tcPr>
          <w:p w14:paraId="2FE76FA1"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44,0</w:t>
            </w:r>
          </w:p>
        </w:tc>
        <w:tc>
          <w:tcPr>
            <w:tcW w:w="697" w:type="dxa"/>
            <w:tcBorders>
              <w:top w:val="nil"/>
              <w:left w:val="nil"/>
              <w:bottom w:val="nil"/>
              <w:right w:val="nil"/>
            </w:tcBorders>
            <w:shd w:val="clear" w:color="auto" w:fill="auto"/>
            <w:noWrap/>
            <w:vAlign w:val="center"/>
            <w:hideMark/>
          </w:tcPr>
          <w:p w14:paraId="5CB248FB"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55,8</w:t>
            </w:r>
          </w:p>
        </w:tc>
        <w:tc>
          <w:tcPr>
            <w:tcW w:w="697" w:type="dxa"/>
            <w:tcBorders>
              <w:top w:val="nil"/>
              <w:left w:val="nil"/>
              <w:bottom w:val="nil"/>
              <w:right w:val="nil"/>
            </w:tcBorders>
            <w:shd w:val="clear" w:color="auto" w:fill="auto"/>
            <w:noWrap/>
            <w:vAlign w:val="center"/>
            <w:hideMark/>
          </w:tcPr>
          <w:p w14:paraId="3EA6A8B0" w14:textId="47B68ADA" w:rsidR="00EC4603" w:rsidRPr="0040267C" w:rsidRDefault="00EC4603" w:rsidP="00EC4603">
            <w:pPr>
              <w:spacing w:after="0" w:line="240" w:lineRule="auto"/>
              <w:jc w:val="center"/>
              <w:rPr>
                <w:rFonts w:cs="Arial"/>
                <w:color w:val="000000"/>
                <w:sz w:val="16"/>
                <w:szCs w:val="16"/>
              </w:rPr>
            </w:pPr>
            <w:r>
              <w:rPr>
                <w:rFonts w:cs="Arial"/>
                <w:color w:val="000000"/>
                <w:sz w:val="16"/>
                <w:szCs w:val="16"/>
              </w:rPr>
              <w:t>65,0</w:t>
            </w:r>
          </w:p>
        </w:tc>
        <w:tc>
          <w:tcPr>
            <w:tcW w:w="697" w:type="dxa"/>
            <w:vAlign w:val="center"/>
          </w:tcPr>
          <w:p w14:paraId="36404FC6" w14:textId="4B69BCAE" w:rsidR="00EC4603" w:rsidRPr="0040267C" w:rsidRDefault="00EC4603" w:rsidP="00EC4603">
            <w:pPr>
              <w:spacing w:after="0" w:line="240" w:lineRule="auto"/>
              <w:jc w:val="center"/>
              <w:rPr>
                <w:rFonts w:cs="Arial"/>
                <w:color w:val="000000"/>
                <w:sz w:val="16"/>
                <w:szCs w:val="16"/>
              </w:rPr>
            </w:pPr>
            <w:r>
              <w:rPr>
                <w:rFonts w:cs="Arial"/>
                <w:color w:val="000000"/>
                <w:sz w:val="16"/>
                <w:szCs w:val="16"/>
              </w:rPr>
              <w:t>78,3</w:t>
            </w:r>
          </w:p>
        </w:tc>
      </w:tr>
      <w:tr w:rsidR="00EC4603" w:rsidRPr="0040267C" w14:paraId="5B7975BD" w14:textId="4DFD85CC" w:rsidTr="00840644">
        <w:trPr>
          <w:trHeight w:val="300"/>
        </w:trPr>
        <w:tc>
          <w:tcPr>
            <w:tcW w:w="1960" w:type="dxa"/>
            <w:tcBorders>
              <w:top w:val="nil"/>
              <w:left w:val="nil"/>
              <w:bottom w:val="nil"/>
              <w:right w:val="single" w:sz="4" w:space="0" w:color="auto"/>
            </w:tcBorders>
            <w:shd w:val="clear" w:color="auto" w:fill="auto"/>
            <w:noWrap/>
            <w:vAlign w:val="center"/>
            <w:hideMark/>
          </w:tcPr>
          <w:p w14:paraId="5F04327B"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Plzeňský kraj</w:t>
            </w:r>
          </w:p>
        </w:tc>
        <w:tc>
          <w:tcPr>
            <w:tcW w:w="697" w:type="dxa"/>
            <w:tcBorders>
              <w:top w:val="nil"/>
              <w:left w:val="nil"/>
              <w:bottom w:val="nil"/>
              <w:right w:val="nil"/>
            </w:tcBorders>
            <w:shd w:val="clear" w:color="auto" w:fill="auto"/>
            <w:noWrap/>
            <w:vAlign w:val="center"/>
            <w:hideMark/>
          </w:tcPr>
          <w:p w14:paraId="1B241333"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33,7</w:t>
            </w:r>
          </w:p>
        </w:tc>
        <w:tc>
          <w:tcPr>
            <w:tcW w:w="697" w:type="dxa"/>
            <w:tcBorders>
              <w:top w:val="nil"/>
              <w:left w:val="nil"/>
              <w:bottom w:val="nil"/>
              <w:right w:val="nil"/>
            </w:tcBorders>
            <w:shd w:val="clear" w:color="auto" w:fill="auto"/>
            <w:noWrap/>
            <w:vAlign w:val="center"/>
            <w:hideMark/>
          </w:tcPr>
          <w:p w14:paraId="52014C7D"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35,6</w:t>
            </w:r>
          </w:p>
        </w:tc>
        <w:tc>
          <w:tcPr>
            <w:tcW w:w="697" w:type="dxa"/>
            <w:tcBorders>
              <w:top w:val="nil"/>
              <w:left w:val="nil"/>
              <w:bottom w:val="nil"/>
              <w:right w:val="nil"/>
            </w:tcBorders>
            <w:shd w:val="clear" w:color="auto" w:fill="auto"/>
            <w:noWrap/>
            <w:vAlign w:val="center"/>
            <w:hideMark/>
          </w:tcPr>
          <w:p w14:paraId="16E043C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35,5</w:t>
            </w:r>
          </w:p>
        </w:tc>
        <w:tc>
          <w:tcPr>
            <w:tcW w:w="697" w:type="dxa"/>
            <w:tcBorders>
              <w:top w:val="nil"/>
              <w:left w:val="nil"/>
              <w:bottom w:val="nil"/>
              <w:right w:val="nil"/>
            </w:tcBorders>
            <w:shd w:val="clear" w:color="auto" w:fill="auto"/>
            <w:noWrap/>
            <w:vAlign w:val="center"/>
            <w:hideMark/>
          </w:tcPr>
          <w:p w14:paraId="349435FB"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42,5</w:t>
            </w:r>
          </w:p>
        </w:tc>
        <w:tc>
          <w:tcPr>
            <w:tcW w:w="697" w:type="dxa"/>
            <w:tcBorders>
              <w:top w:val="nil"/>
              <w:left w:val="nil"/>
              <w:bottom w:val="nil"/>
              <w:right w:val="nil"/>
            </w:tcBorders>
            <w:shd w:val="clear" w:color="auto" w:fill="auto"/>
            <w:noWrap/>
            <w:vAlign w:val="center"/>
            <w:hideMark/>
          </w:tcPr>
          <w:p w14:paraId="34E7A31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42,8</w:t>
            </w:r>
          </w:p>
        </w:tc>
        <w:tc>
          <w:tcPr>
            <w:tcW w:w="697" w:type="dxa"/>
            <w:tcBorders>
              <w:top w:val="nil"/>
              <w:left w:val="nil"/>
              <w:bottom w:val="nil"/>
              <w:right w:val="nil"/>
            </w:tcBorders>
            <w:shd w:val="clear" w:color="auto" w:fill="auto"/>
            <w:noWrap/>
            <w:vAlign w:val="center"/>
            <w:hideMark/>
          </w:tcPr>
          <w:p w14:paraId="356993E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43,8</w:t>
            </w:r>
          </w:p>
        </w:tc>
        <w:tc>
          <w:tcPr>
            <w:tcW w:w="697" w:type="dxa"/>
            <w:tcBorders>
              <w:top w:val="nil"/>
              <w:left w:val="nil"/>
              <w:bottom w:val="nil"/>
              <w:right w:val="nil"/>
            </w:tcBorders>
            <w:shd w:val="clear" w:color="auto" w:fill="auto"/>
            <w:noWrap/>
            <w:vAlign w:val="center"/>
            <w:hideMark/>
          </w:tcPr>
          <w:p w14:paraId="2E5D101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46,1</w:t>
            </w:r>
          </w:p>
        </w:tc>
        <w:tc>
          <w:tcPr>
            <w:tcW w:w="697" w:type="dxa"/>
            <w:tcBorders>
              <w:top w:val="nil"/>
              <w:left w:val="nil"/>
              <w:bottom w:val="nil"/>
              <w:right w:val="nil"/>
            </w:tcBorders>
            <w:shd w:val="clear" w:color="auto" w:fill="auto"/>
            <w:noWrap/>
            <w:vAlign w:val="center"/>
            <w:hideMark/>
          </w:tcPr>
          <w:p w14:paraId="433F1B2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46,4</w:t>
            </w:r>
          </w:p>
        </w:tc>
        <w:tc>
          <w:tcPr>
            <w:tcW w:w="697" w:type="dxa"/>
            <w:tcBorders>
              <w:top w:val="nil"/>
              <w:left w:val="nil"/>
              <w:bottom w:val="nil"/>
              <w:right w:val="nil"/>
            </w:tcBorders>
            <w:shd w:val="clear" w:color="auto" w:fill="auto"/>
            <w:noWrap/>
            <w:vAlign w:val="center"/>
            <w:hideMark/>
          </w:tcPr>
          <w:p w14:paraId="67013DA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56,1</w:t>
            </w:r>
          </w:p>
        </w:tc>
        <w:tc>
          <w:tcPr>
            <w:tcW w:w="697" w:type="dxa"/>
            <w:tcBorders>
              <w:top w:val="nil"/>
              <w:left w:val="nil"/>
              <w:bottom w:val="nil"/>
              <w:right w:val="nil"/>
            </w:tcBorders>
            <w:shd w:val="clear" w:color="auto" w:fill="auto"/>
            <w:noWrap/>
            <w:vAlign w:val="center"/>
            <w:hideMark/>
          </w:tcPr>
          <w:p w14:paraId="35A6CFAA" w14:textId="45502D05" w:rsidR="00EC4603" w:rsidRPr="0040267C" w:rsidRDefault="00EC4603" w:rsidP="00EC4603">
            <w:pPr>
              <w:spacing w:after="0" w:line="240" w:lineRule="auto"/>
              <w:jc w:val="center"/>
              <w:rPr>
                <w:rFonts w:cs="Arial"/>
                <w:color w:val="000000"/>
                <w:sz w:val="16"/>
                <w:szCs w:val="16"/>
              </w:rPr>
            </w:pPr>
            <w:r>
              <w:rPr>
                <w:rFonts w:cs="Arial"/>
                <w:color w:val="000000"/>
                <w:sz w:val="16"/>
                <w:szCs w:val="16"/>
              </w:rPr>
              <w:t>68,8</w:t>
            </w:r>
          </w:p>
        </w:tc>
        <w:tc>
          <w:tcPr>
            <w:tcW w:w="697" w:type="dxa"/>
            <w:vAlign w:val="center"/>
          </w:tcPr>
          <w:p w14:paraId="1202C292" w14:textId="47BEAA14" w:rsidR="00EC4603" w:rsidRPr="0040267C" w:rsidRDefault="00EC4603" w:rsidP="00EC4603">
            <w:pPr>
              <w:spacing w:after="0" w:line="240" w:lineRule="auto"/>
              <w:jc w:val="center"/>
              <w:rPr>
                <w:rFonts w:cs="Arial"/>
                <w:color w:val="000000"/>
                <w:sz w:val="16"/>
                <w:szCs w:val="16"/>
              </w:rPr>
            </w:pPr>
            <w:r>
              <w:rPr>
                <w:rFonts w:cs="Arial"/>
                <w:color w:val="000000"/>
                <w:sz w:val="16"/>
                <w:szCs w:val="16"/>
              </w:rPr>
              <w:t>82,9</w:t>
            </w:r>
          </w:p>
        </w:tc>
      </w:tr>
      <w:tr w:rsidR="00EC4603" w:rsidRPr="0040267C" w14:paraId="3ECEF4DA" w14:textId="06685478" w:rsidTr="00840644">
        <w:trPr>
          <w:trHeight w:val="300"/>
        </w:trPr>
        <w:tc>
          <w:tcPr>
            <w:tcW w:w="1960" w:type="dxa"/>
            <w:tcBorders>
              <w:top w:val="nil"/>
              <w:left w:val="nil"/>
              <w:bottom w:val="nil"/>
              <w:right w:val="single" w:sz="4" w:space="0" w:color="auto"/>
            </w:tcBorders>
            <w:shd w:val="clear" w:color="auto" w:fill="auto"/>
            <w:noWrap/>
            <w:vAlign w:val="center"/>
            <w:hideMark/>
          </w:tcPr>
          <w:p w14:paraId="5DA6AA5A"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Karlovarský kraj</w:t>
            </w:r>
          </w:p>
        </w:tc>
        <w:tc>
          <w:tcPr>
            <w:tcW w:w="697" w:type="dxa"/>
            <w:tcBorders>
              <w:top w:val="nil"/>
              <w:left w:val="nil"/>
              <w:bottom w:val="nil"/>
              <w:right w:val="nil"/>
            </w:tcBorders>
            <w:shd w:val="clear" w:color="auto" w:fill="auto"/>
            <w:noWrap/>
            <w:vAlign w:val="center"/>
            <w:hideMark/>
          </w:tcPr>
          <w:p w14:paraId="46BCE6F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31,4</w:t>
            </w:r>
          </w:p>
        </w:tc>
        <w:tc>
          <w:tcPr>
            <w:tcW w:w="697" w:type="dxa"/>
            <w:tcBorders>
              <w:top w:val="nil"/>
              <w:left w:val="nil"/>
              <w:bottom w:val="nil"/>
              <w:right w:val="nil"/>
            </w:tcBorders>
            <w:shd w:val="clear" w:color="auto" w:fill="auto"/>
            <w:noWrap/>
            <w:vAlign w:val="center"/>
            <w:hideMark/>
          </w:tcPr>
          <w:p w14:paraId="57F5769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33,4</w:t>
            </w:r>
          </w:p>
        </w:tc>
        <w:tc>
          <w:tcPr>
            <w:tcW w:w="697" w:type="dxa"/>
            <w:tcBorders>
              <w:top w:val="nil"/>
              <w:left w:val="nil"/>
              <w:bottom w:val="nil"/>
              <w:right w:val="nil"/>
            </w:tcBorders>
            <w:shd w:val="clear" w:color="auto" w:fill="auto"/>
            <w:noWrap/>
            <w:vAlign w:val="center"/>
            <w:hideMark/>
          </w:tcPr>
          <w:p w14:paraId="7ED31EB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34,3</w:t>
            </w:r>
          </w:p>
        </w:tc>
        <w:tc>
          <w:tcPr>
            <w:tcW w:w="697" w:type="dxa"/>
            <w:tcBorders>
              <w:top w:val="nil"/>
              <w:left w:val="nil"/>
              <w:bottom w:val="nil"/>
              <w:right w:val="nil"/>
            </w:tcBorders>
            <w:shd w:val="clear" w:color="auto" w:fill="auto"/>
            <w:noWrap/>
            <w:vAlign w:val="center"/>
            <w:hideMark/>
          </w:tcPr>
          <w:p w14:paraId="044D9A70"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41,3</w:t>
            </w:r>
          </w:p>
        </w:tc>
        <w:tc>
          <w:tcPr>
            <w:tcW w:w="697" w:type="dxa"/>
            <w:tcBorders>
              <w:top w:val="nil"/>
              <w:left w:val="nil"/>
              <w:bottom w:val="nil"/>
              <w:right w:val="nil"/>
            </w:tcBorders>
            <w:shd w:val="clear" w:color="auto" w:fill="auto"/>
            <w:noWrap/>
            <w:vAlign w:val="center"/>
            <w:hideMark/>
          </w:tcPr>
          <w:p w14:paraId="302A734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40,8</w:t>
            </w:r>
          </w:p>
        </w:tc>
        <w:tc>
          <w:tcPr>
            <w:tcW w:w="697" w:type="dxa"/>
            <w:tcBorders>
              <w:top w:val="nil"/>
              <w:left w:val="nil"/>
              <w:bottom w:val="nil"/>
              <w:right w:val="nil"/>
            </w:tcBorders>
            <w:shd w:val="clear" w:color="auto" w:fill="auto"/>
            <w:noWrap/>
            <w:vAlign w:val="center"/>
            <w:hideMark/>
          </w:tcPr>
          <w:p w14:paraId="67948A2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40,7</w:t>
            </w:r>
          </w:p>
        </w:tc>
        <w:tc>
          <w:tcPr>
            <w:tcW w:w="697" w:type="dxa"/>
            <w:tcBorders>
              <w:top w:val="nil"/>
              <w:left w:val="nil"/>
              <w:bottom w:val="nil"/>
              <w:right w:val="nil"/>
            </w:tcBorders>
            <w:shd w:val="clear" w:color="auto" w:fill="auto"/>
            <w:noWrap/>
            <w:vAlign w:val="center"/>
            <w:hideMark/>
          </w:tcPr>
          <w:p w14:paraId="48842E6A"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44,7</w:t>
            </w:r>
          </w:p>
        </w:tc>
        <w:tc>
          <w:tcPr>
            <w:tcW w:w="697" w:type="dxa"/>
            <w:tcBorders>
              <w:top w:val="nil"/>
              <w:left w:val="nil"/>
              <w:bottom w:val="nil"/>
              <w:right w:val="nil"/>
            </w:tcBorders>
            <w:shd w:val="clear" w:color="auto" w:fill="auto"/>
            <w:noWrap/>
            <w:vAlign w:val="center"/>
            <w:hideMark/>
          </w:tcPr>
          <w:p w14:paraId="11F5803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45,6</w:t>
            </w:r>
          </w:p>
        </w:tc>
        <w:tc>
          <w:tcPr>
            <w:tcW w:w="697" w:type="dxa"/>
            <w:tcBorders>
              <w:top w:val="nil"/>
              <w:left w:val="nil"/>
              <w:bottom w:val="nil"/>
              <w:right w:val="nil"/>
            </w:tcBorders>
            <w:shd w:val="clear" w:color="auto" w:fill="auto"/>
            <w:noWrap/>
            <w:vAlign w:val="center"/>
            <w:hideMark/>
          </w:tcPr>
          <w:p w14:paraId="12445A1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52,9</w:t>
            </w:r>
          </w:p>
        </w:tc>
        <w:tc>
          <w:tcPr>
            <w:tcW w:w="697" w:type="dxa"/>
            <w:tcBorders>
              <w:top w:val="nil"/>
              <w:left w:val="nil"/>
              <w:bottom w:val="nil"/>
              <w:right w:val="nil"/>
            </w:tcBorders>
            <w:shd w:val="clear" w:color="auto" w:fill="auto"/>
            <w:noWrap/>
            <w:vAlign w:val="center"/>
            <w:hideMark/>
          </w:tcPr>
          <w:p w14:paraId="63408F86" w14:textId="218924C5" w:rsidR="00EC4603" w:rsidRPr="0040267C" w:rsidRDefault="00EC4603" w:rsidP="00EC4603">
            <w:pPr>
              <w:spacing w:after="0" w:line="240" w:lineRule="auto"/>
              <w:jc w:val="center"/>
              <w:rPr>
                <w:rFonts w:cs="Arial"/>
                <w:color w:val="000000"/>
                <w:sz w:val="16"/>
                <w:szCs w:val="16"/>
              </w:rPr>
            </w:pPr>
            <w:r>
              <w:rPr>
                <w:rFonts w:cs="Arial"/>
                <w:color w:val="000000"/>
                <w:sz w:val="16"/>
                <w:szCs w:val="16"/>
              </w:rPr>
              <w:t>64,3</w:t>
            </w:r>
          </w:p>
        </w:tc>
        <w:tc>
          <w:tcPr>
            <w:tcW w:w="697" w:type="dxa"/>
            <w:vAlign w:val="center"/>
          </w:tcPr>
          <w:p w14:paraId="6B7D438D" w14:textId="375B16B3" w:rsidR="00EC4603" w:rsidRPr="0040267C" w:rsidRDefault="00EC4603" w:rsidP="00EC4603">
            <w:pPr>
              <w:spacing w:after="0" w:line="240" w:lineRule="auto"/>
              <w:jc w:val="center"/>
              <w:rPr>
                <w:rFonts w:cs="Arial"/>
                <w:color w:val="000000"/>
                <w:sz w:val="16"/>
                <w:szCs w:val="16"/>
              </w:rPr>
            </w:pPr>
            <w:r>
              <w:rPr>
                <w:rFonts w:cs="Arial"/>
                <w:color w:val="000000"/>
                <w:sz w:val="16"/>
                <w:szCs w:val="16"/>
              </w:rPr>
              <w:t>78,5</w:t>
            </w:r>
          </w:p>
        </w:tc>
      </w:tr>
      <w:tr w:rsidR="00EC4603" w:rsidRPr="0040267C" w14:paraId="239DBC0E" w14:textId="62C6F01A" w:rsidTr="00EC4603">
        <w:trPr>
          <w:trHeight w:val="300"/>
        </w:trPr>
        <w:tc>
          <w:tcPr>
            <w:tcW w:w="1960" w:type="dxa"/>
            <w:tcBorders>
              <w:top w:val="nil"/>
              <w:left w:val="nil"/>
              <w:bottom w:val="nil"/>
              <w:right w:val="single" w:sz="4" w:space="0" w:color="auto"/>
            </w:tcBorders>
            <w:shd w:val="clear" w:color="auto" w:fill="auto"/>
            <w:noWrap/>
            <w:vAlign w:val="center"/>
            <w:hideMark/>
          </w:tcPr>
          <w:p w14:paraId="24941BA0"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Ústecký kraj</w:t>
            </w:r>
          </w:p>
        </w:tc>
        <w:tc>
          <w:tcPr>
            <w:tcW w:w="697" w:type="dxa"/>
            <w:tcBorders>
              <w:top w:val="nil"/>
              <w:left w:val="nil"/>
              <w:bottom w:val="nil"/>
              <w:right w:val="nil"/>
            </w:tcBorders>
            <w:shd w:val="clear" w:color="auto" w:fill="auto"/>
            <w:noWrap/>
            <w:vAlign w:val="center"/>
            <w:hideMark/>
          </w:tcPr>
          <w:p w14:paraId="1FEF5F84"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28,0</w:t>
            </w:r>
          </w:p>
        </w:tc>
        <w:tc>
          <w:tcPr>
            <w:tcW w:w="697" w:type="dxa"/>
            <w:tcBorders>
              <w:top w:val="nil"/>
              <w:left w:val="nil"/>
              <w:bottom w:val="nil"/>
              <w:right w:val="nil"/>
            </w:tcBorders>
            <w:shd w:val="clear" w:color="auto" w:fill="auto"/>
            <w:noWrap/>
            <w:vAlign w:val="center"/>
            <w:hideMark/>
          </w:tcPr>
          <w:p w14:paraId="3D2FFC7B"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30,9</w:t>
            </w:r>
          </w:p>
        </w:tc>
        <w:tc>
          <w:tcPr>
            <w:tcW w:w="697" w:type="dxa"/>
            <w:tcBorders>
              <w:top w:val="nil"/>
              <w:left w:val="nil"/>
              <w:bottom w:val="nil"/>
              <w:right w:val="nil"/>
            </w:tcBorders>
            <w:shd w:val="clear" w:color="auto" w:fill="auto"/>
            <w:noWrap/>
            <w:vAlign w:val="center"/>
            <w:hideMark/>
          </w:tcPr>
          <w:p w14:paraId="74F5D6F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30,5</w:t>
            </w:r>
          </w:p>
        </w:tc>
        <w:tc>
          <w:tcPr>
            <w:tcW w:w="697" w:type="dxa"/>
            <w:tcBorders>
              <w:top w:val="nil"/>
              <w:left w:val="nil"/>
              <w:bottom w:val="nil"/>
              <w:right w:val="nil"/>
            </w:tcBorders>
            <w:shd w:val="clear" w:color="auto" w:fill="auto"/>
            <w:noWrap/>
            <w:vAlign w:val="center"/>
            <w:hideMark/>
          </w:tcPr>
          <w:p w14:paraId="1645C61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36,1</w:t>
            </w:r>
          </w:p>
        </w:tc>
        <w:tc>
          <w:tcPr>
            <w:tcW w:w="697" w:type="dxa"/>
            <w:tcBorders>
              <w:top w:val="nil"/>
              <w:left w:val="nil"/>
              <w:bottom w:val="nil"/>
              <w:right w:val="nil"/>
            </w:tcBorders>
            <w:shd w:val="clear" w:color="auto" w:fill="auto"/>
            <w:noWrap/>
            <w:vAlign w:val="center"/>
            <w:hideMark/>
          </w:tcPr>
          <w:p w14:paraId="0DCCFE8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38,2</w:t>
            </w:r>
          </w:p>
        </w:tc>
        <w:tc>
          <w:tcPr>
            <w:tcW w:w="697" w:type="dxa"/>
            <w:tcBorders>
              <w:top w:val="nil"/>
              <w:left w:val="nil"/>
              <w:bottom w:val="nil"/>
              <w:right w:val="nil"/>
            </w:tcBorders>
            <w:shd w:val="clear" w:color="auto" w:fill="auto"/>
            <w:noWrap/>
            <w:vAlign w:val="center"/>
            <w:hideMark/>
          </w:tcPr>
          <w:p w14:paraId="0C4E48C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39,1</w:t>
            </w:r>
          </w:p>
        </w:tc>
        <w:tc>
          <w:tcPr>
            <w:tcW w:w="697" w:type="dxa"/>
            <w:tcBorders>
              <w:top w:val="nil"/>
              <w:left w:val="nil"/>
              <w:bottom w:val="nil"/>
              <w:right w:val="nil"/>
            </w:tcBorders>
            <w:shd w:val="clear" w:color="auto" w:fill="auto"/>
            <w:noWrap/>
            <w:vAlign w:val="center"/>
            <w:hideMark/>
          </w:tcPr>
          <w:p w14:paraId="324AE72A"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42,8</w:t>
            </w:r>
          </w:p>
        </w:tc>
        <w:tc>
          <w:tcPr>
            <w:tcW w:w="697" w:type="dxa"/>
            <w:tcBorders>
              <w:top w:val="nil"/>
              <w:left w:val="nil"/>
              <w:bottom w:val="nil"/>
              <w:right w:val="nil"/>
            </w:tcBorders>
            <w:shd w:val="clear" w:color="auto" w:fill="auto"/>
            <w:noWrap/>
            <w:vAlign w:val="center"/>
            <w:hideMark/>
          </w:tcPr>
          <w:p w14:paraId="7E930D2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44,3</w:t>
            </w:r>
          </w:p>
        </w:tc>
        <w:tc>
          <w:tcPr>
            <w:tcW w:w="697" w:type="dxa"/>
            <w:tcBorders>
              <w:top w:val="nil"/>
              <w:left w:val="nil"/>
              <w:bottom w:val="nil"/>
              <w:right w:val="nil"/>
            </w:tcBorders>
            <w:shd w:val="clear" w:color="auto" w:fill="auto"/>
            <w:noWrap/>
            <w:vAlign w:val="center"/>
            <w:hideMark/>
          </w:tcPr>
          <w:p w14:paraId="6A6D45C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55,0</w:t>
            </w:r>
          </w:p>
        </w:tc>
        <w:tc>
          <w:tcPr>
            <w:tcW w:w="697" w:type="dxa"/>
            <w:tcBorders>
              <w:top w:val="nil"/>
              <w:left w:val="nil"/>
              <w:bottom w:val="nil"/>
              <w:right w:val="nil"/>
            </w:tcBorders>
            <w:shd w:val="clear" w:color="auto" w:fill="auto"/>
            <w:noWrap/>
            <w:vAlign w:val="center"/>
            <w:hideMark/>
          </w:tcPr>
          <w:p w14:paraId="7D1B83D7" w14:textId="2FD43CE2" w:rsidR="00EC4603" w:rsidRPr="0040267C" w:rsidRDefault="00EC4603" w:rsidP="00EC4603">
            <w:pPr>
              <w:spacing w:after="0" w:line="240" w:lineRule="auto"/>
              <w:jc w:val="center"/>
              <w:rPr>
                <w:rFonts w:cs="Arial"/>
                <w:color w:val="000000"/>
                <w:sz w:val="16"/>
                <w:szCs w:val="16"/>
              </w:rPr>
            </w:pPr>
            <w:r>
              <w:rPr>
                <w:rFonts w:cs="Arial"/>
                <w:color w:val="000000"/>
                <w:sz w:val="16"/>
                <w:szCs w:val="16"/>
              </w:rPr>
              <w:t>66,6</w:t>
            </w:r>
          </w:p>
        </w:tc>
        <w:tc>
          <w:tcPr>
            <w:tcW w:w="697" w:type="dxa"/>
            <w:vAlign w:val="center"/>
          </w:tcPr>
          <w:p w14:paraId="04F5F74E" w14:textId="78DF7AFA" w:rsidR="00EC4603" w:rsidRPr="0040267C" w:rsidRDefault="00EC4603" w:rsidP="00EC4603">
            <w:pPr>
              <w:spacing w:after="0" w:line="240" w:lineRule="auto"/>
              <w:jc w:val="center"/>
              <w:rPr>
                <w:rFonts w:cs="Arial"/>
                <w:color w:val="000000"/>
                <w:sz w:val="16"/>
                <w:szCs w:val="16"/>
              </w:rPr>
            </w:pPr>
            <w:r>
              <w:rPr>
                <w:rFonts w:cs="Arial"/>
                <w:color w:val="000000"/>
                <w:sz w:val="16"/>
                <w:szCs w:val="16"/>
              </w:rPr>
              <w:t>82,6</w:t>
            </w:r>
          </w:p>
        </w:tc>
      </w:tr>
      <w:tr w:rsidR="00EC4603" w:rsidRPr="0040267C" w14:paraId="6C893C2E" w14:textId="587B947D" w:rsidTr="00840644">
        <w:trPr>
          <w:trHeight w:val="300"/>
        </w:trPr>
        <w:tc>
          <w:tcPr>
            <w:tcW w:w="1960" w:type="dxa"/>
            <w:tcBorders>
              <w:top w:val="nil"/>
              <w:left w:val="nil"/>
              <w:bottom w:val="nil"/>
              <w:right w:val="single" w:sz="4" w:space="0" w:color="auto"/>
            </w:tcBorders>
            <w:shd w:val="clear" w:color="auto" w:fill="auto"/>
            <w:noWrap/>
            <w:vAlign w:val="center"/>
            <w:hideMark/>
          </w:tcPr>
          <w:p w14:paraId="75441CC1"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Liberecký kraj</w:t>
            </w:r>
          </w:p>
        </w:tc>
        <w:tc>
          <w:tcPr>
            <w:tcW w:w="697" w:type="dxa"/>
            <w:tcBorders>
              <w:top w:val="nil"/>
              <w:left w:val="nil"/>
              <w:bottom w:val="nil"/>
              <w:right w:val="nil"/>
            </w:tcBorders>
            <w:shd w:val="clear" w:color="auto" w:fill="auto"/>
            <w:noWrap/>
            <w:vAlign w:val="center"/>
            <w:hideMark/>
          </w:tcPr>
          <w:p w14:paraId="71454FF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32,1</w:t>
            </w:r>
          </w:p>
        </w:tc>
        <w:tc>
          <w:tcPr>
            <w:tcW w:w="697" w:type="dxa"/>
            <w:tcBorders>
              <w:top w:val="nil"/>
              <w:left w:val="nil"/>
              <w:bottom w:val="nil"/>
              <w:right w:val="nil"/>
            </w:tcBorders>
            <w:shd w:val="clear" w:color="auto" w:fill="auto"/>
            <w:noWrap/>
            <w:vAlign w:val="center"/>
            <w:hideMark/>
          </w:tcPr>
          <w:p w14:paraId="0B198183"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35,7</w:t>
            </w:r>
          </w:p>
        </w:tc>
        <w:tc>
          <w:tcPr>
            <w:tcW w:w="697" w:type="dxa"/>
            <w:tcBorders>
              <w:top w:val="nil"/>
              <w:left w:val="nil"/>
              <w:bottom w:val="nil"/>
              <w:right w:val="nil"/>
            </w:tcBorders>
            <w:shd w:val="clear" w:color="auto" w:fill="auto"/>
            <w:noWrap/>
            <w:vAlign w:val="center"/>
            <w:hideMark/>
          </w:tcPr>
          <w:p w14:paraId="6C8A3CDA"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34,8</w:t>
            </w:r>
          </w:p>
        </w:tc>
        <w:tc>
          <w:tcPr>
            <w:tcW w:w="697" w:type="dxa"/>
            <w:tcBorders>
              <w:top w:val="nil"/>
              <w:left w:val="nil"/>
              <w:bottom w:val="nil"/>
              <w:right w:val="nil"/>
            </w:tcBorders>
            <w:shd w:val="clear" w:color="auto" w:fill="auto"/>
            <w:noWrap/>
            <w:vAlign w:val="center"/>
            <w:hideMark/>
          </w:tcPr>
          <w:p w14:paraId="0E4D753A"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40,4</w:t>
            </w:r>
          </w:p>
        </w:tc>
        <w:tc>
          <w:tcPr>
            <w:tcW w:w="697" w:type="dxa"/>
            <w:tcBorders>
              <w:top w:val="nil"/>
              <w:left w:val="nil"/>
              <w:bottom w:val="nil"/>
              <w:right w:val="nil"/>
            </w:tcBorders>
            <w:shd w:val="clear" w:color="auto" w:fill="auto"/>
            <w:noWrap/>
            <w:vAlign w:val="center"/>
            <w:hideMark/>
          </w:tcPr>
          <w:p w14:paraId="4C96F9A0"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43,1</w:t>
            </w:r>
          </w:p>
        </w:tc>
        <w:tc>
          <w:tcPr>
            <w:tcW w:w="697" w:type="dxa"/>
            <w:tcBorders>
              <w:top w:val="nil"/>
              <w:left w:val="nil"/>
              <w:bottom w:val="nil"/>
              <w:right w:val="nil"/>
            </w:tcBorders>
            <w:shd w:val="clear" w:color="auto" w:fill="auto"/>
            <w:noWrap/>
            <w:vAlign w:val="center"/>
            <w:hideMark/>
          </w:tcPr>
          <w:p w14:paraId="56F35AD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44,3</w:t>
            </w:r>
          </w:p>
        </w:tc>
        <w:tc>
          <w:tcPr>
            <w:tcW w:w="697" w:type="dxa"/>
            <w:tcBorders>
              <w:top w:val="nil"/>
              <w:left w:val="nil"/>
              <w:bottom w:val="nil"/>
              <w:right w:val="nil"/>
            </w:tcBorders>
            <w:shd w:val="clear" w:color="auto" w:fill="auto"/>
            <w:noWrap/>
            <w:vAlign w:val="center"/>
            <w:hideMark/>
          </w:tcPr>
          <w:p w14:paraId="50F1FE7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48,1</w:t>
            </w:r>
          </w:p>
        </w:tc>
        <w:tc>
          <w:tcPr>
            <w:tcW w:w="697" w:type="dxa"/>
            <w:tcBorders>
              <w:top w:val="nil"/>
              <w:left w:val="nil"/>
              <w:bottom w:val="nil"/>
              <w:right w:val="nil"/>
            </w:tcBorders>
            <w:shd w:val="clear" w:color="auto" w:fill="auto"/>
            <w:noWrap/>
            <w:vAlign w:val="center"/>
            <w:hideMark/>
          </w:tcPr>
          <w:p w14:paraId="6EBD0DA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49,8</w:t>
            </w:r>
          </w:p>
        </w:tc>
        <w:tc>
          <w:tcPr>
            <w:tcW w:w="697" w:type="dxa"/>
            <w:tcBorders>
              <w:top w:val="nil"/>
              <w:left w:val="nil"/>
              <w:bottom w:val="nil"/>
              <w:right w:val="nil"/>
            </w:tcBorders>
            <w:shd w:val="clear" w:color="auto" w:fill="auto"/>
            <w:noWrap/>
            <w:vAlign w:val="center"/>
            <w:hideMark/>
          </w:tcPr>
          <w:p w14:paraId="65C280E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63,7</w:t>
            </w:r>
          </w:p>
        </w:tc>
        <w:tc>
          <w:tcPr>
            <w:tcW w:w="697" w:type="dxa"/>
            <w:tcBorders>
              <w:top w:val="nil"/>
              <w:left w:val="nil"/>
              <w:bottom w:val="nil"/>
              <w:right w:val="nil"/>
            </w:tcBorders>
            <w:shd w:val="clear" w:color="auto" w:fill="auto"/>
            <w:noWrap/>
            <w:vAlign w:val="center"/>
            <w:hideMark/>
          </w:tcPr>
          <w:p w14:paraId="71D7529D" w14:textId="69B043D6" w:rsidR="00EC4603" w:rsidRPr="0040267C" w:rsidRDefault="00EC4603" w:rsidP="00EC4603">
            <w:pPr>
              <w:spacing w:after="0" w:line="240" w:lineRule="auto"/>
              <w:jc w:val="center"/>
              <w:rPr>
                <w:rFonts w:cs="Arial"/>
                <w:color w:val="000000"/>
                <w:sz w:val="16"/>
                <w:szCs w:val="16"/>
              </w:rPr>
            </w:pPr>
            <w:r>
              <w:rPr>
                <w:rFonts w:cs="Arial"/>
                <w:color w:val="000000"/>
                <w:sz w:val="16"/>
                <w:szCs w:val="16"/>
              </w:rPr>
              <w:t>72,9</w:t>
            </w:r>
          </w:p>
        </w:tc>
        <w:tc>
          <w:tcPr>
            <w:tcW w:w="697" w:type="dxa"/>
            <w:vAlign w:val="center"/>
          </w:tcPr>
          <w:p w14:paraId="17FC75BA" w14:textId="634E0BAB" w:rsidR="00EC4603" w:rsidRPr="0040267C" w:rsidRDefault="00EC4603" w:rsidP="00EC4603">
            <w:pPr>
              <w:spacing w:after="0" w:line="240" w:lineRule="auto"/>
              <w:jc w:val="center"/>
              <w:rPr>
                <w:rFonts w:cs="Arial"/>
                <w:color w:val="000000"/>
                <w:sz w:val="16"/>
                <w:szCs w:val="16"/>
              </w:rPr>
            </w:pPr>
            <w:r>
              <w:rPr>
                <w:rFonts w:cs="Arial"/>
                <w:color w:val="000000"/>
                <w:sz w:val="16"/>
                <w:szCs w:val="16"/>
              </w:rPr>
              <w:t>89,5</w:t>
            </w:r>
          </w:p>
        </w:tc>
      </w:tr>
      <w:tr w:rsidR="00EC4603" w:rsidRPr="0040267C" w14:paraId="7CF2489C" w14:textId="00200E94" w:rsidTr="00840644">
        <w:trPr>
          <w:trHeight w:val="300"/>
        </w:trPr>
        <w:tc>
          <w:tcPr>
            <w:tcW w:w="1960" w:type="dxa"/>
            <w:tcBorders>
              <w:top w:val="nil"/>
              <w:left w:val="nil"/>
              <w:bottom w:val="nil"/>
              <w:right w:val="single" w:sz="4" w:space="0" w:color="auto"/>
            </w:tcBorders>
            <w:shd w:val="clear" w:color="auto" w:fill="auto"/>
            <w:noWrap/>
            <w:vAlign w:val="center"/>
            <w:hideMark/>
          </w:tcPr>
          <w:p w14:paraId="67D6A752"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Královéhradecký kraj</w:t>
            </w:r>
          </w:p>
        </w:tc>
        <w:tc>
          <w:tcPr>
            <w:tcW w:w="697" w:type="dxa"/>
            <w:tcBorders>
              <w:top w:val="nil"/>
              <w:left w:val="nil"/>
              <w:bottom w:val="nil"/>
              <w:right w:val="nil"/>
            </w:tcBorders>
            <w:shd w:val="clear" w:color="auto" w:fill="auto"/>
            <w:noWrap/>
            <w:vAlign w:val="center"/>
            <w:hideMark/>
          </w:tcPr>
          <w:p w14:paraId="4B66247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28,7</w:t>
            </w:r>
          </w:p>
        </w:tc>
        <w:tc>
          <w:tcPr>
            <w:tcW w:w="697" w:type="dxa"/>
            <w:tcBorders>
              <w:top w:val="nil"/>
              <w:left w:val="nil"/>
              <w:bottom w:val="nil"/>
              <w:right w:val="nil"/>
            </w:tcBorders>
            <w:shd w:val="clear" w:color="auto" w:fill="auto"/>
            <w:noWrap/>
            <w:vAlign w:val="center"/>
            <w:hideMark/>
          </w:tcPr>
          <w:p w14:paraId="2891D01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31,5</w:t>
            </w:r>
          </w:p>
        </w:tc>
        <w:tc>
          <w:tcPr>
            <w:tcW w:w="697" w:type="dxa"/>
            <w:tcBorders>
              <w:top w:val="nil"/>
              <w:left w:val="nil"/>
              <w:bottom w:val="nil"/>
              <w:right w:val="nil"/>
            </w:tcBorders>
            <w:shd w:val="clear" w:color="auto" w:fill="auto"/>
            <w:noWrap/>
            <w:vAlign w:val="center"/>
            <w:hideMark/>
          </w:tcPr>
          <w:p w14:paraId="7CE984B4"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30,2</w:t>
            </w:r>
          </w:p>
        </w:tc>
        <w:tc>
          <w:tcPr>
            <w:tcW w:w="697" w:type="dxa"/>
            <w:tcBorders>
              <w:top w:val="nil"/>
              <w:left w:val="nil"/>
              <w:bottom w:val="nil"/>
              <w:right w:val="nil"/>
            </w:tcBorders>
            <w:shd w:val="clear" w:color="auto" w:fill="auto"/>
            <w:noWrap/>
            <w:vAlign w:val="center"/>
            <w:hideMark/>
          </w:tcPr>
          <w:p w14:paraId="2594F8F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36,0</w:t>
            </w:r>
          </w:p>
        </w:tc>
        <w:tc>
          <w:tcPr>
            <w:tcW w:w="697" w:type="dxa"/>
            <w:tcBorders>
              <w:top w:val="nil"/>
              <w:left w:val="nil"/>
              <w:bottom w:val="nil"/>
              <w:right w:val="nil"/>
            </w:tcBorders>
            <w:shd w:val="clear" w:color="auto" w:fill="auto"/>
            <w:noWrap/>
            <w:vAlign w:val="center"/>
            <w:hideMark/>
          </w:tcPr>
          <w:p w14:paraId="5F209E4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38,5</w:t>
            </w:r>
          </w:p>
        </w:tc>
        <w:tc>
          <w:tcPr>
            <w:tcW w:w="697" w:type="dxa"/>
            <w:tcBorders>
              <w:top w:val="nil"/>
              <w:left w:val="nil"/>
              <w:bottom w:val="nil"/>
              <w:right w:val="nil"/>
            </w:tcBorders>
            <w:shd w:val="clear" w:color="auto" w:fill="auto"/>
            <w:noWrap/>
            <w:vAlign w:val="center"/>
            <w:hideMark/>
          </w:tcPr>
          <w:p w14:paraId="0166107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40,6</w:t>
            </w:r>
          </w:p>
        </w:tc>
        <w:tc>
          <w:tcPr>
            <w:tcW w:w="697" w:type="dxa"/>
            <w:tcBorders>
              <w:top w:val="nil"/>
              <w:left w:val="nil"/>
              <w:bottom w:val="nil"/>
              <w:right w:val="nil"/>
            </w:tcBorders>
            <w:shd w:val="clear" w:color="auto" w:fill="auto"/>
            <w:noWrap/>
            <w:vAlign w:val="center"/>
            <w:hideMark/>
          </w:tcPr>
          <w:p w14:paraId="4392A84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44,0</w:t>
            </w:r>
          </w:p>
        </w:tc>
        <w:tc>
          <w:tcPr>
            <w:tcW w:w="697" w:type="dxa"/>
            <w:tcBorders>
              <w:top w:val="nil"/>
              <w:left w:val="nil"/>
              <w:bottom w:val="nil"/>
              <w:right w:val="nil"/>
            </w:tcBorders>
            <w:shd w:val="clear" w:color="auto" w:fill="auto"/>
            <w:noWrap/>
            <w:vAlign w:val="center"/>
            <w:hideMark/>
          </w:tcPr>
          <w:p w14:paraId="6C4EA01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45,7</w:t>
            </w:r>
          </w:p>
        </w:tc>
        <w:tc>
          <w:tcPr>
            <w:tcW w:w="697" w:type="dxa"/>
            <w:tcBorders>
              <w:top w:val="nil"/>
              <w:left w:val="nil"/>
              <w:bottom w:val="nil"/>
              <w:right w:val="nil"/>
            </w:tcBorders>
            <w:shd w:val="clear" w:color="auto" w:fill="auto"/>
            <w:noWrap/>
            <w:vAlign w:val="center"/>
            <w:hideMark/>
          </w:tcPr>
          <w:p w14:paraId="1F60275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58,2</w:t>
            </w:r>
          </w:p>
        </w:tc>
        <w:tc>
          <w:tcPr>
            <w:tcW w:w="697" w:type="dxa"/>
            <w:tcBorders>
              <w:top w:val="nil"/>
              <w:left w:val="nil"/>
              <w:bottom w:val="nil"/>
              <w:right w:val="nil"/>
            </w:tcBorders>
            <w:shd w:val="clear" w:color="auto" w:fill="auto"/>
            <w:noWrap/>
            <w:vAlign w:val="center"/>
            <w:hideMark/>
          </w:tcPr>
          <w:p w14:paraId="46D1E2B0" w14:textId="429638BF" w:rsidR="00EC4603" w:rsidRPr="0040267C" w:rsidRDefault="00EC4603" w:rsidP="00EC4603">
            <w:pPr>
              <w:spacing w:after="0" w:line="240" w:lineRule="auto"/>
              <w:jc w:val="center"/>
              <w:rPr>
                <w:rFonts w:cs="Arial"/>
                <w:color w:val="000000"/>
                <w:sz w:val="16"/>
                <w:szCs w:val="16"/>
              </w:rPr>
            </w:pPr>
            <w:r>
              <w:rPr>
                <w:rFonts w:cs="Arial"/>
                <w:color w:val="000000"/>
                <w:sz w:val="16"/>
                <w:szCs w:val="16"/>
              </w:rPr>
              <w:t>67,8</w:t>
            </w:r>
          </w:p>
        </w:tc>
        <w:tc>
          <w:tcPr>
            <w:tcW w:w="697" w:type="dxa"/>
            <w:vAlign w:val="center"/>
          </w:tcPr>
          <w:p w14:paraId="68DC06E6" w14:textId="7BEB8B7D" w:rsidR="00EC4603" w:rsidRPr="0040267C" w:rsidRDefault="00EC4603" w:rsidP="00EC4603">
            <w:pPr>
              <w:spacing w:after="0" w:line="240" w:lineRule="auto"/>
              <w:jc w:val="center"/>
              <w:rPr>
                <w:rFonts w:cs="Arial"/>
                <w:color w:val="000000"/>
                <w:sz w:val="16"/>
                <w:szCs w:val="16"/>
              </w:rPr>
            </w:pPr>
            <w:r>
              <w:rPr>
                <w:rFonts w:cs="Arial"/>
                <w:color w:val="000000"/>
                <w:sz w:val="16"/>
                <w:szCs w:val="16"/>
              </w:rPr>
              <w:t>82,0</w:t>
            </w:r>
          </w:p>
        </w:tc>
      </w:tr>
      <w:tr w:rsidR="00EC4603" w:rsidRPr="0040267C" w14:paraId="3A43BB48" w14:textId="44D0F417" w:rsidTr="00840644">
        <w:trPr>
          <w:trHeight w:val="300"/>
        </w:trPr>
        <w:tc>
          <w:tcPr>
            <w:tcW w:w="1960" w:type="dxa"/>
            <w:tcBorders>
              <w:top w:val="nil"/>
              <w:left w:val="nil"/>
              <w:bottom w:val="nil"/>
              <w:right w:val="single" w:sz="4" w:space="0" w:color="auto"/>
            </w:tcBorders>
            <w:shd w:val="clear" w:color="auto" w:fill="auto"/>
            <w:noWrap/>
            <w:vAlign w:val="center"/>
            <w:hideMark/>
          </w:tcPr>
          <w:p w14:paraId="75D87E3B"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Pardubický kraj</w:t>
            </w:r>
          </w:p>
        </w:tc>
        <w:tc>
          <w:tcPr>
            <w:tcW w:w="697" w:type="dxa"/>
            <w:tcBorders>
              <w:top w:val="nil"/>
              <w:left w:val="nil"/>
              <w:bottom w:val="nil"/>
              <w:right w:val="nil"/>
            </w:tcBorders>
            <w:shd w:val="clear" w:color="auto" w:fill="auto"/>
            <w:noWrap/>
            <w:vAlign w:val="center"/>
            <w:hideMark/>
          </w:tcPr>
          <w:p w14:paraId="0DF9883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28,5</w:t>
            </w:r>
          </w:p>
        </w:tc>
        <w:tc>
          <w:tcPr>
            <w:tcW w:w="697" w:type="dxa"/>
            <w:tcBorders>
              <w:top w:val="nil"/>
              <w:left w:val="nil"/>
              <w:bottom w:val="nil"/>
              <w:right w:val="nil"/>
            </w:tcBorders>
            <w:shd w:val="clear" w:color="auto" w:fill="auto"/>
            <w:noWrap/>
            <w:vAlign w:val="center"/>
            <w:hideMark/>
          </w:tcPr>
          <w:p w14:paraId="38EBB4F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30,8</w:t>
            </w:r>
          </w:p>
        </w:tc>
        <w:tc>
          <w:tcPr>
            <w:tcW w:w="697" w:type="dxa"/>
            <w:tcBorders>
              <w:top w:val="nil"/>
              <w:left w:val="nil"/>
              <w:bottom w:val="nil"/>
              <w:right w:val="nil"/>
            </w:tcBorders>
            <w:shd w:val="clear" w:color="auto" w:fill="auto"/>
            <w:noWrap/>
            <w:vAlign w:val="center"/>
            <w:hideMark/>
          </w:tcPr>
          <w:p w14:paraId="4589714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30,5</w:t>
            </w:r>
          </w:p>
        </w:tc>
        <w:tc>
          <w:tcPr>
            <w:tcW w:w="697" w:type="dxa"/>
            <w:tcBorders>
              <w:top w:val="nil"/>
              <w:left w:val="nil"/>
              <w:bottom w:val="nil"/>
              <w:right w:val="nil"/>
            </w:tcBorders>
            <w:shd w:val="clear" w:color="auto" w:fill="auto"/>
            <w:noWrap/>
            <w:vAlign w:val="center"/>
            <w:hideMark/>
          </w:tcPr>
          <w:p w14:paraId="44CB373D"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36,6</w:t>
            </w:r>
          </w:p>
        </w:tc>
        <w:tc>
          <w:tcPr>
            <w:tcW w:w="697" w:type="dxa"/>
            <w:tcBorders>
              <w:top w:val="nil"/>
              <w:left w:val="nil"/>
              <w:bottom w:val="nil"/>
              <w:right w:val="nil"/>
            </w:tcBorders>
            <w:shd w:val="clear" w:color="auto" w:fill="auto"/>
            <w:noWrap/>
            <w:vAlign w:val="center"/>
            <w:hideMark/>
          </w:tcPr>
          <w:p w14:paraId="4312EA7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37,3</w:t>
            </w:r>
          </w:p>
        </w:tc>
        <w:tc>
          <w:tcPr>
            <w:tcW w:w="697" w:type="dxa"/>
            <w:tcBorders>
              <w:top w:val="nil"/>
              <w:left w:val="nil"/>
              <w:bottom w:val="nil"/>
              <w:right w:val="nil"/>
            </w:tcBorders>
            <w:shd w:val="clear" w:color="auto" w:fill="auto"/>
            <w:noWrap/>
            <w:vAlign w:val="center"/>
            <w:hideMark/>
          </w:tcPr>
          <w:p w14:paraId="47B99FC3"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38,5</w:t>
            </w:r>
          </w:p>
        </w:tc>
        <w:tc>
          <w:tcPr>
            <w:tcW w:w="697" w:type="dxa"/>
            <w:tcBorders>
              <w:top w:val="nil"/>
              <w:left w:val="nil"/>
              <w:bottom w:val="nil"/>
              <w:right w:val="nil"/>
            </w:tcBorders>
            <w:shd w:val="clear" w:color="auto" w:fill="auto"/>
            <w:noWrap/>
            <w:vAlign w:val="center"/>
            <w:hideMark/>
          </w:tcPr>
          <w:p w14:paraId="3732CF1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41,8</w:t>
            </w:r>
          </w:p>
        </w:tc>
        <w:tc>
          <w:tcPr>
            <w:tcW w:w="697" w:type="dxa"/>
            <w:tcBorders>
              <w:top w:val="nil"/>
              <w:left w:val="nil"/>
              <w:bottom w:val="nil"/>
              <w:right w:val="nil"/>
            </w:tcBorders>
            <w:shd w:val="clear" w:color="auto" w:fill="auto"/>
            <w:noWrap/>
            <w:vAlign w:val="center"/>
            <w:hideMark/>
          </w:tcPr>
          <w:p w14:paraId="333F5144"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42,9</w:t>
            </w:r>
          </w:p>
        </w:tc>
        <w:tc>
          <w:tcPr>
            <w:tcW w:w="697" w:type="dxa"/>
            <w:tcBorders>
              <w:top w:val="nil"/>
              <w:left w:val="nil"/>
              <w:bottom w:val="nil"/>
              <w:right w:val="nil"/>
            </w:tcBorders>
            <w:shd w:val="clear" w:color="auto" w:fill="auto"/>
            <w:noWrap/>
            <w:vAlign w:val="center"/>
            <w:hideMark/>
          </w:tcPr>
          <w:p w14:paraId="1F1D621D"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54,1</w:t>
            </w:r>
          </w:p>
        </w:tc>
        <w:tc>
          <w:tcPr>
            <w:tcW w:w="697" w:type="dxa"/>
            <w:tcBorders>
              <w:top w:val="nil"/>
              <w:left w:val="nil"/>
              <w:bottom w:val="nil"/>
              <w:right w:val="nil"/>
            </w:tcBorders>
            <w:shd w:val="clear" w:color="auto" w:fill="auto"/>
            <w:noWrap/>
            <w:vAlign w:val="center"/>
            <w:hideMark/>
          </w:tcPr>
          <w:p w14:paraId="4549C628" w14:textId="15CB8DC0" w:rsidR="00EC4603" w:rsidRPr="0040267C" w:rsidRDefault="00EC4603" w:rsidP="00EC4603">
            <w:pPr>
              <w:spacing w:after="0" w:line="240" w:lineRule="auto"/>
              <w:jc w:val="center"/>
              <w:rPr>
                <w:rFonts w:cs="Arial"/>
                <w:color w:val="000000"/>
                <w:sz w:val="16"/>
                <w:szCs w:val="16"/>
              </w:rPr>
            </w:pPr>
            <w:r>
              <w:rPr>
                <w:rFonts w:cs="Arial"/>
                <w:color w:val="000000"/>
                <w:sz w:val="16"/>
                <w:szCs w:val="16"/>
              </w:rPr>
              <w:t>65,8</w:t>
            </w:r>
          </w:p>
        </w:tc>
        <w:tc>
          <w:tcPr>
            <w:tcW w:w="697" w:type="dxa"/>
            <w:vAlign w:val="center"/>
          </w:tcPr>
          <w:p w14:paraId="1F30E15C" w14:textId="129A83BF" w:rsidR="00EC4603" w:rsidRPr="0040267C" w:rsidRDefault="00EC4603" w:rsidP="00EC4603">
            <w:pPr>
              <w:spacing w:after="0" w:line="240" w:lineRule="auto"/>
              <w:jc w:val="center"/>
              <w:rPr>
                <w:rFonts w:cs="Arial"/>
                <w:color w:val="000000"/>
                <w:sz w:val="16"/>
                <w:szCs w:val="16"/>
              </w:rPr>
            </w:pPr>
            <w:r>
              <w:rPr>
                <w:rFonts w:cs="Arial"/>
                <w:color w:val="000000"/>
                <w:sz w:val="16"/>
                <w:szCs w:val="16"/>
              </w:rPr>
              <w:t>80,7</w:t>
            </w:r>
          </w:p>
        </w:tc>
      </w:tr>
      <w:tr w:rsidR="00EC4603" w:rsidRPr="0040267C" w14:paraId="01B79776" w14:textId="596E27C7" w:rsidTr="00840644">
        <w:trPr>
          <w:trHeight w:val="300"/>
        </w:trPr>
        <w:tc>
          <w:tcPr>
            <w:tcW w:w="1960" w:type="dxa"/>
            <w:tcBorders>
              <w:top w:val="nil"/>
              <w:left w:val="nil"/>
              <w:bottom w:val="nil"/>
              <w:right w:val="single" w:sz="4" w:space="0" w:color="auto"/>
            </w:tcBorders>
            <w:shd w:val="clear" w:color="auto" w:fill="auto"/>
            <w:noWrap/>
            <w:vAlign w:val="center"/>
            <w:hideMark/>
          </w:tcPr>
          <w:p w14:paraId="53748F53"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Kraj Vysočina</w:t>
            </w:r>
          </w:p>
        </w:tc>
        <w:tc>
          <w:tcPr>
            <w:tcW w:w="697" w:type="dxa"/>
            <w:tcBorders>
              <w:top w:val="nil"/>
              <w:left w:val="nil"/>
              <w:bottom w:val="nil"/>
              <w:right w:val="nil"/>
            </w:tcBorders>
            <w:shd w:val="clear" w:color="auto" w:fill="auto"/>
            <w:noWrap/>
            <w:vAlign w:val="center"/>
            <w:hideMark/>
          </w:tcPr>
          <w:p w14:paraId="78A8F571"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28,7</w:t>
            </w:r>
          </w:p>
        </w:tc>
        <w:tc>
          <w:tcPr>
            <w:tcW w:w="697" w:type="dxa"/>
            <w:tcBorders>
              <w:top w:val="nil"/>
              <w:left w:val="nil"/>
              <w:bottom w:val="nil"/>
              <w:right w:val="nil"/>
            </w:tcBorders>
            <w:shd w:val="clear" w:color="auto" w:fill="auto"/>
            <w:noWrap/>
            <w:vAlign w:val="center"/>
            <w:hideMark/>
          </w:tcPr>
          <w:p w14:paraId="04DCF8A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32,1</w:t>
            </w:r>
          </w:p>
        </w:tc>
        <w:tc>
          <w:tcPr>
            <w:tcW w:w="697" w:type="dxa"/>
            <w:tcBorders>
              <w:top w:val="nil"/>
              <w:left w:val="nil"/>
              <w:bottom w:val="nil"/>
              <w:right w:val="nil"/>
            </w:tcBorders>
            <w:shd w:val="clear" w:color="auto" w:fill="auto"/>
            <w:noWrap/>
            <w:vAlign w:val="center"/>
            <w:hideMark/>
          </w:tcPr>
          <w:p w14:paraId="2C3BB0E1"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31,1</w:t>
            </w:r>
          </w:p>
        </w:tc>
        <w:tc>
          <w:tcPr>
            <w:tcW w:w="697" w:type="dxa"/>
            <w:tcBorders>
              <w:top w:val="nil"/>
              <w:left w:val="nil"/>
              <w:bottom w:val="nil"/>
              <w:right w:val="nil"/>
            </w:tcBorders>
            <w:shd w:val="clear" w:color="auto" w:fill="auto"/>
            <w:noWrap/>
            <w:vAlign w:val="center"/>
            <w:hideMark/>
          </w:tcPr>
          <w:p w14:paraId="08FD608A"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37,6</w:t>
            </w:r>
          </w:p>
        </w:tc>
        <w:tc>
          <w:tcPr>
            <w:tcW w:w="697" w:type="dxa"/>
            <w:tcBorders>
              <w:top w:val="nil"/>
              <w:left w:val="nil"/>
              <w:bottom w:val="nil"/>
              <w:right w:val="nil"/>
            </w:tcBorders>
            <w:shd w:val="clear" w:color="auto" w:fill="auto"/>
            <w:noWrap/>
            <w:vAlign w:val="center"/>
            <w:hideMark/>
          </w:tcPr>
          <w:p w14:paraId="7B6D357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38,3</w:t>
            </w:r>
          </w:p>
        </w:tc>
        <w:tc>
          <w:tcPr>
            <w:tcW w:w="697" w:type="dxa"/>
            <w:tcBorders>
              <w:top w:val="nil"/>
              <w:left w:val="nil"/>
              <w:bottom w:val="nil"/>
              <w:right w:val="nil"/>
            </w:tcBorders>
            <w:shd w:val="clear" w:color="auto" w:fill="auto"/>
            <w:noWrap/>
            <w:vAlign w:val="center"/>
            <w:hideMark/>
          </w:tcPr>
          <w:p w14:paraId="27A9244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39,2</w:t>
            </w:r>
          </w:p>
        </w:tc>
        <w:tc>
          <w:tcPr>
            <w:tcW w:w="697" w:type="dxa"/>
            <w:tcBorders>
              <w:top w:val="nil"/>
              <w:left w:val="nil"/>
              <w:bottom w:val="nil"/>
              <w:right w:val="nil"/>
            </w:tcBorders>
            <w:shd w:val="clear" w:color="auto" w:fill="auto"/>
            <w:noWrap/>
            <w:vAlign w:val="center"/>
            <w:hideMark/>
          </w:tcPr>
          <w:p w14:paraId="1EE23A13"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42,2</w:t>
            </w:r>
          </w:p>
        </w:tc>
        <w:tc>
          <w:tcPr>
            <w:tcW w:w="697" w:type="dxa"/>
            <w:tcBorders>
              <w:top w:val="nil"/>
              <w:left w:val="nil"/>
              <w:bottom w:val="nil"/>
              <w:right w:val="nil"/>
            </w:tcBorders>
            <w:shd w:val="clear" w:color="auto" w:fill="auto"/>
            <w:noWrap/>
            <w:vAlign w:val="center"/>
            <w:hideMark/>
          </w:tcPr>
          <w:p w14:paraId="67DAA2C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42,8</w:t>
            </w:r>
          </w:p>
        </w:tc>
        <w:tc>
          <w:tcPr>
            <w:tcW w:w="697" w:type="dxa"/>
            <w:tcBorders>
              <w:top w:val="nil"/>
              <w:left w:val="nil"/>
              <w:bottom w:val="nil"/>
              <w:right w:val="nil"/>
            </w:tcBorders>
            <w:shd w:val="clear" w:color="auto" w:fill="auto"/>
            <w:noWrap/>
            <w:vAlign w:val="center"/>
            <w:hideMark/>
          </w:tcPr>
          <w:p w14:paraId="49A4594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57,4</w:t>
            </w:r>
          </w:p>
        </w:tc>
        <w:tc>
          <w:tcPr>
            <w:tcW w:w="697" w:type="dxa"/>
            <w:tcBorders>
              <w:top w:val="nil"/>
              <w:left w:val="nil"/>
              <w:bottom w:val="nil"/>
              <w:right w:val="nil"/>
            </w:tcBorders>
            <w:shd w:val="clear" w:color="auto" w:fill="auto"/>
            <w:noWrap/>
            <w:vAlign w:val="center"/>
            <w:hideMark/>
          </w:tcPr>
          <w:p w14:paraId="4101EB95" w14:textId="3782F2B1" w:rsidR="00EC4603" w:rsidRPr="0040267C" w:rsidRDefault="00EC4603" w:rsidP="00EC4603">
            <w:pPr>
              <w:spacing w:after="0" w:line="240" w:lineRule="auto"/>
              <w:jc w:val="center"/>
              <w:rPr>
                <w:rFonts w:cs="Arial"/>
                <w:color w:val="000000"/>
                <w:sz w:val="16"/>
                <w:szCs w:val="16"/>
              </w:rPr>
            </w:pPr>
            <w:r>
              <w:rPr>
                <w:rFonts w:cs="Arial"/>
                <w:color w:val="000000"/>
                <w:sz w:val="16"/>
                <w:szCs w:val="16"/>
              </w:rPr>
              <w:t>61,6</w:t>
            </w:r>
          </w:p>
        </w:tc>
        <w:tc>
          <w:tcPr>
            <w:tcW w:w="697" w:type="dxa"/>
            <w:vAlign w:val="center"/>
          </w:tcPr>
          <w:p w14:paraId="71F8F46D" w14:textId="08F1179B" w:rsidR="00EC4603" w:rsidRPr="0040267C" w:rsidRDefault="00EC4603" w:rsidP="00EC4603">
            <w:pPr>
              <w:spacing w:after="0" w:line="240" w:lineRule="auto"/>
              <w:jc w:val="center"/>
              <w:rPr>
                <w:rFonts w:cs="Arial"/>
                <w:color w:val="000000"/>
                <w:sz w:val="16"/>
                <w:szCs w:val="16"/>
              </w:rPr>
            </w:pPr>
            <w:r>
              <w:rPr>
                <w:rFonts w:cs="Arial"/>
                <w:color w:val="000000"/>
                <w:sz w:val="16"/>
                <w:szCs w:val="16"/>
              </w:rPr>
              <w:t>77,6</w:t>
            </w:r>
          </w:p>
        </w:tc>
      </w:tr>
      <w:tr w:rsidR="00EC4603" w:rsidRPr="0040267C" w14:paraId="3CB480A9" w14:textId="22F34BE5" w:rsidTr="00840644">
        <w:trPr>
          <w:trHeight w:val="300"/>
        </w:trPr>
        <w:tc>
          <w:tcPr>
            <w:tcW w:w="1960" w:type="dxa"/>
            <w:tcBorders>
              <w:top w:val="nil"/>
              <w:left w:val="nil"/>
              <w:bottom w:val="nil"/>
              <w:right w:val="single" w:sz="4" w:space="0" w:color="auto"/>
            </w:tcBorders>
            <w:shd w:val="clear" w:color="auto" w:fill="auto"/>
            <w:noWrap/>
            <w:vAlign w:val="center"/>
            <w:hideMark/>
          </w:tcPr>
          <w:p w14:paraId="7B3A45A8"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Jihomoravský kraj</w:t>
            </w:r>
          </w:p>
        </w:tc>
        <w:tc>
          <w:tcPr>
            <w:tcW w:w="697" w:type="dxa"/>
            <w:tcBorders>
              <w:top w:val="nil"/>
              <w:left w:val="nil"/>
              <w:bottom w:val="nil"/>
              <w:right w:val="nil"/>
            </w:tcBorders>
            <w:shd w:val="clear" w:color="auto" w:fill="auto"/>
            <w:noWrap/>
            <w:vAlign w:val="center"/>
            <w:hideMark/>
          </w:tcPr>
          <w:p w14:paraId="6308AFD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26,8</w:t>
            </w:r>
          </w:p>
        </w:tc>
        <w:tc>
          <w:tcPr>
            <w:tcW w:w="697" w:type="dxa"/>
            <w:tcBorders>
              <w:top w:val="nil"/>
              <w:left w:val="nil"/>
              <w:bottom w:val="nil"/>
              <w:right w:val="nil"/>
            </w:tcBorders>
            <w:shd w:val="clear" w:color="auto" w:fill="auto"/>
            <w:noWrap/>
            <w:vAlign w:val="center"/>
            <w:hideMark/>
          </w:tcPr>
          <w:p w14:paraId="5F4E6D1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29,6</w:t>
            </w:r>
          </w:p>
        </w:tc>
        <w:tc>
          <w:tcPr>
            <w:tcW w:w="697" w:type="dxa"/>
            <w:tcBorders>
              <w:top w:val="nil"/>
              <w:left w:val="nil"/>
              <w:bottom w:val="nil"/>
              <w:right w:val="nil"/>
            </w:tcBorders>
            <w:shd w:val="clear" w:color="auto" w:fill="auto"/>
            <w:noWrap/>
            <w:vAlign w:val="center"/>
            <w:hideMark/>
          </w:tcPr>
          <w:p w14:paraId="5EBD29E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28,9</w:t>
            </w:r>
          </w:p>
        </w:tc>
        <w:tc>
          <w:tcPr>
            <w:tcW w:w="697" w:type="dxa"/>
            <w:tcBorders>
              <w:top w:val="nil"/>
              <w:left w:val="nil"/>
              <w:bottom w:val="nil"/>
              <w:right w:val="nil"/>
            </w:tcBorders>
            <w:shd w:val="clear" w:color="auto" w:fill="auto"/>
            <w:noWrap/>
            <w:vAlign w:val="center"/>
            <w:hideMark/>
          </w:tcPr>
          <w:p w14:paraId="19FE9057"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33,5</w:t>
            </w:r>
          </w:p>
        </w:tc>
        <w:tc>
          <w:tcPr>
            <w:tcW w:w="697" w:type="dxa"/>
            <w:tcBorders>
              <w:top w:val="nil"/>
              <w:left w:val="nil"/>
              <w:bottom w:val="nil"/>
              <w:right w:val="nil"/>
            </w:tcBorders>
            <w:shd w:val="clear" w:color="auto" w:fill="auto"/>
            <w:noWrap/>
            <w:vAlign w:val="center"/>
            <w:hideMark/>
          </w:tcPr>
          <w:p w14:paraId="55F41D44"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34,2</w:t>
            </w:r>
          </w:p>
        </w:tc>
        <w:tc>
          <w:tcPr>
            <w:tcW w:w="697" w:type="dxa"/>
            <w:tcBorders>
              <w:top w:val="nil"/>
              <w:left w:val="nil"/>
              <w:bottom w:val="nil"/>
              <w:right w:val="nil"/>
            </w:tcBorders>
            <w:shd w:val="clear" w:color="auto" w:fill="auto"/>
            <w:noWrap/>
            <w:vAlign w:val="center"/>
            <w:hideMark/>
          </w:tcPr>
          <w:p w14:paraId="1113945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35,4</w:t>
            </w:r>
          </w:p>
        </w:tc>
        <w:tc>
          <w:tcPr>
            <w:tcW w:w="697" w:type="dxa"/>
            <w:tcBorders>
              <w:top w:val="nil"/>
              <w:left w:val="nil"/>
              <w:bottom w:val="nil"/>
              <w:right w:val="nil"/>
            </w:tcBorders>
            <w:shd w:val="clear" w:color="auto" w:fill="auto"/>
            <w:noWrap/>
            <w:vAlign w:val="center"/>
            <w:hideMark/>
          </w:tcPr>
          <w:p w14:paraId="372FABB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37,8</w:t>
            </w:r>
          </w:p>
        </w:tc>
        <w:tc>
          <w:tcPr>
            <w:tcW w:w="697" w:type="dxa"/>
            <w:tcBorders>
              <w:top w:val="nil"/>
              <w:left w:val="nil"/>
              <w:bottom w:val="nil"/>
              <w:right w:val="nil"/>
            </w:tcBorders>
            <w:shd w:val="clear" w:color="auto" w:fill="auto"/>
            <w:noWrap/>
            <w:vAlign w:val="center"/>
            <w:hideMark/>
          </w:tcPr>
          <w:p w14:paraId="3ADC90C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38,9</w:t>
            </w:r>
          </w:p>
        </w:tc>
        <w:tc>
          <w:tcPr>
            <w:tcW w:w="697" w:type="dxa"/>
            <w:tcBorders>
              <w:top w:val="nil"/>
              <w:left w:val="nil"/>
              <w:bottom w:val="nil"/>
              <w:right w:val="nil"/>
            </w:tcBorders>
            <w:shd w:val="clear" w:color="auto" w:fill="auto"/>
            <w:noWrap/>
            <w:vAlign w:val="center"/>
            <w:hideMark/>
          </w:tcPr>
          <w:p w14:paraId="3AAC278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48,6</w:t>
            </w:r>
          </w:p>
        </w:tc>
        <w:tc>
          <w:tcPr>
            <w:tcW w:w="697" w:type="dxa"/>
            <w:tcBorders>
              <w:top w:val="nil"/>
              <w:left w:val="nil"/>
              <w:bottom w:val="nil"/>
              <w:right w:val="nil"/>
            </w:tcBorders>
            <w:shd w:val="clear" w:color="auto" w:fill="auto"/>
            <w:noWrap/>
            <w:vAlign w:val="center"/>
            <w:hideMark/>
          </w:tcPr>
          <w:p w14:paraId="7975F13C" w14:textId="20B29D68" w:rsidR="00EC4603" w:rsidRPr="0040267C" w:rsidRDefault="00EC4603" w:rsidP="00EC4603">
            <w:pPr>
              <w:spacing w:after="0" w:line="240" w:lineRule="auto"/>
              <w:jc w:val="center"/>
              <w:rPr>
                <w:rFonts w:cs="Arial"/>
                <w:color w:val="000000"/>
                <w:sz w:val="16"/>
                <w:szCs w:val="16"/>
              </w:rPr>
            </w:pPr>
            <w:r>
              <w:rPr>
                <w:rFonts w:cs="Arial"/>
                <w:color w:val="000000"/>
                <w:sz w:val="16"/>
                <w:szCs w:val="16"/>
              </w:rPr>
              <w:t>56,2</w:t>
            </w:r>
          </w:p>
        </w:tc>
        <w:tc>
          <w:tcPr>
            <w:tcW w:w="697" w:type="dxa"/>
            <w:vAlign w:val="center"/>
          </w:tcPr>
          <w:p w14:paraId="6AB35E7D" w14:textId="766492F1" w:rsidR="00EC4603" w:rsidRPr="0040267C" w:rsidRDefault="00EC4603" w:rsidP="00EC4603">
            <w:pPr>
              <w:spacing w:after="0" w:line="240" w:lineRule="auto"/>
              <w:jc w:val="center"/>
              <w:rPr>
                <w:rFonts w:cs="Arial"/>
                <w:color w:val="000000"/>
                <w:sz w:val="16"/>
                <w:szCs w:val="16"/>
              </w:rPr>
            </w:pPr>
            <w:r>
              <w:rPr>
                <w:rFonts w:cs="Arial"/>
                <w:color w:val="000000"/>
                <w:sz w:val="16"/>
                <w:szCs w:val="16"/>
              </w:rPr>
              <w:t>71,5</w:t>
            </w:r>
          </w:p>
        </w:tc>
      </w:tr>
      <w:tr w:rsidR="00EC4603" w:rsidRPr="0040267C" w14:paraId="77CE712C" w14:textId="7F9701FD" w:rsidTr="00840644">
        <w:trPr>
          <w:trHeight w:val="300"/>
        </w:trPr>
        <w:tc>
          <w:tcPr>
            <w:tcW w:w="1960" w:type="dxa"/>
            <w:tcBorders>
              <w:top w:val="nil"/>
              <w:left w:val="nil"/>
              <w:bottom w:val="nil"/>
              <w:right w:val="single" w:sz="4" w:space="0" w:color="auto"/>
            </w:tcBorders>
            <w:shd w:val="clear" w:color="auto" w:fill="auto"/>
            <w:noWrap/>
            <w:vAlign w:val="center"/>
            <w:hideMark/>
          </w:tcPr>
          <w:p w14:paraId="73B8A297"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Olomoucký kraj</w:t>
            </w:r>
          </w:p>
        </w:tc>
        <w:tc>
          <w:tcPr>
            <w:tcW w:w="697" w:type="dxa"/>
            <w:tcBorders>
              <w:top w:val="nil"/>
              <w:left w:val="nil"/>
              <w:bottom w:val="nil"/>
              <w:right w:val="nil"/>
            </w:tcBorders>
            <w:shd w:val="clear" w:color="auto" w:fill="auto"/>
            <w:noWrap/>
            <w:vAlign w:val="center"/>
            <w:hideMark/>
          </w:tcPr>
          <w:p w14:paraId="4A6F208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25,4</w:t>
            </w:r>
          </w:p>
        </w:tc>
        <w:tc>
          <w:tcPr>
            <w:tcW w:w="697" w:type="dxa"/>
            <w:tcBorders>
              <w:top w:val="nil"/>
              <w:left w:val="nil"/>
              <w:bottom w:val="nil"/>
              <w:right w:val="nil"/>
            </w:tcBorders>
            <w:shd w:val="clear" w:color="auto" w:fill="auto"/>
            <w:noWrap/>
            <w:vAlign w:val="center"/>
            <w:hideMark/>
          </w:tcPr>
          <w:p w14:paraId="243F00FB"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27,3</w:t>
            </w:r>
          </w:p>
        </w:tc>
        <w:tc>
          <w:tcPr>
            <w:tcW w:w="697" w:type="dxa"/>
            <w:tcBorders>
              <w:top w:val="nil"/>
              <w:left w:val="nil"/>
              <w:bottom w:val="nil"/>
              <w:right w:val="nil"/>
            </w:tcBorders>
            <w:shd w:val="clear" w:color="auto" w:fill="auto"/>
            <w:noWrap/>
            <w:vAlign w:val="center"/>
            <w:hideMark/>
          </w:tcPr>
          <w:p w14:paraId="20156A4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26,1</w:t>
            </w:r>
          </w:p>
        </w:tc>
        <w:tc>
          <w:tcPr>
            <w:tcW w:w="697" w:type="dxa"/>
            <w:tcBorders>
              <w:top w:val="nil"/>
              <w:left w:val="nil"/>
              <w:bottom w:val="nil"/>
              <w:right w:val="nil"/>
            </w:tcBorders>
            <w:shd w:val="clear" w:color="auto" w:fill="auto"/>
            <w:noWrap/>
            <w:vAlign w:val="center"/>
            <w:hideMark/>
          </w:tcPr>
          <w:p w14:paraId="709B48D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32,7</w:t>
            </w:r>
          </w:p>
        </w:tc>
        <w:tc>
          <w:tcPr>
            <w:tcW w:w="697" w:type="dxa"/>
            <w:tcBorders>
              <w:top w:val="nil"/>
              <w:left w:val="nil"/>
              <w:bottom w:val="nil"/>
              <w:right w:val="nil"/>
            </w:tcBorders>
            <w:shd w:val="clear" w:color="auto" w:fill="auto"/>
            <w:noWrap/>
            <w:vAlign w:val="center"/>
            <w:hideMark/>
          </w:tcPr>
          <w:p w14:paraId="10461D2D"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34,0</w:t>
            </w:r>
          </w:p>
        </w:tc>
        <w:tc>
          <w:tcPr>
            <w:tcW w:w="697" w:type="dxa"/>
            <w:tcBorders>
              <w:top w:val="nil"/>
              <w:left w:val="nil"/>
              <w:bottom w:val="nil"/>
              <w:right w:val="nil"/>
            </w:tcBorders>
            <w:shd w:val="clear" w:color="auto" w:fill="auto"/>
            <w:noWrap/>
            <w:vAlign w:val="center"/>
            <w:hideMark/>
          </w:tcPr>
          <w:p w14:paraId="6CD9FC5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35,2</w:t>
            </w:r>
          </w:p>
        </w:tc>
        <w:tc>
          <w:tcPr>
            <w:tcW w:w="697" w:type="dxa"/>
            <w:tcBorders>
              <w:top w:val="nil"/>
              <w:left w:val="nil"/>
              <w:bottom w:val="nil"/>
              <w:right w:val="nil"/>
            </w:tcBorders>
            <w:shd w:val="clear" w:color="auto" w:fill="auto"/>
            <w:noWrap/>
            <w:vAlign w:val="center"/>
            <w:hideMark/>
          </w:tcPr>
          <w:p w14:paraId="01B1BFB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37,5</w:t>
            </w:r>
          </w:p>
        </w:tc>
        <w:tc>
          <w:tcPr>
            <w:tcW w:w="697" w:type="dxa"/>
            <w:tcBorders>
              <w:top w:val="nil"/>
              <w:left w:val="nil"/>
              <w:bottom w:val="nil"/>
              <w:right w:val="nil"/>
            </w:tcBorders>
            <w:shd w:val="clear" w:color="auto" w:fill="auto"/>
            <w:noWrap/>
            <w:vAlign w:val="center"/>
            <w:hideMark/>
          </w:tcPr>
          <w:p w14:paraId="1B15898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39,5</w:t>
            </w:r>
          </w:p>
        </w:tc>
        <w:tc>
          <w:tcPr>
            <w:tcW w:w="697" w:type="dxa"/>
            <w:tcBorders>
              <w:top w:val="nil"/>
              <w:left w:val="nil"/>
              <w:bottom w:val="nil"/>
              <w:right w:val="nil"/>
            </w:tcBorders>
            <w:shd w:val="clear" w:color="auto" w:fill="auto"/>
            <w:noWrap/>
            <w:vAlign w:val="center"/>
            <w:hideMark/>
          </w:tcPr>
          <w:p w14:paraId="2448FD8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55,3</w:t>
            </w:r>
          </w:p>
        </w:tc>
        <w:tc>
          <w:tcPr>
            <w:tcW w:w="697" w:type="dxa"/>
            <w:tcBorders>
              <w:top w:val="nil"/>
              <w:left w:val="nil"/>
              <w:bottom w:val="nil"/>
              <w:right w:val="nil"/>
            </w:tcBorders>
            <w:shd w:val="clear" w:color="auto" w:fill="auto"/>
            <w:noWrap/>
            <w:vAlign w:val="center"/>
            <w:hideMark/>
          </w:tcPr>
          <w:p w14:paraId="1F32B820" w14:textId="59448701" w:rsidR="00EC4603" w:rsidRPr="0040267C" w:rsidRDefault="00EC4603" w:rsidP="00EC4603">
            <w:pPr>
              <w:spacing w:after="0" w:line="240" w:lineRule="auto"/>
              <w:jc w:val="center"/>
              <w:rPr>
                <w:rFonts w:cs="Arial"/>
                <w:color w:val="000000"/>
                <w:sz w:val="16"/>
                <w:szCs w:val="16"/>
              </w:rPr>
            </w:pPr>
            <w:r>
              <w:rPr>
                <w:rFonts w:cs="Arial"/>
                <w:color w:val="000000"/>
                <w:sz w:val="16"/>
                <w:szCs w:val="16"/>
              </w:rPr>
              <w:t>61,8</w:t>
            </w:r>
          </w:p>
        </w:tc>
        <w:tc>
          <w:tcPr>
            <w:tcW w:w="697" w:type="dxa"/>
            <w:vAlign w:val="center"/>
          </w:tcPr>
          <w:p w14:paraId="5F344E9B" w14:textId="67E21683" w:rsidR="00EC4603" w:rsidRPr="0040267C" w:rsidRDefault="00EC4603" w:rsidP="00EC4603">
            <w:pPr>
              <w:spacing w:after="0" w:line="240" w:lineRule="auto"/>
              <w:jc w:val="center"/>
              <w:rPr>
                <w:rFonts w:cs="Arial"/>
                <w:color w:val="000000"/>
                <w:sz w:val="16"/>
                <w:szCs w:val="16"/>
              </w:rPr>
            </w:pPr>
            <w:r>
              <w:rPr>
                <w:rFonts w:cs="Arial"/>
                <w:color w:val="000000"/>
                <w:sz w:val="16"/>
                <w:szCs w:val="16"/>
              </w:rPr>
              <w:t>76,9</w:t>
            </w:r>
          </w:p>
        </w:tc>
      </w:tr>
      <w:tr w:rsidR="00EC4603" w:rsidRPr="0040267C" w14:paraId="2D3F88C6" w14:textId="61880894" w:rsidTr="00840644">
        <w:trPr>
          <w:trHeight w:val="300"/>
        </w:trPr>
        <w:tc>
          <w:tcPr>
            <w:tcW w:w="1960" w:type="dxa"/>
            <w:tcBorders>
              <w:top w:val="nil"/>
              <w:left w:val="nil"/>
              <w:bottom w:val="nil"/>
              <w:right w:val="single" w:sz="4" w:space="0" w:color="auto"/>
            </w:tcBorders>
            <w:shd w:val="clear" w:color="auto" w:fill="auto"/>
            <w:noWrap/>
            <w:vAlign w:val="center"/>
            <w:hideMark/>
          </w:tcPr>
          <w:p w14:paraId="45D8A51D"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Zlínský kraj</w:t>
            </w:r>
          </w:p>
        </w:tc>
        <w:tc>
          <w:tcPr>
            <w:tcW w:w="697" w:type="dxa"/>
            <w:tcBorders>
              <w:top w:val="nil"/>
              <w:left w:val="nil"/>
              <w:bottom w:val="nil"/>
              <w:right w:val="nil"/>
            </w:tcBorders>
            <w:shd w:val="clear" w:color="auto" w:fill="auto"/>
            <w:noWrap/>
            <w:vAlign w:val="center"/>
            <w:hideMark/>
          </w:tcPr>
          <w:p w14:paraId="5F72056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27,0</w:t>
            </w:r>
          </w:p>
        </w:tc>
        <w:tc>
          <w:tcPr>
            <w:tcW w:w="697" w:type="dxa"/>
            <w:tcBorders>
              <w:top w:val="nil"/>
              <w:left w:val="nil"/>
              <w:bottom w:val="nil"/>
              <w:right w:val="nil"/>
            </w:tcBorders>
            <w:shd w:val="clear" w:color="auto" w:fill="auto"/>
            <w:noWrap/>
            <w:vAlign w:val="center"/>
            <w:hideMark/>
          </w:tcPr>
          <w:p w14:paraId="3446791E"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29,9</w:t>
            </w:r>
          </w:p>
        </w:tc>
        <w:tc>
          <w:tcPr>
            <w:tcW w:w="697" w:type="dxa"/>
            <w:tcBorders>
              <w:top w:val="nil"/>
              <w:left w:val="nil"/>
              <w:bottom w:val="nil"/>
              <w:right w:val="nil"/>
            </w:tcBorders>
            <w:shd w:val="clear" w:color="auto" w:fill="auto"/>
            <w:noWrap/>
            <w:vAlign w:val="center"/>
            <w:hideMark/>
          </w:tcPr>
          <w:p w14:paraId="0EA143ED"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29,0</w:t>
            </w:r>
          </w:p>
        </w:tc>
        <w:tc>
          <w:tcPr>
            <w:tcW w:w="697" w:type="dxa"/>
            <w:tcBorders>
              <w:top w:val="nil"/>
              <w:left w:val="nil"/>
              <w:bottom w:val="nil"/>
              <w:right w:val="nil"/>
            </w:tcBorders>
            <w:shd w:val="clear" w:color="auto" w:fill="auto"/>
            <w:noWrap/>
            <w:vAlign w:val="center"/>
            <w:hideMark/>
          </w:tcPr>
          <w:p w14:paraId="5BB78E4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35,5</w:t>
            </w:r>
          </w:p>
        </w:tc>
        <w:tc>
          <w:tcPr>
            <w:tcW w:w="697" w:type="dxa"/>
            <w:tcBorders>
              <w:top w:val="nil"/>
              <w:left w:val="nil"/>
              <w:bottom w:val="nil"/>
              <w:right w:val="nil"/>
            </w:tcBorders>
            <w:shd w:val="clear" w:color="auto" w:fill="auto"/>
            <w:noWrap/>
            <w:vAlign w:val="center"/>
            <w:hideMark/>
          </w:tcPr>
          <w:p w14:paraId="2BD9EF9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36,0</w:t>
            </w:r>
          </w:p>
        </w:tc>
        <w:tc>
          <w:tcPr>
            <w:tcW w:w="697" w:type="dxa"/>
            <w:tcBorders>
              <w:top w:val="nil"/>
              <w:left w:val="nil"/>
              <w:bottom w:val="nil"/>
              <w:right w:val="nil"/>
            </w:tcBorders>
            <w:shd w:val="clear" w:color="auto" w:fill="auto"/>
            <w:noWrap/>
            <w:vAlign w:val="center"/>
            <w:hideMark/>
          </w:tcPr>
          <w:p w14:paraId="62C95DBA"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37,6</w:t>
            </w:r>
          </w:p>
        </w:tc>
        <w:tc>
          <w:tcPr>
            <w:tcW w:w="697" w:type="dxa"/>
            <w:tcBorders>
              <w:top w:val="nil"/>
              <w:left w:val="nil"/>
              <w:bottom w:val="nil"/>
              <w:right w:val="nil"/>
            </w:tcBorders>
            <w:shd w:val="clear" w:color="auto" w:fill="auto"/>
            <w:noWrap/>
            <w:vAlign w:val="center"/>
            <w:hideMark/>
          </w:tcPr>
          <w:p w14:paraId="621D9BA9"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39,1</w:t>
            </w:r>
          </w:p>
        </w:tc>
        <w:tc>
          <w:tcPr>
            <w:tcW w:w="697" w:type="dxa"/>
            <w:tcBorders>
              <w:top w:val="nil"/>
              <w:left w:val="nil"/>
              <w:bottom w:val="nil"/>
              <w:right w:val="nil"/>
            </w:tcBorders>
            <w:shd w:val="clear" w:color="auto" w:fill="auto"/>
            <w:noWrap/>
            <w:vAlign w:val="center"/>
            <w:hideMark/>
          </w:tcPr>
          <w:p w14:paraId="24E97C3C"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41,3</w:t>
            </w:r>
          </w:p>
        </w:tc>
        <w:tc>
          <w:tcPr>
            <w:tcW w:w="697" w:type="dxa"/>
            <w:tcBorders>
              <w:top w:val="nil"/>
              <w:left w:val="nil"/>
              <w:bottom w:val="nil"/>
              <w:right w:val="nil"/>
            </w:tcBorders>
            <w:shd w:val="clear" w:color="auto" w:fill="auto"/>
            <w:noWrap/>
            <w:vAlign w:val="center"/>
            <w:hideMark/>
          </w:tcPr>
          <w:p w14:paraId="2C4FDB7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59,2</w:t>
            </w:r>
          </w:p>
        </w:tc>
        <w:tc>
          <w:tcPr>
            <w:tcW w:w="697" w:type="dxa"/>
            <w:tcBorders>
              <w:top w:val="nil"/>
              <w:left w:val="nil"/>
              <w:bottom w:val="nil"/>
              <w:right w:val="nil"/>
            </w:tcBorders>
            <w:shd w:val="clear" w:color="auto" w:fill="auto"/>
            <w:noWrap/>
            <w:vAlign w:val="center"/>
            <w:hideMark/>
          </w:tcPr>
          <w:p w14:paraId="0EA363FD" w14:textId="43EA9FB3" w:rsidR="00EC4603" w:rsidRPr="0040267C" w:rsidRDefault="00EC4603" w:rsidP="00EC4603">
            <w:pPr>
              <w:spacing w:after="0" w:line="240" w:lineRule="auto"/>
              <w:jc w:val="center"/>
              <w:rPr>
                <w:rFonts w:cs="Arial"/>
                <w:color w:val="000000"/>
                <w:sz w:val="16"/>
                <w:szCs w:val="16"/>
              </w:rPr>
            </w:pPr>
            <w:r>
              <w:rPr>
                <w:rFonts w:cs="Arial"/>
                <w:color w:val="000000"/>
                <w:sz w:val="16"/>
                <w:szCs w:val="16"/>
              </w:rPr>
              <w:t>62,4</w:t>
            </w:r>
          </w:p>
        </w:tc>
        <w:tc>
          <w:tcPr>
            <w:tcW w:w="697" w:type="dxa"/>
            <w:vAlign w:val="center"/>
          </w:tcPr>
          <w:p w14:paraId="3ABE057C" w14:textId="308DB8DD" w:rsidR="00EC4603" w:rsidRPr="0040267C" w:rsidRDefault="00EC4603" w:rsidP="00EC4603">
            <w:pPr>
              <w:spacing w:after="0" w:line="240" w:lineRule="auto"/>
              <w:jc w:val="center"/>
              <w:rPr>
                <w:rFonts w:cs="Arial"/>
                <w:color w:val="000000"/>
                <w:sz w:val="16"/>
                <w:szCs w:val="16"/>
              </w:rPr>
            </w:pPr>
            <w:r>
              <w:rPr>
                <w:rFonts w:cs="Arial"/>
                <w:color w:val="000000"/>
                <w:sz w:val="16"/>
                <w:szCs w:val="16"/>
              </w:rPr>
              <w:t>78,2</w:t>
            </w:r>
          </w:p>
        </w:tc>
      </w:tr>
      <w:tr w:rsidR="00EC4603" w:rsidRPr="0040267C" w14:paraId="21FB96F4" w14:textId="42D0E4A6" w:rsidTr="00840644">
        <w:trPr>
          <w:trHeight w:val="300"/>
        </w:trPr>
        <w:tc>
          <w:tcPr>
            <w:tcW w:w="1960" w:type="dxa"/>
            <w:tcBorders>
              <w:top w:val="nil"/>
              <w:left w:val="nil"/>
              <w:bottom w:val="nil"/>
              <w:right w:val="single" w:sz="4" w:space="0" w:color="auto"/>
            </w:tcBorders>
            <w:shd w:val="clear" w:color="auto" w:fill="auto"/>
            <w:noWrap/>
            <w:vAlign w:val="center"/>
            <w:hideMark/>
          </w:tcPr>
          <w:p w14:paraId="796EDFAE" w14:textId="77777777" w:rsidR="00EC4603" w:rsidRPr="0040267C" w:rsidRDefault="00EC4603" w:rsidP="00EC4603">
            <w:pPr>
              <w:spacing w:after="0" w:line="240" w:lineRule="auto"/>
              <w:ind w:firstLineChars="100" w:firstLine="160"/>
              <w:rPr>
                <w:rFonts w:cs="Arial"/>
                <w:color w:val="000000"/>
                <w:sz w:val="16"/>
                <w:szCs w:val="16"/>
              </w:rPr>
            </w:pPr>
            <w:r w:rsidRPr="0040267C">
              <w:rPr>
                <w:rFonts w:cs="Arial"/>
                <w:color w:val="000000"/>
                <w:sz w:val="16"/>
                <w:szCs w:val="16"/>
              </w:rPr>
              <w:t>Moravskoslezský kraj</w:t>
            </w:r>
          </w:p>
        </w:tc>
        <w:tc>
          <w:tcPr>
            <w:tcW w:w="697" w:type="dxa"/>
            <w:tcBorders>
              <w:top w:val="nil"/>
              <w:left w:val="nil"/>
              <w:bottom w:val="nil"/>
              <w:right w:val="nil"/>
            </w:tcBorders>
            <w:shd w:val="clear" w:color="auto" w:fill="auto"/>
            <w:noWrap/>
            <w:vAlign w:val="center"/>
            <w:hideMark/>
          </w:tcPr>
          <w:p w14:paraId="56BCEA41"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28,3</w:t>
            </w:r>
          </w:p>
        </w:tc>
        <w:tc>
          <w:tcPr>
            <w:tcW w:w="697" w:type="dxa"/>
            <w:tcBorders>
              <w:top w:val="nil"/>
              <w:left w:val="nil"/>
              <w:bottom w:val="nil"/>
              <w:right w:val="nil"/>
            </w:tcBorders>
            <w:shd w:val="clear" w:color="auto" w:fill="auto"/>
            <w:noWrap/>
            <w:vAlign w:val="center"/>
            <w:hideMark/>
          </w:tcPr>
          <w:p w14:paraId="2873A21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31,5</w:t>
            </w:r>
          </w:p>
        </w:tc>
        <w:tc>
          <w:tcPr>
            <w:tcW w:w="697" w:type="dxa"/>
            <w:tcBorders>
              <w:top w:val="nil"/>
              <w:left w:val="nil"/>
              <w:bottom w:val="nil"/>
              <w:right w:val="nil"/>
            </w:tcBorders>
            <w:shd w:val="clear" w:color="auto" w:fill="auto"/>
            <w:noWrap/>
            <w:vAlign w:val="center"/>
            <w:hideMark/>
          </w:tcPr>
          <w:p w14:paraId="771D59F0"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30,4</w:t>
            </w:r>
          </w:p>
        </w:tc>
        <w:tc>
          <w:tcPr>
            <w:tcW w:w="697" w:type="dxa"/>
            <w:tcBorders>
              <w:top w:val="nil"/>
              <w:left w:val="nil"/>
              <w:bottom w:val="nil"/>
              <w:right w:val="nil"/>
            </w:tcBorders>
            <w:shd w:val="clear" w:color="auto" w:fill="auto"/>
            <w:noWrap/>
            <w:vAlign w:val="center"/>
            <w:hideMark/>
          </w:tcPr>
          <w:p w14:paraId="3C103E61"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36,0</w:t>
            </w:r>
          </w:p>
        </w:tc>
        <w:tc>
          <w:tcPr>
            <w:tcW w:w="697" w:type="dxa"/>
            <w:tcBorders>
              <w:top w:val="nil"/>
              <w:left w:val="nil"/>
              <w:bottom w:val="nil"/>
              <w:right w:val="nil"/>
            </w:tcBorders>
            <w:shd w:val="clear" w:color="auto" w:fill="auto"/>
            <w:noWrap/>
            <w:vAlign w:val="center"/>
            <w:hideMark/>
          </w:tcPr>
          <w:p w14:paraId="5635E22F"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37,5</w:t>
            </w:r>
          </w:p>
        </w:tc>
        <w:tc>
          <w:tcPr>
            <w:tcW w:w="697" w:type="dxa"/>
            <w:tcBorders>
              <w:top w:val="nil"/>
              <w:left w:val="nil"/>
              <w:bottom w:val="nil"/>
              <w:right w:val="nil"/>
            </w:tcBorders>
            <w:shd w:val="clear" w:color="auto" w:fill="auto"/>
            <w:noWrap/>
            <w:vAlign w:val="center"/>
            <w:hideMark/>
          </w:tcPr>
          <w:p w14:paraId="6C3301D5"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38,4</w:t>
            </w:r>
          </w:p>
        </w:tc>
        <w:tc>
          <w:tcPr>
            <w:tcW w:w="697" w:type="dxa"/>
            <w:tcBorders>
              <w:top w:val="nil"/>
              <w:left w:val="nil"/>
              <w:bottom w:val="nil"/>
              <w:right w:val="nil"/>
            </w:tcBorders>
            <w:shd w:val="clear" w:color="auto" w:fill="auto"/>
            <w:noWrap/>
            <w:vAlign w:val="center"/>
            <w:hideMark/>
          </w:tcPr>
          <w:p w14:paraId="7BDA43A2"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41,4</w:t>
            </w:r>
          </w:p>
        </w:tc>
        <w:tc>
          <w:tcPr>
            <w:tcW w:w="697" w:type="dxa"/>
            <w:tcBorders>
              <w:top w:val="nil"/>
              <w:left w:val="nil"/>
              <w:bottom w:val="nil"/>
              <w:right w:val="nil"/>
            </w:tcBorders>
            <w:shd w:val="clear" w:color="auto" w:fill="auto"/>
            <w:noWrap/>
            <w:vAlign w:val="center"/>
            <w:hideMark/>
          </w:tcPr>
          <w:p w14:paraId="7F619668"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43,1</w:t>
            </w:r>
          </w:p>
        </w:tc>
        <w:tc>
          <w:tcPr>
            <w:tcW w:w="697" w:type="dxa"/>
            <w:tcBorders>
              <w:top w:val="nil"/>
              <w:left w:val="nil"/>
              <w:bottom w:val="nil"/>
              <w:right w:val="nil"/>
            </w:tcBorders>
            <w:shd w:val="clear" w:color="auto" w:fill="auto"/>
            <w:noWrap/>
            <w:vAlign w:val="center"/>
            <w:hideMark/>
          </w:tcPr>
          <w:p w14:paraId="5DD41E06" w14:textId="77777777" w:rsidR="00EC4603" w:rsidRPr="0040267C" w:rsidRDefault="00EC4603" w:rsidP="00EC4603">
            <w:pPr>
              <w:spacing w:after="0" w:line="240" w:lineRule="auto"/>
              <w:jc w:val="center"/>
              <w:rPr>
                <w:rFonts w:cs="Arial"/>
                <w:color w:val="000000"/>
                <w:sz w:val="16"/>
                <w:szCs w:val="16"/>
              </w:rPr>
            </w:pPr>
            <w:r w:rsidRPr="0040267C">
              <w:rPr>
                <w:rFonts w:cs="Arial"/>
                <w:color w:val="000000"/>
                <w:sz w:val="16"/>
                <w:szCs w:val="16"/>
              </w:rPr>
              <w:t>59,7</w:t>
            </w:r>
          </w:p>
        </w:tc>
        <w:tc>
          <w:tcPr>
            <w:tcW w:w="697" w:type="dxa"/>
            <w:tcBorders>
              <w:top w:val="nil"/>
              <w:left w:val="nil"/>
              <w:bottom w:val="nil"/>
              <w:right w:val="nil"/>
            </w:tcBorders>
            <w:shd w:val="clear" w:color="auto" w:fill="auto"/>
            <w:noWrap/>
            <w:vAlign w:val="center"/>
            <w:hideMark/>
          </w:tcPr>
          <w:p w14:paraId="2D90AAF7" w14:textId="0A2C0D21" w:rsidR="00EC4603" w:rsidRPr="0040267C" w:rsidRDefault="00EC4603" w:rsidP="00EC4603">
            <w:pPr>
              <w:spacing w:after="0" w:line="240" w:lineRule="auto"/>
              <w:jc w:val="center"/>
              <w:rPr>
                <w:rFonts w:cs="Arial"/>
                <w:color w:val="000000"/>
                <w:sz w:val="16"/>
                <w:szCs w:val="16"/>
              </w:rPr>
            </w:pPr>
            <w:r>
              <w:rPr>
                <w:rFonts w:cs="Arial"/>
                <w:color w:val="000000"/>
                <w:sz w:val="16"/>
                <w:szCs w:val="16"/>
              </w:rPr>
              <w:t>65,6</w:t>
            </w:r>
          </w:p>
        </w:tc>
        <w:tc>
          <w:tcPr>
            <w:tcW w:w="697" w:type="dxa"/>
            <w:vAlign w:val="center"/>
          </w:tcPr>
          <w:p w14:paraId="62E07CD5" w14:textId="519EBC3E" w:rsidR="00EC4603" w:rsidRPr="0040267C" w:rsidRDefault="00EC4603" w:rsidP="00EC4603">
            <w:pPr>
              <w:spacing w:after="0" w:line="240" w:lineRule="auto"/>
              <w:jc w:val="center"/>
              <w:rPr>
                <w:rFonts w:cs="Arial"/>
                <w:color w:val="000000"/>
                <w:sz w:val="16"/>
                <w:szCs w:val="16"/>
              </w:rPr>
            </w:pPr>
            <w:r>
              <w:rPr>
                <w:rFonts w:cs="Arial"/>
                <w:color w:val="000000"/>
                <w:sz w:val="16"/>
                <w:szCs w:val="16"/>
              </w:rPr>
              <w:t>77,5</w:t>
            </w:r>
          </w:p>
        </w:tc>
      </w:tr>
    </w:tbl>
    <w:p w14:paraId="267D5EE4" w14:textId="77777777" w:rsidR="000C22F4" w:rsidRDefault="000C22F4" w:rsidP="00D31FC0">
      <w:pPr>
        <w:spacing w:before="120" w:after="120" w:line="240" w:lineRule="auto"/>
        <w:jc w:val="both"/>
        <w:rPr>
          <w:rFonts w:cs="Arial"/>
          <w:color w:val="000000"/>
          <w:sz w:val="16"/>
          <w:szCs w:val="16"/>
        </w:rPr>
      </w:pPr>
      <w:r>
        <w:rPr>
          <w:rFonts w:cs="Arial"/>
          <w:color w:val="000000"/>
          <w:sz w:val="16"/>
          <w:szCs w:val="16"/>
        </w:rPr>
        <w:t>Pozn.: Přerušení v časové řadě.</w:t>
      </w:r>
    </w:p>
    <w:p w14:paraId="4BDAE495" w14:textId="19FD539D" w:rsidR="00D31FC0" w:rsidRPr="0040267C" w:rsidRDefault="00D31FC0" w:rsidP="00D31FC0">
      <w:pPr>
        <w:spacing w:before="120" w:after="120" w:line="240" w:lineRule="auto"/>
        <w:jc w:val="both"/>
        <w:rPr>
          <w:rFonts w:cs="Arial"/>
          <w:color w:val="000000"/>
          <w:sz w:val="16"/>
          <w:szCs w:val="16"/>
        </w:rPr>
      </w:pPr>
      <w:r w:rsidRPr="0040267C">
        <w:rPr>
          <w:rFonts w:cs="Arial"/>
          <w:color w:val="000000"/>
          <w:sz w:val="16"/>
          <w:szCs w:val="16"/>
        </w:rPr>
        <w:t>Zdroj: ČSÚ</w:t>
      </w:r>
    </w:p>
    <w:p w14:paraId="27800F15" w14:textId="591BF67A" w:rsidR="00D31FC0" w:rsidRPr="0040267C" w:rsidRDefault="00D31FC0" w:rsidP="00D31FC0">
      <w:pPr>
        <w:spacing w:before="120" w:after="120"/>
        <w:jc w:val="both"/>
      </w:pPr>
      <w:r w:rsidRPr="0040267C">
        <w:t xml:space="preserve">Rozdíly v pracovní neschopnosti lze zkoumat i podle </w:t>
      </w:r>
      <w:r w:rsidRPr="0040267C">
        <w:rPr>
          <w:b/>
        </w:rPr>
        <w:t>velikosti podniku</w:t>
      </w:r>
      <w:r w:rsidRPr="0040267C">
        <w:t xml:space="preserve">. V relativním pojetí při přepočtu na 100 pojištěnců dominovaly </w:t>
      </w:r>
      <w:r w:rsidR="0040267C" w:rsidRPr="0040267C">
        <w:t>střední</w:t>
      </w:r>
      <w:r w:rsidRPr="0040267C">
        <w:t xml:space="preserve"> podnik</w:t>
      </w:r>
      <w:r w:rsidR="0040267C" w:rsidRPr="0040267C">
        <w:t xml:space="preserve">y, které mají </w:t>
      </w:r>
      <w:r w:rsidRPr="0040267C">
        <w:t>50–99 zaměstnanců</w:t>
      </w:r>
      <w:r w:rsidR="0040267C" w:rsidRPr="0040267C">
        <w:t xml:space="preserve"> a </w:t>
      </w:r>
      <w:r w:rsidRPr="0040267C">
        <w:t>100–249 osob. Tyto kategorie během roku 202</w:t>
      </w:r>
      <w:r w:rsidR="0040267C" w:rsidRPr="0040267C">
        <w:t>2</w:t>
      </w:r>
      <w:r w:rsidRPr="0040267C">
        <w:t xml:space="preserve"> zaznamenaly </w:t>
      </w:r>
      <w:r w:rsidR="0040267C" w:rsidRPr="0040267C">
        <w:t>84</w:t>
      </w:r>
      <w:r w:rsidRPr="0040267C">
        <w:t xml:space="preserve">, resp. </w:t>
      </w:r>
      <w:r w:rsidR="0040267C" w:rsidRPr="0040267C">
        <w:t>83</w:t>
      </w:r>
      <w:r w:rsidRPr="0040267C">
        <w:t xml:space="preserve"> případů pracovních neschopností v přepočtu na 100 pojištěnců. Daleko méně případů pracovní neschopnosti vykázaly firmy mající do 50 zaměstnanců, kde na 100 pojištěnců připadlo </w:t>
      </w:r>
      <w:r w:rsidR="0040267C" w:rsidRPr="0040267C">
        <w:t>5</w:t>
      </w:r>
      <w:r w:rsidRPr="0040267C">
        <w:t xml:space="preserve">8 hlášení. A zcela nejméně případů bylo zaznamenáno u OSVČ, a sice </w:t>
      </w:r>
      <w:r w:rsidR="0040267C" w:rsidRPr="0040267C">
        <w:t>19</w:t>
      </w:r>
      <w:r w:rsidRPr="0040267C">
        <w:t xml:space="preserve"> na 100 </w:t>
      </w:r>
      <w:proofErr w:type="spellStart"/>
      <w:r w:rsidRPr="0040267C">
        <w:t>nemocensky</w:t>
      </w:r>
      <w:proofErr w:type="spellEnd"/>
      <w:r w:rsidRPr="0040267C">
        <w:t xml:space="preserve"> pojištěných OSVČ. Zde je nutné mít na paměti, že nemocenské dávky jsou vypláceny až od 15. dne pracovní </w:t>
      </w:r>
      <w:r w:rsidRPr="0040267C">
        <w:lastRenderedPageBreak/>
        <w:t>neschopnosti (do té doby vyplácí náhradu mzdy zaměstnavatel), a proto se OSVČ nevyplatí při krátkodobější nemoci nastupovat do pracovní neschopnosti.</w:t>
      </w:r>
    </w:p>
    <w:p w14:paraId="76CF6221" w14:textId="082D9C66" w:rsidR="00D31FC0" w:rsidRPr="0040267C" w:rsidRDefault="00D31FC0" w:rsidP="00D31FC0">
      <w:pPr>
        <w:spacing w:before="120" w:after="120"/>
        <w:jc w:val="both"/>
      </w:pPr>
      <w:r w:rsidRPr="0040267C">
        <w:t xml:space="preserve">Dalším kritériem, podle kterého je možné hodnotit pracovní neschopnost </w:t>
      </w:r>
      <w:proofErr w:type="spellStart"/>
      <w:r w:rsidRPr="0040267C">
        <w:t>nemocensky</w:t>
      </w:r>
      <w:proofErr w:type="spellEnd"/>
      <w:r w:rsidRPr="0040267C">
        <w:t xml:space="preserve"> pojištěných, je rozdělení na </w:t>
      </w:r>
      <w:r w:rsidRPr="0040267C">
        <w:rPr>
          <w:b/>
        </w:rPr>
        <w:t xml:space="preserve">podniky domácí vs. </w:t>
      </w:r>
      <w:r w:rsidRPr="0040267C">
        <w:t xml:space="preserve">podniky </w:t>
      </w:r>
      <w:r w:rsidRPr="0040267C">
        <w:rPr>
          <w:b/>
        </w:rPr>
        <w:t>pod zahraniční kontrolou</w:t>
      </w:r>
      <w:r w:rsidRPr="0040267C">
        <w:t>. Např. v nefinančních podnicích pod zahraniční kontrolou v roce 202</w:t>
      </w:r>
      <w:r w:rsidR="0040267C" w:rsidRPr="0040267C">
        <w:t>2</w:t>
      </w:r>
      <w:r w:rsidRPr="0040267C">
        <w:t xml:space="preserve"> připadlo na 100 </w:t>
      </w:r>
      <w:proofErr w:type="spellStart"/>
      <w:r w:rsidRPr="0040267C">
        <w:t>nemocensky</w:t>
      </w:r>
      <w:proofErr w:type="spellEnd"/>
      <w:r w:rsidRPr="0040267C">
        <w:t xml:space="preserve"> pojištěných </w:t>
      </w:r>
      <w:r w:rsidR="0040267C" w:rsidRPr="0040267C">
        <w:t>87</w:t>
      </w:r>
      <w:r w:rsidRPr="0040267C">
        <w:t xml:space="preserve"> nahlášených případů v porovnání s </w:t>
      </w:r>
      <w:r w:rsidR="0040267C" w:rsidRPr="0040267C">
        <w:t>67</w:t>
      </w:r>
      <w:r w:rsidRPr="0040267C">
        <w:t> případy v domácích nefinančních podnicích. Pracovní neschopnost zaměstnanců v domácích podnicích však trvala v průměru o 5 dní déle (</w:t>
      </w:r>
      <w:r w:rsidR="0040267C" w:rsidRPr="0040267C">
        <w:t>29</w:t>
      </w:r>
      <w:r w:rsidRPr="0040267C">
        <w:t xml:space="preserve"> dnů) než u podniků pod zahraniční kontrolou (</w:t>
      </w:r>
      <w:r w:rsidR="0040267C" w:rsidRPr="0040267C">
        <w:t>více než 24</w:t>
      </w:r>
      <w:r w:rsidRPr="0040267C">
        <w:t xml:space="preserve"> dnů).</w:t>
      </w:r>
      <w:r w:rsidR="004930CE" w:rsidRPr="0040267C">
        <w:t xml:space="preserve"> Podrobnější údaje za nefinanční podniky viz tabulková příloha – část 7.</w:t>
      </w:r>
      <w:r w:rsidR="00F95E7C" w:rsidRPr="00F95E7C">
        <w:rPr>
          <w:noProof/>
        </w:rPr>
        <w:t xml:space="preserve"> </w:t>
      </w:r>
    </w:p>
    <w:p w14:paraId="0CF49376" w14:textId="4E178FA0" w:rsidR="00D31FC0" w:rsidRPr="005A75BA" w:rsidRDefault="000477A6" w:rsidP="00C42FD6">
      <w:pPr>
        <w:pStyle w:val="Nadpis4"/>
        <w:rPr>
          <w:sz w:val="24"/>
        </w:rPr>
      </w:pPr>
      <w:bookmarkStart w:id="14" w:name="_Toc136412151"/>
      <w:r w:rsidRPr="005A75BA">
        <w:rPr>
          <w:sz w:val="24"/>
        </w:rPr>
        <w:t>4.2.2 Délka trvání dočasné pracovní neschopnosti</w:t>
      </w:r>
      <w:bookmarkEnd w:id="14"/>
    </w:p>
    <w:p w14:paraId="1DC9D8EE" w14:textId="77777777" w:rsidR="00C42829" w:rsidRPr="00B448CC" w:rsidRDefault="00C42829" w:rsidP="005A75BA">
      <w:pPr>
        <w:spacing w:after="120"/>
        <w:jc w:val="both"/>
      </w:pPr>
      <w:r w:rsidRPr="00B448CC">
        <w:t>Pro posouzení vývoje pracovní neschopnosti je důležité nejen zjištění, jak často zaměstnanci do pracovní neschopnosti nastupují, ale i to, jak dlouho v pracovní neschopnosti zůstávají.</w:t>
      </w:r>
    </w:p>
    <w:p w14:paraId="6393EBBD" w14:textId="77777777" w:rsidR="00C42829" w:rsidRPr="00B448CC" w:rsidRDefault="00C42829" w:rsidP="00C42829">
      <w:pPr>
        <w:pStyle w:val="Box1"/>
        <w:spacing w:before="120" w:after="120"/>
        <w:ind w:left="0"/>
        <w:contextualSpacing w:val="0"/>
        <w:jc w:val="both"/>
        <w:rPr>
          <w:b/>
          <w:i/>
        </w:rPr>
      </w:pPr>
      <w:r w:rsidRPr="00B448CC">
        <w:rPr>
          <w:b/>
          <w:i/>
        </w:rPr>
        <w:t>Počet kalendářních dnů pracovní neschopnosti</w:t>
      </w:r>
      <w:r w:rsidRPr="00B448CC">
        <w:rPr>
          <w:i/>
        </w:rPr>
        <w:t xml:space="preserve"> – ukazatel udává celkový počet kalendářních dnů, po které byli v daném období (roce) </w:t>
      </w:r>
      <w:proofErr w:type="spellStart"/>
      <w:r w:rsidRPr="00B448CC">
        <w:rPr>
          <w:i/>
        </w:rPr>
        <w:t>nemocensky</w:t>
      </w:r>
      <w:proofErr w:type="spellEnd"/>
      <w:r w:rsidRPr="00B448CC">
        <w:rPr>
          <w:i/>
        </w:rPr>
        <w:t xml:space="preserve"> pojištění práce neschopni. Počet kalendářních dnů strávených v pracovní neschopnosti je zjišťován na základě hlášení o vzniku a ukončení pracovní neschopnosti. Údaj zahrnuje dny pracovní neschopnosti vč. dnů u těch případů, které vznikly před sledovaným obdobím a v počtu nově hlášených případů dočasné pracovní neschopnosti za toto období zařazeny nejsou. Maximální doba zápočtu je délka sledovaného období (365 resp. 366 dnů) bez ohledu na délku trvání pracovní neschopnosti daného případu. Do počtu kalendářních dnů pracovní neschopnosti patří i pracovní neschopnost vzniklá po zániku pojištění v tzv. ochranné lhůtě sedmi kalendářních dnů.</w:t>
      </w:r>
    </w:p>
    <w:p w14:paraId="3CC7A43A" w14:textId="22752094" w:rsidR="00C42829" w:rsidRPr="00B448CC" w:rsidRDefault="00C42829" w:rsidP="00C42829">
      <w:pPr>
        <w:pStyle w:val="Box1"/>
        <w:ind w:left="0"/>
        <w:jc w:val="both"/>
        <w:rPr>
          <w:i/>
        </w:rPr>
      </w:pPr>
      <w:r w:rsidRPr="00B448CC">
        <w:rPr>
          <w:b/>
          <w:i/>
        </w:rPr>
        <w:t>Průměrná délka trvání pracovní neschopnosti ve dnech</w:t>
      </w:r>
      <w:r w:rsidRPr="00B448CC">
        <w:rPr>
          <w:i/>
        </w:rPr>
        <w:t xml:space="preserve"> – ukazatel vyjadřuje, kolik kalendářních dnů pracovní neschopnosti v průměru připadá na jeden nově hlášený případ pracovní neschopnosti. Nově hlášený případ musí být vzniklý ve sledovaném období, kdežto do dnů pracovní neschopnosti (maximálně v délce sledovaného období, tedy 365 resp. 36</w:t>
      </w:r>
      <w:r w:rsidR="00FC3BC5">
        <w:rPr>
          <w:i/>
        </w:rPr>
        <w:t>6</w:t>
      </w:r>
      <w:r w:rsidRPr="00B448CC">
        <w:rPr>
          <w:i/>
        </w:rPr>
        <w:t xml:space="preserve"> dnů) se započítávají i dny z případů PN, které mohly vzniknout již v předchozím období, ale byly ukončeny či nadále trvají v průběhu sledovaného období.</w:t>
      </w:r>
    </w:p>
    <w:p w14:paraId="51F4147E" w14:textId="42009F2B" w:rsidR="00C42829" w:rsidRPr="00B448CC" w:rsidRDefault="00C42829" w:rsidP="00C42829">
      <w:pPr>
        <w:pStyle w:val="Box1"/>
        <w:ind w:left="0"/>
        <w:jc w:val="both"/>
        <w:rPr>
          <w:i/>
          <w:u w:val="single"/>
        </w:rPr>
      </w:pPr>
      <w:r w:rsidRPr="00B448CC">
        <w:rPr>
          <w:i/>
          <w:u w:val="single"/>
        </w:rPr>
        <w:t>Způsob výpočtu:</w:t>
      </w:r>
    </w:p>
    <w:p w14:paraId="1BC3144C" w14:textId="7FECD503" w:rsidR="00C42829" w:rsidRPr="00B448CC" w:rsidRDefault="00C42829" w:rsidP="00C42829">
      <w:pPr>
        <w:pStyle w:val="Box1"/>
        <w:spacing w:before="120" w:after="120"/>
        <w:ind w:left="0"/>
        <w:contextualSpacing w:val="0"/>
        <w:jc w:val="both"/>
        <w:rPr>
          <w:i/>
        </w:rPr>
      </w:pPr>
      <w:r w:rsidRPr="00B448CC">
        <w:rPr>
          <w:i/>
        </w:rPr>
        <w:t>Průměrná délka trvání pracovní neschopnosti ve dnech = počet kalendářních dnů dočasné pracovní neschopnosti / počet nově hlášených případů dočasné pracovní neschopnosti.</w:t>
      </w:r>
    </w:p>
    <w:p w14:paraId="25EE5804" w14:textId="09EF6101" w:rsidR="00C42829" w:rsidRPr="00B448CC" w:rsidRDefault="00C42829" w:rsidP="00C42829">
      <w:pPr>
        <w:spacing w:after="0"/>
        <w:jc w:val="both"/>
        <w:rPr>
          <w:b/>
        </w:rPr>
      </w:pPr>
      <w:r w:rsidRPr="00B448CC">
        <w:rPr>
          <w:b/>
        </w:rPr>
        <w:t>Tab. 2.4: Kalendářní dny dočasné pracovní neschopnosti podle příčiny a pohlaví, 201</w:t>
      </w:r>
      <w:r w:rsidR="00B448CC" w:rsidRPr="00B448CC">
        <w:rPr>
          <w:b/>
        </w:rPr>
        <w:t>2</w:t>
      </w:r>
      <w:r w:rsidRPr="00B448CC">
        <w:rPr>
          <w:b/>
        </w:rPr>
        <w:t>–202</w:t>
      </w:r>
      <w:r w:rsidR="00B448CC" w:rsidRPr="00B448CC">
        <w:rPr>
          <w:b/>
        </w:rPr>
        <w:t>2</w:t>
      </w:r>
      <w:r w:rsidRPr="00B448CC">
        <w:rPr>
          <w:b/>
        </w:rPr>
        <w:t xml:space="preserve"> (v tis.)</w:t>
      </w:r>
    </w:p>
    <w:tbl>
      <w:tblPr>
        <w:tblW w:w="9591" w:type="dxa"/>
        <w:tblCellMar>
          <w:left w:w="70" w:type="dxa"/>
          <w:right w:w="70" w:type="dxa"/>
        </w:tblCellMar>
        <w:tblLook w:val="04A0" w:firstRow="1" w:lastRow="0" w:firstColumn="1" w:lastColumn="0" w:noHBand="0" w:noVBand="1"/>
      </w:tblPr>
      <w:tblGrid>
        <w:gridCol w:w="735"/>
        <w:gridCol w:w="737"/>
        <w:gridCol w:w="736"/>
        <w:gridCol w:w="736"/>
        <w:gridCol w:w="736"/>
        <w:gridCol w:w="736"/>
        <w:gridCol w:w="736"/>
        <w:gridCol w:w="754"/>
        <w:gridCol w:w="737"/>
        <w:gridCol w:w="737"/>
        <w:gridCol w:w="737"/>
        <w:gridCol w:w="737"/>
        <w:gridCol w:w="737"/>
      </w:tblGrid>
      <w:tr w:rsidR="00C42829" w:rsidRPr="00B448CC" w14:paraId="3DA06F2E" w14:textId="77777777" w:rsidTr="00C42829">
        <w:trPr>
          <w:trHeight w:val="300"/>
        </w:trPr>
        <w:tc>
          <w:tcPr>
            <w:tcW w:w="735" w:type="dxa"/>
            <w:vMerge w:val="restart"/>
            <w:tcBorders>
              <w:top w:val="single" w:sz="4" w:space="0" w:color="auto"/>
              <w:left w:val="nil"/>
              <w:bottom w:val="single" w:sz="4" w:space="0" w:color="auto"/>
              <w:right w:val="single" w:sz="4" w:space="0" w:color="auto"/>
            </w:tcBorders>
            <w:shd w:val="clear" w:color="000000" w:fill="F5DADD"/>
            <w:vAlign w:val="center"/>
            <w:hideMark/>
          </w:tcPr>
          <w:p w14:paraId="43B351F7"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Rok</w:t>
            </w:r>
          </w:p>
        </w:tc>
        <w:tc>
          <w:tcPr>
            <w:tcW w:w="737" w:type="dxa"/>
            <w:vMerge w:val="restart"/>
            <w:tcBorders>
              <w:top w:val="single" w:sz="4" w:space="0" w:color="auto"/>
              <w:left w:val="single" w:sz="4" w:space="0" w:color="auto"/>
              <w:bottom w:val="single" w:sz="4" w:space="0" w:color="auto"/>
              <w:right w:val="single" w:sz="4" w:space="0" w:color="auto"/>
            </w:tcBorders>
            <w:shd w:val="clear" w:color="000000" w:fill="F2DBDB"/>
            <w:vAlign w:val="center"/>
            <w:hideMark/>
          </w:tcPr>
          <w:p w14:paraId="515C59A1" w14:textId="77777777" w:rsidR="00C42829" w:rsidRPr="00B448CC" w:rsidRDefault="00C42829" w:rsidP="00C42829">
            <w:pPr>
              <w:spacing w:after="0" w:line="240" w:lineRule="auto"/>
              <w:jc w:val="center"/>
              <w:rPr>
                <w:rFonts w:cs="Arial"/>
                <w:b/>
                <w:bCs/>
                <w:color w:val="000000"/>
                <w:sz w:val="16"/>
                <w:szCs w:val="16"/>
              </w:rPr>
            </w:pPr>
            <w:r w:rsidRPr="00B448CC">
              <w:rPr>
                <w:rFonts w:cs="Arial"/>
                <w:b/>
                <w:bCs/>
                <w:color w:val="000000"/>
                <w:sz w:val="16"/>
                <w:szCs w:val="16"/>
              </w:rPr>
              <w:t>Celkem</w:t>
            </w:r>
          </w:p>
        </w:tc>
        <w:tc>
          <w:tcPr>
            <w:tcW w:w="1472" w:type="dxa"/>
            <w:gridSpan w:val="2"/>
            <w:tcBorders>
              <w:top w:val="single" w:sz="4" w:space="0" w:color="auto"/>
              <w:left w:val="nil"/>
              <w:bottom w:val="single" w:sz="4" w:space="0" w:color="auto"/>
              <w:right w:val="single" w:sz="4" w:space="0" w:color="auto"/>
            </w:tcBorders>
            <w:shd w:val="clear" w:color="000000" w:fill="F2DBDB"/>
            <w:vAlign w:val="center"/>
            <w:hideMark/>
          </w:tcPr>
          <w:p w14:paraId="5EE75AB7"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podle pohlaví</w:t>
            </w:r>
          </w:p>
        </w:tc>
        <w:tc>
          <w:tcPr>
            <w:tcW w:w="736" w:type="dxa"/>
            <w:vMerge w:val="restart"/>
            <w:tcBorders>
              <w:top w:val="single" w:sz="4" w:space="0" w:color="auto"/>
              <w:left w:val="single" w:sz="4" w:space="0" w:color="auto"/>
              <w:right w:val="single" w:sz="4" w:space="0" w:color="auto"/>
            </w:tcBorders>
            <w:shd w:val="clear" w:color="000000" w:fill="F2DBDB"/>
            <w:vAlign w:val="center"/>
            <w:hideMark/>
          </w:tcPr>
          <w:p w14:paraId="6C900787" w14:textId="18B0FFA5"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Pro nemoc</w:t>
            </w:r>
          </w:p>
        </w:tc>
        <w:tc>
          <w:tcPr>
            <w:tcW w:w="1472" w:type="dxa"/>
            <w:gridSpan w:val="2"/>
            <w:tcBorders>
              <w:top w:val="single" w:sz="4" w:space="0" w:color="auto"/>
              <w:left w:val="nil"/>
              <w:bottom w:val="single" w:sz="4" w:space="0" w:color="auto"/>
              <w:right w:val="single" w:sz="4" w:space="0" w:color="auto"/>
            </w:tcBorders>
            <w:shd w:val="clear" w:color="000000" w:fill="F2DBDB"/>
            <w:vAlign w:val="center"/>
            <w:hideMark/>
          </w:tcPr>
          <w:p w14:paraId="6C7DB935" w14:textId="7BA2D26A"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podle pohlaví</w:t>
            </w:r>
          </w:p>
        </w:tc>
        <w:tc>
          <w:tcPr>
            <w:tcW w:w="754" w:type="dxa"/>
            <w:vMerge w:val="restart"/>
            <w:tcBorders>
              <w:top w:val="single" w:sz="4" w:space="0" w:color="auto"/>
              <w:left w:val="single" w:sz="4" w:space="0" w:color="auto"/>
              <w:right w:val="single" w:sz="4" w:space="0" w:color="auto"/>
            </w:tcBorders>
            <w:shd w:val="clear" w:color="000000" w:fill="F2DBDB"/>
            <w:vAlign w:val="center"/>
            <w:hideMark/>
          </w:tcPr>
          <w:p w14:paraId="2E370723"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Pro pracovní úrazy</w:t>
            </w:r>
          </w:p>
        </w:tc>
        <w:tc>
          <w:tcPr>
            <w:tcW w:w="1474" w:type="dxa"/>
            <w:gridSpan w:val="2"/>
            <w:tcBorders>
              <w:top w:val="single" w:sz="4" w:space="0" w:color="auto"/>
              <w:left w:val="nil"/>
              <w:bottom w:val="single" w:sz="4" w:space="0" w:color="auto"/>
              <w:right w:val="single" w:sz="4" w:space="0" w:color="auto"/>
            </w:tcBorders>
            <w:shd w:val="clear" w:color="000000" w:fill="F2DBDB"/>
            <w:vAlign w:val="center"/>
            <w:hideMark/>
          </w:tcPr>
          <w:p w14:paraId="10199E50"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podle pohlaví</w:t>
            </w:r>
          </w:p>
        </w:tc>
        <w:tc>
          <w:tcPr>
            <w:tcW w:w="737" w:type="dxa"/>
            <w:vMerge w:val="restart"/>
            <w:tcBorders>
              <w:top w:val="single" w:sz="4" w:space="0" w:color="auto"/>
              <w:left w:val="single" w:sz="4" w:space="0" w:color="auto"/>
              <w:right w:val="single" w:sz="4" w:space="0" w:color="auto"/>
            </w:tcBorders>
            <w:shd w:val="clear" w:color="000000" w:fill="F2DBDB"/>
            <w:vAlign w:val="center"/>
            <w:hideMark/>
          </w:tcPr>
          <w:p w14:paraId="41DB1950"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Pro ostatní úrazy</w:t>
            </w:r>
          </w:p>
        </w:tc>
        <w:tc>
          <w:tcPr>
            <w:tcW w:w="1474" w:type="dxa"/>
            <w:gridSpan w:val="2"/>
            <w:tcBorders>
              <w:top w:val="single" w:sz="4" w:space="0" w:color="auto"/>
              <w:left w:val="nil"/>
              <w:bottom w:val="single" w:sz="4" w:space="0" w:color="auto"/>
            </w:tcBorders>
            <w:shd w:val="clear" w:color="000000" w:fill="F2DBDB"/>
            <w:vAlign w:val="center"/>
            <w:hideMark/>
          </w:tcPr>
          <w:p w14:paraId="0D66D906"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podle pohlaví</w:t>
            </w:r>
          </w:p>
        </w:tc>
      </w:tr>
      <w:tr w:rsidR="00C42829" w:rsidRPr="00B448CC" w14:paraId="5612DC1E" w14:textId="77777777" w:rsidTr="00C42829">
        <w:trPr>
          <w:trHeight w:val="300"/>
        </w:trPr>
        <w:tc>
          <w:tcPr>
            <w:tcW w:w="735" w:type="dxa"/>
            <w:vMerge/>
            <w:tcBorders>
              <w:top w:val="single" w:sz="4" w:space="0" w:color="auto"/>
              <w:left w:val="nil"/>
              <w:bottom w:val="single" w:sz="4" w:space="0" w:color="auto"/>
              <w:right w:val="single" w:sz="4" w:space="0" w:color="auto"/>
            </w:tcBorders>
            <w:vAlign w:val="center"/>
            <w:hideMark/>
          </w:tcPr>
          <w:p w14:paraId="4ED613CC" w14:textId="77777777" w:rsidR="00C42829" w:rsidRPr="00B448CC" w:rsidRDefault="00C42829" w:rsidP="00C42829">
            <w:pPr>
              <w:spacing w:after="0" w:line="240" w:lineRule="auto"/>
              <w:rPr>
                <w:rFonts w:cs="Arial"/>
                <w:color w:val="000000"/>
                <w:sz w:val="16"/>
                <w:szCs w:val="16"/>
              </w:rPr>
            </w:pPr>
          </w:p>
        </w:tc>
        <w:tc>
          <w:tcPr>
            <w:tcW w:w="737" w:type="dxa"/>
            <w:vMerge/>
            <w:tcBorders>
              <w:top w:val="single" w:sz="4" w:space="0" w:color="auto"/>
              <w:left w:val="single" w:sz="4" w:space="0" w:color="auto"/>
              <w:bottom w:val="single" w:sz="4" w:space="0" w:color="auto"/>
              <w:right w:val="single" w:sz="4" w:space="0" w:color="auto"/>
            </w:tcBorders>
            <w:vAlign w:val="center"/>
            <w:hideMark/>
          </w:tcPr>
          <w:p w14:paraId="05C25C05" w14:textId="77777777" w:rsidR="00C42829" w:rsidRPr="00B448CC" w:rsidRDefault="00C42829" w:rsidP="00C42829">
            <w:pPr>
              <w:spacing w:after="0" w:line="240" w:lineRule="auto"/>
              <w:rPr>
                <w:rFonts w:cs="Arial"/>
                <w:b/>
                <w:bCs/>
                <w:color w:val="000000"/>
                <w:sz w:val="16"/>
                <w:szCs w:val="16"/>
              </w:rPr>
            </w:pPr>
          </w:p>
        </w:tc>
        <w:tc>
          <w:tcPr>
            <w:tcW w:w="736" w:type="dxa"/>
            <w:tcBorders>
              <w:top w:val="nil"/>
              <w:left w:val="nil"/>
              <w:bottom w:val="single" w:sz="4" w:space="0" w:color="auto"/>
              <w:right w:val="single" w:sz="4" w:space="0" w:color="auto"/>
            </w:tcBorders>
            <w:shd w:val="clear" w:color="000000" w:fill="F2DBDB"/>
            <w:vAlign w:val="center"/>
            <w:hideMark/>
          </w:tcPr>
          <w:p w14:paraId="0C50D64E"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muži</w:t>
            </w:r>
          </w:p>
        </w:tc>
        <w:tc>
          <w:tcPr>
            <w:tcW w:w="736" w:type="dxa"/>
            <w:tcBorders>
              <w:top w:val="nil"/>
              <w:left w:val="nil"/>
              <w:bottom w:val="single" w:sz="4" w:space="0" w:color="auto"/>
              <w:right w:val="single" w:sz="4" w:space="0" w:color="auto"/>
            </w:tcBorders>
            <w:shd w:val="clear" w:color="000000" w:fill="F2DBDB"/>
            <w:vAlign w:val="center"/>
            <w:hideMark/>
          </w:tcPr>
          <w:p w14:paraId="143A2171"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ženy</w:t>
            </w:r>
          </w:p>
        </w:tc>
        <w:tc>
          <w:tcPr>
            <w:tcW w:w="736" w:type="dxa"/>
            <w:vMerge/>
            <w:tcBorders>
              <w:left w:val="single" w:sz="4" w:space="0" w:color="auto"/>
              <w:bottom w:val="single" w:sz="4" w:space="0" w:color="000000"/>
              <w:right w:val="single" w:sz="4" w:space="0" w:color="auto"/>
            </w:tcBorders>
            <w:vAlign w:val="center"/>
            <w:hideMark/>
          </w:tcPr>
          <w:p w14:paraId="15219AE2" w14:textId="77777777" w:rsidR="00C42829" w:rsidRPr="00B448CC" w:rsidRDefault="00C42829" w:rsidP="00C42829">
            <w:pPr>
              <w:spacing w:after="0" w:line="240" w:lineRule="auto"/>
              <w:rPr>
                <w:rFonts w:cs="Arial"/>
                <w:color w:val="000000"/>
                <w:sz w:val="16"/>
                <w:szCs w:val="16"/>
              </w:rPr>
            </w:pPr>
          </w:p>
        </w:tc>
        <w:tc>
          <w:tcPr>
            <w:tcW w:w="736" w:type="dxa"/>
            <w:tcBorders>
              <w:top w:val="nil"/>
              <w:left w:val="nil"/>
              <w:bottom w:val="single" w:sz="4" w:space="0" w:color="auto"/>
              <w:right w:val="single" w:sz="4" w:space="0" w:color="auto"/>
            </w:tcBorders>
            <w:shd w:val="clear" w:color="000000" w:fill="F2DBDB"/>
            <w:vAlign w:val="center"/>
            <w:hideMark/>
          </w:tcPr>
          <w:p w14:paraId="453F97BC"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muži</w:t>
            </w:r>
          </w:p>
        </w:tc>
        <w:tc>
          <w:tcPr>
            <w:tcW w:w="736" w:type="dxa"/>
            <w:tcBorders>
              <w:top w:val="nil"/>
              <w:left w:val="nil"/>
              <w:bottom w:val="single" w:sz="4" w:space="0" w:color="auto"/>
              <w:right w:val="single" w:sz="4" w:space="0" w:color="auto"/>
            </w:tcBorders>
            <w:shd w:val="clear" w:color="000000" w:fill="F2DBDB"/>
            <w:vAlign w:val="center"/>
            <w:hideMark/>
          </w:tcPr>
          <w:p w14:paraId="33ACD3A6"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ženy</w:t>
            </w:r>
          </w:p>
        </w:tc>
        <w:tc>
          <w:tcPr>
            <w:tcW w:w="754" w:type="dxa"/>
            <w:vMerge/>
            <w:tcBorders>
              <w:left w:val="single" w:sz="4" w:space="0" w:color="auto"/>
              <w:bottom w:val="single" w:sz="4" w:space="0" w:color="000000"/>
              <w:right w:val="single" w:sz="4" w:space="0" w:color="auto"/>
            </w:tcBorders>
            <w:vAlign w:val="center"/>
            <w:hideMark/>
          </w:tcPr>
          <w:p w14:paraId="084064AB" w14:textId="77777777" w:rsidR="00C42829" w:rsidRPr="00B448CC" w:rsidRDefault="00C42829" w:rsidP="00C42829">
            <w:pPr>
              <w:spacing w:after="0" w:line="240" w:lineRule="auto"/>
              <w:rPr>
                <w:rFonts w:cs="Arial"/>
                <w:color w:val="000000"/>
                <w:sz w:val="16"/>
                <w:szCs w:val="16"/>
              </w:rPr>
            </w:pPr>
          </w:p>
        </w:tc>
        <w:tc>
          <w:tcPr>
            <w:tcW w:w="737" w:type="dxa"/>
            <w:tcBorders>
              <w:top w:val="nil"/>
              <w:left w:val="nil"/>
              <w:bottom w:val="single" w:sz="4" w:space="0" w:color="auto"/>
              <w:right w:val="single" w:sz="4" w:space="0" w:color="auto"/>
            </w:tcBorders>
            <w:shd w:val="clear" w:color="000000" w:fill="F2DBDB"/>
            <w:vAlign w:val="center"/>
            <w:hideMark/>
          </w:tcPr>
          <w:p w14:paraId="2962B409"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muži</w:t>
            </w:r>
          </w:p>
        </w:tc>
        <w:tc>
          <w:tcPr>
            <w:tcW w:w="737" w:type="dxa"/>
            <w:tcBorders>
              <w:top w:val="nil"/>
              <w:left w:val="nil"/>
              <w:bottom w:val="single" w:sz="4" w:space="0" w:color="auto"/>
              <w:right w:val="single" w:sz="4" w:space="0" w:color="auto"/>
            </w:tcBorders>
            <w:shd w:val="clear" w:color="000000" w:fill="F2DBDB"/>
            <w:vAlign w:val="center"/>
            <w:hideMark/>
          </w:tcPr>
          <w:p w14:paraId="4AA194C9"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ženy</w:t>
            </w:r>
          </w:p>
        </w:tc>
        <w:tc>
          <w:tcPr>
            <w:tcW w:w="737" w:type="dxa"/>
            <w:vMerge/>
            <w:tcBorders>
              <w:left w:val="single" w:sz="4" w:space="0" w:color="auto"/>
              <w:bottom w:val="single" w:sz="4" w:space="0" w:color="000000"/>
              <w:right w:val="single" w:sz="4" w:space="0" w:color="auto"/>
            </w:tcBorders>
            <w:vAlign w:val="center"/>
            <w:hideMark/>
          </w:tcPr>
          <w:p w14:paraId="33D5C2DB" w14:textId="77777777" w:rsidR="00C42829" w:rsidRPr="00B448CC" w:rsidRDefault="00C42829" w:rsidP="00C42829">
            <w:pPr>
              <w:spacing w:after="0" w:line="240" w:lineRule="auto"/>
              <w:rPr>
                <w:rFonts w:cs="Arial"/>
                <w:color w:val="000000"/>
                <w:sz w:val="16"/>
                <w:szCs w:val="16"/>
              </w:rPr>
            </w:pPr>
          </w:p>
        </w:tc>
        <w:tc>
          <w:tcPr>
            <w:tcW w:w="737" w:type="dxa"/>
            <w:tcBorders>
              <w:top w:val="nil"/>
              <w:left w:val="nil"/>
              <w:bottom w:val="single" w:sz="4" w:space="0" w:color="auto"/>
              <w:right w:val="single" w:sz="4" w:space="0" w:color="auto"/>
            </w:tcBorders>
            <w:shd w:val="clear" w:color="000000" w:fill="F2DBDB"/>
            <w:vAlign w:val="center"/>
            <w:hideMark/>
          </w:tcPr>
          <w:p w14:paraId="2AA10B40"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muži</w:t>
            </w:r>
          </w:p>
        </w:tc>
        <w:tc>
          <w:tcPr>
            <w:tcW w:w="737" w:type="dxa"/>
            <w:tcBorders>
              <w:top w:val="nil"/>
              <w:left w:val="nil"/>
              <w:bottom w:val="single" w:sz="4" w:space="0" w:color="auto"/>
              <w:right w:val="nil"/>
            </w:tcBorders>
            <w:shd w:val="clear" w:color="000000" w:fill="F2DBDB"/>
            <w:vAlign w:val="center"/>
            <w:hideMark/>
          </w:tcPr>
          <w:p w14:paraId="7F3958DC"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ženy</w:t>
            </w:r>
          </w:p>
        </w:tc>
      </w:tr>
      <w:tr w:rsidR="00C42829" w:rsidRPr="00B448CC" w14:paraId="55ACE3C9"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1CF86335"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2012</w:t>
            </w:r>
          </w:p>
        </w:tc>
        <w:tc>
          <w:tcPr>
            <w:tcW w:w="737" w:type="dxa"/>
            <w:tcBorders>
              <w:top w:val="nil"/>
              <w:left w:val="nil"/>
              <w:bottom w:val="nil"/>
              <w:right w:val="nil"/>
            </w:tcBorders>
            <w:shd w:val="clear" w:color="auto" w:fill="auto"/>
            <w:vAlign w:val="center"/>
            <w:hideMark/>
          </w:tcPr>
          <w:p w14:paraId="0002993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56 493</w:t>
            </w:r>
          </w:p>
        </w:tc>
        <w:tc>
          <w:tcPr>
            <w:tcW w:w="736" w:type="dxa"/>
            <w:tcBorders>
              <w:top w:val="nil"/>
              <w:left w:val="nil"/>
              <w:bottom w:val="nil"/>
              <w:right w:val="nil"/>
            </w:tcBorders>
            <w:shd w:val="clear" w:color="auto" w:fill="auto"/>
            <w:vAlign w:val="center"/>
            <w:hideMark/>
          </w:tcPr>
          <w:p w14:paraId="7EBB6B0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26 190</w:t>
            </w:r>
          </w:p>
        </w:tc>
        <w:tc>
          <w:tcPr>
            <w:tcW w:w="736" w:type="dxa"/>
            <w:tcBorders>
              <w:top w:val="nil"/>
              <w:left w:val="nil"/>
              <w:bottom w:val="nil"/>
              <w:right w:val="nil"/>
            </w:tcBorders>
            <w:shd w:val="clear" w:color="auto" w:fill="auto"/>
            <w:vAlign w:val="center"/>
            <w:hideMark/>
          </w:tcPr>
          <w:p w14:paraId="7704D16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30 303</w:t>
            </w:r>
          </w:p>
        </w:tc>
        <w:tc>
          <w:tcPr>
            <w:tcW w:w="736" w:type="dxa"/>
            <w:tcBorders>
              <w:top w:val="nil"/>
              <w:left w:val="single" w:sz="4" w:space="0" w:color="auto"/>
              <w:bottom w:val="nil"/>
              <w:right w:val="nil"/>
            </w:tcBorders>
            <w:shd w:val="clear" w:color="auto" w:fill="auto"/>
            <w:vAlign w:val="center"/>
            <w:hideMark/>
          </w:tcPr>
          <w:p w14:paraId="0EE2C539" w14:textId="11634A85"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47 683</w:t>
            </w:r>
          </w:p>
        </w:tc>
        <w:tc>
          <w:tcPr>
            <w:tcW w:w="736" w:type="dxa"/>
            <w:tcBorders>
              <w:top w:val="nil"/>
              <w:left w:val="nil"/>
              <w:bottom w:val="nil"/>
              <w:right w:val="nil"/>
            </w:tcBorders>
            <w:shd w:val="clear" w:color="auto" w:fill="auto"/>
            <w:vAlign w:val="center"/>
            <w:hideMark/>
          </w:tcPr>
          <w:p w14:paraId="2CB4DCF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20 344</w:t>
            </w:r>
          </w:p>
        </w:tc>
        <w:tc>
          <w:tcPr>
            <w:tcW w:w="736" w:type="dxa"/>
            <w:tcBorders>
              <w:top w:val="nil"/>
              <w:left w:val="nil"/>
              <w:bottom w:val="nil"/>
              <w:right w:val="single" w:sz="4" w:space="0" w:color="auto"/>
            </w:tcBorders>
            <w:shd w:val="clear" w:color="auto" w:fill="auto"/>
            <w:vAlign w:val="center"/>
            <w:hideMark/>
          </w:tcPr>
          <w:p w14:paraId="318DF7F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27 340</w:t>
            </w:r>
          </w:p>
        </w:tc>
        <w:tc>
          <w:tcPr>
            <w:tcW w:w="754" w:type="dxa"/>
            <w:tcBorders>
              <w:top w:val="nil"/>
              <w:left w:val="nil"/>
              <w:bottom w:val="nil"/>
              <w:right w:val="nil"/>
            </w:tcBorders>
            <w:shd w:val="clear" w:color="auto" w:fill="auto"/>
            <w:vAlign w:val="center"/>
            <w:hideMark/>
          </w:tcPr>
          <w:p w14:paraId="2E6E07A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2 423</w:t>
            </w:r>
          </w:p>
        </w:tc>
        <w:tc>
          <w:tcPr>
            <w:tcW w:w="737" w:type="dxa"/>
            <w:tcBorders>
              <w:top w:val="nil"/>
              <w:left w:val="nil"/>
              <w:bottom w:val="nil"/>
              <w:right w:val="nil"/>
            </w:tcBorders>
            <w:shd w:val="clear" w:color="auto" w:fill="auto"/>
            <w:vAlign w:val="center"/>
            <w:hideMark/>
          </w:tcPr>
          <w:p w14:paraId="4E28A4D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1 738</w:t>
            </w:r>
          </w:p>
        </w:tc>
        <w:tc>
          <w:tcPr>
            <w:tcW w:w="737" w:type="dxa"/>
            <w:tcBorders>
              <w:top w:val="nil"/>
              <w:left w:val="nil"/>
              <w:bottom w:val="nil"/>
              <w:right w:val="single" w:sz="4" w:space="0" w:color="auto"/>
            </w:tcBorders>
            <w:shd w:val="clear" w:color="auto" w:fill="auto"/>
            <w:vAlign w:val="center"/>
            <w:hideMark/>
          </w:tcPr>
          <w:p w14:paraId="084828F8"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686</w:t>
            </w:r>
          </w:p>
        </w:tc>
        <w:tc>
          <w:tcPr>
            <w:tcW w:w="737" w:type="dxa"/>
            <w:tcBorders>
              <w:top w:val="nil"/>
              <w:left w:val="nil"/>
              <w:bottom w:val="nil"/>
              <w:right w:val="nil"/>
            </w:tcBorders>
            <w:shd w:val="clear" w:color="auto" w:fill="auto"/>
            <w:vAlign w:val="center"/>
            <w:hideMark/>
          </w:tcPr>
          <w:p w14:paraId="53585E4D"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6 386</w:t>
            </w:r>
          </w:p>
        </w:tc>
        <w:tc>
          <w:tcPr>
            <w:tcW w:w="737" w:type="dxa"/>
            <w:tcBorders>
              <w:top w:val="nil"/>
              <w:left w:val="nil"/>
              <w:bottom w:val="nil"/>
              <w:right w:val="nil"/>
            </w:tcBorders>
            <w:shd w:val="clear" w:color="auto" w:fill="auto"/>
            <w:vAlign w:val="center"/>
            <w:hideMark/>
          </w:tcPr>
          <w:p w14:paraId="0026904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4 109</w:t>
            </w:r>
          </w:p>
        </w:tc>
        <w:tc>
          <w:tcPr>
            <w:tcW w:w="737" w:type="dxa"/>
            <w:tcBorders>
              <w:top w:val="nil"/>
              <w:left w:val="nil"/>
              <w:bottom w:val="nil"/>
              <w:right w:val="nil"/>
            </w:tcBorders>
            <w:shd w:val="clear" w:color="auto" w:fill="auto"/>
            <w:vAlign w:val="center"/>
            <w:hideMark/>
          </w:tcPr>
          <w:p w14:paraId="6278F71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2 278</w:t>
            </w:r>
          </w:p>
        </w:tc>
      </w:tr>
      <w:tr w:rsidR="00C42829" w:rsidRPr="00B448CC" w14:paraId="52E13860"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64AB6C7C"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2013</w:t>
            </w:r>
          </w:p>
        </w:tc>
        <w:tc>
          <w:tcPr>
            <w:tcW w:w="737" w:type="dxa"/>
            <w:tcBorders>
              <w:top w:val="nil"/>
              <w:left w:val="nil"/>
              <w:bottom w:val="nil"/>
              <w:right w:val="nil"/>
            </w:tcBorders>
            <w:shd w:val="clear" w:color="auto" w:fill="auto"/>
            <w:vAlign w:val="center"/>
            <w:hideMark/>
          </w:tcPr>
          <w:p w14:paraId="1F6DC26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58 587</w:t>
            </w:r>
          </w:p>
        </w:tc>
        <w:tc>
          <w:tcPr>
            <w:tcW w:w="736" w:type="dxa"/>
            <w:tcBorders>
              <w:top w:val="nil"/>
              <w:left w:val="nil"/>
              <w:bottom w:val="nil"/>
              <w:right w:val="nil"/>
            </w:tcBorders>
            <w:shd w:val="clear" w:color="auto" w:fill="auto"/>
            <w:vAlign w:val="center"/>
            <w:hideMark/>
          </w:tcPr>
          <w:p w14:paraId="50C82F8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27 024</w:t>
            </w:r>
          </w:p>
        </w:tc>
        <w:tc>
          <w:tcPr>
            <w:tcW w:w="736" w:type="dxa"/>
            <w:tcBorders>
              <w:top w:val="nil"/>
              <w:left w:val="nil"/>
              <w:bottom w:val="nil"/>
              <w:right w:val="nil"/>
            </w:tcBorders>
            <w:shd w:val="clear" w:color="auto" w:fill="auto"/>
            <w:vAlign w:val="center"/>
            <w:hideMark/>
          </w:tcPr>
          <w:p w14:paraId="2AD431C6"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31 563</w:t>
            </w:r>
          </w:p>
        </w:tc>
        <w:tc>
          <w:tcPr>
            <w:tcW w:w="736" w:type="dxa"/>
            <w:tcBorders>
              <w:top w:val="nil"/>
              <w:left w:val="single" w:sz="4" w:space="0" w:color="auto"/>
              <w:bottom w:val="nil"/>
              <w:right w:val="nil"/>
            </w:tcBorders>
            <w:shd w:val="clear" w:color="auto" w:fill="auto"/>
            <w:vAlign w:val="center"/>
            <w:hideMark/>
          </w:tcPr>
          <w:p w14:paraId="298649B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49 582</w:t>
            </w:r>
          </w:p>
        </w:tc>
        <w:tc>
          <w:tcPr>
            <w:tcW w:w="736" w:type="dxa"/>
            <w:tcBorders>
              <w:top w:val="nil"/>
              <w:left w:val="nil"/>
              <w:bottom w:val="nil"/>
              <w:right w:val="nil"/>
            </w:tcBorders>
            <w:shd w:val="clear" w:color="auto" w:fill="auto"/>
            <w:vAlign w:val="center"/>
            <w:hideMark/>
          </w:tcPr>
          <w:p w14:paraId="1FC650E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21 147</w:t>
            </w:r>
          </w:p>
        </w:tc>
        <w:tc>
          <w:tcPr>
            <w:tcW w:w="736" w:type="dxa"/>
            <w:tcBorders>
              <w:top w:val="nil"/>
              <w:left w:val="nil"/>
              <w:bottom w:val="nil"/>
              <w:right w:val="single" w:sz="4" w:space="0" w:color="auto"/>
            </w:tcBorders>
            <w:shd w:val="clear" w:color="auto" w:fill="auto"/>
            <w:vAlign w:val="center"/>
            <w:hideMark/>
          </w:tcPr>
          <w:p w14:paraId="1619EDC8"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28 435</w:t>
            </w:r>
          </w:p>
        </w:tc>
        <w:tc>
          <w:tcPr>
            <w:tcW w:w="754" w:type="dxa"/>
            <w:tcBorders>
              <w:top w:val="nil"/>
              <w:left w:val="nil"/>
              <w:bottom w:val="nil"/>
              <w:right w:val="nil"/>
            </w:tcBorders>
            <w:shd w:val="clear" w:color="auto" w:fill="auto"/>
            <w:vAlign w:val="center"/>
            <w:hideMark/>
          </w:tcPr>
          <w:p w14:paraId="7BC3D8E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2 392</w:t>
            </w:r>
          </w:p>
        </w:tc>
        <w:tc>
          <w:tcPr>
            <w:tcW w:w="737" w:type="dxa"/>
            <w:tcBorders>
              <w:top w:val="nil"/>
              <w:left w:val="nil"/>
              <w:bottom w:val="nil"/>
              <w:right w:val="nil"/>
            </w:tcBorders>
            <w:shd w:val="clear" w:color="auto" w:fill="auto"/>
            <w:vAlign w:val="center"/>
            <w:hideMark/>
          </w:tcPr>
          <w:p w14:paraId="236558E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1 689</w:t>
            </w:r>
          </w:p>
        </w:tc>
        <w:tc>
          <w:tcPr>
            <w:tcW w:w="737" w:type="dxa"/>
            <w:tcBorders>
              <w:top w:val="nil"/>
              <w:left w:val="nil"/>
              <w:bottom w:val="nil"/>
              <w:right w:val="single" w:sz="4" w:space="0" w:color="auto"/>
            </w:tcBorders>
            <w:shd w:val="clear" w:color="auto" w:fill="auto"/>
            <w:vAlign w:val="center"/>
            <w:hideMark/>
          </w:tcPr>
          <w:p w14:paraId="020FA1D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702</w:t>
            </w:r>
          </w:p>
        </w:tc>
        <w:tc>
          <w:tcPr>
            <w:tcW w:w="737" w:type="dxa"/>
            <w:tcBorders>
              <w:top w:val="nil"/>
              <w:left w:val="nil"/>
              <w:bottom w:val="nil"/>
              <w:right w:val="nil"/>
            </w:tcBorders>
            <w:shd w:val="clear" w:color="auto" w:fill="auto"/>
            <w:vAlign w:val="center"/>
            <w:hideMark/>
          </w:tcPr>
          <w:p w14:paraId="2CC11A8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6 613</w:t>
            </w:r>
          </w:p>
        </w:tc>
        <w:tc>
          <w:tcPr>
            <w:tcW w:w="737" w:type="dxa"/>
            <w:tcBorders>
              <w:top w:val="nil"/>
              <w:left w:val="nil"/>
              <w:bottom w:val="nil"/>
              <w:right w:val="nil"/>
            </w:tcBorders>
            <w:shd w:val="clear" w:color="auto" w:fill="auto"/>
            <w:vAlign w:val="center"/>
            <w:hideMark/>
          </w:tcPr>
          <w:p w14:paraId="0723DAA8"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4 188</w:t>
            </w:r>
          </w:p>
        </w:tc>
        <w:tc>
          <w:tcPr>
            <w:tcW w:w="737" w:type="dxa"/>
            <w:tcBorders>
              <w:top w:val="nil"/>
              <w:left w:val="nil"/>
              <w:bottom w:val="nil"/>
              <w:right w:val="nil"/>
            </w:tcBorders>
            <w:shd w:val="clear" w:color="auto" w:fill="auto"/>
            <w:vAlign w:val="center"/>
            <w:hideMark/>
          </w:tcPr>
          <w:p w14:paraId="0588243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2 425</w:t>
            </w:r>
          </w:p>
        </w:tc>
      </w:tr>
      <w:tr w:rsidR="00C42829" w:rsidRPr="00B448CC" w14:paraId="6E191277"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253CAD25"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2014</w:t>
            </w:r>
          </w:p>
        </w:tc>
        <w:tc>
          <w:tcPr>
            <w:tcW w:w="737" w:type="dxa"/>
            <w:tcBorders>
              <w:top w:val="nil"/>
              <w:left w:val="nil"/>
              <w:bottom w:val="nil"/>
              <w:right w:val="nil"/>
            </w:tcBorders>
            <w:shd w:val="clear" w:color="auto" w:fill="auto"/>
            <w:vAlign w:val="center"/>
            <w:hideMark/>
          </w:tcPr>
          <w:p w14:paraId="23CB17F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60 235</w:t>
            </w:r>
          </w:p>
        </w:tc>
        <w:tc>
          <w:tcPr>
            <w:tcW w:w="736" w:type="dxa"/>
            <w:tcBorders>
              <w:top w:val="nil"/>
              <w:left w:val="nil"/>
              <w:bottom w:val="nil"/>
              <w:right w:val="nil"/>
            </w:tcBorders>
            <w:shd w:val="clear" w:color="auto" w:fill="auto"/>
            <w:vAlign w:val="center"/>
            <w:hideMark/>
          </w:tcPr>
          <w:p w14:paraId="416443E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27 429</w:t>
            </w:r>
          </w:p>
        </w:tc>
        <w:tc>
          <w:tcPr>
            <w:tcW w:w="736" w:type="dxa"/>
            <w:tcBorders>
              <w:top w:val="nil"/>
              <w:left w:val="nil"/>
              <w:bottom w:val="nil"/>
              <w:right w:val="nil"/>
            </w:tcBorders>
            <w:shd w:val="clear" w:color="auto" w:fill="auto"/>
            <w:vAlign w:val="center"/>
            <w:hideMark/>
          </w:tcPr>
          <w:p w14:paraId="3E8E3D4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32 806</w:t>
            </w:r>
          </w:p>
        </w:tc>
        <w:tc>
          <w:tcPr>
            <w:tcW w:w="736" w:type="dxa"/>
            <w:tcBorders>
              <w:top w:val="nil"/>
              <w:left w:val="single" w:sz="4" w:space="0" w:color="auto"/>
              <w:bottom w:val="nil"/>
              <w:right w:val="nil"/>
            </w:tcBorders>
            <w:shd w:val="clear" w:color="auto" w:fill="auto"/>
            <w:vAlign w:val="center"/>
            <w:hideMark/>
          </w:tcPr>
          <w:p w14:paraId="71D19B6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51 093</w:t>
            </w:r>
          </w:p>
        </w:tc>
        <w:tc>
          <w:tcPr>
            <w:tcW w:w="736" w:type="dxa"/>
            <w:tcBorders>
              <w:top w:val="nil"/>
              <w:left w:val="nil"/>
              <w:bottom w:val="nil"/>
              <w:right w:val="nil"/>
            </w:tcBorders>
            <w:shd w:val="clear" w:color="auto" w:fill="auto"/>
            <w:vAlign w:val="center"/>
            <w:hideMark/>
          </w:tcPr>
          <w:p w14:paraId="114339ED" w14:textId="6465BF10"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21 441</w:t>
            </w:r>
          </w:p>
        </w:tc>
        <w:tc>
          <w:tcPr>
            <w:tcW w:w="736" w:type="dxa"/>
            <w:tcBorders>
              <w:top w:val="nil"/>
              <w:left w:val="nil"/>
              <w:bottom w:val="nil"/>
              <w:right w:val="single" w:sz="4" w:space="0" w:color="auto"/>
            </w:tcBorders>
            <w:shd w:val="clear" w:color="auto" w:fill="auto"/>
            <w:vAlign w:val="center"/>
            <w:hideMark/>
          </w:tcPr>
          <w:p w14:paraId="5B11F078"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29 652</w:t>
            </w:r>
          </w:p>
        </w:tc>
        <w:tc>
          <w:tcPr>
            <w:tcW w:w="754" w:type="dxa"/>
            <w:tcBorders>
              <w:top w:val="nil"/>
              <w:left w:val="nil"/>
              <w:bottom w:val="nil"/>
              <w:right w:val="nil"/>
            </w:tcBorders>
            <w:shd w:val="clear" w:color="auto" w:fill="auto"/>
            <w:vAlign w:val="center"/>
            <w:hideMark/>
          </w:tcPr>
          <w:p w14:paraId="5A430E5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2 447</w:t>
            </w:r>
          </w:p>
        </w:tc>
        <w:tc>
          <w:tcPr>
            <w:tcW w:w="737" w:type="dxa"/>
            <w:tcBorders>
              <w:top w:val="nil"/>
              <w:left w:val="nil"/>
              <w:bottom w:val="nil"/>
              <w:right w:val="nil"/>
            </w:tcBorders>
            <w:shd w:val="clear" w:color="auto" w:fill="auto"/>
            <w:vAlign w:val="center"/>
            <w:hideMark/>
          </w:tcPr>
          <w:p w14:paraId="598A559B"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1 723</w:t>
            </w:r>
          </w:p>
        </w:tc>
        <w:tc>
          <w:tcPr>
            <w:tcW w:w="737" w:type="dxa"/>
            <w:tcBorders>
              <w:top w:val="nil"/>
              <w:left w:val="nil"/>
              <w:bottom w:val="nil"/>
              <w:right w:val="single" w:sz="4" w:space="0" w:color="auto"/>
            </w:tcBorders>
            <w:shd w:val="clear" w:color="auto" w:fill="auto"/>
            <w:vAlign w:val="center"/>
            <w:hideMark/>
          </w:tcPr>
          <w:p w14:paraId="2B02FD0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724</w:t>
            </w:r>
          </w:p>
        </w:tc>
        <w:tc>
          <w:tcPr>
            <w:tcW w:w="737" w:type="dxa"/>
            <w:tcBorders>
              <w:top w:val="nil"/>
              <w:left w:val="nil"/>
              <w:bottom w:val="nil"/>
              <w:right w:val="nil"/>
            </w:tcBorders>
            <w:shd w:val="clear" w:color="auto" w:fill="auto"/>
            <w:vAlign w:val="center"/>
            <w:hideMark/>
          </w:tcPr>
          <w:p w14:paraId="2CB156E6"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6 695</w:t>
            </w:r>
          </w:p>
        </w:tc>
        <w:tc>
          <w:tcPr>
            <w:tcW w:w="737" w:type="dxa"/>
            <w:tcBorders>
              <w:top w:val="nil"/>
              <w:left w:val="nil"/>
              <w:bottom w:val="nil"/>
              <w:right w:val="nil"/>
            </w:tcBorders>
            <w:shd w:val="clear" w:color="auto" w:fill="auto"/>
            <w:vAlign w:val="center"/>
            <w:hideMark/>
          </w:tcPr>
          <w:p w14:paraId="2A5F843B"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4 265</w:t>
            </w:r>
          </w:p>
        </w:tc>
        <w:tc>
          <w:tcPr>
            <w:tcW w:w="737" w:type="dxa"/>
            <w:tcBorders>
              <w:top w:val="nil"/>
              <w:left w:val="nil"/>
              <w:bottom w:val="nil"/>
              <w:right w:val="nil"/>
            </w:tcBorders>
            <w:shd w:val="clear" w:color="auto" w:fill="auto"/>
            <w:vAlign w:val="center"/>
            <w:hideMark/>
          </w:tcPr>
          <w:p w14:paraId="2D609AA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2 431</w:t>
            </w:r>
          </w:p>
        </w:tc>
      </w:tr>
      <w:tr w:rsidR="00C42829" w:rsidRPr="00B448CC" w14:paraId="46BAA473"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52E6425C"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2015</w:t>
            </w:r>
          </w:p>
        </w:tc>
        <w:tc>
          <w:tcPr>
            <w:tcW w:w="737" w:type="dxa"/>
            <w:tcBorders>
              <w:top w:val="nil"/>
              <w:left w:val="nil"/>
              <w:bottom w:val="nil"/>
              <w:right w:val="nil"/>
            </w:tcBorders>
            <w:shd w:val="clear" w:color="auto" w:fill="auto"/>
            <w:vAlign w:val="center"/>
            <w:hideMark/>
          </w:tcPr>
          <w:p w14:paraId="668CA93F"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66 817</w:t>
            </w:r>
          </w:p>
        </w:tc>
        <w:tc>
          <w:tcPr>
            <w:tcW w:w="736" w:type="dxa"/>
            <w:tcBorders>
              <w:top w:val="nil"/>
              <w:left w:val="nil"/>
              <w:bottom w:val="nil"/>
              <w:right w:val="nil"/>
            </w:tcBorders>
            <w:shd w:val="clear" w:color="auto" w:fill="auto"/>
            <w:vAlign w:val="center"/>
            <w:hideMark/>
          </w:tcPr>
          <w:p w14:paraId="3D45D05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30 473</w:t>
            </w:r>
          </w:p>
        </w:tc>
        <w:tc>
          <w:tcPr>
            <w:tcW w:w="736" w:type="dxa"/>
            <w:tcBorders>
              <w:top w:val="nil"/>
              <w:left w:val="nil"/>
              <w:bottom w:val="nil"/>
              <w:right w:val="nil"/>
            </w:tcBorders>
            <w:shd w:val="clear" w:color="auto" w:fill="auto"/>
            <w:vAlign w:val="center"/>
            <w:hideMark/>
          </w:tcPr>
          <w:p w14:paraId="3A55ABF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36 345</w:t>
            </w:r>
          </w:p>
        </w:tc>
        <w:tc>
          <w:tcPr>
            <w:tcW w:w="736" w:type="dxa"/>
            <w:tcBorders>
              <w:top w:val="nil"/>
              <w:left w:val="single" w:sz="4" w:space="0" w:color="auto"/>
              <w:bottom w:val="nil"/>
              <w:right w:val="nil"/>
            </w:tcBorders>
            <w:shd w:val="clear" w:color="auto" w:fill="auto"/>
            <w:vAlign w:val="center"/>
            <w:hideMark/>
          </w:tcPr>
          <w:p w14:paraId="03B3C65B"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57 013</w:t>
            </w:r>
          </w:p>
        </w:tc>
        <w:tc>
          <w:tcPr>
            <w:tcW w:w="736" w:type="dxa"/>
            <w:tcBorders>
              <w:top w:val="nil"/>
              <w:left w:val="nil"/>
              <w:bottom w:val="nil"/>
              <w:right w:val="nil"/>
            </w:tcBorders>
            <w:shd w:val="clear" w:color="auto" w:fill="auto"/>
            <w:vAlign w:val="center"/>
            <w:hideMark/>
          </w:tcPr>
          <w:p w14:paraId="22CD427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24 152</w:t>
            </w:r>
          </w:p>
        </w:tc>
        <w:tc>
          <w:tcPr>
            <w:tcW w:w="736" w:type="dxa"/>
            <w:tcBorders>
              <w:top w:val="nil"/>
              <w:left w:val="nil"/>
              <w:bottom w:val="nil"/>
              <w:right w:val="single" w:sz="4" w:space="0" w:color="auto"/>
            </w:tcBorders>
            <w:shd w:val="clear" w:color="auto" w:fill="auto"/>
            <w:vAlign w:val="center"/>
            <w:hideMark/>
          </w:tcPr>
          <w:p w14:paraId="377A911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32 861</w:t>
            </w:r>
          </w:p>
        </w:tc>
        <w:tc>
          <w:tcPr>
            <w:tcW w:w="754" w:type="dxa"/>
            <w:tcBorders>
              <w:top w:val="nil"/>
              <w:left w:val="nil"/>
              <w:bottom w:val="nil"/>
              <w:right w:val="nil"/>
            </w:tcBorders>
            <w:shd w:val="clear" w:color="auto" w:fill="auto"/>
            <w:vAlign w:val="center"/>
            <w:hideMark/>
          </w:tcPr>
          <w:p w14:paraId="741BEC8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2 569</w:t>
            </w:r>
          </w:p>
        </w:tc>
        <w:tc>
          <w:tcPr>
            <w:tcW w:w="737" w:type="dxa"/>
            <w:tcBorders>
              <w:top w:val="nil"/>
              <w:left w:val="nil"/>
              <w:bottom w:val="nil"/>
              <w:right w:val="nil"/>
            </w:tcBorders>
            <w:shd w:val="clear" w:color="auto" w:fill="auto"/>
            <w:vAlign w:val="center"/>
            <w:hideMark/>
          </w:tcPr>
          <w:p w14:paraId="6E4CD49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1 775</w:t>
            </w:r>
          </w:p>
        </w:tc>
        <w:tc>
          <w:tcPr>
            <w:tcW w:w="737" w:type="dxa"/>
            <w:tcBorders>
              <w:top w:val="nil"/>
              <w:left w:val="nil"/>
              <w:bottom w:val="nil"/>
              <w:right w:val="single" w:sz="4" w:space="0" w:color="auto"/>
            </w:tcBorders>
            <w:shd w:val="clear" w:color="auto" w:fill="auto"/>
            <w:vAlign w:val="center"/>
            <w:hideMark/>
          </w:tcPr>
          <w:p w14:paraId="1484D33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794</w:t>
            </w:r>
          </w:p>
        </w:tc>
        <w:tc>
          <w:tcPr>
            <w:tcW w:w="737" w:type="dxa"/>
            <w:tcBorders>
              <w:top w:val="nil"/>
              <w:left w:val="nil"/>
              <w:bottom w:val="nil"/>
              <w:right w:val="nil"/>
            </w:tcBorders>
            <w:shd w:val="clear" w:color="auto" w:fill="auto"/>
            <w:vAlign w:val="center"/>
            <w:hideMark/>
          </w:tcPr>
          <w:p w14:paraId="46A7B288"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7 236</w:t>
            </w:r>
          </w:p>
        </w:tc>
        <w:tc>
          <w:tcPr>
            <w:tcW w:w="737" w:type="dxa"/>
            <w:tcBorders>
              <w:top w:val="nil"/>
              <w:left w:val="nil"/>
              <w:bottom w:val="nil"/>
              <w:right w:val="nil"/>
            </w:tcBorders>
            <w:shd w:val="clear" w:color="auto" w:fill="auto"/>
            <w:vAlign w:val="center"/>
            <w:hideMark/>
          </w:tcPr>
          <w:p w14:paraId="2A78E52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4 546</w:t>
            </w:r>
          </w:p>
        </w:tc>
        <w:tc>
          <w:tcPr>
            <w:tcW w:w="737" w:type="dxa"/>
            <w:tcBorders>
              <w:top w:val="nil"/>
              <w:left w:val="nil"/>
              <w:bottom w:val="nil"/>
              <w:right w:val="nil"/>
            </w:tcBorders>
            <w:shd w:val="clear" w:color="auto" w:fill="auto"/>
            <w:vAlign w:val="center"/>
            <w:hideMark/>
          </w:tcPr>
          <w:p w14:paraId="7AFC93AF"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2 689</w:t>
            </w:r>
          </w:p>
        </w:tc>
      </w:tr>
      <w:tr w:rsidR="00C42829" w:rsidRPr="00B448CC" w14:paraId="4DD211C5"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01439DA2"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2016</w:t>
            </w:r>
          </w:p>
        </w:tc>
        <w:tc>
          <w:tcPr>
            <w:tcW w:w="737" w:type="dxa"/>
            <w:tcBorders>
              <w:top w:val="nil"/>
              <w:left w:val="nil"/>
              <w:bottom w:val="nil"/>
              <w:right w:val="nil"/>
            </w:tcBorders>
            <w:shd w:val="clear" w:color="auto" w:fill="auto"/>
            <w:vAlign w:val="center"/>
            <w:hideMark/>
          </w:tcPr>
          <w:p w14:paraId="1A02F8C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70 252</w:t>
            </w:r>
          </w:p>
        </w:tc>
        <w:tc>
          <w:tcPr>
            <w:tcW w:w="736" w:type="dxa"/>
            <w:tcBorders>
              <w:top w:val="nil"/>
              <w:left w:val="nil"/>
              <w:bottom w:val="nil"/>
              <w:right w:val="nil"/>
            </w:tcBorders>
            <w:shd w:val="clear" w:color="auto" w:fill="auto"/>
            <w:vAlign w:val="center"/>
            <w:hideMark/>
          </w:tcPr>
          <w:p w14:paraId="7F0E316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31 874</w:t>
            </w:r>
          </w:p>
        </w:tc>
        <w:tc>
          <w:tcPr>
            <w:tcW w:w="736" w:type="dxa"/>
            <w:tcBorders>
              <w:top w:val="nil"/>
              <w:left w:val="nil"/>
              <w:bottom w:val="nil"/>
              <w:right w:val="nil"/>
            </w:tcBorders>
            <w:shd w:val="clear" w:color="auto" w:fill="auto"/>
            <w:vAlign w:val="center"/>
            <w:hideMark/>
          </w:tcPr>
          <w:p w14:paraId="5E8AE6B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38 378</w:t>
            </w:r>
          </w:p>
        </w:tc>
        <w:tc>
          <w:tcPr>
            <w:tcW w:w="736" w:type="dxa"/>
            <w:tcBorders>
              <w:top w:val="nil"/>
              <w:left w:val="single" w:sz="4" w:space="0" w:color="auto"/>
              <w:bottom w:val="nil"/>
              <w:right w:val="nil"/>
            </w:tcBorders>
            <w:shd w:val="clear" w:color="auto" w:fill="auto"/>
            <w:vAlign w:val="center"/>
            <w:hideMark/>
          </w:tcPr>
          <w:p w14:paraId="11C2FBD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60 094</w:t>
            </w:r>
          </w:p>
        </w:tc>
        <w:tc>
          <w:tcPr>
            <w:tcW w:w="736" w:type="dxa"/>
            <w:tcBorders>
              <w:top w:val="nil"/>
              <w:left w:val="nil"/>
              <w:bottom w:val="nil"/>
              <w:right w:val="nil"/>
            </w:tcBorders>
            <w:shd w:val="clear" w:color="auto" w:fill="auto"/>
            <w:vAlign w:val="center"/>
            <w:hideMark/>
          </w:tcPr>
          <w:p w14:paraId="00442167" w14:textId="35CA7373"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25 396</w:t>
            </w:r>
          </w:p>
        </w:tc>
        <w:tc>
          <w:tcPr>
            <w:tcW w:w="736" w:type="dxa"/>
            <w:tcBorders>
              <w:top w:val="nil"/>
              <w:left w:val="nil"/>
              <w:bottom w:val="nil"/>
              <w:right w:val="single" w:sz="4" w:space="0" w:color="auto"/>
            </w:tcBorders>
            <w:shd w:val="clear" w:color="auto" w:fill="auto"/>
            <w:vAlign w:val="center"/>
            <w:hideMark/>
          </w:tcPr>
          <w:p w14:paraId="50C22C08"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34 697</w:t>
            </w:r>
          </w:p>
        </w:tc>
        <w:tc>
          <w:tcPr>
            <w:tcW w:w="754" w:type="dxa"/>
            <w:tcBorders>
              <w:top w:val="nil"/>
              <w:left w:val="nil"/>
              <w:bottom w:val="nil"/>
              <w:right w:val="nil"/>
            </w:tcBorders>
            <w:shd w:val="clear" w:color="auto" w:fill="auto"/>
            <w:vAlign w:val="center"/>
            <w:hideMark/>
          </w:tcPr>
          <w:p w14:paraId="442010E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2 575</w:t>
            </w:r>
          </w:p>
        </w:tc>
        <w:tc>
          <w:tcPr>
            <w:tcW w:w="737" w:type="dxa"/>
            <w:tcBorders>
              <w:top w:val="nil"/>
              <w:left w:val="nil"/>
              <w:bottom w:val="nil"/>
              <w:right w:val="nil"/>
            </w:tcBorders>
            <w:shd w:val="clear" w:color="auto" w:fill="auto"/>
            <w:vAlign w:val="center"/>
            <w:hideMark/>
          </w:tcPr>
          <w:p w14:paraId="1D35B95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1 761</w:t>
            </w:r>
          </w:p>
        </w:tc>
        <w:tc>
          <w:tcPr>
            <w:tcW w:w="737" w:type="dxa"/>
            <w:tcBorders>
              <w:top w:val="nil"/>
              <w:left w:val="nil"/>
              <w:bottom w:val="nil"/>
              <w:right w:val="single" w:sz="4" w:space="0" w:color="auto"/>
            </w:tcBorders>
            <w:shd w:val="clear" w:color="auto" w:fill="auto"/>
            <w:vAlign w:val="center"/>
            <w:hideMark/>
          </w:tcPr>
          <w:p w14:paraId="31146B1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814</w:t>
            </w:r>
          </w:p>
        </w:tc>
        <w:tc>
          <w:tcPr>
            <w:tcW w:w="737" w:type="dxa"/>
            <w:tcBorders>
              <w:top w:val="nil"/>
              <w:left w:val="nil"/>
              <w:bottom w:val="nil"/>
              <w:right w:val="nil"/>
            </w:tcBorders>
            <w:shd w:val="clear" w:color="auto" w:fill="auto"/>
            <w:vAlign w:val="center"/>
            <w:hideMark/>
          </w:tcPr>
          <w:p w14:paraId="775D307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7 583</w:t>
            </w:r>
          </w:p>
        </w:tc>
        <w:tc>
          <w:tcPr>
            <w:tcW w:w="737" w:type="dxa"/>
            <w:tcBorders>
              <w:top w:val="nil"/>
              <w:left w:val="nil"/>
              <w:bottom w:val="nil"/>
              <w:right w:val="nil"/>
            </w:tcBorders>
            <w:shd w:val="clear" w:color="auto" w:fill="auto"/>
            <w:vAlign w:val="center"/>
            <w:hideMark/>
          </w:tcPr>
          <w:p w14:paraId="4D1825C8"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4 717</w:t>
            </w:r>
          </w:p>
        </w:tc>
        <w:tc>
          <w:tcPr>
            <w:tcW w:w="737" w:type="dxa"/>
            <w:tcBorders>
              <w:top w:val="nil"/>
              <w:left w:val="nil"/>
              <w:bottom w:val="nil"/>
              <w:right w:val="nil"/>
            </w:tcBorders>
            <w:shd w:val="clear" w:color="auto" w:fill="auto"/>
            <w:vAlign w:val="center"/>
            <w:hideMark/>
          </w:tcPr>
          <w:p w14:paraId="326E557B"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2 866</w:t>
            </w:r>
          </w:p>
        </w:tc>
      </w:tr>
      <w:tr w:rsidR="00C42829" w:rsidRPr="00B448CC" w14:paraId="284597FD"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0F00945A"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2017</w:t>
            </w:r>
          </w:p>
        </w:tc>
        <w:tc>
          <w:tcPr>
            <w:tcW w:w="737" w:type="dxa"/>
            <w:tcBorders>
              <w:top w:val="nil"/>
              <w:left w:val="nil"/>
              <w:bottom w:val="nil"/>
              <w:right w:val="nil"/>
            </w:tcBorders>
            <w:shd w:val="clear" w:color="auto" w:fill="auto"/>
            <w:vAlign w:val="center"/>
            <w:hideMark/>
          </w:tcPr>
          <w:p w14:paraId="2447F5BF"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72 678</w:t>
            </w:r>
          </w:p>
        </w:tc>
        <w:tc>
          <w:tcPr>
            <w:tcW w:w="736" w:type="dxa"/>
            <w:tcBorders>
              <w:top w:val="nil"/>
              <w:left w:val="nil"/>
              <w:bottom w:val="nil"/>
              <w:right w:val="nil"/>
            </w:tcBorders>
            <w:shd w:val="clear" w:color="auto" w:fill="auto"/>
            <w:vAlign w:val="center"/>
            <w:hideMark/>
          </w:tcPr>
          <w:p w14:paraId="77AB6AF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33 089</w:t>
            </w:r>
          </w:p>
        </w:tc>
        <w:tc>
          <w:tcPr>
            <w:tcW w:w="736" w:type="dxa"/>
            <w:tcBorders>
              <w:top w:val="nil"/>
              <w:left w:val="nil"/>
              <w:bottom w:val="nil"/>
              <w:right w:val="nil"/>
            </w:tcBorders>
            <w:shd w:val="clear" w:color="auto" w:fill="auto"/>
            <w:vAlign w:val="center"/>
            <w:hideMark/>
          </w:tcPr>
          <w:p w14:paraId="06326F21"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39 588</w:t>
            </w:r>
          </w:p>
        </w:tc>
        <w:tc>
          <w:tcPr>
            <w:tcW w:w="736" w:type="dxa"/>
            <w:tcBorders>
              <w:top w:val="nil"/>
              <w:left w:val="single" w:sz="4" w:space="0" w:color="auto"/>
              <w:bottom w:val="nil"/>
              <w:right w:val="nil"/>
            </w:tcBorders>
            <w:shd w:val="clear" w:color="auto" w:fill="auto"/>
            <w:vAlign w:val="center"/>
            <w:hideMark/>
          </w:tcPr>
          <w:p w14:paraId="57DDF4D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62 113</w:t>
            </w:r>
          </w:p>
        </w:tc>
        <w:tc>
          <w:tcPr>
            <w:tcW w:w="736" w:type="dxa"/>
            <w:tcBorders>
              <w:top w:val="nil"/>
              <w:left w:val="nil"/>
              <w:bottom w:val="nil"/>
              <w:right w:val="nil"/>
            </w:tcBorders>
            <w:shd w:val="clear" w:color="auto" w:fill="auto"/>
            <w:vAlign w:val="center"/>
            <w:hideMark/>
          </w:tcPr>
          <w:p w14:paraId="7907C51B" w14:textId="0ADF150F"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26 463</w:t>
            </w:r>
          </w:p>
        </w:tc>
        <w:tc>
          <w:tcPr>
            <w:tcW w:w="736" w:type="dxa"/>
            <w:tcBorders>
              <w:top w:val="nil"/>
              <w:left w:val="nil"/>
              <w:bottom w:val="nil"/>
              <w:right w:val="single" w:sz="4" w:space="0" w:color="auto"/>
            </w:tcBorders>
            <w:shd w:val="clear" w:color="auto" w:fill="auto"/>
            <w:vAlign w:val="center"/>
            <w:hideMark/>
          </w:tcPr>
          <w:p w14:paraId="3A21A28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35 650</w:t>
            </w:r>
          </w:p>
        </w:tc>
        <w:tc>
          <w:tcPr>
            <w:tcW w:w="754" w:type="dxa"/>
            <w:tcBorders>
              <w:top w:val="nil"/>
              <w:left w:val="nil"/>
              <w:bottom w:val="nil"/>
              <w:right w:val="nil"/>
            </w:tcBorders>
            <w:shd w:val="clear" w:color="auto" w:fill="auto"/>
            <w:vAlign w:val="center"/>
            <w:hideMark/>
          </w:tcPr>
          <w:p w14:paraId="3766044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2 583</w:t>
            </w:r>
          </w:p>
        </w:tc>
        <w:tc>
          <w:tcPr>
            <w:tcW w:w="737" w:type="dxa"/>
            <w:tcBorders>
              <w:top w:val="nil"/>
              <w:left w:val="nil"/>
              <w:bottom w:val="nil"/>
              <w:right w:val="nil"/>
            </w:tcBorders>
            <w:shd w:val="clear" w:color="auto" w:fill="auto"/>
            <w:vAlign w:val="center"/>
            <w:hideMark/>
          </w:tcPr>
          <w:p w14:paraId="5FBE870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1 765</w:t>
            </w:r>
          </w:p>
        </w:tc>
        <w:tc>
          <w:tcPr>
            <w:tcW w:w="737" w:type="dxa"/>
            <w:tcBorders>
              <w:top w:val="nil"/>
              <w:left w:val="nil"/>
              <w:bottom w:val="nil"/>
              <w:right w:val="single" w:sz="4" w:space="0" w:color="auto"/>
            </w:tcBorders>
            <w:shd w:val="clear" w:color="auto" w:fill="auto"/>
            <w:vAlign w:val="center"/>
            <w:hideMark/>
          </w:tcPr>
          <w:p w14:paraId="2B4E3D8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818</w:t>
            </w:r>
          </w:p>
        </w:tc>
        <w:tc>
          <w:tcPr>
            <w:tcW w:w="737" w:type="dxa"/>
            <w:tcBorders>
              <w:top w:val="nil"/>
              <w:left w:val="nil"/>
              <w:bottom w:val="nil"/>
              <w:right w:val="nil"/>
            </w:tcBorders>
            <w:shd w:val="clear" w:color="auto" w:fill="auto"/>
            <w:vAlign w:val="center"/>
            <w:hideMark/>
          </w:tcPr>
          <w:p w14:paraId="739C44A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7 982</w:t>
            </w:r>
          </w:p>
        </w:tc>
        <w:tc>
          <w:tcPr>
            <w:tcW w:w="737" w:type="dxa"/>
            <w:tcBorders>
              <w:top w:val="nil"/>
              <w:left w:val="nil"/>
              <w:bottom w:val="nil"/>
              <w:right w:val="nil"/>
            </w:tcBorders>
            <w:shd w:val="clear" w:color="auto" w:fill="auto"/>
            <w:vAlign w:val="center"/>
            <w:hideMark/>
          </w:tcPr>
          <w:p w14:paraId="4D02B33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4 862</w:t>
            </w:r>
          </w:p>
        </w:tc>
        <w:tc>
          <w:tcPr>
            <w:tcW w:w="737" w:type="dxa"/>
            <w:tcBorders>
              <w:top w:val="nil"/>
              <w:left w:val="nil"/>
              <w:bottom w:val="nil"/>
              <w:right w:val="nil"/>
            </w:tcBorders>
            <w:shd w:val="clear" w:color="auto" w:fill="auto"/>
            <w:vAlign w:val="center"/>
            <w:hideMark/>
          </w:tcPr>
          <w:p w14:paraId="7BA29BF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3 120</w:t>
            </w:r>
          </w:p>
        </w:tc>
      </w:tr>
      <w:tr w:rsidR="00C42829" w:rsidRPr="00B448CC" w14:paraId="0EB8DA5B"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10E48F2B"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2018</w:t>
            </w:r>
          </w:p>
        </w:tc>
        <w:tc>
          <w:tcPr>
            <w:tcW w:w="737" w:type="dxa"/>
            <w:tcBorders>
              <w:top w:val="nil"/>
              <w:left w:val="nil"/>
              <w:bottom w:val="nil"/>
              <w:right w:val="nil"/>
            </w:tcBorders>
            <w:shd w:val="clear" w:color="auto" w:fill="auto"/>
            <w:vAlign w:val="center"/>
            <w:hideMark/>
          </w:tcPr>
          <w:p w14:paraId="2B551853"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77 158</w:t>
            </w:r>
          </w:p>
        </w:tc>
        <w:tc>
          <w:tcPr>
            <w:tcW w:w="736" w:type="dxa"/>
            <w:tcBorders>
              <w:top w:val="nil"/>
              <w:left w:val="nil"/>
              <w:bottom w:val="nil"/>
              <w:right w:val="nil"/>
            </w:tcBorders>
            <w:shd w:val="clear" w:color="auto" w:fill="auto"/>
            <w:vAlign w:val="center"/>
            <w:hideMark/>
          </w:tcPr>
          <w:p w14:paraId="7A92E85D"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35 223</w:t>
            </w:r>
          </w:p>
        </w:tc>
        <w:tc>
          <w:tcPr>
            <w:tcW w:w="736" w:type="dxa"/>
            <w:tcBorders>
              <w:top w:val="nil"/>
              <w:left w:val="nil"/>
              <w:bottom w:val="nil"/>
              <w:right w:val="nil"/>
            </w:tcBorders>
            <w:shd w:val="clear" w:color="auto" w:fill="auto"/>
            <w:vAlign w:val="center"/>
            <w:hideMark/>
          </w:tcPr>
          <w:p w14:paraId="70E92B2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41 934</w:t>
            </w:r>
          </w:p>
        </w:tc>
        <w:tc>
          <w:tcPr>
            <w:tcW w:w="736" w:type="dxa"/>
            <w:tcBorders>
              <w:top w:val="nil"/>
              <w:left w:val="single" w:sz="4" w:space="0" w:color="auto"/>
              <w:bottom w:val="nil"/>
              <w:right w:val="nil"/>
            </w:tcBorders>
            <w:shd w:val="clear" w:color="auto" w:fill="auto"/>
            <w:vAlign w:val="center"/>
            <w:hideMark/>
          </w:tcPr>
          <w:p w14:paraId="3C2A2CB3"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66 223</w:t>
            </w:r>
          </w:p>
        </w:tc>
        <w:tc>
          <w:tcPr>
            <w:tcW w:w="736" w:type="dxa"/>
            <w:tcBorders>
              <w:top w:val="nil"/>
              <w:left w:val="nil"/>
              <w:bottom w:val="nil"/>
              <w:right w:val="nil"/>
            </w:tcBorders>
            <w:shd w:val="clear" w:color="auto" w:fill="auto"/>
            <w:vAlign w:val="center"/>
            <w:hideMark/>
          </w:tcPr>
          <w:p w14:paraId="3901904A" w14:textId="0001EA5C"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28 379</w:t>
            </w:r>
          </w:p>
        </w:tc>
        <w:tc>
          <w:tcPr>
            <w:tcW w:w="736" w:type="dxa"/>
            <w:tcBorders>
              <w:top w:val="nil"/>
              <w:left w:val="nil"/>
              <w:bottom w:val="nil"/>
              <w:right w:val="single" w:sz="4" w:space="0" w:color="auto"/>
            </w:tcBorders>
            <w:shd w:val="clear" w:color="auto" w:fill="auto"/>
            <w:vAlign w:val="center"/>
            <w:hideMark/>
          </w:tcPr>
          <w:p w14:paraId="0C0948B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37 845</w:t>
            </w:r>
          </w:p>
        </w:tc>
        <w:tc>
          <w:tcPr>
            <w:tcW w:w="754" w:type="dxa"/>
            <w:tcBorders>
              <w:top w:val="nil"/>
              <w:left w:val="nil"/>
              <w:bottom w:val="nil"/>
              <w:right w:val="nil"/>
            </w:tcBorders>
            <w:shd w:val="clear" w:color="auto" w:fill="auto"/>
            <w:vAlign w:val="center"/>
            <w:hideMark/>
          </w:tcPr>
          <w:p w14:paraId="5B385D0A"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2 571</w:t>
            </w:r>
          </w:p>
        </w:tc>
        <w:tc>
          <w:tcPr>
            <w:tcW w:w="737" w:type="dxa"/>
            <w:tcBorders>
              <w:top w:val="nil"/>
              <w:left w:val="nil"/>
              <w:bottom w:val="nil"/>
              <w:right w:val="nil"/>
            </w:tcBorders>
            <w:shd w:val="clear" w:color="auto" w:fill="auto"/>
            <w:vAlign w:val="center"/>
            <w:hideMark/>
          </w:tcPr>
          <w:p w14:paraId="1C56356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1 741</w:t>
            </w:r>
          </w:p>
        </w:tc>
        <w:tc>
          <w:tcPr>
            <w:tcW w:w="737" w:type="dxa"/>
            <w:tcBorders>
              <w:top w:val="nil"/>
              <w:left w:val="nil"/>
              <w:bottom w:val="nil"/>
              <w:right w:val="single" w:sz="4" w:space="0" w:color="auto"/>
            </w:tcBorders>
            <w:shd w:val="clear" w:color="auto" w:fill="auto"/>
            <w:vAlign w:val="center"/>
            <w:hideMark/>
          </w:tcPr>
          <w:p w14:paraId="324C8CE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830</w:t>
            </w:r>
          </w:p>
        </w:tc>
        <w:tc>
          <w:tcPr>
            <w:tcW w:w="737" w:type="dxa"/>
            <w:tcBorders>
              <w:top w:val="nil"/>
              <w:left w:val="nil"/>
              <w:bottom w:val="nil"/>
              <w:right w:val="nil"/>
            </w:tcBorders>
            <w:shd w:val="clear" w:color="auto" w:fill="auto"/>
            <w:vAlign w:val="center"/>
            <w:hideMark/>
          </w:tcPr>
          <w:p w14:paraId="3DC6993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8 363</w:t>
            </w:r>
          </w:p>
        </w:tc>
        <w:tc>
          <w:tcPr>
            <w:tcW w:w="737" w:type="dxa"/>
            <w:tcBorders>
              <w:top w:val="nil"/>
              <w:left w:val="nil"/>
              <w:bottom w:val="nil"/>
              <w:right w:val="nil"/>
            </w:tcBorders>
            <w:shd w:val="clear" w:color="auto" w:fill="auto"/>
            <w:vAlign w:val="center"/>
            <w:hideMark/>
          </w:tcPr>
          <w:p w14:paraId="06F0B34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5 104</w:t>
            </w:r>
          </w:p>
        </w:tc>
        <w:tc>
          <w:tcPr>
            <w:tcW w:w="737" w:type="dxa"/>
            <w:tcBorders>
              <w:top w:val="nil"/>
              <w:left w:val="nil"/>
              <w:bottom w:val="nil"/>
              <w:right w:val="nil"/>
            </w:tcBorders>
            <w:shd w:val="clear" w:color="auto" w:fill="auto"/>
            <w:vAlign w:val="center"/>
            <w:hideMark/>
          </w:tcPr>
          <w:p w14:paraId="5B19FAD6"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3 260</w:t>
            </w:r>
          </w:p>
        </w:tc>
      </w:tr>
      <w:tr w:rsidR="00C42829" w:rsidRPr="00B448CC" w14:paraId="15298EF5"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649D9D23"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2019</w:t>
            </w:r>
          </w:p>
        </w:tc>
        <w:tc>
          <w:tcPr>
            <w:tcW w:w="737" w:type="dxa"/>
            <w:tcBorders>
              <w:top w:val="nil"/>
              <w:left w:val="nil"/>
              <w:bottom w:val="nil"/>
              <w:right w:val="nil"/>
            </w:tcBorders>
            <w:shd w:val="clear" w:color="auto" w:fill="auto"/>
            <w:vAlign w:val="center"/>
            <w:hideMark/>
          </w:tcPr>
          <w:p w14:paraId="0DA23DE1"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81 205</w:t>
            </w:r>
          </w:p>
        </w:tc>
        <w:tc>
          <w:tcPr>
            <w:tcW w:w="736" w:type="dxa"/>
            <w:tcBorders>
              <w:top w:val="nil"/>
              <w:left w:val="nil"/>
              <w:bottom w:val="nil"/>
              <w:right w:val="nil"/>
            </w:tcBorders>
            <w:shd w:val="clear" w:color="auto" w:fill="auto"/>
            <w:vAlign w:val="center"/>
            <w:hideMark/>
          </w:tcPr>
          <w:p w14:paraId="242CA56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37 043</w:t>
            </w:r>
          </w:p>
        </w:tc>
        <w:tc>
          <w:tcPr>
            <w:tcW w:w="736" w:type="dxa"/>
            <w:tcBorders>
              <w:top w:val="nil"/>
              <w:left w:val="nil"/>
              <w:bottom w:val="nil"/>
              <w:right w:val="nil"/>
            </w:tcBorders>
            <w:shd w:val="clear" w:color="auto" w:fill="auto"/>
            <w:vAlign w:val="center"/>
            <w:hideMark/>
          </w:tcPr>
          <w:p w14:paraId="5FD1160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44 162</w:t>
            </w:r>
          </w:p>
        </w:tc>
        <w:tc>
          <w:tcPr>
            <w:tcW w:w="736" w:type="dxa"/>
            <w:tcBorders>
              <w:top w:val="nil"/>
              <w:left w:val="single" w:sz="4" w:space="0" w:color="auto"/>
              <w:bottom w:val="nil"/>
              <w:right w:val="nil"/>
            </w:tcBorders>
            <w:shd w:val="clear" w:color="auto" w:fill="auto"/>
            <w:vAlign w:val="center"/>
            <w:hideMark/>
          </w:tcPr>
          <w:p w14:paraId="7347400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69 903</w:t>
            </w:r>
          </w:p>
        </w:tc>
        <w:tc>
          <w:tcPr>
            <w:tcW w:w="736" w:type="dxa"/>
            <w:tcBorders>
              <w:top w:val="nil"/>
              <w:left w:val="nil"/>
              <w:bottom w:val="nil"/>
              <w:right w:val="nil"/>
            </w:tcBorders>
            <w:shd w:val="clear" w:color="auto" w:fill="auto"/>
            <w:vAlign w:val="center"/>
            <w:hideMark/>
          </w:tcPr>
          <w:p w14:paraId="0F6FD71C" w14:textId="274094E3"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30 002</w:t>
            </w:r>
          </w:p>
        </w:tc>
        <w:tc>
          <w:tcPr>
            <w:tcW w:w="736" w:type="dxa"/>
            <w:tcBorders>
              <w:top w:val="nil"/>
              <w:left w:val="nil"/>
              <w:bottom w:val="nil"/>
              <w:right w:val="single" w:sz="4" w:space="0" w:color="auto"/>
            </w:tcBorders>
            <w:shd w:val="clear" w:color="auto" w:fill="auto"/>
            <w:vAlign w:val="center"/>
            <w:hideMark/>
          </w:tcPr>
          <w:p w14:paraId="509C182D"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39 900</w:t>
            </w:r>
          </w:p>
        </w:tc>
        <w:tc>
          <w:tcPr>
            <w:tcW w:w="754" w:type="dxa"/>
            <w:tcBorders>
              <w:top w:val="nil"/>
              <w:left w:val="nil"/>
              <w:bottom w:val="nil"/>
              <w:right w:val="nil"/>
            </w:tcBorders>
            <w:shd w:val="clear" w:color="auto" w:fill="auto"/>
            <w:vAlign w:val="center"/>
            <w:hideMark/>
          </w:tcPr>
          <w:p w14:paraId="0F58495F"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2 533</w:t>
            </w:r>
          </w:p>
        </w:tc>
        <w:tc>
          <w:tcPr>
            <w:tcW w:w="737" w:type="dxa"/>
            <w:tcBorders>
              <w:top w:val="nil"/>
              <w:left w:val="nil"/>
              <w:bottom w:val="nil"/>
              <w:right w:val="nil"/>
            </w:tcBorders>
            <w:shd w:val="clear" w:color="auto" w:fill="auto"/>
            <w:vAlign w:val="center"/>
            <w:hideMark/>
          </w:tcPr>
          <w:p w14:paraId="49037EE1"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1 709</w:t>
            </w:r>
          </w:p>
        </w:tc>
        <w:tc>
          <w:tcPr>
            <w:tcW w:w="737" w:type="dxa"/>
            <w:tcBorders>
              <w:top w:val="nil"/>
              <w:left w:val="nil"/>
              <w:bottom w:val="nil"/>
              <w:right w:val="single" w:sz="4" w:space="0" w:color="auto"/>
            </w:tcBorders>
            <w:shd w:val="clear" w:color="auto" w:fill="auto"/>
            <w:vAlign w:val="center"/>
            <w:hideMark/>
          </w:tcPr>
          <w:p w14:paraId="26274E83"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823</w:t>
            </w:r>
          </w:p>
        </w:tc>
        <w:tc>
          <w:tcPr>
            <w:tcW w:w="737" w:type="dxa"/>
            <w:tcBorders>
              <w:top w:val="nil"/>
              <w:left w:val="nil"/>
              <w:bottom w:val="nil"/>
              <w:right w:val="nil"/>
            </w:tcBorders>
            <w:shd w:val="clear" w:color="auto" w:fill="auto"/>
            <w:vAlign w:val="center"/>
            <w:hideMark/>
          </w:tcPr>
          <w:p w14:paraId="4CFBCA16"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8 770</w:t>
            </w:r>
          </w:p>
        </w:tc>
        <w:tc>
          <w:tcPr>
            <w:tcW w:w="737" w:type="dxa"/>
            <w:tcBorders>
              <w:top w:val="nil"/>
              <w:left w:val="nil"/>
              <w:bottom w:val="nil"/>
              <w:right w:val="nil"/>
            </w:tcBorders>
            <w:shd w:val="clear" w:color="auto" w:fill="auto"/>
            <w:vAlign w:val="center"/>
            <w:hideMark/>
          </w:tcPr>
          <w:p w14:paraId="7284874E"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5 331</w:t>
            </w:r>
          </w:p>
        </w:tc>
        <w:tc>
          <w:tcPr>
            <w:tcW w:w="737" w:type="dxa"/>
            <w:tcBorders>
              <w:top w:val="nil"/>
              <w:left w:val="nil"/>
              <w:bottom w:val="nil"/>
              <w:right w:val="nil"/>
            </w:tcBorders>
            <w:shd w:val="clear" w:color="auto" w:fill="auto"/>
            <w:vAlign w:val="center"/>
            <w:hideMark/>
          </w:tcPr>
          <w:p w14:paraId="6147A8F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3 438</w:t>
            </w:r>
          </w:p>
        </w:tc>
      </w:tr>
      <w:tr w:rsidR="00C42829" w:rsidRPr="00B448CC" w14:paraId="50E488E1" w14:textId="77777777" w:rsidTr="00C42829">
        <w:trPr>
          <w:trHeight w:val="300"/>
        </w:trPr>
        <w:tc>
          <w:tcPr>
            <w:tcW w:w="735" w:type="dxa"/>
            <w:tcBorders>
              <w:top w:val="nil"/>
              <w:left w:val="nil"/>
              <w:bottom w:val="nil"/>
              <w:right w:val="single" w:sz="4" w:space="0" w:color="auto"/>
            </w:tcBorders>
            <w:shd w:val="clear" w:color="auto" w:fill="auto"/>
            <w:vAlign w:val="center"/>
            <w:hideMark/>
          </w:tcPr>
          <w:p w14:paraId="765DF935"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2020</w:t>
            </w:r>
          </w:p>
        </w:tc>
        <w:tc>
          <w:tcPr>
            <w:tcW w:w="737" w:type="dxa"/>
            <w:tcBorders>
              <w:top w:val="nil"/>
              <w:left w:val="nil"/>
              <w:bottom w:val="nil"/>
              <w:right w:val="nil"/>
            </w:tcBorders>
            <w:shd w:val="clear" w:color="auto" w:fill="auto"/>
            <w:vAlign w:val="center"/>
            <w:hideMark/>
          </w:tcPr>
          <w:p w14:paraId="0E2E6CE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94 246</w:t>
            </w:r>
          </w:p>
        </w:tc>
        <w:tc>
          <w:tcPr>
            <w:tcW w:w="736" w:type="dxa"/>
            <w:tcBorders>
              <w:top w:val="nil"/>
              <w:left w:val="nil"/>
              <w:bottom w:val="nil"/>
              <w:right w:val="nil"/>
            </w:tcBorders>
            <w:shd w:val="clear" w:color="auto" w:fill="auto"/>
            <w:vAlign w:val="center"/>
            <w:hideMark/>
          </w:tcPr>
          <w:p w14:paraId="26149D21"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43 214</w:t>
            </w:r>
          </w:p>
        </w:tc>
        <w:tc>
          <w:tcPr>
            <w:tcW w:w="736" w:type="dxa"/>
            <w:tcBorders>
              <w:top w:val="nil"/>
              <w:left w:val="nil"/>
              <w:bottom w:val="nil"/>
              <w:right w:val="nil"/>
            </w:tcBorders>
            <w:shd w:val="clear" w:color="auto" w:fill="auto"/>
            <w:vAlign w:val="center"/>
            <w:hideMark/>
          </w:tcPr>
          <w:p w14:paraId="7FDCD23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51 032</w:t>
            </w:r>
          </w:p>
        </w:tc>
        <w:tc>
          <w:tcPr>
            <w:tcW w:w="736" w:type="dxa"/>
            <w:tcBorders>
              <w:top w:val="nil"/>
              <w:left w:val="single" w:sz="4" w:space="0" w:color="auto"/>
              <w:bottom w:val="nil"/>
              <w:right w:val="nil"/>
            </w:tcBorders>
            <w:shd w:val="clear" w:color="auto" w:fill="auto"/>
            <w:vAlign w:val="center"/>
            <w:hideMark/>
          </w:tcPr>
          <w:p w14:paraId="5578FF37"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82 287</w:t>
            </w:r>
          </w:p>
        </w:tc>
        <w:tc>
          <w:tcPr>
            <w:tcW w:w="736" w:type="dxa"/>
            <w:tcBorders>
              <w:top w:val="nil"/>
              <w:left w:val="nil"/>
              <w:bottom w:val="nil"/>
              <w:right w:val="nil"/>
            </w:tcBorders>
            <w:shd w:val="clear" w:color="auto" w:fill="auto"/>
            <w:vAlign w:val="center"/>
            <w:hideMark/>
          </w:tcPr>
          <w:p w14:paraId="1DE3B13B" w14:textId="5EFB8A18"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35 854</w:t>
            </w:r>
          </w:p>
        </w:tc>
        <w:tc>
          <w:tcPr>
            <w:tcW w:w="736" w:type="dxa"/>
            <w:tcBorders>
              <w:top w:val="nil"/>
              <w:left w:val="nil"/>
              <w:bottom w:val="nil"/>
              <w:right w:val="single" w:sz="4" w:space="0" w:color="auto"/>
            </w:tcBorders>
            <w:shd w:val="clear" w:color="auto" w:fill="auto"/>
            <w:vAlign w:val="center"/>
            <w:hideMark/>
          </w:tcPr>
          <w:p w14:paraId="4312EC84"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46 434</w:t>
            </w:r>
          </w:p>
        </w:tc>
        <w:tc>
          <w:tcPr>
            <w:tcW w:w="754" w:type="dxa"/>
            <w:tcBorders>
              <w:top w:val="nil"/>
              <w:left w:val="nil"/>
              <w:bottom w:val="nil"/>
              <w:right w:val="nil"/>
            </w:tcBorders>
            <w:shd w:val="clear" w:color="auto" w:fill="auto"/>
            <w:vAlign w:val="center"/>
            <w:hideMark/>
          </w:tcPr>
          <w:p w14:paraId="480853C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2 585</w:t>
            </w:r>
          </w:p>
        </w:tc>
        <w:tc>
          <w:tcPr>
            <w:tcW w:w="737" w:type="dxa"/>
            <w:tcBorders>
              <w:top w:val="nil"/>
              <w:left w:val="nil"/>
              <w:bottom w:val="nil"/>
              <w:right w:val="nil"/>
            </w:tcBorders>
            <w:shd w:val="clear" w:color="auto" w:fill="auto"/>
            <w:vAlign w:val="center"/>
            <w:hideMark/>
          </w:tcPr>
          <w:p w14:paraId="0281D7C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1 766</w:t>
            </w:r>
          </w:p>
        </w:tc>
        <w:tc>
          <w:tcPr>
            <w:tcW w:w="737" w:type="dxa"/>
            <w:tcBorders>
              <w:top w:val="nil"/>
              <w:left w:val="nil"/>
              <w:bottom w:val="nil"/>
              <w:right w:val="single" w:sz="4" w:space="0" w:color="auto"/>
            </w:tcBorders>
            <w:shd w:val="clear" w:color="auto" w:fill="auto"/>
            <w:vAlign w:val="center"/>
            <w:hideMark/>
          </w:tcPr>
          <w:p w14:paraId="4A3EA2E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819</w:t>
            </w:r>
          </w:p>
        </w:tc>
        <w:tc>
          <w:tcPr>
            <w:tcW w:w="737" w:type="dxa"/>
            <w:tcBorders>
              <w:top w:val="nil"/>
              <w:left w:val="nil"/>
              <w:bottom w:val="nil"/>
              <w:right w:val="nil"/>
            </w:tcBorders>
            <w:shd w:val="clear" w:color="auto" w:fill="auto"/>
            <w:vAlign w:val="center"/>
            <w:hideMark/>
          </w:tcPr>
          <w:p w14:paraId="5FFCAD65"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9 373</w:t>
            </w:r>
          </w:p>
        </w:tc>
        <w:tc>
          <w:tcPr>
            <w:tcW w:w="737" w:type="dxa"/>
            <w:tcBorders>
              <w:top w:val="nil"/>
              <w:left w:val="nil"/>
              <w:bottom w:val="nil"/>
              <w:right w:val="nil"/>
            </w:tcBorders>
            <w:shd w:val="clear" w:color="auto" w:fill="auto"/>
            <w:vAlign w:val="center"/>
            <w:hideMark/>
          </w:tcPr>
          <w:p w14:paraId="7B94E9F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5 594</w:t>
            </w:r>
          </w:p>
        </w:tc>
        <w:tc>
          <w:tcPr>
            <w:tcW w:w="737" w:type="dxa"/>
            <w:tcBorders>
              <w:top w:val="nil"/>
              <w:left w:val="nil"/>
              <w:bottom w:val="nil"/>
              <w:right w:val="nil"/>
            </w:tcBorders>
            <w:shd w:val="clear" w:color="auto" w:fill="auto"/>
            <w:vAlign w:val="center"/>
            <w:hideMark/>
          </w:tcPr>
          <w:p w14:paraId="1AE150C6"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3 779</w:t>
            </w:r>
          </w:p>
        </w:tc>
      </w:tr>
      <w:tr w:rsidR="00C42829" w:rsidRPr="00B448CC" w14:paraId="0BCD8B55" w14:textId="77777777" w:rsidTr="00C42829">
        <w:trPr>
          <w:trHeight w:val="300"/>
        </w:trPr>
        <w:tc>
          <w:tcPr>
            <w:tcW w:w="735" w:type="dxa"/>
            <w:tcBorders>
              <w:top w:val="nil"/>
              <w:left w:val="nil"/>
              <w:bottom w:val="nil"/>
              <w:right w:val="single" w:sz="4" w:space="0" w:color="auto"/>
            </w:tcBorders>
            <w:shd w:val="clear" w:color="auto" w:fill="auto"/>
            <w:vAlign w:val="center"/>
          </w:tcPr>
          <w:p w14:paraId="6A640E7B" w14:textId="77777777" w:rsidR="00C42829" w:rsidRPr="00B448CC" w:rsidRDefault="00C42829" w:rsidP="00C42829">
            <w:pPr>
              <w:spacing w:after="0" w:line="240" w:lineRule="auto"/>
              <w:jc w:val="center"/>
              <w:rPr>
                <w:rFonts w:cs="Arial"/>
                <w:color w:val="000000"/>
                <w:sz w:val="16"/>
                <w:szCs w:val="16"/>
              </w:rPr>
            </w:pPr>
            <w:r w:rsidRPr="00B448CC">
              <w:rPr>
                <w:rFonts w:cs="Arial"/>
                <w:color w:val="000000"/>
                <w:sz w:val="16"/>
                <w:szCs w:val="16"/>
              </w:rPr>
              <w:t>2021</w:t>
            </w:r>
          </w:p>
        </w:tc>
        <w:tc>
          <w:tcPr>
            <w:tcW w:w="737" w:type="dxa"/>
            <w:tcBorders>
              <w:top w:val="nil"/>
              <w:left w:val="nil"/>
              <w:bottom w:val="nil"/>
              <w:right w:val="nil"/>
            </w:tcBorders>
            <w:shd w:val="clear" w:color="auto" w:fill="auto"/>
            <w:vAlign w:val="center"/>
          </w:tcPr>
          <w:p w14:paraId="1B8C705C"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94 950</w:t>
            </w:r>
          </w:p>
        </w:tc>
        <w:tc>
          <w:tcPr>
            <w:tcW w:w="736" w:type="dxa"/>
            <w:tcBorders>
              <w:top w:val="nil"/>
              <w:left w:val="nil"/>
              <w:bottom w:val="nil"/>
              <w:right w:val="nil"/>
            </w:tcBorders>
            <w:shd w:val="clear" w:color="auto" w:fill="auto"/>
            <w:vAlign w:val="center"/>
          </w:tcPr>
          <w:p w14:paraId="75BF2D92"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44 255</w:t>
            </w:r>
          </w:p>
        </w:tc>
        <w:tc>
          <w:tcPr>
            <w:tcW w:w="736" w:type="dxa"/>
            <w:tcBorders>
              <w:top w:val="nil"/>
              <w:left w:val="nil"/>
              <w:bottom w:val="nil"/>
              <w:right w:val="nil"/>
            </w:tcBorders>
            <w:shd w:val="clear" w:color="auto" w:fill="auto"/>
            <w:vAlign w:val="center"/>
          </w:tcPr>
          <w:p w14:paraId="4244241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50 695</w:t>
            </w:r>
          </w:p>
        </w:tc>
        <w:tc>
          <w:tcPr>
            <w:tcW w:w="736" w:type="dxa"/>
            <w:tcBorders>
              <w:top w:val="nil"/>
              <w:left w:val="single" w:sz="4" w:space="0" w:color="auto"/>
              <w:bottom w:val="nil"/>
              <w:right w:val="nil"/>
            </w:tcBorders>
            <w:shd w:val="clear" w:color="auto" w:fill="auto"/>
            <w:vAlign w:val="center"/>
          </w:tcPr>
          <w:p w14:paraId="4B28548D"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83 363</w:t>
            </w:r>
          </w:p>
        </w:tc>
        <w:tc>
          <w:tcPr>
            <w:tcW w:w="736" w:type="dxa"/>
            <w:tcBorders>
              <w:top w:val="nil"/>
              <w:left w:val="nil"/>
              <w:bottom w:val="nil"/>
              <w:right w:val="nil"/>
            </w:tcBorders>
            <w:shd w:val="clear" w:color="auto" w:fill="auto"/>
            <w:vAlign w:val="center"/>
          </w:tcPr>
          <w:p w14:paraId="65407DC9"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37 211</w:t>
            </w:r>
          </w:p>
        </w:tc>
        <w:tc>
          <w:tcPr>
            <w:tcW w:w="736" w:type="dxa"/>
            <w:tcBorders>
              <w:top w:val="nil"/>
              <w:left w:val="nil"/>
              <w:bottom w:val="nil"/>
              <w:right w:val="single" w:sz="4" w:space="0" w:color="auto"/>
            </w:tcBorders>
            <w:shd w:val="clear" w:color="auto" w:fill="auto"/>
            <w:vAlign w:val="center"/>
          </w:tcPr>
          <w:p w14:paraId="76267CAE" w14:textId="396C95D5"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46 152</w:t>
            </w:r>
          </w:p>
        </w:tc>
        <w:tc>
          <w:tcPr>
            <w:tcW w:w="754" w:type="dxa"/>
            <w:tcBorders>
              <w:top w:val="nil"/>
              <w:left w:val="nil"/>
              <w:bottom w:val="nil"/>
              <w:right w:val="nil"/>
            </w:tcBorders>
            <w:shd w:val="clear" w:color="auto" w:fill="auto"/>
            <w:vAlign w:val="center"/>
          </w:tcPr>
          <w:p w14:paraId="3D8A184C" w14:textId="5B1C399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2 607</w:t>
            </w:r>
          </w:p>
        </w:tc>
        <w:tc>
          <w:tcPr>
            <w:tcW w:w="737" w:type="dxa"/>
            <w:tcBorders>
              <w:top w:val="nil"/>
              <w:left w:val="nil"/>
              <w:bottom w:val="nil"/>
              <w:right w:val="nil"/>
            </w:tcBorders>
            <w:shd w:val="clear" w:color="auto" w:fill="auto"/>
            <w:vAlign w:val="center"/>
          </w:tcPr>
          <w:p w14:paraId="75D2E376"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1 791</w:t>
            </w:r>
          </w:p>
        </w:tc>
        <w:tc>
          <w:tcPr>
            <w:tcW w:w="737" w:type="dxa"/>
            <w:tcBorders>
              <w:top w:val="nil"/>
              <w:left w:val="nil"/>
              <w:bottom w:val="nil"/>
              <w:right w:val="single" w:sz="4" w:space="0" w:color="auto"/>
            </w:tcBorders>
            <w:shd w:val="clear" w:color="auto" w:fill="auto"/>
            <w:vAlign w:val="center"/>
          </w:tcPr>
          <w:p w14:paraId="366D2D7D"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816</w:t>
            </w:r>
          </w:p>
        </w:tc>
        <w:tc>
          <w:tcPr>
            <w:tcW w:w="737" w:type="dxa"/>
            <w:tcBorders>
              <w:top w:val="nil"/>
              <w:left w:val="nil"/>
              <w:bottom w:val="nil"/>
              <w:right w:val="nil"/>
            </w:tcBorders>
            <w:shd w:val="clear" w:color="auto" w:fill="auto"/>
            <w:vAlign w:val="center"/>
          </w:tcPr>
          <w:p w14:paraId="1576E58F"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8 979</w:t>
            </w:r>
          </w:p>
        </w:tc>
        <w:tc>
          <w:tcPr>
            <w:tcW w:w="737" w:type="dxa"/>
            <w:tcBorders>
              <w:top w:val="nil"/>
              <w:left w:val="nil"/>
              <w:bottom w:val="nil"/>
              <w:right w:val="nil"/>
            </w:tcBorders>
            <w:shd w:val="clear" w:color="auto" w:fill="auto"/>
            <w:vAlign w:val="center"/>
          </w:tcPr>
          <w:p w14:paraId="0D516DED"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5 253</w:t>
            </w:r>
          </w:p>
        </w:tc>
        <w:tc>
          <w:tcPr>
            <w:tcW w:w="737" w:type="dxa"/>
            <w:tcBorders>
              <w:top w:val="nil"/>
              <w:left w:val="nil"/>
              <w:bottom w:val="nil"/>
              <w:right w:val="nil"/>
            </w:tcBorders>
            <w:shd w:val="clear" w:color="auto" w:fill="auto"/>
            <w:vAlign w:val="center"/>
          </w:tcPr>
          <w:p w14:paraId="07F2E1D0" w14:textId="77777777" w:rsidR="00C42829" w:rsidRPr="00B448CC" w:rsidRDefault="00C42829" w:rsidP="00C42829">
            <w:pPr>
              <w:spacing w:after="0" w:line="240" w:lineRule="auto"/>
              <w:jc w:val="right"/>
              <w:rPr>
                <w:rFonts w:cs="Arial"/>
                <w:color w:val="000000"/>
                <w:sz w:val="16"/>
                <w:szCs w:val="16"/>
              </w:rPr>
            </w:pPr>
            <w:r w:rsidRPr="00B448CC">
              <w:rPr>
                <w:rFonts w:cs="Arial"/>
                <w:color w:val="000000"/>
                <w:sz w:val="16"/>
                <w:szCs w:val="16"/>
              </w:rPr>
              <w:t>3 726</w:t>
            </w:r>
          </w:p>
        </w:tc>
      </w:tr>
      <w:tr w:rsidR="00B448CC" w:rsidRPr="00B448CC" w14:paraId="32E29C8C" w14:textId="77777777" w:rsidTr="00B448CC">
        <w:trPr>
          <w:trHeight w:val="300"/>
        </w:trPr>
        <w:tc>
          <w:tcPr>
            <w:tcW w:w="735" w:type="dxa"/>
            <w:tcBorders>
              <w:top w:val="nil"/>
              <w:left w:val="nil"/>
              <w:bottom w:val="nil"/>
              <w:right w:val="single" w:sz="4" w:space="0" w:color="auto"/>
            </w:tcBorders>
            <w:shd w:val="clear" w:color="auto" w:fill="auto"/>
            <w:vAlign w:val="center"/>
          </w:tcPr>
          <w:p w14:paraId="41AEA9DC" w14:textId="3B8A6968" w:rsidR="00B448CC" w:rsidRPr="00B448CC" w:rsidRDefault="00B448CC" w:rsidP="00B448CC">
            <w:pPr>
              <w:spacing w:after="0" w:line="240" w:lineRule="auto"/>
              <w:jc w:val="center"/>
              <w:rPr>
                <w:rFonts w:cs="Arial"/>
                <w:color w:val="000000"/>
                <w:sz w:val="16"/>
                <w:szCs w:val="16"/>
              </w:rPr>
            </w:pPr>
            <w:r w:rsidRPr="00B448CC">
              <w:rPr>
                <w:rFonts w:cs="Arial"/>
                <w:color w:val="000000"/>
                <w:sz w:val="16"/>
                <w:szCs w:val="16"/>
              </w:rPr>
              <w:t>2022</w:t>
            </w:r>
          </w:p>
        </w:tc>
        <w:tc>
          <w:tcPr>
            <w:tcW w:w="737" w:type="dxa"/>
            <w:tcBorders>
              <w:top w:val="nil"/>
              <w:left w:val="nil"/>
              <w:bottom w:val="nil"/>
              <w:right w:val="nil"/>
            </w:tcBorders>
            <w:shd w:val="clear" w:color="auto" w:fill="auto"/>
            <w:vAlign w:val="center"/>
          </w:tcPr>
          <w:p w14:paraId="64B7466B" w14:textId="1A09F856"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91 064</w:t>
            </w:r>
          </w:p>
        </w:tc>
        <w:tc>
          <w:tcPr>
            <w:tcW w:w="736" w:type="dxa"/>
            <w:tcBorders>
              <w:top w:val="nil"/>
              <w:left w:val="nil"/>
              <w:bottom w:val="nil"/>
              <w:right w:val="nil"/>
            </w:tcBorders>
            <w:shd w:val="clear" w:color="auto" w:fill="auto"/>
            <w:vAlign w:val="center"/>
          </w:tcPr>
          <w:p w14:paraId="66156D7B" w14:textId="0B88B9F6"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41 382</w:t>
            </w:r>
          </w:p>
        </w:tc>
        <w:tc>
          <w:tcPr>
            <w:tcW w:w="736" w:type="dxa"/>
            <w:tcBorders>
              <w:top w:val="nil"/>
              <w:left w:val="nil"/>
              <w:bottom w:val="nil"/>
              <w:right w:val="nil"/>
            </w:tcBorders>
            <w:shd w:val="clear" w:color="auto" w:fill="auto"/>
            <w:vAlign w:val="center"/>
          </w:tcPr>
          <w:p w14:paraId="5F15F620" w14:textId="1752C71F"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49 681</w:t>
            </w:r>
          </w:p>
        </w:tc>
        <w:tc>
          <w:tcPr>
            <w:tcW w:w="736" w:type="dxa"/>
            <w:tcBorders>
              <w:top w:val="nil"/>
              <w:left w:val="single" w:sz="4" w:space="0" w:color="auto"/>
              <w:bottom w:val="nil"/>
              <w:right w:val="nil"/>
            </w:tcBorders>
            <w:shd w:val="clear" w:color="auto" w:fill="auto"/>
            <w:vAlign w:val="center"/>
          </w:tcPr>
          <w:p w14:paraId="68901FC9" w14:textId="5DAD9EF1"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79 190</w:t>
            </w:r>
          </w:p>
        </w:tc>
        <w:tc>
          <w:tcPr>
            <w:tcW w:w="736" w:type="dxa"/>
            <w:tcBorders>
              <w:top w:val="nil"/>
              <w:left w:val="nil"/>
              <w:bottom w:val="nil"/>
              <w:right w:val="nil"/>
            </w:tcBorders>
            <w:shd w:val="clear" w:color="auto" w:fill="auto"/>
            <w:vAlign w:val="center"/>
          </w:tcPr>
          <w:p w14:paraId="7C204D04" w14:textId="205031BF"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34 214</w:t>
            </w:r>
          </w:p>
        </w:tc>
        <w:tc>
          <w:tcPr>
            <w:tcW w:w="736" w:type="dxa"/>
            <w:tcBorders>
              <w:top w:val="nil"/>
              <w:left w:val="nil"/>
              <w:bottom w:val="nil"/>
              <w:right w:val="single" w:sz="4" w:space="0" w:color="auto"/>
            </w:tcBorders>
            <w:shd w:val="clear" w:color="auto" w:fill="auto"/>
            <w:vAlign w:val="center"/>
          </w:tcPr>
          <w:p w14:paraId="7E377AFA" w14:textId="47FA9D9D" w:rsidR="00B448CC" w:rsidRPr="00B448CC" w:rsidRDefault="00EC4603" w:rsidP="00B448CC">
            <w:pPr>
              <w:spacing w:after="0" w:line="240" w:lineRule="auto"/>
              <w:jc w:val="right"/>
              <w:rPr>
                <w:rFonts w:cs="Arial"/>
                <w:color w:val="000000"/>
                <w:sz w:val="16"/>
                <w:szCs w:val="16"/>
              </w:rPr>
            </w:pPr>
            <w:r>
              <w:rPr>
                <w:noProof/>
              </w:rPr>
              <mc:AlternateContent>
                <mc:Choice Requires="wps">
                  <w:drawing>
                    <wp:anchor distT="0" distB="0" distL="114300" distR="114300" simplePos="0" relativeHeight="251689472" behindDoc="0" locked="0" layoutInCell="1" allowOverlap="1" wp14:anchorId="2D89544F" wp14:editId="6756915D">
                      <wp:simplePos x="0" y="0"/>
                      <wp:positionH relativeFrom="column">
                        <wp:posOffset>-2763520</wp:posOffset>
                      </wp:positionH>
                      <wp:positionV relativeFrom="paragraph">
                        <wp:posOffset>-53340</wp:posOffset>
                      </wp:positionV>
                      <wp:extent cx="3167380" cy="0"/>
                      <wp:effectExtent l="38100" t="38100" r="52070" b="95250"/>
                      <wp:wrapNone/>
                      <wp:docPr id="43" name="Přímá spojnice 3"/>
                      <wp:cNvGraphicFramePr/>
                      <a:graphic xmlns:a="http://schemas.openxmlformats.org/drawingml/2006/main">
                        <a:graphicData uri="http://schemas.microsoft.com/office/word/2010/wordprocessingShape">
                          <wps:wsp>
                            <wps:cNvCnPr/>
                            <wps:spPr>
                              <a:xfrm>
                                <a:off x="0" y="0"/>
                                <a:ext cx="3167380" cy="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6F1A65" id="Přímá spojnice 3" o:spid="_x0000_s1026" style="position:absolute;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7.6pt,-4.2pt" to="31.8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" strokecolor="#c00000" strokeweight=".5pt">
                      <v:stroke dashstyle="dash"/>
                      <v:shadow on="t" color="black" opacity="24903f" origin=",.5" offset="0,.55556mm"/>
                    </v:line>
                  </w:pict>
                </mc:Fallback>
              </mc:AlternateContent>
            </w:r>
            <w:r w:rsidR="00B448CC" w:rsidRPr="00B448CC">
              <w:rPr>
                <w:rFonts w:cs="Arial"/>
                <w:color w:val="000000"/>
                <w:sz w:val="16"/>
                <w:szCs w:val="16"/>
              </w:rPr>
              <w:t>44 976</w:t>
            </w:r>
          </w:p>
        </w:tc>
        <w:tc>
          <w:tcPr>
            <w:tcW w:w="754" w:type="dxa"/>
            <w:tcBorders>
              <w:top w:val="nil"/>
              <w:left w:val="nil"/>
              <w:bottom w:val="nil"/>
              <w:right w:val="nil"/>
            </w:tcBorders>
            <w:shd w:val="clear" w:color="auto" w:fill="auto"/>
            <w:vAlign w:val="center"/>
          </w:tcPr>
          <w:p w14:paraId="3175B1A5" w14:textId="13975F1F"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2 514</w:t>
            </w:r>
          </w:p>
        </w:tc>
        <w:tc>
          <w:tcPr>
            <w:tcW w:w="737" w:type="dxa"/>
            <w:tcBorders>
              <w:top w:val="nil"/>
              <w:left w:val="nil"/>
              <w:bottom w:val="nil"/>
              <w:right w:val="nil"/>
            </w:tcBorders>
            <w:shd w:val="clear" w:color="auto" w:fill="auto"/>
            <w:vAlign w:val="center"/>
          </w:tcPr>
          <w:p w14:paraId="0B2CE548" w14:textId="5DE22F62"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1 692</w:t>
            </w:r>
          </w:p>
        </w:tc>
        <w:tc>
          <w:tcPr>
            <w:tcW w:w="737" w:type="dxa"/>
            <w:tcBorders>
              <w:top w:val="nil"/>
              <w:left w:val="nil"/>
              <w:bottom w:val="nil"/>
              <w:right w:val="single" w:sz="4" w:space="0" w:color="auto"/>
            </w:tcBorders>
            <w:shd w:val="clear" w:color="auto" w:fill="auto"/>
            <w:vAlign w:val="center"/>
          </w:tcPr>
          <w:p w14:paraId="5464A291" w14:textId="49409CF7"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822</w:t>
            </w:r>
          </w:p>
        </w:tc>
        <w:tc>
          <w:tcPr>
            <w:tcW w:w="737" w:type="dxa"/>
            <w:tcBorders>
              <w:top w:val="nil"/>
              <w:left w:val="nil"/>
              <w:bottom w:val="nil"/>
              <w:right w:val="nil"/>
            </w:tcBorders>
            <w:shd w:val="clear" w:color="auto" w:fill="auto"/>
            <w:vAlign w:val="center"/>
          </w:tcPr>
          <w:p w14:paraId="33BD8359" w14:textId="4ED28BD1"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9 360</w:t>
            </w:r>
          </w:p>
        </w:tc>
        <w:tc>
          <w:tcPr>
            <w:tcW w:w="737" w:type="dxa"/>
            <w:tcBorders>
              <w:top w:val="nil"/>
              <w:left w:val="nil"/>
              <w:bottom w:val="nil"/>
              <w:right w:val="nil"/>
            </w:tcBorders>
            <w:shd w:val="clear" w:color="auto" w:fill="auto"/>
            <w:vAlign w:val="center"/>
          </w:tcPr>
          <w:p w14:paraId="0864ABAD" w14:textId="7E4AB3D4"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5 476</w:t>
            </w:r>
          </w:p>
        </w:tc>
        <w:tc>
          <w:tcPr>
            <w:tcW w:w="737" w:type="dxa"/>
            <w:tcBorders>
              <w:top w:val="nil"/>
              <w:left w:val="nil"/>
              <w:bottom w:val="nil"/>
              <w:right w:val="nil"/>
            </w:tcBorders>
            <w:shd w:val="clear" w:color="auto" w:fill="auto"/>
            <w:vAlign w:val="center"/>
          </w:tcPr>
          <w:p w14:paraId="191AC41F" w14:textId="12E1C33B" w:rsidR="00B448CC" w:rsidRPr="00B448CC" w:rsidRDefault="00B448CC" w:rsidP="00B448CC">
            <w:pPr>
              <w:spacing w:after="0" w:line="240" w:lineRule="auto"/>
              <w:jc w:val="right"/>
              <w:rPr>
                <w:rFonts w:cs="Arial"/>
                <w:color w:val="000000"/>
                <w:sz w:val="16"/>
                <w:szCs w:val="16"/>
              </w:rPr>
            </w:pPr>
            <w:r w:rsidRPr="00B448CC">
              <w:rPr>
                <w:rFonts w:cs="Arial"/>
                <w:color w:val="000000"/>
                <w:sz w:val="16"/>
                <w:szCs w:val="16"/>
              </w:rPr>
              <w:t>3 884</w:t>
            </w:r>
          </w:p>
        </w:tc>
      </w:tr>
    </w:tbl>
    <w:p w14:paraId="096DBBB4" w14:textId="0EEDC766" w:rsidR="00F95E7C" w:rsidRDefault="00F95E7C" w:rsidP="00C42829">
      <w:pPr>
        <w:spacing w:before="120" w:after="120"/>
        <w:rPr>
          <w:sz w:val="16"/>
        </w:rPr>
      </w:pPr>
      <w:r>
        <w:rPr>
          <w:sz w:val="16"/>
        </w:rPr>
        <w:t>Pozn.: Přerušení v časové řadě.</w:t>
      </w:r>
    </w:p>
    <w:p w14:paraId="6766FA24" w14:textId="769DDE0F" w:rsidR="00C42829" w:rsidRPr="00B448CC" w:rsidRDefault="00C42829" w:rsidP="00C42829">
      <w:pPr>
        <w:spacing w:before="120" w:after="120"/>
        <w:rPr>
          <w:sz w:val="16"/>
        </w:rPr>
      </w:pPr>
      <w:r w:rsidRPr="00B448CC">
        <w:rPr>
          <w:sz w:val="16"/>
        </w:rPr>
        <w:t>Zdroj: ČSÚ</w:t>
      </w:r>
    </w:p>
    <w:p w14:paraId="437C0280" w14:textId="2535EF00" w:rsidR="005A02C9" w:rsidRDefault="00996160" w:rsidP="005A02C9">
      <w:pPr>
        <w:spacing w:before="120" w:after="120"/>
        <w:jc w:val="both"/>
      </w:pPr>
      <w:r w:rsidRPr="00996160">
        <w:t>P</w:t>
      </w:r>
      <w:r w:rsidR="00C42829" w:rsidRPr="00996160">
        <w:t>očet kalendářních dnů dočasné pracovní neschopnosti</w:t>
      </w:r>
      <w:r w:rsidR="00C42829" w:rsidRPr="00996160">
        <w:rPr>
          <w:b/>
        </w:rPr>
        <w:t xml:space="preserve"> </w:t>
      </w:r>
      <w:r w:rsidR="00C42829" w:rsidRPr="00996160">
        <w:t xml:space="preserve">meziročně </w:t>
      </w:r>
      <w:r w:rsidRPr="00996160">
        <w:t>poklesl z 94 950 tis. prostonaných dnů v roce 2021 na</w:t>
      </w:r>
      <w:r w:rsidR="001E4182" w:rsidRPr="00996160">
        <w:t xml:space="preserve"> 9</w:t>
      </w:r>
      <w:r w:rsidRPr="00996160">
        <w:t>1</w:t>
      </w:r>
      <w:r w:rsidR="001E4182" w:rsidRPr="00996160">
        <w:t> </w:t>
      </w:r>
      <w:r w:rsidRPr="00996160">
        <w:t>064</w:t>
      </w:r>
      <w:r w:rsidR="001E4182" w:rsidRPr="00996160">
        <w:t xml:space="preserve"> tis. dnů</w:t>
      </w:r>
      <w:r w:rsidRPr="00996160">
        <w:t xml:space="preserve"> v roce 2022 (tj. o 4 %)</w:t>
      </w:r>
      <w:r w:rsidR="001E4182" w:rsidRPr="00996160">
        <w:t xml:space="preserve">. </w:t>
      </w:r>
      <w:r w:rsidR="00AE4F9C">
        <w:t>P</w:t>
      </w:r>
      <w:r w:rsidR="005A02C9" w:rsidRPr="00996160">
        <w:t xml:space="preserve">očet kalendářních dnů pracovní neschopnosti pro nemoc </w:t>
      </w:r>
      <w:r w:rsidR="00AE4F9C" w:rsidRPr="00996160">
        <w:t xml:space="preserve">meziročně poklesl </w:t>
      </w:r>
      <w:r w:rsidR="00AE4F9C">
        <w:t>o 4 mil</w:t>
      </w:r>
      <w:r w:rsidR="005A02C9" w:rsidRPr="00996160">
        <w:t>. Poč</w:t>
      </w:r>
      <w:r w:rsidR="005A02C9">
        <w:t>e</w:t>
      </w:r>
      <w:r w:rsidR="005A02C9" w:rsidRPr="00996160">
        <w:t>t dnů pracovní neschopnosti pro pracovní úrazy klesl o</w:t>
      </w:r>
      <w:r w:rsidR="005A02C9">
        <w:t> </w:t>
      </w:r>
      <w:r w:rsidR="005A02C9" w:rsidRPr="00996160">
        <w:t>94</w:t>
      </w:r>
      <w:r w:rsidR="005A02C9">
        <w:t> </w:t>
      </w:r>
      <w:r w:rsidR="005A02C9" w:rsidRPr="00996160">
        <w:t>tis., naopak poč</w:t>
      </w:r>
      <w:r w:rsidR="005A02C9">
        <w:t>e</w:t>
      </w:r>
      <w:r w:rsidR="005A02C9" w:rsidRPr="00996160">
        <w:t>t dnů pracovní neschopnosti pro mimopracovní úrazy vzrostl o 381 tis.</w:t>
      </w:r>
    </w:p>
    <w:p w14:paraId="67DD3A94" w14:textId="57C74A6E" w:rsidR="00C42829" w:rsidRDefault="00996160" w:rsidP="00C42829">
      <w:pPr>
        <w:spacing w:before="120" w:after="120"/>
        <w:jc w:val="both"/>
      </w:pPr>
      <w:r w:rsidRPr="00996160">
        <w:lastRenderedPageBreak/>
        <w:t xml:space="preserve">V porovnání s rokem 2019 však </w:t>
      </w:r>
      <w:r w:rsidR="005A02C9">
        <w:t xml:space="preserve">celkový počet dnů pracovní neschopnosti </w:t>
      </w:r>
      <w:r w:rsidRPr="00996160">
        <w:t xml:space="preserve">vzrostl téměř o 10 milionů (o 12 %). </w:t>
      </w:r>
      <w:r w:rsidR="001E4182" w:rsidRPr="00996160">
        <w:t xml:space="preserve">Mezi rokem 2019 a 2020 </w:t>
      </w:r>
      <w:r w:rsidR="005A02C9">
        <w:t xml:space="preserve">prudce </w:t>
      </w:r>
      <w:r w:rsidR="001E4182" w:rsidRPr="00996160">
        <w:t>vzrostl</w:t>
      </w:r>
      <w:r w:rsidR="00C42829" w:rsidRPr="00996160">
        <w:t xml:space="preserve"> z 81 205 tis. prostonaných dnů na 94</w:t>
      </w:r>
      <w:r w:rsidR="00ED6587" w:rsidRPr="00996160">
        <w:t> </w:t>
      </w:r>
      <w:r w:rsidR="00C42829" w:rsidRPr="00996160">
        <w:t>246 tis. dnů (tj. o 16 %).</w:t>
      </w:r>
      <w:r w:rsidR="001E4182" w:rsidRPr="00996160">
        <w:t xml:space="preserve"> </w:t>
      </w:r>
    </w:p>
    <w:p w14:paraId="12790E6E" w14:textId="6B923702" w:rsidR="008257CF" w:rsidRDefault="008257CF" w:rsidP="00C42829">
      <w:pPr>
        <w:spacing w:before="120" w:after="120"/>
        <w:jc w:val="both"/>
      </w:pPr>
      <w:r>
        <w:t xml:space="preserve">Celkový počet dnů pracovní neschopnosti za rok 2022 je zatížen duplicitami z počátku roku. Druhé pololetí už touto skutečností ovlivněno není. A tak zatímco počet případů dočasné pracovní neschopnosti se meziročně v druhých pololetích příliš neměnil (+50 tis.), počet dnů v neschopnosti poklesl o </w:t>
      </w:r>
      <w:r w:rsidR="001C6F97">
        <w:t xml:space="preserve">3,4 mil. a blížil se </w:t>
      </w:r>
      <w:proofErr w:type="spellStart"/>
      <w:r w:rsidR="001C6F97">
        <w:t>předcovidové</w:t>
      </w:r>
      <w:proofErr w:type="spellEnd"/>
      <w:r w:rsidR="001C6F97">
        <w:t xml:space="preserve"> hodnotě z 2. pol. 2019.</w:t>
      </w:r>
    </w:p>
    <w:p w14:paraId="5B0002C8" w14:textId="69DB716A" w:rsidR="008257CF" w:rsidRPr="008257CF" w:rsidRDefault="008257CF" w:rsidP="00C42829">
      <w:pPr>
        <w:spacing w:before="120" w:after="120"/>
        <w:jc w:val="both"/>
        <w:rPr>
          <w:b/>
        </w:rPr>
      </w:pPr>
      <w:r w:rsidRPr="008257CF">
        <w:rPr>
          <w:b/>
        </w:rPr>
        <w:t>Graf 2.8: Kalendářní dny dočasné pracovní neschopnosti, 2015–2022</w:t>
      </w:r>
    </w:p>
    <w:p w14:paraId="5A6FFEE7" w14:textId="5B6F7CB8" w:rsidR="008257CF" w:rsidRDefault="00FB211D" w:rsidP="00C42829">
      <w:pPr>
        <w:spacing w:before="120" w:after="120"/>
        <w:jc w:val="both"/>
      </w:pPr>
      <w:r>
        <w:rPr>
          <w:noProof/>
        </w:rPr>
        <mc:AlternateContent>
          <mc:Choice Requires="wps">
            <w:drawing>
              <wp:anchor distT="0" distB="0" distL="114300" distR="114300" simplePos="0" relativeHeight="251691520" behindDoc="0" locked="0" layoutInCell="1" allowOverlap="1" wp14:anchorId="29D047CE" wp14:editId="49A22556">
                <wp:simplePos x="0" y="0"/>
                <wp:positionH relativeFrom="column">
                  <wp:posOffset>5276850</wp:posOffset>
                </wp:positionH>
                <wp:positionV relativeFrom="paragraph">
                  <wp:posOffset>27940</wp:posOffset>
                </wp:positionV>
                <wp:extent cx="0" cy="2268000"/>
                <wp:effectExtent l="57150" t="19050" r="76200" b="37465"/>
                <wp:wrapNone/>
                <wp:docPr id="46" name="Přímá spojnice 3"/>
                <wp:cNvGraphicFramePr/>
                <a:graphic xmlns:a="http://schemas.openxmlformats.org/drawingml/2006/main">
                  <a:graphicData uri="http://schemas.microsoft.com/office/word/2010/wordprocessingShape">
                    <wps:wsp>
                      <wps:cNvCnPr/>
                      <wps:spPr>
                        <a:xfrm>
                          <a:off x="0" y="0"/>
                          <a:ext cx="0" cy="2268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2F549FD" id="Přímá spojnice 3" o:spid="_x0000_s1026" style="position:absolute;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5.5pt,2.2pt" to="415.5pt,18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" strokecolor="#c00000" strokeweight=".5pt">
                <v:stroke dashstyle="dash"/>
                <v:shadow on="t" color="black" opacity="24903f" origin=",.5" offset="0,.55556mm"/>
              </v:line>
            </w:pict>
          </mc:Fallback>
        </mc:AlternateContent>
      </w:r>
      <w:r w:rsidR="008257CF">
        <w:rPr>
          <w:noProof/>
        </w:rPr>
        <w:drawing>
          <wp:inline distT="0" distB="0" distL="0" distR="0" wp14:anchorId="0800560A" wp14:editId="484D5AA7">
            <wp:extent cx="6105525" cy="2457450"/>
            <wp:effectExtent l="0" t="0" r="9525" b="0"/>
            <wp:docPr id="20" name="Graf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1F0C71E2" w14:textId="16CEA277" w:rsidR="00FB211D" w:rsidRDefault="00FB211D" w:rsidP="008257CF">
      <w:pPr>
        <w:spacing w:before="120" w:after="120"/>
        <w:rPr>
          <w:sz w:val="16"/>
        </w:rPr>
      </w:pPr>
      <w:r>
        <w:rPr>
          <w:sz w:val="16"/>
        </w:rPr>
        <w:t>Pozn.: Přerušení v časové řadě.</w:t>
      </w:r>
    </w:p>
    <w:p w14:paraId="11ACDB7D" w14:textId="1F73D152" w:rsidR="008257CF" w:rsidRPr="00996160" w:rsidRDefault="008257CF" w:rsidP="008257CF">
      <w:pPr>
        <w:spacing w:before="120" w:after="120"/>
        <w:rPr>
          <w:sz w:val="16"/>
        </w:rPr>
      </w:pPr>
      <w:r w:rsidRPr="00996160">
        <w:rPr>
          <w:sz w:val="16"/>
        </w:rPr>
        <w:t>Zdroj: ČSÚ</w:t>
      </w:r>
    </w:p>
    <w:p w14:paraId="2D1D1DA7" w14:textId="39496E2E" w:rsidR="007C679E" w:rsidRDefault="001E4182" w:rsidP="007C4A32">
      <w:pPr>
        <w:jc w:val="both"/>
      </w:pPr>
      <w:r w:rsidRPr="00996160">
        <w:t>Většina dnů pracovní neschopnosti (8</w:t>
      </w:r>
      <w:r w:rsidR="00996160" w:rsidRPr="00996160">
        <w:t>7</w:t>
      </w:r>
      <w:r w:rsidRPr="00996160">
        <w:t xml:space="preserve"> %) je způsobena nemocí, v absolutním počtu </w:t>
      </w:r>
      <w:r w:rsidR="00996160" w:rsidRPr="00996160">
        <w:t>79 190</w:t>
      </w:r>
      <w:r w:rsidRPr="00996160">
        <w:t xml:space="preserve"> tis. za rok 202</w:t>
      </w:r>
      <w:r w:rsidR="00996160" w:rsidRPr="00996160">
        <w:t>2</w:t>
      </w:r>
      <w:r w:rsidRPr="00996160">
        <w:t xml:space="preserve">. Ženy strávily v dočasné pracovní neschopnosti celkem </w:t>
      </w:r>
      <w:r w:rsidR="00996160" w:rsidRPr="00996160">
        <w:t>49 681</w:t>
      </w:r>
      <w:r w:rsidRPr="00996160">
        <w:t xml:space="preserve"> tis. dnů, což je o </w:t>
      </w:r>
      <w:r w:rsidR="00996160" w:rsidRPr="00996160">
        <w:t>8 299</w:t>
      </w:r>
      <w:r w:rsidRPr="00996160">
        <w:t xml:space="preserve"> tis. dnů více než muži. To, že ženy stráví na neschopence delší dobu, potvrzuje i dlouhodobější vývoj průměrné délky trvání dočasné pracovní neschopnosti znázorněný v tab. 2.5 či grafu 2.</w:t>
      </w:r>
      <w:r w:rsidR="00243B43">
        <w:t>1</w:t>
      </w:r>
      <w:r w:rsidR="008257CF">
        <w:t>1</w:t>
      </w:r>
      <w:r w:rsidRPr="00996160">
        <w:t>.</w:t>
      </w:r>
    </w:p>
    <w:p w14:paraId="5114A903" w14:textId="1EA5A5A0" w:rsidR="007C4A32" w:rsidRPr="007C4A32" w:rsidRDefault="007C4A32" w:rsidP="007C4A32">
      <w:pPr>
        <w:jc w:val="both"/>
        <w:rPr>
          <w:rFonts w:cs="Arial"/>
          <w:szCs w:val="20"/>
        </w:rPr>
      </w:pPr>
      <w:r w:rsidRPr="00AE4F9C">
        <w:rPr>
          <w:rFonts w:cs="Arial"/>
          <w:szCs w:val="20"/>
        </w:rPr>
        <w:t xml:space="preserve">Ženy byly na nemocenské z důvodu nemoci o </w:t>
      </w:r>
      <w:r w:rsidR="00AE4F9C" w:rsidRPr="00AE4F9C">
        <w:rPr>
          <w:rFonts w:cs="Arial"/>
          <w:szCs w:val="20"/>
        </w:rPr>
        <w:t>10,8</w:t>
      </w:r>
      <w:r w:rsidRPr="00AE4F9C">
        <w:rPr>
          <w:rFonts w:cs="Arial"/>
          <w:szCs w:val="20"/>
        </w:rPr>
        <w:t xml:space="preserve"> milionu dní více než muži. Naopak v případě úrazů, strávili muži na nemocenské o 2,5 milionu dne více než ženy.</w:t>
      </w:r>
    </w:p>
    <w:p w14:paraId="510759FF" w14:textId="45BEE668" w:rsidR="001E4182" w:rsidRPr="00996160" w:rsidRDefault="007C679E" w:rsidP="004930CE">
      <w:pPr>
        <w:spacing w:before="120" w:after="0"/>
        <w:jc w:val="both"/>
        <w:rPr>
          <w:b/>
        </w:rPr>
      </w:pPr>
      <w:r w:rsidRPr="00996160">
        <w:rPr>
          <w:b/>
        </w:rPr>
        <w:t>Graf 2.</w:t>
      </w:r>
      <w:r w:rsidR="008257CF">
        <w:rPr>
          <w:b/>
        </w:rPr>
        <w:t>9</w:t>
      </w:r>
      <w:r w:rsidRPr="00996160">
        <w:rPr>
          <w:b/>
        </w:rPr>
        <w:t>: Kalendářní dny dočasné pracovní n</w:t>
      </w:r>
      <w:r w:rsidR="00996160" w:rsidRPr="00996160">
        <w:rPr>
          <w:b/>
        </w:rPr>
        <w:t xml:space="preserve">eschopnosti </w:t>
      </w:r>
      <w:r w:rsidR="00996160" w:rsidRPr="00F95E7C">
        <w:rPr>
          <w:b/>
          <w:u w:val="single"/>
        </w:rPr>
        <w:t>pro nemoc</w:t>
      </w:r>
      <w:r w:rsidR="00996160" w:rsidRPr="00996160">
        <w:rPr>
          <w:b/>
        </w:rPr>
        <w:t>, 2015–2022</w:t>
      </w:r>
    </w:p>
    <w:p w14:paraId="22146CAC" w14:textId="190A0BAA" w:rsidR="001E4182" w:rsidRDefault="00FB211D" w:rsidP="00C42829">
      <w:pPr>
        <w:spacing w:before="120" w:after="120"/>
        <w:jc w:val="both"/>
        <w:rPr>
          <w:highlight w:val="yellow"/>
        </w:rPr>
      </w:pPr>
      <w:r>
        <w:rPr>
          <w:noProof/>
        </w:rPr>
        <mc:AlternateContent>
          <mc:Choice Requires="wps">
            <w:drawing>
              <wp:anchor distT="0" distB="0" distL="114300" distR="114300" simplePos="0" relativeHeight="251693568" behindDoc="0" locked="0" layoutInCell="1" allowOverlap="1" wp14:anchorId="6BE85679" wp14:editId="0C1AACAD">
                <wp:simplePos x="0" y="0"/>
                <wp:positionH relativeFrom="column">
                  <wp:posOffset>5242560</wp:posOffset>
                </wp:positionH>
                <wp:positionV relativeFrom="paragraph">
                  <wp:posOffset>107950</wp:posOffset>
                </wp:positionV>
                <wp:extent cx="0" cy="2160000"/>
                <wp:effectExtent l="57150" t="19050" r="76200" b="88265"/>
                <wp:wrapNone/>
                <wp:docPr id="47" name="Přímá spojnice 3"/>
                <wp:cNvGraphicFramePr/>
                <a:graphic xmlns:a="http://schemas.openxmlformats.org/drawingml/2006/main">
                  <a:graphicData uri="http://schemas.microsoft.com/office/word/2010/wordprocessingShape">
                    <wps:wsp>
                      <wps:cNvCnPr/>
                      <wps:spPr>
                        <a:xfrm>
                          <a:off x="0" y="0"/>
                          <a:ext cx="0" cy="2160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CE59EBD" id="Přímá spojnice 3" o:spid="_x0000_s1026" style="position:absolute;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2.8pt,8.5pt" to="412.8pt,17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" strokecolor="#c00000" strokeweight=".5pt">
                <v:stroke dashstyle="dash"/>
                <v:shadow on="t" color="black" opacity="24903f" origin=",.5" offset="0,.55556mm"/>
              </v:line>
            </w:pict>
          </mc:Fallback>
        </mc:AlternateContent>
      </w:r>
      <w:r w:rsidR="00996160">
        <w:rPr>
          <w:noProof/>
        </w:rPr>
        <w:drawing>
          <wp:inline distT="0" distB="0" distL="0" distR="0" wp14:anchorId="68DA5EA9" wp14:editId="54B732E4">
            <wp:extent cx="6086475" cy="2562225"/>
            <wp:effectExtent l="0" t="0" r="9525" b="9525"/>
            <wp:docPr id="59" name="Graf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BA41738" w14:textId="77777777" w:rsidR="00FB211D" w:rsidRDefault="00FB211D" w:rsidP="00FB211D">
      <w:pPr>
        <w:spacing w:before="120" w:after="120"/>
        <w:rPr>
          <w:sz w:val="16"/>
        </w:rPr>
      </w:pPr>
      <w:r>
        <w:rPr>
          <w:sz w:val="16"/>
        </w:rPr>
        <w:t>Pozn.: Přerušení v časové řadě.</w:t>
      </w:r>
    </w:p>
    <w:p w14:paraId="0499BE95" w14:textId="77777777" w:rsidR="007C679E" w:rsidRPr="00996160" w:rsidRDefault="007C679E" w:rsidP="007C679E">
      <w:pPr>
        <w:spacing w:before="120" w:after="120"/>
        <w:rPr>
          <w:sz w:val="16"/>
        </w:rPr>
      </w:pPr>
      <w:r w:rsidRPr="00996160">
        <w:rPr>
          <w:sz w:val="16"/>
        </w:rPr>
        <w:t>Zdroj: ČSÚ</w:t>
      </w:r>
    </w:p>
    <w:p w14:paraId="1931012B" w14:textId="01E73CB1" w:rsidR="007C679E" w:rsidRPr="006808EA" w:rsidRDefault="007C679E" w:rsidP="007C679E">
      <w:pPr>
        <w:spacing w:before="120" w:after="120"/>
        <w:jc w:val="both"/>
      </w:pPr>
      <w:r w:rsidRPr="006808EA">
        <w:lastRenderedPageBreak/>
        <w:t>Počet prostonaných dnů v jednotlivých pololetích dokresluje tvrzení o značně vyšším počtu nahlášených případů pro nemoc během první poloviny roku. Největší rozdíl mezi 1. a 2. pololetím byl do roku 2021 zaznamenán v roce 2017 a činil 4,4 mil. dnů. Postupně se však snižoval. Ve druhém pololetí roku 2019 se počet dnů v pracovní neschopnosti zvýšil z důvodu zrušení karenční doby. V roce 2020 se počet dnů v pracovní neschopnosti pro nemoc v 1. a 2. pololetí lišil pouze o 800 tis. Graf 2.</w:t>
      </w:r>
      <w:r w:rsidR="008257CF">
        <w:t>9</w:t>
      </w:r>
      <w:r w:rsidRPr="006808EA">
        <w:t xml:space="preserve"> dále </w:t>
      </w:r>
      <w:r w:rsidR="008011B2" w:rsidRPr="006808EA">
        <w:t xml:space="preserve">ilustruje </w:t>
      </w:r>
      <w:r w:rsidRPr="006808EA">
        <w:t>skokový nárůst počtu kalendářních dnů pracovní neschopnosti pro nemoc mezi rokem 2019 a 2020.</w:t>
      </w:r>
    </w:p>
    <w:p w14:paraId="08069A74" w14:textId="2110699C" w:rsidR="007C679E" w:rsidRPr="000107D1" w:rsidRDefault="007C679E" w:rsidP="007C679E">
      <w:pPr>
        <w:spacing w:before="120" w:after="120"/>
        <w:jc w:val="both"/>
      </w:pPr>
      <w:r w:rsidRPr="006808EA">
        <w:t xml:space="preserve">V roce 2021 byl rozdíl v počtu dnů pracovní neschopnosti </w:t>
      </w:r>
      <w:r w:rsidR="005B348D" w:rsidRPr="006808EA">
        <w:t xml:space="preserve">pro nemoc </w:t>
      </w:r>
      <w:r w:rsidRPr="006808EA">
        <w:t xml:space="preserve">mezi první a druhou polovinou roku více než 7 mil. dnů. V prvním pololetí bylo vykázáno </w:t>
      </w:r>
      <w:r w:rsidR="005B348D" w:rsidRPr="006808EA">
        <w:t>45</w:t>
      </w:r>
      <w:r w:rsidRPr="006808EA">
        <w:t xml:space="preserve"> mil. dnů pracovní neschopnosti, v druhém pololetí </w:t>
      </w:r>
      <w:r w:rsidR="005B348D" w:rsidRPr="006808EA">
        <w:t>38</w:t>
      </w:r>
      <w:r w:rsidRPr="006808EA">
        <w:t xml:space="preserve"> mil. Dá se usuzovat, že za nárůstem v </w:t>
      </w:r>
      <w:r w:rsidR="008011B2" w:rsidRPr="006808EA">
        <w:t>1.</w:t>
      </w:r>
      <w:r w:rsidRPr="006808EA">
        <w:t xml:space="preserve"> pol. 2021 stojí případy </w:t>
      </w:r>
      <w:r w:rsidR="001D17A2" w:rsidRPr="006808EA">
        <w:t>související s onemocněním covid</w:t>
      </w:r>
      <w:r w:rsidR="000D255B" w:rsidRPr="006808EA">
        <w:t>-19</w:t>
      </w:r>
      <w:r w:rsidR="001D17A2" w:rsidRPr="006808EA">
        <w:t>, konkrétně i</w:t>
      </w:r>
      <w:r w:rsidR="009043BF" w:rsidRPr="006808EA">
        <w:t> </w:t>
      </w:r>
      <w:r w:rsidR="001D17A2" w:rsidRPr="006808EA">
        <w:t>opatření proti šíření nákazy, změny v nárocích na testy, doba trvání karantény, odlišné podmínky pro očkované a neočkované apod.</w:t>
      </w:r>
      <w:r w:rsidRPr="006808EA">
        <w:t xml:space="preserve"> </w:t>
      </w:r>
      <w:r w:rsidR="006808EA" w:rsidRPr="006808EA">
        <w:t xml:space="preserve">Počet kalendářních dnů pro nemoc v 1. pol. 2022 oproti situaci před rokem víceméně stagnoval, ovšem je potřeba připomenout, že tento počet zahrnuje duplicity z kraje roku 2022. Počet </w:t>
      </w:r>
      <w:r w:rsidR="006808EA" w:rsidRPr="000107D1">
        <w:t>v druhém pololetí roku 2022 už je meziročně o 3,3 miliony nižší.</w:t>
      </w:r>
    </w:p>
    <w:p w14:paraId="1B5AACC0" w14:textId="519F576F" w:rsidR="004930CE" w:rsidRPr="00166BEB" w:rsidRDefault="007C679E" w:rsidP="005A02C9">
      <w:pPr>
        <w:spacing w:before="120" w:after="120"/>
        <w:jc w:val="both"/>
        <w:rPr>
          <w:b/>
          <w:highlight w:val="yellow"/>
        </w:rPr>
      </w:pPr>
      <w:r w:rsidRPr="000107D1">
        <w:t xml:space="preserve">Při pohledu na relativní ukazatel, který </w:t>
      </w:r>
      <w:r w:rsidR="003522A6" w:rsidRPr="000107D1">
        <w:t>představuje</w:t>
      </w:r>
      <w:r w:rsidRPr="000107D1">
        <w:t xml:space="preserve">, jak dlouho v průměru </w:t>
      </w:r>
      <w:r w:rsidRPr="000107D1">
        <w:rPr>
          <w:b/>
        </w:rPr>
        <w:t>trval 1 případ pracovní neschopnosti pro nemoc</w:t>
      </w:r>
      <w:r w:rsidR="00603A3B" w:rsidRPr="000107D1">
        <w:t>, zjistíme, že v roce 2022</w:t>
      </w:r>
      <w:r w:rsidRPr="000107D1">
        <w:t xml:space="preserve"> se tato doba oproti předchozímu roku zkrátila</w:t>
      </w:r>
      <w:r w:rsidR="003E7652" w:rsidRPr="000107D1">
        <w:t xml:space="preserve"> </w:t>
      </w:r>
      <w:proofErr w:type="gramStart"/>
      <w:r w:rsidR="003E7652" w:rsidRPr="000107D1">
        <w:t>z</w:t>
      </w:r>
      <w:r w:rsidRPr="000107D1">
        <w:t>e</w:t>
      </w:r>
      <w:proofErr w:type="gramEnd"/>
      <w:r w:rsidRPr="000107D1">
        <w:t> </w:t>
      </w:r>
      <w:r w:rsidR="00603A3B" w:rsidRPr="000107D1">
        <w:t>32,7 dne na 24,4</w:t>
      </w:r>
      <w:r w:rsidRPr="000107D1">
        <w:t xml:space="preserve"> dne. </w:t>
      </w:r>
      <w:r w:rsidR="00857610" w:rsidRPr="000107D1">
        <w:t xml:space="preserve">Mezi prvními pololetími let 2020 a 2021 došlo k významnému poklesu </w:t>
      </w:r>
      <w:r w:rsidR="00635F8C">
        <w:t xml:space="preserve">trvání neschopnosti z důvodu nemoci </w:t>
      </w:r>
      <w:r w:rsidR="00857610" w:rsidRPr="000107D1">
        <w:t>z</w:t>
      </w:r>
      <w:r w:rsidR="00603A3B" w:rsidRPr="000107D1">
        <w:t>e</w:t>
      </w:r>
      <w:r w:rsidR="00857610" w:rsidRPr="000107D1">
        <w:t> 42,5 dn</w:t>
      </w:r>
      <w:r w:rsidR="00B1354B" w:rsidRPr="000107D1">
        <w:t>e na 34,8</w:t>
      </w:r>
      <w:r w:rsidR="00857610" w:rsidRPr="000107D1">
        <w:t xml:space="preserve"> dne.</w:t>
      </w:r>
      <w:r w:rsidRPr="000107D1">
        <w:t xml:space="preserve"> Dá se říci, že </w:t>
      </w:r>
      <w:r w:rsidR="00C1447E" w:rsidRPr="000107D1">
        <w:t>bezprecedentně narostlo zastoupení</w:t>
      </w:r>
      <w:r w:rsidRPr="000107D1">
        <w:t xml:space="preserve"> krátkodobých pracovních neschopností </w:t>
      </w:r>
      <w:r w:rsidR="00857610" w:rsidRPr="000107D1">
        <w:t>kvůli</w:t>
      </w:r>
      <w:r w:rsidRPr="000107D1">
        <w:t xml:space="preserve"> nemoci, tedy vč. neschopenek z důvodu karantén.</w:t>
      </w:r>
      <w:r w:rsidR="00B1354B" w:rsidRPr="000107D1">
        <w:t xml:space="preserve"> </w:t>
      </w:r>
      <w:r w:rsidR="001D17A2" w:rsidRPr="000107D1">
        <w:t xml:space="preserve">Během podzimu </w:t>
      </w:r>
      <w:r w:rsidR="005F43BA">
        <w:t xml:space="preserve">2021 </w:t>
      </w:r>
      <w:r w:rsidR="001D17A2" w:rsidRPr="000107D1">
        <w:t xml:space="preserve">zasáhla republiku vlna epidemie, přičemž vrchol v počtu pozitivních případů nákazy za den </w:t>
      </w:r>
      <w:r w:rsidR="00BB7752" w:rsidRPr="000107D1">
        <w:t xml:space="preserve">překonal 27 tis. </w:t>
      </w:r>
      <w:r w:rsidR="00EB1DED" w:rsidRPr="000107D1">
        <w:t xml:space="preserve">Zkrácení průměrné délky trvání pracovní neschopnosti mezi druhými pololetími 2020 a 2021 již nebylo tak dramatické, protože </w:t>
      </w:r>
      <w:r w:rsidR="00BB7752" w:rsidRPr="000107D1">
        <w:t xml:space="preserve">průměrná doba na </w:t>
      </w:r>
      <w:r w:rsidR="00CB68DD" w:rsidRPr="000107D1">
        <w:t>neschopence</w:t>
      </w:r>
      <w:r w:rsidR="00BB7752" w:rsidRPr="000107D1">
        <w:t xml:space="preserve"> pro nemoc byla</w:t>
      </w:r>
      <w:r w:rsidR="00D50EF1" w:rsidRPr="000107D1">
        <w:t xml:space="preserve"> pandemií značně ovlivněná už </w:t>
      </w:r>
      <w:r w:rsidR="00BB7752" w:rsidRPr="000107D1">
        <w:t>v 2.</w:t>
      </w:r>
      <w:r w:rsidR="00A5543F">
        <w:t> </w:t>
      </w:r>
      <w:r w:rsidR="00BB7752" w:rsidRPr="000107D1">
        <w:t>pol.</w:t>
      </w:r>
      <w:r w:rsidR="00A5543F">
        <w:t> </w:t>
      </w:r>
      <w:r w:rsidR="00BB7752" w:rsidRPr="000107D1">
        <w:t>2020. N</w:t>
      </w:r>
      <w:r w:rsidR="00EB1DED" w:rsidRPr="000107D1">
        <w:t xml:space="preserve">a podzim 2020 </w:t>
      </w:r>
      <w:r w:rsidR="00BB7752" w:rsidRPr="000107D1">
        <w:t xml:space="preserve">přibývalo více než 10 tis. nových případů nákazy </w:t>
      </w:r>
      <w:proofErr w:type="spellStart"/>
      <w:r w:rsidR="00BB7752" w:rsidRPr="000107D1">
        <w:t>covidem</w:t>
      </w:r>
      <w:proofErr w:type="spellEnd"/>
      <w:r w:rsidR="00BB7752" w:rsidRPr="000107D1">
        <w:t xml:space="preserve"> denně. </w:t>
      </w:r>
    </w:p>
    <w:p w14:paraId="2A6E1FFE" w14:textId="6057E726" w:rsidR="007C679E" w:rsidRPr="00603A3B" w:rsidRDefault="00B1354B" w:rsidP="004930CE">
      <w:pPr>
        <w:spacing w:before="120" w:after="0"/>
        <w:jc w:val="both"/>
        <w:rPr>
          <w:b/>
        </w:rPr>
      </w:pPr>
      <w:r w:rsidRPr="00603A3B">
        <w:rPr>
          <w:b/>
        </w:rPr>
        <w:t>Graf 2.</w:t>
      </w:r>
      <w:r w:rsidR="008257CF">
        <w:rPr>
          <w:b/>
        </w:rPr>
        <w:t>10</w:t>
      </w:r>
      <w:r w:rsidRPr="00603A3B">
        <w:rPr>
          <w:b/>
        </w:rPr>
        <w:t xml:space="preserve">: Průměrná délka trvání dočasné pracovní neschopnosti </w:t>
      </w:r>
      <w:r w:rsidRPr="00FB211D">
        <w:rPr>
          <w:b/>
          <w:u w:val="single"/>
        </w:rPr>
        <w:t xml:space="preserve">pro </w:t>
      </w:r>
      <w:r w:rsidR="00603A3B" w:rsidRPr="00FB211D">
        <w:rPr>
          <w:b/>
          <w:u w:val="single"/>
        </w:rPr>
        <w:t>nemoc</w:t>
      </w:r>
      <w:r w:rsidR="00603A3B" w:rsidRPr="00603A3B">
        <w:rPr>
          <w:b/>
        </w:rPr>
        <w:t>, 2015–2022</w:t>
      </w:r>
    </w:p>
    <w:p w14:paraId="5DCE0D7E" w14:textId="003F863E" w:rsidR="00896E98" w:rsidRPr="00166BEB" w:rsidRDefault="00FB211D" w:rsidP="008F77F4">
      <w:pPr>
        <w:spacing w:before="120" w:after="120"/>
        <w:jc w:val="both"/>
        <w:rPr>
          <w:rFonts w:cs="Arial"/>
          <w:color w:val="000000"/>
          <w:szCs w:val="16"/>
          <w:highlight w:val="yellow"/>
        </w:rPr>
      </w:pPr>
      <w:r>
        <w:rPr>
          <w:noProof/>
        </w:rPr>
        <mc:AlternateContent>
          <mc:Choice Requires="wps">
            <w:drawing>
              <wp:anchor distT="0" distB="0" distL="114300" distR="114300" simplePos="0" relativeHeight="251695616" behindDoc="0" locked="0" layoutInCell="1" allowOverlap="1" wp14:anchorId="2B68131E" wp14:editId="68F87CB0">
                <wp:simplePos x="0" y="0"/>
                <wp:positionH relativeFrom="column">
                  <wp:posOffset>5229225</wp:posOffset>
                </wp:positionH>
                <wp:positionV relativeFrom="paragraph">
                  <wp:posOffset>114300</wp:posOffset>
                </wp:positionV>
                <wp:extent cx="0" cy="2412000"/>
                <wp:effectExtent l="38100" t="19050" r="57150" b="83820"/>
                <wp:wrapNone/>
                <wp:docPr id="48" name="Přímá spojnice 3"/>
                <wp:cNvGraphicFramePr/>
                <a:graphic xmlns:a="http://schemas.openxmlformats.org/drawingml/2006/main">
                  <a:graphicData uri="http://schemas.microsoft.com/office/word/2010/wordprocessingShape">
                    <wps:wsp>
                      <wps:cNvCnPr/>
                      <wps:spPr>
                        <a:xfrm>
                          <a:off x="0" y="0"/>
                          <a:ext cx="0" cy="2412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5CA69C9" id="Přímá spojnice 3" o:spid="_x0000_s1026" style="position:absolute;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1.75pt,9pt" to="411.75pt,19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" strokecolor="#c00000" strokeweight=".5pt">
                <v:stroke dashstyle="dash"/>
                <v:shadow on="t" color="black" opacity="24903f" origin=",.5" offset="0,.55556mm"/>
              </v:line>
            </w:pict>
          </mc:Fallback>
        </mc:AlternateContent>
      </w:r>
      <w:r w:rsidR="00603A3B">
        <w:rPr>
          <w:noProof/>
        </w:rPr>
        <w:drawing>
          <wp:inline distT="0" distB="0" distL="0" distR="0" wp14:anchorId="64AF98DA" wp14:editId="5C552C81">
            <wp:extent cx="6066000" cy="2736000"/>
            <wp:effectExtent l="0" t="0" r="11430" b="7620"/>
            <wp:docPr id="60" name="Graf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5C2951D2" w14:textId="02DA7D4F" w:rsidR="00FB211D" w:rsidRDefault="00FB211D" w:rsidP="00B1354B">
      <w:pPr>
        <w:spacing w:before="120" w:after="120"/>
        <w:rPr>
          <w:sz w:val="16"/>
        </w:rPr>
      </w:pPr>
      <w:r>
        <w:rPr>
          <w:sz w:val="16"/>
        </w:rPr>
        <w:t>Pozn.: Přerušení v časové řadě.</w:t>
      </w:r>
    </w:p>
    <w:p w14:paraId="44E879C8" w14:textId="3B23816F" w:rsidR="00B1354B" w:rsidRPr="00603A3B" w:rsidRDefault="00B1354B" w:rsidP="00B1354B">
      <w:pPr>
        <w:spacing w:before="120" w:after="120"/>
        <w:rPr>
          <w:sz w:val="16"/>
        </w:rPr>
      </w:pPr>
      <w:r w:rsidRPr="00603A3B">
        <w:rPr>
          <w:sz w:val="16"/>
        </w:rPr>
        <w:t>Zdroj: ČSÚ</w:t>
      </w:r>
    </w:p>
    <w:p w14:paraId="293A9866" w14:textId="76637341" w:rsidR="00FB211D" w:rsidRDefault="00053C77" w:rsidP="00FB211D">
      <w:pPr>
        <w:spacing w:after="0"/>
        <w:jc w:val="both"/>
      </w:pPr>
      <w:r>
        <w:t xml:space="preserve">Mezi lety 2010 a 2019 </w:t>
      </w:r>
      <w:r w:rsidR="004F78D7">
        <w:t xml:space="preserve">byla průměrná </w:t>
      </w:r>
      <w:r w:rsidR="009A5980">
        <w:t>délka trvání</w:t>
      </w:r>
      <w:r w:rsidR="004F78D7">
        <w:t xml:space="preserve"> pracovní neschopnosti </w:t>
      </w:r>
      <w:r w:rsidR="00BD6D2F">
        <w:t xml:space="preserve">vždy </w:t>
      </w:r>
      <w:r w:rsidR="004F78D7">
        <w:t>delší než 40 dnů.</w:t>
      </w:r>
      <w:r>
        <w:t xml:space="preserve"> Od té doby se počet dnů v pracovní neschopnosti setrvale snižuje. Meziročně se doba v pracovní neschopnosti zkrátila o více než 8 dní, a sice </w:t>
      </w:r>
      <w:proofErr w:type="gramStart"/>
      <w:r>
        <w:t>ze</w:t>
      </w:r>
      <w:proofErr w:type="gramEnd"/>
      <w:r>
        <w:t xml:space="preserve"> 35 v roce 2021 na 26 dnů v roce 2022</w:t>
      </w:r>
      <w:r w:rsidR="00095403">
        <w:t xml:space="preserve"> </w:t>
      </w:r>
      <w:r w:rsidR="00095403" w:rsidRPr="009A5980">
        <w:rPr>
          <w:rFonts w:cs="Arial"/>
          <w:szCs w:val="20"/>
        </w:rPr>
        <w:t>a v porovnání s rokem 2012 dokonce o</w:t>
      </w:r>
      <w:r w:rsidR="00A5543F">
        <w:rPr>
          <w:rFonts w:cs="Arial"/>
          <w:szCs w:val="20"/>
        </w:rPr>
        <w:t> </w:t>
      </w:r>
      <w:r w:rsidR="00095403" w:rsidRPr="009A5980">
        <w:rPr>
          <w:rFonts w:cs="Arial"/>
          <w:szCs w:val="20"/>
        </w:rPr>
        <w:t>20</w:t>
      </w:r>
      <w:r w:rsidR="00A5543F">
        <w:rPr>
          <w:rFonts w:cs="Arial"/>
          <w:szCs w:val="20"/>
        </w:rPr>
        <w:t> </w:t>
      </w:r>
      <w:r w:rsidR="00095403" w:rsidRPr="009A5980">
        <w:rPr>
          <w:rFonts w:cs="Arial"/>
          <w:szCs w:val="20"/>
        </w:rPr>
        <w:t>dní.</w:t>
      </w:r>
      <w:r w:rsidR="00B1354B" w:rsidRPr="000107D1">
        <w:t xml:space="preserve"> </w:t>
      </w:r>
    </w:p>
    <w:p w14:paraId="6EDA5DD9" w14:textId="77777777" w:rsidR="00FB211D" w:rsidRDefault="00FB211D" w:rsidP="00FB211D">
      <w:pPr>
        <w:spacing w:after="0"/>
        <w:jc w:val="both"/>
      </w:pPr>
    </w:p>
    <w:p w14:paraId="796048AC" w14:textId="3F49EFA1" w:rsidR="00FB211D" w:rsidRDefault="00B1354B" w:rsidP="009A5980">
      <w:pPr>
        <w:spacing w:after="0"/>
        <w:jc w:val="both"/>
      </w:pPr>
      <w:r w:rsidRPr="000107D1">
        <w:rPr>
          <w:b/>
        </w:rPr>
        <w:t>Nemoc</w:t>
      </w:r>
      <w:r w:rsidR="00544FC7">
        <w:rPr>
          <w:b/>
        </w:rPr>
        <w:t>i</w:t>
      </w:r>
      <w:r w:rsidR="000107D1" w:rsidRPr="000107D1">
        <w:t xml:space="preserve"> v roce 2022</w:t>
      </w:r>
      <w:r w:rsidRPr="000107D1">
        <w:t xml:space="preserve"> způsobil</w:t>
      </w:r>
      <w:r w:rsidR="00544FC7">
        <w:t>y</w:t>
      </w:r>
      <w:r w:rsidRPr="000107D1">
        <w:t xml:space="preserve"> pracovní neschopnost</w:t>
      </w:r>
      <w:r w:rsidR="00544FC7">
        <w:t>i</w:t>
      </w:r>
      <w:r w:rsidRPr="000107D1">
        <w:t xml:space="preserve"> o již zmíněné průměrné délce </w:t>
      </w:r>
      <w:r w:rsidR="00544FC7">
        <w:t>24</w:t>
      </w:r>
      <w:r w:rsidR="00544FC7" w:rsidRPr="000107D1">
        <w:t xml:space="preserve"> </w:t>
      </w:r>
      <w:r w:rsidRPr="000107D1">
        <w:t>dnů, neschopnost</w:t>
      </w:r>
      <w:r w:rsidR="00544FC7">
        <w:t>i</w:t>
      </w:r>
      <w:r w:rsidRPr="000107D1">
        <w:t xml:space="preserve"> pro </w:t>
      </w:r>
      <w:r w:rsidRPr="000107D1">
        <w:rPr>
          <w:b/>
        </w:rPr>
        <w:t>pracovní i mimopracovní úraz</w:t>
      </w:r>
      <w:r w:rsidR="00544FC7">
        <w:rPr>
          <w:b/>
        </w:rPr>
        <w:t>y</w:t>
      </w:r>
      <w:r w:rsidRPr="000107D1">
        <w:t xml:space="preserve"> trval</w:t>
      </w:r>
      <w:r w:rsidR="00544FC7">
        <w:t>y</w:t>
      </w:r>
      <w:r w:rsidRPr="000107D1">
        <w:t xml:space="preserve"> </w:t>
      </w:r>
      <w:r w:rsidR="004B4ABA" w:rsidRPr="000107D1">
        <w:t>zhruba</w:t>
      </w:r>
      <w:r w:rsidRPr="000107D1">
        <w:t xml:space="preserve"> o </w:t>
      </w:r>
      <w:r w:rsidR="000107D1" w:rsidRPr="000107D1">
        <w:t>30</w:t>
      </w:r>
      <w:r w:rsidR="00ED6587" w:rsidRPr="000107D1">
        <w:t> </w:t>
      </w:r>
      <w:r w:rsidRPr="000107D1">
        <w:t>dnů déle.</w:t>
      </w:r>
      <w:r w:rsidR="00A841B0">
        <w:t xml:space="preserve"> </w:t>
      </w:r>
      <w:r w:rsidR="00A841B0" w:rsidRPr="009A5980">
        <w:t>Průměrná délka trvání pracovního úrazu činila 56 dní.</w:t>
      </w:r>
      <w:r w:rsidR="00FB211D">
        <w:br w:type="page"/>
      </w:r>
    </w:p>
    <w:p w14:paraId="598D8F99" w14:textId="7580C2EA" w:rsidR="00361897" w:rsidRPr="00C459A3" w:rsidRDefault="00FB211D" w:rsidP="00F77360">
      <w:pPr>
        <w:spacing w:before="120" w:after="0"/>
        <w:jc w:val="both"/>
        <w:rPr>
          <w:b/>
          <w:bCs/>
        </w:rPr>
      </w:pPr>
      <w:r>
        <w:rPr>
          <w:noProof/>
        </w:rPr>
        <w:lastRenderedPageBreak/>
        <mc:AlternateContent>
          <mc:Choice Requires="wps">
            <w:drawing>
              <wp:anchor distT="0" distB="0" distL="114300" distR="114300" simplePos="0" relativeHeight="251697664" behindDoc="0" locked="0" layoutInCell="1" allowOverlap="1" wp14:anchorId="1C2D3200" wp14:editId="2DCCBA19">
                <wp:simplePos x="0" y="0"/>
                <wp:positionH relativeFrom="column">
                  <wp:posOffset>5614035</wp:posOffset>
                </wp:positionH>
                <wp:positionV relativeFrom="paragraph">
                  <wp:posOffset>137160</wp:posOffset>
                </wp:positionV>
                <wp:extent cx="0" cy="864000"/>
                <wp:effectExtent l="57150" t="19050" r="76200" b="88900"/>
                <wp:wrapNone/>
                <wp:docPr id="50" name="Přímá spojnice 3"/>
                <wp:cNvGraphicFramePr/>
                <a:graphic xmlns:a="http://schemas.openxmlformats.org/drawingml/2006/main">
                  <a:graphicData uri="http://schemas.microsoft.com/office/word/2010/wordprocessingShape">
                    <wps:wsp>
                      <wps:cNvCnPr/>
                      <wps:spPr>
                        <a:xfrm>
                          <a:off x="0" y="0"/>
                          <a:ext cx="0" cy="864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8CCB14" id="Přímá spojnice 3" o:spid="_x0000_s1026" style="position:absolute;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05pt,10.8pt" to="442.05pt,7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" strokecolor="#c00000" strokeweight=".5pt">
                <v:stroke dashstyle="dash"/>
                <v:shadow on="t" color="black" opacity="24903f" origin=",.5" offset="0,.55556mm"/>
              </v:line>
            </w:pict>
          </mc:Fallback>
        </mc:AlternateContent>
      </w:r>
      <w:r w:rsidR="00B1354B" w:rsidRPr="00C459A3">
        <w:rPr>
          <w:b/>
          <w:bCs/>
        </w:rPr>
        <w:t>Tab. 2.5: Průměrná délka trvání dočasné pracovní neschopnosti podle pohlaví, 201</w:t>
      </w:r>
      <w:r w:rsidR="00C459A3" w:rsidRPr="00C459A3">
        <w:rPr>
          <w:b/>
          <w:bCs/>
        </w:rPr>
        <w:t>2–2022</w:t>
      </w:r>
    </w:p>
    <w:tbl>
      <w:tblPr>
        <w:tblW w:w="9635" w:type="dxa"/>
        <w:tblCellMar>
          <w:left w:w="70" w:type="dxa"/>
          <w:right w:w="70" w:type="dxa"/>
        </w:tblCellMar>
        <w:tblLook w:val="04A0" w:firstRow="1" w:lastRow="0" w:firstColumn="1" w:lastColumn="0" w:noHBand="0" w:noVBand="1"/>
      </w:tblPr>
      <w:tblGrid>
        <w:gridCol w:w="907"/>
        <w:gridCol w:w="794"/>
        <w:gridCol w:w="794"/>
        <w:gridCol w:w="794"/>
        <w:gridCol w:w="794"/>
        <w:gridCol w:w="794"/>
        <w:gridCol w:w="794"/>
        <w:gridCol w:w="794"/>
        <w:gridCol w:w="794"/>
        <w:gridCol w:w="794"/>
        <w:gridCol w:w="791"/>
        <w:gridCol w:w="791"/>
      </w:tblGrid>
      <w:tr w:rsidR="00C459A3" w:rsidRPr="00C459A3" w14:paraId="11991EEA" w14:textId="06CE7C8B" w:rsidTr="00C459A3">
        <w:trPr>
          <w:trHeight w:val="300"/>
        </w:trPr>
        <w:tc>
          <w:tcPr>
            <w:tcW w:w="907" w:type="dxa"/>
            <w:tcBorders>
              <w:top w:val="single" w:sz="4" w:space="0" w:color="auto"/>
              <w:left w:val="nil"/>
              <w:bottom w:val="single" w:sz="4" w:space="0" w:color="auto"/>
              <w:right w:val="single" w:sz="4" w:space="0" w:color="auto"/>
            </w:tcBorders>
            <w:shd w:val="clear" w:color="000000" w:fill="F5DADD"/>
            <w:vAlign w:val="center"/>
            <w:hideMark/>
          </w:tcPr>
          <w:p w14:paraId="26CAC8A9" w14:textId="77777777" w:rsidR="00C459A3" w:rsidRPr="00C459A3" w:rsidRDefault="00C459A3" w:rsidP="00C459A3">
            <w:pPr>
              <w:spacing w:after="0" w:line="240" w:lineRule="auto"/>
              <w:jc w:val="center"/>
              <w:rPr>
                <w:rFonts w:cs="Arial"/>
                <w:sz w:val="16"/>
                <w:szCs w:val="16"/>
              </w:rPr>
            </w:pPr>
            <w:r w:rsidRPr="00C459A3">
              <w:rPr>
                <w:rFonts w:cs="Arial"/>
                <w:sz w:val="16"/>
                <w:szCs w:val="16"/>
              </w:rPr>
              <w:t>Rok</w:t>
            </w:r>
          </w:p>
        </w:tc>
        <w:tc>
          <w:tcPr>
            <w:tcW w:w="794" w:type="dxa"/>
            <w:tcBorders>
              <w:top w:val="single" w:sz="4" w:space="0" w:color="auto"/>
              <w:left w:val="nil"/>
              <w:bottom w:val="single" w:sz="4" w:space="0" w:color="auto"/>
              <w:right w:val="nil"/>
            </w:tcBorders>
            <w:shd w:val="clear" w:color="000000" w:fill="F5DADD"/>
            <w:vAlign w:val="center"/>
            <w:hideMark/>
          </w:tcPr>
          <w:p w14:paraId="01793EE7"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2012</w:t>
            </w:r>
          </w:p>
        </w:tc>
        <w:tc>
          <w:tcPr>
            <w:tcW w:w="794" w:type="dxa"/>
            <w:tcBorders>
              <w:top w:val="single" w:sz="4" w:space="0" w:color="auto"/>
              <w:left w:val="nil"/>
              <w:bottom w:val="single" w:sz="4" w:space="0" w:color="auto"/>
              <w:right w:val="nil"/>
            </w:tcBorders>
            <w:shd w:val="clear" w:color="000000" w:fill="F5DADD"/>
            <w:vAlign w:val="center"/>
            <w:hideMark/>
          </w:tcPr>
          <w:p w14:paraId="236EC63D"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2013</w:t>
            </w:r>
          </w:p>
        </w:tc>
        <w:tc>
          <w:tcPr>
            <w:tcW w:w="794" w:type="dxa"/>
            <w:tcBorders>
              <w:top w:val="single" w:sz="4" w:space="0" w:color="auto"/>
              <w:left w:val="nil"/>
              <w:bottom w:val="single" w:sz="4" w:space="0" w:color="auto"/>
              <w:right w:val="nil"/>
            </w:tcBorders>
            <w:shd w:val="clear" w:color="000000" w:fill="F5DADD"/>
            <w:vAlign w:val="center"/>
            <w:hideMark/>
          </w:tcPr>
          <w:p w14:paraId="6BB7CCFA"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2014</w:t>
            </w:r>
          </w:p>
        </w:tc>
        <w:tc>
          <w:tcPr>
            <w:tcW w:w="794" w:type="dxa"/>
            <w:tcBorders>
              <w:top w:val="single" w:sz="4" w:space="0" w:color="auto"/>
              <w:left w:val="nil"/>
              <w:bottom w:val="single" w:sz="4" w:space="0" w:color="auto"/>
              <w:right w:val="nil"/>
            </w:tcBorders>
            <w:shd w:val="clear" w:color="000000" w:fill="F5DADD"/>
            <w:vAlign w:val="center"/>
            <w:hideMark/>
          </w:tcPr>
          <w:p w14:paraId="053F8EB8"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2015</w:t>
            </w:r>
          </w:p>
        </w:tc>
        <w:tc>
          <w:tcPr>
            <w:tcW w:w="794" w:type="dxa"/>
            <w:tcBorders>
              <w:top w:val="single" w:sz="4" w:space="0" w:color="auto"/>
              <w:left w:val="nil"/>
              <w:bottom w:val="single" w:sz="4" w:space="0" w:color="auto"/>
              <w:right w:val="nil"/>
            </w:tcBorders>
            <w:shd w:val="clear" w:color="000000" w:fill="F5DADD"/>
            <w:vAlign w:val="center"/>
            <w:hideMark/>
          </w:tcPr>
          <w:p w14:paraId="7252D653"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2016</w:t>
            </w:r>
          </w:p>
        </w:tc>
        <w:tc>
          <w:tcPr>
            <w:tcW w:w="794" w:type="dxa"/>
            <w:tcBorders>
              <w:top w:val="single" w:sz="4" w:space="0" w:color="auto"/>
              <w:left w:val="nil"/>
              <w:bottom w:val="single" w:sz="4" w:space="0" w:color="auto"/>
              <w:right w:val="nil"/>
            </w:tcBorders>
            <w:shd w:val="clear" w:color="000000" w:fill="F5DADD"/>
            <w:vAlign w:val="center"/>
            <w:hideMark/>
          </w:tcPr>
          <w:p w14:paraId="6EF511CE"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2017</w:t>
            </w:r>
          </w:p>
        </w:tc>
        <w:tc>
          <w:tcPr>
            <w:tcW w:w="794" w:type="dxa"/>
            <w:tcBorders>
              <w:top w:val="single" w:sz="4" w:space="0" w:color="auto"/>
              <w:left w:val="nil"/>
              <w:bottom w:val="single" w:sz="4" w:space="0" w:color="auto"/>
              <w:right w:val="nil"/>
            </w:tcBorders>
            <w:shd w:val="clear" w:color="000000" w:fill="F5DADD"/>
            <w:vAlign w:val="center"/>
            <w:hideMark/>
          </w:tcPr>
          <w:p w14:paraId="4AB8FC27"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2018</w:t>
            </w:r>
          </w:p>
        </w:tc>
        <w:tc>
          <w:tcPr>
            <w:tcW w:w="794" w:type="dxa"/>
            <w:tcBorders>
              <w:top w:val="single" w:sz="4" w:space="0" w:color="auto"/>
              <w:left w:val="nil"/>
              <w:bottom w:val="single" w:sz="4" w:space="0" w:color="auto"/>
              <w:right w:val="nil"/>
            </w:tcBorders>
            <w:shd w:val="clear" w:color="000000" w:fill="F5DADD"/>
            <w:vAlign w:val="center"/>
            <w:hideMark/>
          </w:tcPr>
          <w:p w14:paraId="35AE48CC" w14:textId="77777777" w:rsidR="00C459A3" w:rsidRPr="00C459A3" w:rsidRDefault="00C459A3" w:rsidP="00C459A3">
            <w:pPr>
              <w:spacing w:after="0" w:line="240" w:lineRule="auto"/>
              <w:jc w:val="center"/>
              <w:rPr>
                <w:rFonts w:cs="Arial"/>
                <w:sz w:val="16"/>
                <w:szCs w:val="16"/>
              </w:rPr>
            </w:pPr>
            <w:r w:rsidRPr="00C459A3">
              <w:rPr>
                <w:rFonts w:cs="Arial"/>
                <w:sz w:val="16"/>
                <w:szCs w:val="16"/>
              </w:rPr>
              <w:t>2019</w:t>
            </w:r>
          </w:p>
        </w:tc>
        <w:tc>
          <w:tcPr>
            <w:tcW w:w="794" w:type="dxa"/>
            <w:tcBorders>
              <w:top w:val="single" w:sz="4" w:space="0" w:color="auto"/>
              <w:left w:val="nil"/>
              <w:bottom w:val="single" w:sz="4" w:space="0" w:color="auto"/>
              <w:right w:val="nil"/>
            </w:tcBorders>
            <w:shd w:val="clear" w:color="000000" w:fill="F5DADD"/>
            <w:vAlign w:val="center"/>
            <w:hideMark/>
          </w:tcPr>
          <w:p w14:paraId="7A2B91C6" w14:textId="77777777" w:rsidR="00C459A3" w:rsidRPr="00C459A3" w:rsidRDefault="00C459A3" w:rsidP="00C459A3">
            <w:pPr>
              <w:spacing w:after="0" w:line="240" w:lineRule="auto"/>
              <w:jc w:val="center"/>
              <w:rPr>
                <w:rFonts w:cs="Arial"/>
                <w:sz w:val="16"/>
                <w:szCs w:val="16"/>
              </w:rPr>
            </w:pPr>
            <w:r w:rsidRPr="00C459A3">
              <w:rPr>
                <w:rFonts w:cs="Arial"/>
                <w:sz w:val="16"/>
                <w:szCs w:val="16"/>
              </w:rPr>
              <w:t>2020</w:t>
            </w:r>
          </w:p>
        </w:tc>
        <w:tc>
          <w:tcPr>
            <w:tcW w:w="791" w:type="dxa"/>
            <w:tcBorders>
              <w:top w:val="single" w:sz="4" w:space="0" w:color="auto"/>
              <w:left w:val="nil"/>
              <w:bottom w:val="single" w:sz="4" w:space="0" w:color="auto"/>
              <w:right w:val="nil"/>
            </w:tcBorders>
            <w:shd w:val="clear" w:color="000000" w:fill="F5DADD"/>
            <w:vAlign w:val="center"/>
          </w:tcPr>
          <w:p w14:paraId="748446B2" w14:textId="77777777" w:rsidR="00C459A3" w:rsidRPr="00C459A3" w:rsidRDefault="00C459A3" w:rsidP="00C459A3">
            <w:pPr>
              <w:spacing w:after="0" w:line="240" w:lineRule="auto"/>
              <w:jc w:val="center"/>
              <w:rPr>
                <w:rFonts w:cs="Arial"/>
                <w:sz w:val="16"/>
                <w:szCs w:val="16"/>
              </w:rPr>
            </w:pPr>
            <w:r w:rsidRPr="00C459A3">
              <w:rPr>
                <w:rFonts w:cs="Arial"/>
                <w:sz w:val="16"/>
                <w:szCs w:val="16"/>
              </w:rPr>
              <w:t>2021</w:t>
            </w:r>
          </w:p>
        </w:tc>
        <w:tc>
          <w:tcPr>
            <w:tcW w:w="791" w:type="dxa"/>
            <w:tcBorders>
              <w:top w:val="single" w:sz="4" w:space="0" w:color="auto"/>
              <w:left w:val="nil"/>
              <w:bottom w:val="single" w:sz="4" w:space="0" w:color="auto"/>
              <w:right w:val="nil"/>
            </w:tcBorders>
            <w:shd w:val="clear" w:color="000000" w:fill="F5DADD"/>
            <w:vAlign w:val="center"/>
          </w:tcPr>
          <w:p w14:paraId="3A8C9219" w14:textId="42FB0B8C" w:rsidR="00C459A3" w:rsidRPr="00C459A3" w:rsidRDefault="00C459A3" w:rsidP="00C459A3">
            <w:pPr>
              <w:spacing w:after="0" w:line="240" w:lineRule="auto"/>
              <w:jc w:val="center"/>
              <w:rPr>
                <w:rFonts w:cs="Arial"/>
                <w:sz w:val="16"/>
                <w:szCs w:val="16"/>
              </w:rPr>
            </w:pPr>
            <w:r w:rsidRPr="00C459A3">
              <w:rPr>
                <w:rFonts w:cs="Arial"/>
                <w:sz w:val="16"/>
                <w:szCs w:val="16"/>
              </w:rPr>
              <w:t>2022</w:t>
            </w:r>
          </w:p>
        </w:tc>
      </w:tr>
      <w:tr w:rsidR="00C459A3" w:rsidRPr="00C459A3" w14:paraId="6BEEBA54" w14:textId="3DCDAC5D" w:rsidTr="00C459A3">
        <w:trPr>
          <w:trHeight w:val="300"/>
        </w:trPr>
        <w:tc>
          <w:tcPr>
            <w:tcW w:w="907" w:type="dxa"/>
            <w:tcBorders>
              <w:top w:val="nil"/>
              <w:left w:val="nil"/>
              <w:bottom w:val="nil"/>
              <w:right w:val="single" w:sz="4" w:space="0" w:color="auto"/>
            </w:tcBorders>
            <w:shd w:val="clear" w:color="auto" w:fill="auto"/>
            <w:noWrap/>
            <w:vAlign w:val="center"/>
            <w:hideMark/>
          </w:tcPr>
          <w:p w14:paraId="3A43C16A" w14:textId="77777777" w:rsidR="00C459A3" w:rsidRPr="00C459A3" w:rsidRDefault="00C459A3" w:rsidP="00C459A3">
            <w:pPr>
              <w:spacing w:after="0" w:line="240" w:lineRule="auto"/>
              <w:rPr>
                <w:rFonts w:cs="Arial"/>
                <w:b/>
                <w:bCs/>
                <w:color w:val="000000"/>
                <w:sz w:val="16"/>
                <w:szCs w:val="16"/>
              </w:rPr>
            </w:pPr>
            <w:r w:rsidRPr="00C459A3">
              <w:rPr>
                <w:rFonts w:cs="Arial"/>
                <w:b/>
                <w:bCs/>
                <w:color w:val="000000"/>
                <w:sz w:val="16"/>
                <w:szCs w:val="16"/>
              </w:rPr>
              <w:t>Celkem</w:t>
            </w:r>
          </w:p>
        </w:tc>
        <w:tc>
          <w:tcPr>
            <w:tcW w:w="794" w:type="dxa"/>
            <w:tcBorders>
              <w:top w:val="nil"/>
              <w:left w:val="nil"/>
              <w:bottom w:val="nil"/>
              <w:right w:val="nil"/>
            </w:tcBorders>
            <w:shd w:val="clear" w:color="auto" w:fill="auto"/>
            <w:noWrap/>
            <w:vAlign w:val="center"/>
            <w:hideMark/>
          </w:tcPr>
          <w:p w14:paraId="788186C6"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46,1</w:t>
            </w:r>
          </w:p>
        </w:tc>
        <w:tc>
          <w:tcPr>
            <w:tcW w:w="794" w:type="dxa"/>
            <w:tcBorders>
              <w:top w:val="nil"/>
              <w:left w:val="nil"/>
              <w:bottom w:val="nil"/>
              <w:right w:val="nil"/>
            </w:tcBorders>
            <w:shd w:val="clear" w:color="auto" w:fill="auto"/>
            <w:noWrap/>
            <w:vAlign w:val="center"/>
            <w:hideMark/>
          </w:tcPr>
          <w:p w14:paraId="1C1C4E12"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44,0</w:t>
            </w:r>
          </w:p>
        </w:tc>
        <w:tc>
          <w:tcPr>
            <w:tcW w:w="794" w:type="dxa"/>
            <w:tcBorders>
              <w:top w:val="nil"/>
              <w:left w:val="nil"/>
              <w:bottom w:val="nil"/>
              <w:right w:val="nil"/>
            </w:tcBorders>
            <w:shd w:val="clear" w:color="auto" w:fill="auto"/>
            <w:noWrap/>
            <w:vAlign w:val="center"/>
            <w:hideMark/>
          </w:tcPr>
          <w:p w14:paraId="04EBD100"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45,8</w:t>
            </w:r>
          </w:p>
        </w:tc>
        <w:tc>
          <w:tcPr>
            <w:tcW w:w="794" w:type="dxa"/>
            <w:tcBorders>
              <w:top w:val="nil"/>
              <w:left w:val="nil"/>
              <w:bottom w:val="nil"/>
              <w:right w:val="nil"/>
            </w:tcBorders>
            <w:shd w:val="clear" w:color="auto" w:fill="auto"/>
            <w:noWrap/>
            <w:vAlign w:val="center"/>
            <w:hideMark/>
          </w:tcPr>
          <w:p w14:paraId="65BD92E9"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42,7</w:t>
            </w:r>
          </w:p>
        </w:tc>
        <w:tc>
          <w:tcPr>
            <w:tcW w:w="794" w:type="dxa"/>
            <w:tcBorders>
              <w:top w:val="nil"/>
              <w:left w:val="nil"/>
              <w:bottom w:val="nil"/>
              <w:right w:val="nil"/>
            </w:tcBorders>
            <w:shd w:val="clear" w:color="auto" w:fill="auto"/>
            <w:noWrap/>
            <w:vAlign w:val="center"/>
            <w:hideMark/>
          </w:tcPr>
          <w:p w14:paraId="34B9F167"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43,0</w:t>
            </w:r>
          </w:p>
        </w:tc>
        <w:tc>
          <w:tcPr>
            <w:tcW w:w="794" w:type="dxa"/>
            <w:tcBorders>
              <w:top w:val="nil"/>
              <w:left w:val="nil"/>
              <w:bottom w:val="nil"/>
              <w:right w:val="nil"/>
            </w:tcBorders>
            <w:shd w:val="clear" w:color="auto" w:fill="auto"/>
            <w:noWrap/>
            <w:vAlign w:val="center"/>
            <w:hideMark/>
          </w:tcPr>
          <w:p w14:paraId="5C6EC074"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42,6</w:t>
            </w:r>
          </w:p>
        </w:tc>
        <w:tc>
          <w:tcPr>
            <w:tcW w:w="794" w:type="dxa"/>
            <w:tcBorders>
              <w:top w:val="nil"/>
              <w:left w:val="nil"/>
              <w:bottom w:val="nil"/>
              <w:right w:val="nil"/>
            </w:tcBorders>
            <w:shd w:val="clear" w:color="auto" w:fill="auto"/>
            <w:noWrap/>
            <w:vAlign w:val="center"/>
            <w:hideMark/>
          </w:tcPr>
          <w:p w14:paraId="1FD9F949"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41,7</w:t>
            </w:r>
          </w:p>
        </w:tc>
        <w:tc>
          <w:tcPr>
            <w:tcW w:w="794" w:type="dxa"/>
            <w:tcBorders>
              <w:top w:val="nil"/>
              <w:left w:val="nil"/>
              <w:bottom w:val="nil"/>
              <w:right w:val="nil"/>
            </w:tcBorders>
            <w:shd w:val="clear" w:color="auto" w:fill="auto"/>
            <w:noWrap/>
            <w:vAlign w:val="center"/>
            <w:hideMark/>
          </w:tcPr>
          <w:p w14:paraId="083D2284"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42,4</w:t>
            </w:r>
          </w:p>
        </w:tc>
        <w:tc>
          <w:tcPr>
            <w:tcW w:w="794" w:type="dxa"/>
            <w:tcBorders>
              <w:top w:val="nil"/>
              <w:left w:val="nil"/>
              <w:bottom w:val="nil"/>
              <w:right w:val="nil"/>
            </w:tcBorders>
            <w:shd w:val="clear" w:color="auto" w:fill="auto"/>
            <w:noWrap/>
            <w:vAlign w:val="center"/>
            <w:hideMark/>
          </w:tcPr>
          <w:p w14:paraId="2C61CFE3"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39,4</w:t>
            </w:r>
          </w:p>
        </w:tc>
        <w:tc>
          <w:tcPr>
            <w:tcW w:w="791" w:type="dxa"/>
            <w:tcBorders>
              <w:top w:val="nil"/>
              <w:left w:val="nil"/>
              <w:bottom w:val="nil"/>
              <w:right w:val="nil"/>
            </w:tcBorders>
            <w:shd w:val="clear" w:color="auto" w:fill="auto"/>
            <w:vAlign w:val="center"/>
          </w:tcPr>
          <w:p w14:paraId="3F70F834" w14:textId="77777777"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34,5</w:t>
            </w:r>
          </w:p>
        </w:tc>
        <w:tc>
          <w:tcPr>
            <w:tcW w:w="791" w:type="dxa"/>
            <w:tcBorders>
              <w:top w:val="nil"/>
              <w:left w:val="nil"/>
              <w:bottom w:val="nil"/>
              <w:right w:val="nil"/>
            </w:tcBorders>
            <w:vAlign w:val="center"/>
          </w:tcPr>
          <w:p w14:paraId="165A391D" w14:textId="33F6DFB0" w:rsidR="00C459A3" w:rsidRPr="00C459A3" w:rsidRDefault="00C459A3" w:rsidP="00C459A3">
            <w:pPr>
              <w:spacing w:after="0" w:line="240" w:lineRule="auto"/>
              <w:jc w:val="center"/>
              <w:rPr>
                <w:rFonts w:cs="Arial"/>
                <w:b/>
                <w:bCs/>
                <w:color w:val="000000"/>
                <w:sz w:val="16"/>
                <w:szCs w:val="16"/>
              </w:rPr>
            </w:pPr>
            <w:r w:rsidRPr="00C459A3">
              <w:rPr>
                <w:rFonts w:cs="Arial"/>
                <w:b/>
                <w:bCs/>
                <w:color w:val="000000"/>
                <w:sz w:val="16"/>
                <w:szCs w:val="16"/>
              </w:rPr>
              <w:t>26,3</w:t>
            </w:r>
          </w:p>
        </w:tc>
      </w:tr>
      <w:tr w:rsidR="00C459A3" w:rsidRPr="00C459A3" w14:paraId="4651BDD2" w14:textId="1E4DD266" w:rsidTr="00C459A3">
        <w:trPr>
          <w:trHeight w:val="300"/>
        </w:trPr>
        <w:tc>
          <w:tcPr>
            <w:tcW w:w="907" w:type="dxa"/>
            <w:tcBorders>
              <w:top w:val="nil"/>
              <w:left w:val="nil"/>
              <w:bottom w:val="nil"/>
              <w:right w:val="single" w:sz="4" w:space="0" w:color="auto"/>
            </w:tcBorders>
            <w:shd w:val="clear" w:color="auto" w:fill="auto"/>
            <w:noWrap/>
            <w:vAlign w:val="center"/>
            <w:hideMark/>
          </w:tcPr>
          <w:p w14:paraId="406F27BF" w14:textId="77777777" w:rsidR="00C459A3" w:rsidRPr="00C459A3" w:rsidRDefault="00C459A3" w:rsidP="00C459A3">
            <w:pPr>
              <w:spacing w:after="0" w:line="240" w:lineRule="auto"/>
              <w:ind w:firstLineChars="100" w:firstLine="160"/>
              <w:rPr>
                <w:rFonts w:cs="Arial"/>
                <w:color w:val="000000"/>
                <w:sz w:val="16"/>
                <w:szCs w:val="16"/>
              </w:rPr>
            </w:pPr>
            <w:r w:rsidRPr="00C459A3">
              <w:rPr>
                <w:rFonts w:cs="Arial"/>
                <w:color w:val="000000"/>
                <w:sz w:val="16"/>
                <w:szCs w:val="16"/>
              </w:rPr>
              <w:t>muži</w:t>
            </w:r>
          </w:p>
        </w:tc>
        <w:tc>
          <w:tcPr>
            <w:tcW w:w="794" w:type="dxa"/>
            <w:tcBorders>
              <w:top w:val="nil"/>
              <w:left w:val="nil"/>
              <w:bottom w:val="nil"/>
              <w:right w:val="nil"/>
            </w:tcBorders>
            <w:shd w:val="clear" w:color="auto" w:fill="auto"/>
            <w:noWrap/>
            <w:vAlign w:val="center"/>
            <w:hideMark/>
          </w:tcPr>
          <w:p w14:paraId="5DE5BC81"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44,1</w:t>
            </w:r>
          </w:p>
        </w:tc>
        <w:tc>
          <w:tcPr>
            <w:tcW w:w="794" w:type="dxa"/>
            <w:tcBorders>
              <w:top w:val="nil"/>
              <w:left w:val="nil"/>
              <w:bottom w:val="nil"/>
              <w:right w:val="nil"/>
            </w:tcBorders>
            <w:shd w:val="clear" w:color="auto" w:fill="auto"/>
            <w:noWrap/>
            <w:vAlign w:val="center"/>
            <w:hideMark/>
          </w:tcPr>
          <w:p w14:paraId="517D8857"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42,3</w:t>
            </w:r>
          </w:p>
        </w:tc>
        <w:tc>
          <w:tcPr>
            <w:tcW w:w="794" w:type="dxa"/>
            <w:tcBorders>
              <w:top w:val="nil"/>
              <w:left w:val="nil"/>
              <w:bottom w:val="nil"/>
              <w:right w:val="nil"/>
            </w:tcBorders>
            <w:shd w:val="clear" w:color="auto" w:fill="auto"/>
            <w:noWrap/>
            <w:vAlign w:val="center"/>
            <w:hideMark/>
          </w:tcPr>
          <w:p w14:paraId="57E45C87"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43,4</w:t>
            </w:r>
          </w:p>
        </w:tc>
        <w:tc>
          <w:tcPr>
            <w:tcW w:w="794" w:type="dxa"/>
            <w:tcBorders>
              <w:top w:val="nil"/>
              <w:left w:val="nil"/>
              <w:bottom w:val="nil"/>
              <w:right w:val="nil"/>
            </w:tcBorders>
            <w:shd w:val="clear" w:color="auto" w:fill="auto"/>
            <w:noWrap/>
            <w:vAlign w:val="center"/>
            <w:hideMark/>
          </w:tcPr>
          <w:p w14:paraId="6EBE8899"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40,5</w:t>
            </w:r>
          </w:p>
        </w:tc>
        <w:tc>
          <w:tcPr>
            <w:tcW w:w="794" w:type="dxa"/>
            <w:tcBorders>
              <w:top w:val="nil"/>
              <w:left w:val="nil"/>
              <w:bottom w:val="nil"/>
              <w:right w:val="nil"/>
            </w:tcBorders>
            <w:shd w:val="clear" w:color="auto" w:fill="auto"/>
            <w:noWrap/>
            <w:vAlign w:val="center"/>
            <w:hideMark/>
          </w:tcPr>
          <w:p w14:paraId="1E8B4275"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40,7</w:t>
            </w:r>
          </w:p>
        </w:tc>
        <w:tc>
          <w:tcPr>
            <w:tcW w:w="794" w:type="dxa"/>
            <w:tcBorders>
              <w:top w:val="nil"/>
              <w:left w:val="nil"/>
              <w:bottom w:val="nil"/>
              <w:right w:val="nil"/>
            </w:tcBorders>
            <w:shd w:val="clear" w:color="auto" w:fill="auto"/>
            <w:noWrap/>
            <w:vAlign w:val="center"/>
            <w:hideMark/>
          </w:tcPr>
          <w:p w14:paraId="5F813321"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40,6</w:t>
            </w:r>
          </w:p>
        </w:tc>
        <w:tc>
          <w:tcPr>
            <w:tcW w:w="794" w:type="dxa"/>
            <w:tcBorders>
              <w:top w:val="nil"/>
              <w:left w:val="nil"/>
              <w:bottom w:val="nil"/>
              <w:right w:val="nil"/>
            </w:tcBorders>
            <w:shd w:val="clear" w:color="auto" w:fill="auto"/>
            <w:noWrap/>
            <w:vAlign w:val="center"/>
            <w:hideMark/>
          </w:tcPr>
          <w:p w14:paraId="7A9374C4"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40,3</w:t>
            </w:r>
          </w:p>
        </w:tc>
        <w:tc>
          <w:tcPr>
            <w:tcW w:w="794" w:type="dxa"/>
            <w:tcBorders>
              <w:top w:val="nil"/>
              <w:left w:val="nil"/>
              <w:bottom w:val="nil"/>
              <w:right w:val="nil"/>
            </w:tcBorders>
            <w:shd w:val="clear" w:color="auto" w:fill="auto"/>
            <w:noWrap/>
            <w:vAlign w:val="center"/>
            <w:hideMark/>
          </w:tcPr>
          <w:p w14:paraId="05F3861B"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41,1</w:t>
            </w:r>
          </w:p>
        </w:tc>
        <w:tc>
          <w:tcPr>
            <w:tcW w:w="794" w:type="dxa"/>
            <w:tcBorders>
              <w:top w:val="nil"/>
              <w:left w:val="nil"/>
              <w:bottom w:val="nil"/>
              <w:right w:val="nil"/>
            </w:tcBorders>
            <w:shd w:val="clear" w:color="auto" w:fill="auto"/>
            <w:noWrap/>
            <w:vAlign w:val="center"/>
            <w:hideMark/>
          </w:tcPr>
          <w:p w14:paraId="6A6C79DF"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37,8</w:t>
            </w:r>
          </w:p>
        </w:tc>
        <w:tc>
          <w:tcPr>
            <w:tcW w:w="791" w:type="dxa"/>
            <w:tcBorders>
              <w:top w:val="nil"/>
              <w:left w:val="nil"/>
              <w:bottom w:val="nil"/>
              <w:right w:val="nil"/>
            </w:tcBorders>
            <w:shd w:val="clear" w:color="auto" w:fill="auto"/>
            <w:vAlign w:val="center"/>
          </w:tcPr>
          <w:p w14:paraId="5E8C4577"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33,0</w:t>
            </w:r>
          </w:p>
        </w:tc>
        <w:tc>
          <w:tcPr>
            <w:tcW w:w="791" w:type="dxa"/>
            <w:tcBorders>
              <w:top w:val="nil"/>
              <w:left w:val="nil"/>
              <w:bottom w:val="nil"/>
              <w:right w:val="nil"/>
            </w:tcBorders>
            <w:vAlign w:val="center"/>
          </w:tcPr>
          <w:p w14:paraId="2A8D43C2" w14:textId="20F03702"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26,1</w:t>
            </w:r>
          </w:p>
        </w:tc>
      </w:tr>
      <w:tr w:rsidR="00C459A3" w:rsidRPr="00C459A3" w14:paraId="51D81A36" w14:textId="086D45DE" w:rsidTr="00C459A3">
        <w:trPr>
          <w:trHeight w:val="300"/>
        </w:trPr>
        <w:tc>
          <w:tcPr>
            <w:tcW w:w="907" w:type="dxa"/>
            <w:tcBorders>
              <w:top w:val="nil"/>
              <w:left w:val="nil"/>
              <w:bottom w:val="nil"/>
              <w:right w:val="single" w:sz="4" w:space="0" w:color="auto"/>
            </w:tcBorders>
            <w:shd w:val="clear" w:color="auto" w:fill="auto"/>
            <w:noWrap/>
            <w:vAlign w:val="center"/>
            <w:hideMark/>
          </w:tcPr>
          <w:p w14:paraId="48EC0817" w14:textId="77777777" w:rsidR="00C459A3" w:rsidRPr="00C459A3" w:rsidRDefault="00C459A3" w:rsidP="00C459A3">
            <w:pPr>
              <w:spacing w:after="0" w:line="240" w:lineRule="auto"/>
              <w:ind w:firstLineChars="100" w:firstLine="160"/>
              <w:rPr>
                <w:rFonts w:cs="Arial"/>
                <w:color w:val="000000"/>
                <w:sz w:val="16"/>
                <w:szCs w:val="16"/>
              </w:rPr>
            </w:pPr>
            <w:r w:rsidRPr="00C459A3">
              <w:rPr>
                <w:rFonts w:cs="Arial"/>
                <w:color w:val="000000"/>
                <w:sz w:val="16"/>
                <w:szCs w:val="16"/>
              </w:rPr>
              <w:t>ženy</w:t>
            </w:r>
          </w:p>
        </w:tc>
        <w:tc>
          <w:tcPr>
            <w:tcW w:w="794" w:type="dxa"/>
            <w:tcBorders>
              <w:top w:val="nil"/>
              <w:left w:val="nil"/>
              <w:bottom w:val="nil"/>
              <w:right w:val="nil"/>
            </w:tcBorders>
            <w:shd w:val="clear" w:color="auto" w:fill="auto"/>
            <w:noWrap/>
            <w:vAlign w:val="center"/>
            <w:hideMark/>
          </w:tcPr>
          <w:p w14:paraId="57B8A5DE"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47,9</w:t>
            </w:r>
          </w:p>
        </w:tc>
        <w:tc>
          <w:tcPr>
            <w:tcW w:w="794" w:type="dxa"/>
            <w:tcBorders>
              <w:top w:val="nil"/>
              <w:left w:val="nil"/>
              <w:bottom w:val="nil"/>
              <w:right w:val="nil"/>
            </w:tcBorders>
            <w:shd w:val="clear" w:color="auto" w:fill="auto"/>
            <w:noWrap/>
            <w:vAlign w:val="center"/>
            <w:hideMark/>
          </w:tcPr>
          <w:p w14:paraId="61C01E52"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45,5</w:t>
            </w:r>
          </w:p>
        </w:tc>
        <w:tc>
          <w:tcPr>
            <w:tcW w:w="794" w:type="dxa"/>
            <w:tcBorders>
              <w:top w:val="nil"/>
              <w:left w:val="nil"/>
              <w:bottom w:val="nil"/>
              <w:right w:val="nil"/>
            </w:tcBorders>
            <w:shd w:val="clear" w:color="auto" w:fill="auto"/>
            <w:noWrap/>
            <w:vAlign w:val="center"/>
            <w:hideMark/>
          </w:tcPr>
          <w:p w14:paraId="2258267A"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48,0</w:t>
            </w:r>
          </w:p>
        </w:tc>
        <w:tc>
          <w:tcPr>
            <w:tcW w:w="794" w:type="dxa"/>
            <w:tcBorders>
              <w:top w:val="nil"/>
              <w:left w:val="nil"/>
              <w:bottom w:val="nil"/>
              <w:right w:val="nil"/>
            </w:tcBorders>
            <w:shd w:val="clear" w:color="auto" w:fill="auto"/>
            <w:noWrap/>
            <w:vAlign w:val="center"/>
            <w:hideMark/>
          </w:tcPr>
          <w:p w14:paraId="2AC8E55F"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44,8</w:t>
            </w:r>
          </w:p>
        </w:tc>
        <w:tc>
          <w:tcPr>
            <w:tcW w:w="794" w:type="dxa"/>
            <w:tcBorders>
              <w:top w:val="nil"/>
              <w:left w:val="nil"/>
              <w:bottom w:val="nil"/>
              <w:right w:val="nil"/>
            </w:tcBorders>
            <w:shd w:val="clear" w:color="auto" w:fill="auto"/>
            <w:noWrap/>
            <w:vAlign w:val="center"/>
            <w:hideMark/>
          </w:tcPr>
          <w:p w14:paraId="78143930"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45,2</w:t>
            </w:r>
          </w:p>
        </w:tc>
        <w:tc>
          <w:tcPr>
            <w:tcW w:w="794" w:type="dxa"/>
            <w:tcBorders>
              <w:top w:val="nil"/>
              <w:left w:val="nil"/>
              <w:bottom w:val="nil"/>
              <w:right w:val="nil"/>
            </w:tcBorders>
            <w:shd w:val="clear" w:color="auto" w:fill="auto"/>
            <w:noWrap/>
            <w:vAlign w:val="center"/>
            <w:hideMark/>
          </w:tcPr>
          <w:p w14:paraId="3AE2D1CF"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44,3</w:t>
            </w:r>
          </w:p>
        </w:tc>
        <w:tc>
          <w:tcPr>
            <w:tcW w:w="794" w:type="dxa"/>
            <w:tcBorders>
              <w:top w:val="nil"/>
              <w:left w:val="nil"/>
              <w:bottom w:val="nil"/>
              <w:right w:val="nil"/>
            </w:tcBorders>
            <w:shd w:val="clear" w:color="auto" w:fill="auto"/>
            <w:noWrap/>
            <w:vAlign w:val="center"/>
            <w:hideMark/>
          </w:tcPr>
          <w:p w14:paraId="2A97D747"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43,0</w:t>
            </w:r>
          </w:p>
        </w:tc>
        <w:tc>
          <w:tcPr>
            <w:tcW w:w="794" w:type="dxa"/>
            <w:tcBorders>
              <w:top w:val="nil"/>
              <w:left w:val="nil"/>
              <w:bottom w:val="nil"/>
              <w:right w:val="nil"/>
            </w:tcBorders>
            <w:shd w:val="clear" w:color="auto" w:fill="auto"/>
            <w:noWrap/>
            <w:vAlign w:val="center"/>
            <w:hideMark/>
          </w:tcPr>
          <w:p w14:paraId="1E2A99E8"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43,6</w:t>
            </w:r>
          </w:p>
        </w:tc>
        <w:tc>
          <w:tcPr>
            <w:tcW w:w="794" w:type="dxa"/>
            <w:tcBorders>
              <w:top w:val="nil"/>
              <w:left w:val="nil"/>
              <w:bottom w:val="nil"/>
              <w:right w:val="nil"/>
            </w:tcBorders>
            <w:shd w:val="clear" w:color="auto" w:fill="auto"/>
            <w:noWrap/>
            <w:vAlign w:val="center"/>
            <w:hideMark/>
          </w:tcPr>
          <w:p w14:paraId="635F2E53"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40,9</w:t>
            </w:r>
          </w:p>
        </w:tc>
        <w:tc>
          <w:tcPr>
            <w:tcW w:w="791" w:type="dxa"/>
            <w:tcBorders>
              <w:top w:val="nil"/>
              <w:left w:val="nil"/>
              <w:bottom w:val="nil"/>
              <w:right w:val="nil"/>
            </w:tcBorders>
            <w:shd w:val="clear" w:color="auto" w:fill="auto"/>
            <w:vAlign w:val="center"/>
          </w:tcPr>
          <w:p w14:paraId="55810636" w14:textId="77777777"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35,9</w:t>
            </w:r>
          </w:p>
        </w:tc>
        <w:tc>
          <w:tcPr>
            <w:tcW w:w="791" w:type="dxa"/>
            <w:tcBorders>
              <w:top w:val="nil"/>
              <w:left w:val="nil"/>
              <w:bottom w:val="nil"/>
              <w:right w:val="nil"/>
            </w:tcBorders>
            <w:vAlign w:val="center"/>
          </w:tcPr>
          <w:p w14:paraId="631E07B3" w14:textId="3A7B19EC" w:rsidR="00C459A3" w:rsidRPr="00C459A3" w:rsidRDefault="00C459A3" w:rsidP="00C459A3">
            <w:pPr>
              <w:spacing w:after="0" w:line="240" w:lineRule="auto"/>
              <w:jc w:val="center"/>
              <w:rPr>
                <w:rFonts w:cs="Arial"/>
                <w:color w:val="000000"/>
                <w:sz w:val="16"/>
                <w:szCs w:val="16"/>
              </w:rPr>
            </w:pPr>
            <w:r w:rsidRPr="00C459A3">
              <w:rPr>
                <w:rFonts w:cs="Arial"/>
                <w:color w:val="000000"/>
                <w:sz w:val="16"/>
                <w:szCs w:val="16"/>
              </w:rPr>
              <w:t>26,6</w:t>
            </w:r>
          </w:p>
        </w:tc>
      </w:tr>
    </w:tbl>
    <w:p w14:paraId="64EB1530" w14:textId="2F6053FA" w:rsidR="00FB211D" w:rsidRDefault="00FB211D" w:rsidP="00B1354B">
      <w:pPr>
        <w:spacing w:before="120" w:after="120"/>
        <w:rPr>
          <w:sz w:val="16"/>
        </w:rPr>
      </w:pPr>
      <w:r>
        <w:rPr>
          <w:sz w:val="16"/>
        </w:rPr>
        <w:t>Pozn.: Přerušení v časové řadě.</w:t>
      </w:r>
    </w:p>
    <w:p w14:paraId="6A72663A" w14:textId="08E56F4A" w:rsidR="00B1354B" w:rsidRPr="00C459A3" w:rsidRDefault="00B1354B" w:rsidP="00B1354B">
      <w:pPr>
        <w:spacing w:before="120" w:after="120"/>
        <w:rPr>
          <w:sz w:val="16"/>
        </w:rPr>
      </w:pPr>
      <w:r w:rsidRPr="00C459A3">
        <w:rPr>
          <w:sz w:val="16"/>
        </w:rPr>
        <w:t>Zdroj: ČSÚ</w:t>
      </w:r>
    </w:p>
    <w:p w14:paraId="41C8AC64" w14:textId="1C834372" w:rsidR="00B1354B" w:rsidRPr="00C459A3" w:rsidRDefault="00B1354B" w:rsidP="00B1354B">
      <w:pPr>
        <w:spacing w:after="120"/>
        <w:jc w:val="both"/>
      </w:pPr>
      <w:r w:rsidRPr="00C459A3">
        <w:t xml:space="preserve">Průměrný počet dnů pracovní neschopnosti </w:t>
      </w:r>
      <w:r w:rsidRPr="00C459A3">
        <w:rPr>
          <w:b/>
        </w:rPr>
        <w:t>u žen</w:t>
      </w:r>
      <w:r w:rsidRPr="00C459A3">
        <w:t xml:space="preserve"> meziročně klesl </w:t>
      </w:r>
      <w:proofErr w:type="gramStart"/>
      <w:r w:rsidRPr="00C459A3">
        <w:t>ze</w:t>
      </w:r>
      <w:proofErr w:type="gramEnd"/>
      <w:r w:rsidRPr="00C459A3">
        <w:t xml:space="preserve"> </w:t>
      </w:r>
      <w:r w:rsidR="00C459A3" w:rsidRPr="00C459A3">
        <w:t>35</w:t>
      </w:r>
      <w:r w:rsidRPr="00C459A3">
        <w:t>,9 dne v roce 202</w:t>
      </w:r>
      <w:r w:rsidR="00C459A3" w:rsidRPr="00C459A3">
        <w:t>1</w:t>
      </w:r>
      <w:r w:rsidRPr="00C459A3">
        <w:t xml:space="preserve"> na </w:t>
      </w:r>
      <w:r w:rsidR="00C459A3" w:rsidRPr="00C459A3">
        <w:t>26,6</w:t>
      </w:r>
      <w:r w:rsidRPr="00C459A3">
        <w:t xml:space="preserve"> dne. </w:t>
      </w:r>
      <w:r w:rsidRPr="00C459A3">
        <w:rPr>
          <w:b/>
        </w:rPr>
        <w:t>V případě mužů</w:t>
      </w:r>
      <w:r w:rsidRPr="00C459A3">
        <w:t xml:space="preserve"> se snížil </w:t>
      </w:r>
      <w:proofErr w:type="gramStart"/>
      <w:r w:rsidRPr="00C459A3">
        <w:t>ze</w:t>
      </w:r>
      <w:proofErr w:type="gramEnd"/>
      <w:r w:rsidRPr="00C459A3">
        <w:t xml:space="preserve"> </w:t>
      </w:r>
      <w:r w:rsidR="00C459A3" w:rsidRPr="00C459A3">
        <w:t>33</w:t>
      </w:r>
      <w:r w:rsidR="00802184">
        <w:t>,0</w:t>
      </w:r>
      <w:r w:rsidR="00C459A3" w:rsidRPr="00C459A3">
        <w:t xml:space="preserve"> na 26,1 d</w:t>
      </w:r>
      <w:r w:rsidRPr="00C459A3">
        <w:t>n</w:t>
      </w:r>
      <w:r w:rsidR="00C459A3" w:rsidRPr="00C459A3">
        <w:t>e</w:t>
      </w:r>
      <w:r w:rsidRPr="00C459A3">
        <w:t xml:space="preserve">. Ženy tak byly v pracovní neschopnosti v průměru o </w:t>
      </w:r>
      <w:r w:rsidR="00C459A3" w:rsidRPr="00C459A3">
        <w:t xml:space="preserve">0,5 dne </w:t>
      </w:r>
      <w:r w:rsidRPr="00C459A3">
        <w:t>déle než muži.</w:t>
      </w:r>
      <w:r w:rsidR="00573235">
        <w:t xml:space="preserve"> Pandemické roky s sebou přinesly pokles průměrné délky trvání dočasné pracovní neschopnosti (viz graf 2.</w:t>
      </w:r>
      <w:r w:rsidR="00243B43">
        <w:t>1</w:t>
      </w:r>
      <w:r w:rsidR="008257CF">
        <w:t>1</w:t>
      </w:r>
      <w:r w:rsidR="00573235">
        <w:t>).</w:t>
      </w:r>
    </w:p>
    <w:p w14:paraId="4A8A52B1" w14:textId="1EAD239A" w:rsidR="004B4ABA" w:rsidRPr="00C459A3" w:rsidRDefault="004B4ABA" w:rsidP="004B4ABA">
      <w:pPr>
        <w:spacing w:before="120" w:after="120"/>
        <w:jc w:val="both"/>
      </w:pPr>
      <w:r w:rsidRPr="00C459A3">
        <w:t>Nejvíce dnů dočasné pracovní neschopnosti bylo v roce 202</w:t>
      </w:r>
      <w:r w:rsidR="00C459A3" w:rsidRPr="00C459A3">
        <w:t>2</w:t>
      </w:r>
      <w:r w:rsidRPr="00C459A3">
        <w:t xml:space="preserve"> zaznamenáno ve </w:t>
      </w:r>
      <w:r w:rsidR="006C1C86">
        <w:t>Z</w:t>
      </w:r>
      <w:r w:rsidRPr="00C459A3">
        <w:t>pracovatelském průmyslu (3</w:t>
      </w:r>
      <w:r w:rsidR="00C459A3" w:rsidRPr="00C459A3">
        <w:t>0 308</w:t>
      </w:r>
      <w:r w:rsidRPr="00C459A3">
        <w:t xml:space="preserve"> tis.), kde je nejvíce pojištěnců, a tím pádem také nejvyšší počet případů pracovní neschopnosti. Naopak nejnižší počet dnů pracovní neschopnosti byl hlášen v oblasti Výroba a rozvod elektřiny, plynu, tepla a klimatizovaného vzduchu (</w:t>
      </w:r>
      <w:r w:rsidR="00C459A3" w:rsidRPr="00C459A3">
        <w:t>475</w:t>
      </w:r>
      <w:r w:rsidRPr="00C459A3">
        <w:t xml:space="preserve"> tis.). Nejméně dnů pracovní neschopnosti z důvodu pracovních úrazů vykazovaly odvětvové sekce P</w:t>
      </w:r>
      <w:r w:rsidR="00C459A3" w:rsidRPr="00C459A3">
        <w:t>eněžnictví a pojišťovnictví (2,9</w:t>
      </w:r>
      <w:r w:rsidRPr="00C459A3">
        <w:t xml:space="preserve"> tis.) a Infor</w:t>
      </w:r>
      <w:r w:rsidR="00C459A3" w:rsidRPr="00C459A3">
        <w:t>mační a komunikační činnosti (</w:t>
      </w:r>
      <w:r w:rsidRPr="00C459A3">
        <w:t>7</w:t>
      </w:r>
      <w:r w:rsidR="00C459A3" w:rsidRPr="00C459A3">
        <w:t>,9</w:t>
      </w:r>
      <w:r w:rsidRPr="00C459A3">
        <w:t> tis.).</w:t>
      </w:r>
    </w:p>
    <w:p w14:paraId="37932C63" w14:textId="2151902E" w:rsidR="004B4ABA" w:rsidRDefault="004B4ABA" w:rsidP="004B4ABA">
      <w:pPr>
        <w:spacing w:before="120" w:after="120"/>
        <w:jc w:val="both"/>
      </w:pPr>
      <w:r w:rsidRPr="00573235">
        <w:t xml:space="preserve">Jak již bylo zmíněno výše, dočasná </w:t>
      </w:r>
      <w:r w:rsidR="00C459A3" w:rsidRPr="00573235">
        <w:t>pracovní neschopnost v roce 2022</w:t>
      </w:r>
      <w:r w:rsidRPr="00573235">
        <w:t xml:space="preserve"> trvala v průměru </w:t>
      </w:r>
      <w:r w:rsidR="00C459A3" w:rsidRPr="00573235">
        <w:t>26</w:t>
      </w:r>
      <w:r w:rsidRPr="00573235">
        <w:t xml:space="preserve"> dnů. </w:t>
      </w:r>
      <w:r w:rsidRPr="00573235">
        <w:rPr>
          <w:b/>
        </w:rPr>
        <w:t xml:space="preserve">Odvětvím </w:t>
      </w:r>
      <w:r w:rsidRPr="00573235">
        <w:t>s</w:t>
      </w:r>
      <w:r w:rsidR="00A14B0F" w:rsidRPr="00573235">
        <w:t> </w:t>
      </w:r>
      <w:r w:rsidRPr="00573235">
        <w:t>nejvyšší průměrnou délkou trvání případu bylo</w:t>
      </w:r>
      <w:r w:rsidR="00573235" w:rsidRPr="00573235">
        <w:t xml:space="preserve"> Zemědělství, lesnictví, rybářství (37 dnů) a</w:t>
      </w:r>
      <w:r w:rsidRPr="00573235">
        <w:t xml:space="preserve"> Ubytování, stravování a pohostinství (</w:t>
      </w:r>
      <w:r w:rsidR="00573235" w:rsidRPr="00573235">
        <w:t>36</w:t>
      </w:r>
      <w:r w:rsidRPr="00573235">
        <w:t xml:space="preserve"> dnů)</w:t>
      </w:r>
      <w:r w:rsidR="00573235" w:rsidRPr="00573235">
        <w:t>. Dalšími odvětvími podle průměrné délky dočasné pracovní neschopnosti bylo Stavebnictví (34), Těžba a dobývání a Administrativní a podpůrné činnosti (obě sekce shodně 32 dnů).</w:t>
      </w:r>
    </w:p>
    <w:p w14:paraId="185D568E" w14:textId="076189D7" w:rsidR="004930CE" w:rsidRPr="00166BEB" w:rsidRDefault="00BC63F1" w:rsidP="00BC63F1">
      <w:pPr>
        <w:spacing w:before="120" w:after="120"/>
        <w:jc w:val="both"/>
        <w:rPr>
          <w:b/>
          <w:highlight w:val="yellow"/>
        </w:rPr>
      </w:pPr>
      <w:r w:rsidRPr="00BC63F1">
        <w:t xml:space="preserve">Nejkratší doba (shodně 17 dnů) připadala na pracovní neschopnost v odvětví Informační a komunikační činnosti a Vzdělávání. </w:t>
      </w:r>
      <w:r w:rsidRPr="00CF385D">
        <w:t>Dalším odvětvím s poměrně nízkou průměrnou délkou pracovní neschopnosti byla sekce Veřejná správa a obrana</w:t>
      </w:r>
      <w:r w:rsidR="00802184">
        <w:t>;</w:t>
      </w:r>
      <w:r w:rsidRPr="00CF385D">
        <w:t xml:space="preserve"> povinné sociální zabezpečení </w:t>
      </w:r>
      <w:r>
        <w:t xml:space="preserve">a Peněžnictví a pojišťovnictví </w:t>
      </w:r>
      <w:r w:rsidRPr="00CF385D">
        <w:t>(</w:t>
      </w:r>
      <w:r>
        <w:t xml:space="preserve">obě </w:t>
      </w:r>
      <w:r w:rsidRPr="00CF385D">
        <w:t>2</w:t>
      </w:r>
      <w:r>
        <w:t>1</w:t>
      </w:r>
      <w:r w:rsidRPr="00CF385D">
        <w:t xml:space="preserve"> dnů). </w:t>
      </w:r>
      <w:r w:rsidRPr="00BC63F1">
        <w:t>Podrobněji viz graf 2.1</w:t>
      </w:r>
      <w:r w:rsidR="008257CF">
        <w:t>2</w:t>
      </w:r>
      <w:r w:rsidRPr="00BC63F1">
        <w:t xml:space="preserve"> a tab. 2.6.</w:t>
      </w:r>
    </w:p>
    <w:p w14:paraId="241AB4DF" w14:textId="1FDA41C3" w:rsidR="00B1354B" w:rsidRPr="00573235" w:rsidRDefault="004B4ABA" w:rsidP="004930CE">
      <w:pPr>
        <w:spacing w:before="120" w:after="0"/>
        <w:rPr>
          <w:b/>
        </w:rPr>
      </w:pPr>
      <w:r w:rsidRPr="00573235">
        <w:rPr>
          <w:b/>
        </w:rPr>
        <w:t>Graf 2.</w:t>
      </w:r>
      <w:r w:rsidR="00243B43">
        <w:rPr>
          <w:b/>
        </w:rPr>
        <w:t>1</w:t>
      </w:r>
      <w:r w:rsidR="008257CF">
        <w:rPr>
          <w:b/>
        </w:rPr>
        <w:t>1</w:t>
      </w:r>
      <w:r w:rsidRPr="00573235">
        <w:rPr>
          <w:b/>
        </w:rPr>
        <w:t>: Průměrná délka trvání dočasné pracovní neschopnosti podle pohlaví, 201</w:t>
      </w:r>
      <w:r w:rsidR="00573235" w:rsidRPr="00573235">
        <w:rPr>
          <w:b/>
        </w:rPr>
        <w:t>2–2022</w:t>
      </w:r>
    </w:p>
    <w:p w14:paraId="2F999FDC" w14:textId="67C28C1B" w:rsidR="00361897" w:rsidRPr="00166BEB" w:rsidRDefault="00FB211D" w:rsidP="00361897">
      <w:pPr>
        <w:spacing w:before="120" w:after="120"/>
        <w:jc w:val="both"/>
        <w:rPr>
          <w:bCs/>
          <w:highlight w:val="yellow"/>
        </w:rPr>
      </w:pPr>
      <w:r>
        <w:rPr>
          <w:noProof/>
        </w:rPr>
        <mc:AlternateContent>
          <mc:Choice Requires="wps">
            <w:drawing>
              <wp:anchor distT="0" distB="0" distL="114300" distR="114300" simplePos="0" relativeHeight="251699712" behindDoc="0" locked="0" layoutInCell="1" allowOverlap="1" wp14:anchorId="22DA9E50" wp14:editId="29495FC3">
                <wp:simplePos x="0" y="0"/>
                <wp:positionH relativeFrom="column">
                  <wp:posOffset>5423535</wp:posOffset>
                </wp:positionH>
                <wp:positionV relativeFrom="paragraph">
                  <wp:posOffset>101600</wp:posOffset>
                </wp:positionV>
                <wp:extent cx="0" cy="2448000"/>
                <wp:effectExtent l="38100" t="19050" r="57150" b="85725"/>
                <wp:wrapNone/>
                <wp:docPr id="51" name="Přímá spojnice 3"/>
                <wp:cNvGraphicFramePr/>
                <a:graphic xmlns:a="http://schemas.openxmlformats.org/drawingml/2006/main">
                  <a:graphicData uri="http://schemas.microsoft.com/office/word/2010/wordprocessingShape">
                    <wps:wsp>
                      <wps:cNvCnPr/>
                      <wps:spPr>
                        <a:xfrm>
                          <a:off x="0" y="0"/>
                          <a:ext cx="0" cy="2448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044CFD8" id="Přímá spojnice 3" o:spid="_x0000_s1026" style="position:absolute;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7.05pt,8pt" to="427.05pt,20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" strokecolor="#c00000" strokeweight=".5pt">
                <v:stroke dashstyle="dash"/>
                <v:shadow on="t" color="black" opacity="24903f" origin=",.5" offset="0,.55556mm"/>
              </v:line>
            </w:pict>
          </mc:Fallback>
        </mc:AlternateContent>
      </w:r>
      <w:r w:rsidR="00573235">
        <w:rPr>
          <w:noProof/>
        </w:rPr>
        <w:drawing>
          <wp:inline distT="0" distB="0" distL="0" distR="0" wp14:anchorId="14E38AEE" wp14:editId="65939A58">
            <wp:extent cx="6066000" cy="2736000"/>
            <wp:effectExtent l="0" t="0" r="11430" b="7620"/>
            <wp:docPr id="61" name="Graf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3E9FB0E5" w14:textId="2C2D209A" w:rsidR="00FB211D" w:rsidRDefault="00FB211D" w:rsidP="004B4ABA">
      <w:pPr>
        <w:spacing w:before="120" w:after="120"/>
        <w:rPr>
          <w:sz w:val="16"/>
        </w:rPr>
      </w:pPr>
      <w:r>
        <w:rPr>
          <w:sz w:val="16"/>
        </w:rPr>
        <w:t>Pozn.: Přerušení v časové řadě.</w:t>
      </w:r>
    </w:p>
    <w:p w14:paraId="33969463" w14:textId="48820251" w:rsidR="004B4ABA" w:rsidRDefault="004B4ABA" w:rsidP="004B4ABA">
      <w:pPr>
        <w:spacing w:before="120" w:after="120"/>
        <w:rPr>
          <w:sz w:val="16"/>
        </w:rPr>
      </w:pPr>
      <w:r w:rsidRPr="00573235">
        <w:rPr>
          <w:sz w:val="16"/>
        </w:rPr>
        <w:t>Zdroj: ČSÚ</w:t>
      </w:r>
    </w:p>
    <w:p w14:paraId="16BA9AD4" w14:textId="40D06212" w:rsidR="00802184" w:rsidRDefault="00802184" w:rsidP="00FB211D">
      <w:pPr>
        <w:spacing w:after="120"/>
        <w:jc w:val="both"/>
        <w:rPr>
          <w:b/>
        </w:rPr>
      </w:pPr>
      <w:r w:rsidRPr="00986950">
        <w:t xml:space="preserve">Ve všech odvětvích došlo meziročně ke zkrácení průměrné délky pracovní neschopnosti. K největšímu meziročnímu poklesu – o 12 dnů, tedy o čtvrtinu – došlo v odvětví </w:t>
      </w:r>
      <w:r w:rsidRPr="00986950">
        <w:rPr>
          <w:b/>
        </w:rPr>
        <w:t>Ubytování, stravování a pohostinství</w:t>
      </w:r>
      <w:r w:rsidRPr="00986950">
        <w:t>. Průměrná délka trvání pracovní neschopnosti zde převyšovala průměr za všechna odvětví o 10 dnů.</w:t>
      </w:r>
      <w:r>
        <w:rPr>
          <w:b/>
        </w:rPr>
        <w:br w:type="page"/>
      </w:r>
    </w:p>
    <w:p w14:paraId="32C76F29" w14:textId="6241F0AA" w:rsidR="00224FFD" w:rsidRPr="00573235" w:rsidRDefault="00071637" w:rsidP="004930CE">
      <w:pPr>
        <w:spacing w:before="120" w:after="0"/>
        <w:jc w:val="both"/>
        <w:rPr>
          <w:b/>
        </w:rPr>
      </w:pPr>
      <w:r w:rsidRPr="00573235">
        <w:rPr>
          <w:b/>
        </w:rPr>
        <w:lastRenderedPageBreak/>
        <w:t>Graf 2.1</w:t>
      </w:r>
      <w:r w:rsidR="008257CF">
        <w:rPr>
          <w:b/>
        </w:rPr>
        <w:t>2</w:t>
      </w:r>
      <w:r w:rsidRPr="00573235">
        <w:rPr>
          <w:b/>
        </w:rPr>
        <w:t>: Průměrná délka trvání dočasné pracovní neschopnosti pod</w:t>
      </w:r>
      <w:r w:rsidR="00573235" w:rsidRPr="00573235">
        <w:rPr>
          <w:b/>
        </w:rPr>
        <w:t>le odvětví (sekce CZ-NACE), 2022</w:t>
      </w:r>
    </w:p>
    <w:p w14:paraId="28003F87" w14:textId="1CB660C4" w:rsidR="00EE0976" w:rsidRPr="00166BEB" w:rsidRDefault="00573235" w:rsidP="00EE0976">
      <w:pPr>
        <w:spacing w:before="120" w:after="120"/>
        <w:jc w:val="both"/>
        <w:rPr>
          <w:bCs/>
          <w:highlight w:val="yellow"/>
        </w:rPr>
      </w:pPr>
      <w:r>
        <w:rPr>
          <w:noProof/>
        </w:rPr>
        <w:drawing>
          <wp:inline distT="0" distB="0" distL="0" distR="0" wp14:anchorId="1BAAF71A" wp14:editId="287C1B67">
            <wp:extent cx="6124575" cy="4514850"/>
            <wp:effectExtent l="0" t="0" r="9525" b="0"/>
            <wp:docPr id="62" name="Graf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0493B38B" w14:textId="7F974598" w:rsidR="004930CE" w:rsidRDefault="00071637" w:rsidP="00986950">
      <w:pPr>
        <w:spacing w:before="120" w:after="120"/>
        <w:rPr>
          <w:sz w:val="16"/>
        </w:rPr>
      </w:pPr>
      <w:r w:rsidRPr="00573235">
        <w:rPr>
          <w:sz w:val="16"/>
        </w:rPr>
        <w:t>Zdroj: ČSÚ</w:t>
      </w:r>
    </w:p>
    <w:p w14:paraId="4D7FD5F6" w14:textId="30DF5064" w:rsidR="00802184" w:rsidRPr="003D23B7" w:rsidRDefault="00802184" w:rsidP="00802184">
      <w:pPr>
        <w:spacing w:after="120"/>
        <w:jc w:val="both"/>
      </w:pPr>
      <w:r w:rsidRPr="003D23B7">
        <w:t>V </w:t>
      </w:r>
      <w:r w:rsidRPr="003D23B7">
        <w:rPr>
          <w:b/>
        </w:rPr>
        <w:t>regionálním</w:t>
      </w:r>
      <w:r w:rsidRPr="003D23B7">
        <w:t xml:space="preserve"> srovnání byla v roce 2022 nejdelší průměrná doba trvání dočasné pracovní neschopnosti zaznamenána v Moravskoslezském (31 dnů) a ve Zlínském kraji (30 dnů). Tyto kraje vykazují nejdelší průměrnou délku trvání p</w:t>
      </w:r>
      <w:r>
        <w:t xml:space="preserve">racovní neschopnosti opakovaně. </w:t>
      </w:r>
      <w:r w:rsidRPr="003D23B7">
        <w:t>Kraji s nejkratší délkou trvání pracovní neschopnosti bylo hlavní město Praha (24 dnů), Liberecký, Středočeský a Královéhradecký kraj (méně než 25</w:t>
      </w:r>
      <w:r w:rsidR="00A5543F">
        <w:t> </w:t>
      </w:r>
      <w:r w:rsidRPr="003D23B7">
        <w:t>dnů). Ve všech krajích ČR hodnoty tohoto ukazatele meziročně poklesly. Graf 2.1</w:t>
      </w:r>
      <w:r>
        <w:t>3</w:t>
      </w:r>
      <w:r w:rsidRPr="003D23B7">
        <w:t xml:space="preserve"> zobrazuje porovnání roku 2022 s </w:t>
      </w:r>
      <w:proofErr w:type="spellStart"/>
      <w:r w:rsidRPr="003D23B7">
        <w:t>předcovidovou</w:t>
      </w:r>
      <w:proofErr w:type="spellEnd"/>
      <w:r w:rsidRPr="003D23B7">
        <w:t xml:space="preserve"> situací v roce 2019. Z grafu je též patrné, že průměrná délka trvání v roce 2022 napříč kraji byla homogennější. Rozdíl dvou extrémních hodnot činil 7 dní, zatímco v roce 2019 o 3 dny více.</w:t>
      </w:r>
    </w:p>
    <w:p w14:paraId="3C401E47" w14:textId="57649199" w:rsidR="00802184" w:rsidRPr="00073FCE" w:rsidRDefault="00802184" w:rsidP="00802184">
      <w:pPr>
        <w:spacing w:after="120"/>
        <w:jc w:val="both"/>
        <w:rPr>
          <w:b/>
        </w:rPr>
      </w:pPr>
      <w:r w:rsidRPr="00073FCE">
        <w:t xml:space="preserve">Z pohledu </w:t>
      </w:r>
      <w:r w:rsidRPr="00073FCE">
        <w:rPr>
          <w:b/>
        </w:rPr>
        <w:t>detailnějšího územního členění</w:t>
      </w:r>
      <w:r w:rsidRPr="00073FCE">
        <w:t xml:space="preserve"> (viz kartogram 2.1) je zřejmý větší rozptyl hodnot tohoto relativního ukazatele. Nejvyšší průměrnou délku na jeden případ v roce 2022 vykazoval okres Vsetín (33,8) ve Zlínském kraji a Hodonín a Břeclav (shodně 33,5) v Jihomoravském kraji. Ty se na předních místech mezi okresy s nejdelší </w:t>
      </w:r>
      <w:r>
        <w:t xml:space="preserve">průměrnou </w:t>
      </w:r>
      <w:r w:rsidRPr="00073FCE">
        <w:t>pracovní neschopností pohybují již několik let. Následoval</w:t>
      </w:r>
      <w:r w:rsidR="00FC3BC5">
        <w:t>y</w:t>
      </w:r>
      <w:r w:rsidRPr="00073FCE">
        <w:t xml:space="preserve"> okresy Uherské Hradiště (Zlínský kraj) a Frýdek-Místek (Moravskoslezský kraj), které vykazovaly průměrnou délku případu pracovní neschopnosti delší než 33 dnů. Naopak nejkratší dobou trvání se mohl opět pochlubit okres Mladá Boleslav (21 dnů) ve Středních Čechách, okres Liberec (méně než 23 dnů), stejně jako Pardubice a Rychnov nad Kněžnou v Královéhradeckém kraji. Kompletní přehled je k dispozici v tabulce 3.6 v tabulkové části publikace.</w:t>
      </w:r>
    </w:p>
    <w:p w14:paraId="6955C1CA" w14:textId="77777777" w:rsidR="00802184" w:rsidRPr="00166BEB" w:rsidRDefault="00802184" w:rsidP="00986950">
      <w:pPr>
        <w:spacing w:before="120" w:after="120"/>
        <w:rPr>
          <w:highlight w:val="yellow"/>
        </w:rPr>
      </w:pPr>
    </w:p>
    <w:p w14:paraId="05ADA218" w14:textId="77777777" w:rsidR="00802184" w:rsidRDefault="00802184">
      <w:pPr>
        <w:spacing w:after="0" w:line="240" w:lineRule="auto"/>
        <w:rPr>
          <w:b/>
          <w:bCs/>
          <w:spacing w:val="-5"/>
        </w:rPr>
      </w:pPr>
      <w:r>
        <w:rPr>
          <w:b/>
          <w:bCs/>
          <w:spacing w:val="-5"/>
        </w:rPr>
        <w:br w:type="page"/>
      </w:r>
    </w:p>
    <w:p w14:paraId="32670DA9" w14:textId="06363FFF" w:rsidR="00071637" w:rsidRPr="00986950" w:rsidRDefault="00FB211D" w:rsidP="00F77360">
      <w:pPr>
        <w:spacing w:before="120" w:after="0"/>
        <w:jc w:val="both"/>
        <w:rPr>
          <w:rFonts w:cs="Arial"/>
          <w:color w:val="000000"/>
          <w:spacing w:val="-5"/>
          <w:sz w:val="16"/>
          <w:szCs w:val="16"/>
        </w:rPr>
      </w:pPr>
      <w:r>
        <w:rPr>
          <w:noProof/>
        </w:rPr>
        <w:lastRenderedPageBreak/>
        <mc:AlternateContent>
          <mc:Choice Requires="wps">
            <w:drawing>
              <wp:anchor distT="0" distB="0" distL="114300" distR="114300" simplePos="0" relativeHeight="251701760" behindDoc="0" locked="0" layoutInCell="1" allowOverlap="1" wp14:anchorId="4EDDC8CB" wp14:editId="1E4304BF">
                <wp:simplePos x="0" y="0"/>
                <wp:positionH relativeFrom="column">
                  <wp:posOffset>5755640</wp:posOffset>
                </wp:positionH>
                <wp:positionV relativeFrom="paragraph">
                  <wp:posOffset>145415</wp:posOffset>
                </wp:positionV>
                <wp:extent cx="0" cy="4536000"/>
                <wp:effectExtent l="57150" t="19050" r="76200" b="36195"/>
                <wp:wrapNone/>
                <wp:docPr id="52" name="Přímá spojnice 3"/>
                <wp:cNvGraphicFramePr/>
                <a:graphic xmlns:a="http://schemas.openxmlformats.org/drawingml/2006/main">
                  <a:graphicData uri="http://schemas.microsoft.com/office/word/2010/wordprocessingShape">
                    <wps:wsp>
                      <wps:cNvCnPr/>
                      <wps:spPr>
                        <a:xfrm>
                          <a:off x="0" y="0"/>
                          <a:ext cx="0" cy="4536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361F3B" id="Přímá spojnice 3" o:spid="_x0000_s1026" style="position:absolute;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3.2pt,11.45pt" to="453.2pt,36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" strokecolor="#c00000" strokeweight=".5pt">
                <v:stroke dashstyle="dash"/>
                <v:shadow on="t" color="black" opacity="24903f" origin=",.5" offset="0,.55556mm"/>
              </v:line>
            </w:pict>
          </mc:Fallback>
        </mc:AlternateContent>
      </w:r>
      <w:r w:rsidR="00071637" w:rsidRPr="00986950">
        <w:rPr>
          <w:b/>
          <w:bCs/>
          <w:spacing w:val="-5"/>
        </w:rPr>
        <w:t>Tab. 2.6: Průměrná délka trvání dočasné pracovní neschopnosti podle odvětví (sekce CZ-NACE), 201</w:t>
      </w:r>
      <w:r w:rsidR="00986950">
        <w:rPr>
          <w:b/>
          <w:bCs/>
          <w:spacing w:val="-5"/>
        </w:rPr>
        <w:t>2–2022</w:t>
      </w:r>
      <w:r w:rsidR="004A6E11" w:rsidRPr="00986950">
        <w:rPr>
          <w:rFonts w:cs="Arial"/>
          <w:color w:val="000000"/>
          <w:spacing w:val="-5"/>
          <w:sz w:val="16"/>
          <w:szCs w:val="16"/>
        </w:rPr>
        <w:t xml:space="preserve"> </w:t>
      </w:r>
    </w:p>
    <w:tbl>
      <w:tblPr>
        <w:tblW w:w="9638" w:type="dxa"/>
        <w:tblCellMar>
          <w:left w:w="70" w:type="dxa"/>
          <w:right w:w="70" w:type="dxa"/>
        </w:tblCellMar>
        <w:tblLook w:val="04A0" w:firstRow="1" w:lastRow="0" w:firstColumn="1" w:lastColumn="0" w:noHBand="0" w:noVBand="1"/>
      </w:tblPr>
      <w:tblGrid>
        <w:gridCol w:w="3401"/>
        <w:gridCol w:w="567"/>
        <w:gridCol w:w="567"/>
        <w:gridCol w:w="567"/>
        <w:gridCol w:w="567"/>
        <w:gridCol w:w="567"/>
        <w:gridCol w:w="567"/>
        <w:gridCol w:w="567"/>
        <w:gridCol w:w="567"/>
        <w:gridCol w:w="567"/>
        <w:gridCol w:w="567"/>
        <w:gridCol w:w="567"/>
      </w:tblGrid>
      <w:tr w:rsidR="00986950" w:rsidRPr="00986950" w14:paraId="3923F71C" w14:textId="47EC1D84" w:rsidTr="003D23B7">
        <w:trPr>
          <w:trHeight w:val="300"/>
        </w:trPr>
        <w:tc>
          <w:tcPr>
            <w:tcW w:w="3401" w:type="dxa"/>
            <w:tcBorders>
              <w:top w:val="single" w:sz="4" w:space="0" w:color="auto"/>
              <w:left w:val="nil"/>
              <w:bottom w:val="single" w:sz="4" w:space="0" w:color="auto"/>
              <w:right w:val="single" w:sz="4" w:space="0" w:color="auto"/>
            </w:tcBorders>
            <w:shd w:val="clear" w:color="000000" w:fill="F5DADD"/>
            <w:vAlign w:val="center"/>
            <w:hideMark/>
          </w:tcPr>
          <w:p w14:paraId="3683C7F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Sekce CZ-NACE</w:t>
            </w:r>
          </w:p>
        </w:tc>
        <w:tc>
          <w:tcPr>
            <w:tcW w:w="567" w:type="dxa"/>
            <w:tcBorders>
              <w:top w:val="single" w:sz="4" w:space="0" w:color="auto"/>
              <w:left w:val="nil"/>
              <w:bottom w:val="single" w:sz="4" w:space="0" w:color="auto"/>
              <w:right w:val="nil"/>
            </w:tcBorders>
            <w:shd w:val="clear" w:color="000000" w:fill="F5DADD"/>
            <w:noWrap/>
            <w:vAlign w:val="center"/>
            <w:hideMark/>
          </w:tcPr>
          <w:p w14:paraId="7003822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2012</w:t>
            </w:r>
          </w:p>
        </w:tc>
        <w:tc>
          <w:tcPr>
            <w:tcW w:w="567" w:type="dxa"/>
            <w:tcBorders>
              <w:top w:val="single" w:sz="4" w:space="0" w:color="auto"/>
              <w:left w:val="nil"/>
              <w:bottom w:val="single" w:sz="4" w:space="0" w:color="auto"/>
              <w:right w:val="nil"/>
            </w:tcBorders>
            <w:shd w:val="clear" w:color="000000" w:fill="F5DADD"/>
            <w:noWrap/>
            <w:vAlign w:val="center"/>
            <w:hideMark/>
          </w:tcPr>
          <w:p w14:paraId="51A508E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2013</w:t>
            </w:r>
          </w:p>
        </w:tc>
        <w:tc>
          <w:tcPr>
            <w:tcW w:w="567" w:type="dxa"/>
            <w:tcBorders>
              <w:top w:val="single" w:sz="4" w:space="0" w:color="auto"/>
              <w:left w:val="nil"/>
              <w:bottom w:val="single" w:sz="4" w:space="0" w:color="auto"/>
              <w:right w:val="nil"/>
            </w:tcBorders>
            <w:shd w:val="clear" w:color="000000" w:fill="F5DADD"/>
            <w:noWrap/>
            <w:vAlign w:val="center"/>
            <w:hideMark/>
          </w:tcPr>
          <w:p w14:paraId="4354688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2014</w:t>
            </w:r>
          </w:p>
        </w:tc>
        <w:tc>
          <w:tcPr>
            <w:tcW w:w="567" w:type="dxa"/>
            <w:tcBorders>
              <w:top w:val="single" w:sz="4" w:space="0" w:color="auto"/>
              <w:left w:val="nil"/>
              <w:bottom w:val="single" w:sz="4" w:space="0" w:color="auto"/>
              <w:right w:val="nil"/>
            </w:tcBorders>
            <w:shd w:val="clear" w:color="000000" w:fill="F5DADD"/>
            <w:noWrap/>
            <w:vAlign w:val="center"/>
            <w:hideMark/>
          </w:tcPr>
          <w:p w14:paraId="183BDE1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2015</w:t>
            </w:r>
          </w:p>
        </w:tc>
        <w:tc>
          <w:tcPr>
            <w:tcW w:w="567" w:type="dxa"/>
            <w:tcBorders>
              <w:top w:val="single" w:sz="4" w:space="0" w:color="auto"/>
              <w:left w:val="nil"/>
              <w:bottom w:val="single" w:sz="4" w:space="0" w:color="auto"/>
              <w:right w:val="nil"/>
            </w:tcBorders>
            <w:shd w:val="clear" w:color="000000" w:fill="F5DADD"/>
            <w:noWrap/>
            <w:vAlign w:val="center"/>
            <w:hideMark/>
          </w:tcPr>
          <w:p w14:paraId="4BC4BFC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2016</w:t>
            </w:r>
          </w:p>
        </w:tc>
        <w:tc>
          <w:tcPr>
            <w:tcW w:w="567" w:type="dxa"/>
            <w:tcBorders>
              <w:top w:val="single" w:sz="4" w:space="0" w:color="auto"/>
              <w:left w:val="nil"/>
              <w:bottom w:val="single" w:sz="4" w:space="0" w:color="auto"/>
              <w:right w:val="nil"/>
            </w:tcBorders>
            <w:shd w:val="clear" w:color="000000" w:fill="F5DADD"/>
            <w:noWrap/>
            <w:vAlign w:val="center"/>
            <w:hideMark/>
          </w:tcPr>
          <w:p w14:paraId="55FED6F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2017</w:t>
            </w:r>
          </w:p>
        </w:tc>
        <w:tc>
          <w:tcPr>
            <w:tcW w:w="567" w:type="dxa"/>
            <w:tcBorders>
              <w:top w:val="single" w:sz="4" w:space="0" w:color="auto"/>
              <w:left w:val="nil"/>
              <w:bottom w:val="single" w:sz="4" w:space="0" w:color="auto"/>
              <w:right w:val="nil"/>
            </w:tcBorders>
            <w:shd w:val="clear" w:color="000000" w:fill="F5DADD"/>
            <w:noWrap/>
            <w:vAlign w:val="center"/>
            <w:hideMark/>
          </w:tcPr>
          <w:p w14:paraId="2C89A41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2018</w:t>
            </w:r>
          </w:p>
        </w:tc>
        <w:tc>
          <w:tcPr>
            <w:tcW w:w="567" w:type="dxa"/>
            <w:tcBorders>
              <w:top w:val="single" w:sz="4" w:space="0" w:color="auto"/>
              <w:left w:val="nil"/>
              <w:bottom w:val="single" w:sz="4" w:space="0" w:color="auto"/>
              <w:right w:val="nil"/>
            </w:tcBorders>
            <w:shd w:val="clear" w:color="000000" w:fill="F5DADD"/>
            <w:noWrap/>
            <w:vAlign w:val="center"/>
            <w:hideMark/>
          </w:tcPr>
          <w:p w14:paraId="3769B2F8"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2019</w:t>
            </w:r>
          </w:p>
        </w:tc>
        <w:tc>
          <w:tcPr>
            <w:tcW w:w="567" w:type="dxa"/>
            <w:tcBorders>
              <w:top w:val="single" w:sz="4" w:space="0" w:color="auto"/>
              <w:left w:val="nil"/>
              <w:bottom w:val="single" w:sz="4" w:space="0" w:color="auto"/>
              <w:right w:val="nil"/>
            </w:tcBorders>
            <w:shd w:val="clear" w:color="000000" w:fill="F5DADD"/>
            <w:noWrap/>
            <w:vAlign w:val="center"/>
            <w:hideMark/>
          </w:tcPr>
          <w:p w14:paraId="6D03A40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2020</w:t>
            </w:r>
          </w:p>
        </w:tc>
        <w:tc>
          <w:tcPr>
            <w:tcW w:w="567" w:type="dxa"/>
            <w:tcBorders>
              <w:top w:val="single" w:sz="4" w:space="0" w:color="auto"/>
              <w:bottom w:val="single" w:sz="4" w:space="0" w:color="auto"/>
            </w:tcBorders>
            <w:shd w:val="clear" w:color="auto" w:fill="F5DADD"/>
            <w:vAlign w:val="center"/>
          </w:tcPr>
          <w:p w14:paraId="3FB90C91" w14:textId="77777777" w:rsidR="00986950" w:rsidRPr="00986950" w:rsidRDefault="00986950" w:rsidP="00986950">
            <w:pPr>
              <w:spacing w:after="0" w:line="240" w:lineRule="auto"/>
              <w:jc w:val="center"/>
            </w:pPr>
            <w:r w:rsidRPr="00986950">
              <w:rPr>
                <w:rFonts w:cs="Arial"/>
                <w:color w:val="000000"/>
                <w:sz w:val="16"/>
                <w:szCs w:val="16"/>
              </w:rPr>
              <w:t>2021</w:t>
            </w:r>
          </w:p>
        </w:tc>
        <w:tc>
          <w:tcPr>
            <w:tcW w:w="567" w:type="dxa"/>
            <w:tcBorders>
              <w:top w:val="single" w:sz="4" w:space="0" w:color="auto"/>
              <w:bottom w:val="single" w:sz="4" w:space="0" w:color="auto"/>
            </w:tcBorders>
            <w:shd w:val="clear" w:color="auto" w:fill="F5DADD"/>
            <w:vAlign w:val="center"/>
          </w:tcPr>
          <w:p w14:paraId="48353C67" w14:textId="5ED5B084"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2022</w:t>
            </w:r>
          </w:p>
        </w:tc>
      </w:tr>
      <w:tr w:rsidR="00986950" w:rsidRPr="00986950" w14:paraId="6F1592CC" w14:textId="3D5B0C7E" w:rsidTr="003D23B7">
        <w:trPr>
          <w:trHeight w:val="300"/>
        </w:trPr>
        <w:tc>
          <w:tcPr>
            <w:tcW w:w="3401" w:type="dxa"/>
            <w:tcBorders>
              <w:top w:val="nil"/>
              <w:left w:val="nil"/>
              <w:bottom w:val="nil"/>
              <w:right w:val="single" w:sz="4" w:space="0" w:color="auto"/>
            </w:tcBorders>
            <w:shd w:val="clear" w:color="auto" w:fill="auto"/>
            <w:vAlign w:val="center"/>
            <w:hideMark/>
          </w:tcPr>
          <w:p w14:paraId="33CBBE3F" w14:textId="77777777" w:rsidR="00986950" w:rsidRPr="00986950" w:rsidRDefault="00986950" w:rsidP="00986950">
            <w:pPr>
              <w:spacing w:after="0" w:line="240" w:lineRule="auto"/>
              <w:rPr>
                <w:rFonts w:cs="Arial"/>
                <w:b/>
                <w:bCs/>
                <w:color w:val="000000"/>
                <w:sz w:val="16"/>
                <w:szCs w:val="16"/>
              </w:rPr>
            </w:pPr>
            <w:r w:rsidRPr="00986950">
              <w:rPr>
                <w:rFonts w:cs="Arial"/>
                <w:b/>
                <w:bCs/>
                <w:color w:val="000000"/>
                <w:sz w:val="16"/>
                <w:szCs w:val="16"/>
              </w:rPr>
              <w:t>Celkem</w:t>
            </w:r>
          </w:p>
        </w:tc>
        <w:tc>
          <w:tcPr>
            <w:tcW w:w="567" w:type="dxa"/>
            <w:tcBorders>
              <w:top w:val="nil"/>
              <w:left w:val="nil"/>
              <w:bottom w:val="nil"/>
              <w:right w:val="nil"/>
            </w:tcBorders>
            <w:shd w:val="clear" w:color="auto" w:fill="auto"/>
            <w:noWrap/>
            <w:vAlign w:val="center"/>
            <w:hideMark/>
          </w:tcPr>
          <w:p w14:paraId="16CFA006"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46,1</w:t>
            </w:r>
          </w:p>
        </w:tc>
        <w:tc>
          <w:tcPr>
            <w:tcW w:w="567" w:type="dxa"/>
            <w:tcBorders>
              <w:top w:val="nil"/>
              <w:left w:val="nil"/>
              <w:bottom w:val="nil"/>
              <w:right w:val="nil"/>
            </w:tcBorders>
            <w:shd w:val="clear" w:color="auto" w:fill="auto"/>
            <w:noWrap/>
            <w:vAlign w:val="center"/>
            <w:hideMark/>
          </w:tcPr>
          <w:p w14:paraId="363ACEF0"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44,0</w:t>
            </w:r>
          </w:p>
        </w:tc>
        <w:tc>
          <w:tcPr>
            <w:tcW w:w="567" w:type="dxa"/>
            <w:tcBorders>
              <w:top w:val="nil"/>
              <w:left w:val="nil"/>
              <w:bottom w:val="nil"/>
              <w:right w:val="nil"/>
            </w:tcBorders>
            <w:shd w:val="clear" w:color="auto" w:fill="auto"/>
            <w:noWrap/>
            <w:vAlign w:val="center"/>
            <w:hideMark/>
          </w:tcPr>
          <w:p w14:paraId="09218EFA"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45,8</w:t>
            </w:r>
          </w:p>
        </w:tc>
        <w:tc>
          <w:tcPr>
            <w:tcW w:w="567" w:type="dxa"/>
            <w:tcBorders>
              <w:top w:val="nil"/>
              <w:left w:val="nil"/>
              <w:bottom w:val="nil"/>
              <w:right w:val="nil"/>
            </w:tcBorders>
            <w:shd w:val="clear" w:color="auto" w:fill="auto"/>
            <w:noWrap/>
            <w:vAlign w:val="center"/>
            <w:hideMark/>
          </w:tcPr>
          <w:p w14:paraId="6776D2BA"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42,7</w:t>
            </w:r>
          </w:p>
        </w:tc>
        <w:tc>
          <w:tcPr>
            <w:tcW w:w="567" w:type="dxa"/>
            <w:tcBorders>
              <w:top w:val="nil"/>
              <w:left w:val="nil"/>
              <w:bottom w:val="nil"/>
              <w:right w:val="nil"/>
            </w:tcBorders>
            <w:shd w:val="clear" w:color="auto" w:fill="auto"/>
            <w:noWrap/>
            <w:vAlign w:val="center"/>
            <w:hideMark/>
          </w:tcPr>
          <w:p w14:paraId="547F1577"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43,0</w:t>
            </w:r>
          </w:p>
        </w:tc>
        <w:tc>
          <w:tcPr>
            <w:tcW w:w="567" w:type="dxa"/>
            <w:tcBorders>
              <w:top w:val="nil"/>
              <w:left w:val="nil"/>
              <w:bottom w:val="nil"/>
              <w:right w:val="nil"/>
            </w:tcBorders>
            <w:shd w:val="clear" w:color="auto" w:fill="auto"/>
            <w:noWrap/>
            <w:vAlign w:val="center"/>
            <w:hideMark/>
          </w:tcPr>
          <w:p w14:paraId="2A6765A7"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42,6</w:t>
            </w:r>
          </w:p>
        </w:tc>
        <w:tc>
          <w:tcPr>
            <w:tcW w:w="567" w:type="dxa"/>
            <w:tcBorders>
              <w:top w:val="nil"/>
              <w:left w:val="nil"/>
              <w:bottom w:val="nil"/>
              <w:right w:val="nil"/>
            </w:tcBorders>
            <w:shd w:val="clear" w:color="auto" w:fill="auto"/>
            <w:noWrap/>
            <w:vAlign w:val="center"/>
            <w:hideMark/>
          </w:tcPr>
          <w:p w14:paraId="5BB36EF7"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41,7</w:t>
            </w:r>
          </w:p>
        </w:tc>
        <w:tc>
          <w:tcPr>
            <w:tcW w:w="567" w:type="dxa"/>
            <w:tcBorders>
              <w:top w:val="nil"/>
              <w:left w:val="nil"/>
              <w:bottom w:val="nil"/>
              <w:right w:val="nil"/>
            </w:tcBorders>
            <w:shd w:val="clear" w:color="auto" w:fill="auto"/>
            <w:noWrap/>
            <w:vAlign w:val="center"/>
            <w:hideMark/>
          </w:tcPr>
          <w:p w14:paraId="0DB4D585"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42,4</w:t>
            </w:r>
          </w:p>
        </w:tc>
        <w:tc>
          <w:tcPr>
            <w:tcW w:w="567" w:type="dxa"/>
            <w:tcBorders>
              <w:top w:val="nil"/>
              <w:left w:val="nil"/>
              <w:bottom w:val="nil"/>
              <w:right w:val="nil"/>
            </w:tcBorders>
            <w:shd w:val="clear" w:color="auto" w:fill="auto"/>
            <w:noWrap/>
            <w:vAlign w:val="center"/>
            <w:hideMark/>
          </w:tcPr>
          <w:p w14:paraId="6D701659" w14:textId="77777777"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39,4</w:t>
            </w:r>
          </w:p>
        </w:tc>
        <w:tc>
          <w:tcPr>
            <w:tcW w:w="567" w:type="dxa"/>
            <w:tcBorders>
              <w:top w:val="single" w:sz="4" w:space="0" w:color="auto"/>
            </w:tcBorders>
            <w:vAlign w:val="center"/>
          </w:tcPr>
          <w:p w14:paraId="001635AB" w14:textId="77777777" w:rsidR="00986950" w:rsidRPr="00986950" w:rsidRDefault="00986950" w:rsidP="00986950">
            <w:pPr>
              <w:spacing w:after="0" w:line="240" w:lineRule="auto"/>
              <w:jc w:val="center"/>
            </w:pPr>
            <w:r w:rsidRPr="00986950">
              <w:rPr>
                <w:rFonts w:cs="Arial"/>
                <w:b/>
                <w:bCs/>
                <w:color w:val="000000"/>
                <w:sz w:val="16"/>
                <w:szCs w:val="16"/>
              </w:rPr>
              <w:t>34,5</w:t>
            </w:r>
          </w:p>
        </w:tc>
        <w:tc>
          <w:tcPr>
            <w:tcW w:w="567" w:type="dxa"/>
            <w:tcBorders>
              <w:top w:val="single" w:sz="4" w:space="0" w:color="auto"/>
            </w:tcBorders>
            <w:vAlign w:val="center"/>
          </w:tcPr>
          <w:p w14:paraId="68FB05C7" w14:textId="46E1AE31" w:rsidR="00986950" w:rsidRPr="00986950" w:rsidRDefault="00986950" w:rsidP="00986950">
            <w:pPr>
              <w:spacing w:after="0" w:line="240" w:lineRule="auto"/>
              <w:jc w:val="center"/>
              <w:rPr>
                <w:rFonts w:cs="Arial"/>
                <w:b/>
                <w:bCs/>
                <w:color w:val="000000"/>
                <w:sz w:val="16"/>
                <w:szCs w:val="16"/>
              </w:rPr>
            </w:pPr>
            <w:r w:rsidRPr="00986950">
              <w:rPr>
                <w:rFonts w:cs="Arial"/>
                <w:b/>
                <w:bCs/>
                <w:color w:val="000000"/>
                <w:sz w:val="16"/>
                <w:szCs w:val="16"/>
              </w:rPr>
              <w:t>26,3</w:t>
            </w:r>
          </w:p>
        </w:tc>
      </w:tr>
      <w:tr w:rsidR="00986950" w:rsidRPr="00986950" w14:paraId="2E03A05B" w14:textId="0119927E" w:rsidTr="003D23B7">
        <w:trPr>
          <w:trHeight w:val="300"/>
        </w:trPr>
        <w:tc>
          <w:tcPr>
            <w:tcW w:w="3401" w:type="dxa"/>
            <w:tcBorders>
              <w:top w:val="nil"/>
              <w:left w:val="nil"/>
              <w:bottom w:val="nil"/>
              <w:right w:val="single" w:sz="4" w:space="0" w:color="auto"/>
            </w:tcBorders>
            <w:shd w:val="clear" w:color="auto" w:fill="auto"/>
            <w:vAlign w:val="center"/>
            <w:hideMark/>
          </w:tcPr>
          <w:p w14:paraId="29AD865C"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A – Zemědělství, lesnictví a rybářství</w:t>
            </w:r>
          </w:p>
        </w:tc>
        <w:tc>
          <w:tcPr>
            <w:tcW w:w="567" w:type="dxa"/>
            <w:tcBorders>
              <w:top w:val="nil"/>
              <w:left w:val="nil"/>
              <w:bottom w:val="nil"/>
              <w:right w:val="nil"/>
            </w:tcBorders>
            <w:shd w:val="clear" w:color="auto" w:fill="auto"/>
            <w:noWrap/>
            <w:vAlign w:val="center"/>
            <w:hideMark/>
          </w:tcPr>
          <w:p w14:paraId="36B50DE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61,8</w:t>
            </w:r>
          </w:p>
        </w:tc>
        <w:tc>
          <w:tcPr>
            <w:tcW w:w="567" w:type="dxa"/>
            <w:tcBorders>
              <w:top w:val="nil"/>
              <w:left w:val="nil"/>
              <w:bottom w:val="nil"/>
              <w:right w:val="nil"/>
            </w:tcBorders>
            <w:shd w:val="clear" w:color="auto" w:fill="auto"/>
            <w:noWrap/>
            <w:vAlign w:val="center"/>
            <w:hideMark/>
          </w:tcPr>
          <w:p w14:paraId="5AE419A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58,9</w:t>
            </w:r>
          </w:p>
        </w:tc>
        <w:tc>
          <w:tcPr>
            <w:tcW w:w="567" w:type="dxa"/>
            <w:tcBorders>
              <w:top w:val="nil"/>
              <w:left w:val="nil"/>
              <w:bottom w:val="nil"/>
              <w:right w:val="nil"/>
            </w:tcBorders>
            <w:shd w:val="clear" w:color="auto" w:fill="auto"/>
            <w:noWrap/>
            <w:vAlign w:val="center"/>
            <w:hideMark/>
          </w:tcPr>
          <w:p w14:paraId="7BB84DA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60,6</w:t>
            </w:r>
          </w:p>
        </w:tc>
        <w:tc>
          <w:tcPr>
            <w:tcW w:w="567" w:type="dxa"/>
            <w:tcBorders>
              <w:top w:val="nil"/>
              <w:left w:val="nil"/>
              <w:bottom w:val="nil"/>
              <w:right w:val="nil"/>
            </w:tcBorders>
            <w:shd w:val="clear" w:color="auto" w:fill="auto"/>
            <w:noWrap/>
            <w:vAlign w:val="center"/>
            <w:hideMark/>
          </w:tcPr>
          <w:p w14:paraId="68886F9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57,4</w:t>
            </w:r>
          </w:p>
        </w:tc>
        <w:tc>
          <w:tcPr>
            <w:tcW w:w="567" w:type="dxa"/>
            <w:tcBorders>
              <w:top w:val="nil"/>
              <w:left w:val="nil"/>
              <w:bottom w:val="nil"/>
              <w:right w:val="nil"/>
            </w:tcBorders>
            <w:shd w:val="clear" w:color="auto" w:fill="auto"/>
            <w:noWrap/>
            <w:vAlign w:val="center"/>
            <w:hideMark/>
          </w:tcPr>
          <w:p w14:paraId="552DBF0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59,0</w:t>
            </w:r>
          </w:p>
        </w:tc>
        <w:tc>
          <w:tcPr>
            <w:tcW w:w="567" w:type="dxa"/>
            <w:tcBorders>
              <w:top w:val="nil"/>
              <w:left w:val="nil"/>
              <w:bottom w:val="nil"/>
              <w:right w:val="nil"/>
            </w:tcBorders>
            <w:shd w:val="clear" w:color="auto" w:fill="auto"/>
            <w:noWrap/>
            <w:vAlign w:val="center"/>
            <w:hideMark/>
          </w:tcPr>
          <w:p w14:paraId="570590A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57,6</w:t>
            </w:r>
          </w:p>
        </w:tc>
        <w:tc>
          <w:tcPr>
            <w:tcW w:w="567" w:type="dxa"/>
            <w:tcBorders>
              <w:top w:val="nil"/>
              <w:left w:val="nil"/>
              <w:bottom w:val="nil"/>
              <w:right w:val="nil"/>
            </w:tcBorders>
            <w:shd w:val="clear" w:color="auto" w:fill="auto"/>
            <w:noWrap/>
            <w:vAlign w:val="center"/>
            <w:hideMark/>
          </w:tcPr>
          <w:p w14:paraId="0B8C651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55,9</w:t>
            </w:r>
          </w:p>
        </w:tc>
        <w:tc>
          <w:tcPr>
            <w:tcW w:w="567" w:type="dxa"/>
            <w:tcBorders>
              <w:top w:val="nil"/>
              <w:left w:val="nil"/>
              <w:bottom w:val="nil"/>
              <w:right w:val="nil"/>
            </w:tcBorders>
            <w:shd w:val="clear" w:color="auto" w:fill="auto"/>
            <w:noWrap/>
            <w:vAlign w:val="center"/>
            <w:hideMark/>
          </w:tcPr>
          <w:p w14:paraId="240DE85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56,8</w:t>
            </w:r>
          </w:p>
        </w:tc>
        <w:tc>
          <w:tcPr>
            <w:tcW w:w="567" w:type="dxa"/>
            <w:tcBorders>
              <w:top w:val="nil"/>
              <w:left w:val="nil"/>
              <w:bottom w:val="nil"/>
              <w:right w:val="nil"/>
            </w:tcBorders>
            <w:shd w:val="clear" w:color="auto" w:fill="auto"/>
            <w:noWrap/>
            <w:vAlign w:val="center"/>
            <w:hideMark/>
          </w:tcPr>
          <w:p w14:paraId="4496F6B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49,7</w:t>
            </w:r>
          </w:p>
        </w:tc>
        <w:tc>
          <w:tcPr>
            <w:tcW w:w="567" w:type="dxa"/>
            <w:vAlign w:val="center"/>
          </w:tcPr>
          <w:p w14:paraId="6E82E121" w14:textId="77777777" w:rsidR="00986950" w:rsidRPr="00986950" w:rsidRDefault="00986950" w:rsidP="00986950">
            <w:pPr>
              <w:spacing w:after="0" w:line="240" w:lineRule="auto"/>
              <w:jc w:val="center"/>
            </w:pPr>
            <w:r w:rsidRPr="00986950">
              <w:rPr>
                <w:rFonts w:cs="Arial"/>
                <w:color w:val="000000"/>
                <w:sz w:val="16"/>
                <w:szCs w:val="16"/>
              </w:rPr>
              <w:t>43,4</w:t>
            </w:r>
          </w:p>
        </w:tc>
        <w:tc>
          <w:tcPr>
            <w:tcW w:w="567" w:type="dxa"/>
            <w:vAlign w:val="center"/>
          </w:tcPr>
          <w:p w14:paraId="4D158E2A" w14:textId="5AE4596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37,0</w:t>
            </w:r>
          </w:p>
        </w:tc>
      </w:tr>
      <w:tr w:rsidR="00986950" w:rsidRPr="00986950" w14:paraId="018E8207" w14:textId="4EFBC969" w:rsidTr="003D23B7">
        <w:trPr>
          <w:trHeight w:val="300"/>
        </w:trPr>
        <w:tc>
          <w:tcPr>
            <w:tcW w:w="3401" w:type="dxa"/>
            <w:tcBorders>
              <w:top w:val="nil"/>
              <w:left w:val="nil"/>
              <w:bottom w:val="nil"/>
              <w:right w:val="single" w:sz="4" w:space="0" w:color="auto"/>
            </w:tcBorders>
            <w:shd w:val="clear" w:color="auto" w:fill="auto"/>
            <w:vAlign w:val="center"/>
            <w:hideMark/>
          </w:tcPr>
          <w:p w14:paraId="5C2B9627"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B – Těžba a dobývání</w:t>
            </w:r>
          </w:p>
        </w:tc>
        <w:tc>
          <w:tcPr>
            <w:tcW w:w="567" w:type="dxa"/>
            <w:tcBorders>
              <w:top w:val="nil"/>
              <w:left w:val="nil"/>
              <w:bottom w:val="nil"/>
              <w:right w:val="nil"/>
            </w:tcBorders>
            <w:shd w:val="clear" w:color="auto" w:fill="auto"/>
            <w:noWrap/>
            <w:vAlign w:val="center"/>
            <w:hideMark/>
          </w:tcPr>
          <w:p w14:paraId="2FC1514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41,7</w:t>
            </w:r>
          </w:p>
        </w:tc>
        <w:tc>
          <w:tcPr>
            <w:tcW w:w="567" w:type="dxa"/>
            <w:tcBorders>
              <w:top w:val="nil"/>
              <w:left w:val="nil"/>
              <w:bottom w:val="nil"/>
              <w:right w:val="nil"/>
            </w:tcBorders>
            <w:shd w:val="clear" w:color="auto" w:fill="auto"/>
            <w:noWrap/>
            <w:vAlign w:val="center"/>
            <w:hideMark/>
          </w:tcPr>
          <w:p w14:paraId="2658C9D8"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44,8</w:t>
            </w:r>
          </w:p>
        </w:tc>
        <w:tc>
          <w:tcPr>
            <w:tcW w:w="567" w:type="dxa"/>
            <w:tcBorders>
              <w:top w:val="nil"/>
              <w:left w:val="nil"/>
              <w:bottom w:val="nil"/>
              <w:right w:val="nil"/>
            </w:tcBorders>
            <w:shd w:val="clear" w:color="auto" w:fill="auto"/>
            <w:noWrap/>
            <w:vAlign w:val="center"/>
            <w:hideMark/>
          </w:tcPr>
          <w:p w14:paraId="37443943"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48,0</w:t>
            </w:r>
          </w:p>
        </w:tc>
        <w:tc>
          <w:tcPr>
            <w:tcW w:w="567" w:type="dxa"/>
            <w:tcBorders>
              <w:top w:val="nil"/>
              <w:left w:val="nil"/>
              <w:bottom w:val="nil"/>
              <w:right w:val="nil"/>
            </w:tcBorders>
            <w:shd w:val="clear" w:color="auto" w:fill="auto"/>
            <w:noWrap/>
            <w:vAlign w:val="center"/>
            <w:hideMark/>
          </w:tcPr>
          <w:p w14:paraId="4F55985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45,4</w:t>
            </w:r>
          </w:p>
        </w:tc>
        <w:tc>
          <w:tcPr>
            <w:tcW w:w="567" w:type="dxa"/>
            <w:tcBorders>
              <w:top w:val="nil"/>
              <w:left w:val="nil"/>
              <w:bottom w:val="nil"/>
              <w:right w:val="nil"/>
            </w:tcBorders>
            <w:shd w:val="clear" w:color="auto" w:fill="auto"/>
            <w:noWrap/>
            <w:vAlign w:val="center"/>
            <w:hideMark/>
          </w:tcPr>
          <w:p w14:paraId="21C2ACC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53,8</w:t>
            </w:r>
          </w:p>
        </w:tc>
        <w:tc>
          <w:tcPr>
            <w:tcW w:w="567" w:type="dxa"/>
            <w:tcBorders>
              <w:top w:val="nil"/>
              <w:left w:val="nil"/>
              <w:bottom w:val="nil"/>
              <w:right w:val="nil"/>
            </w:tcBorders>
            <w:shd w:val="clear" w:color="auto" w:fill="auto"/>
            <w:noWrap/>
            <w:vAlign w:val="center"/>
            <w:hideMark/>
          </w:tcPr>
          <w:p w14:paraId="446C3B3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55,6</w:t>
            </w:r>
          </w:p>
        </w:tc>
        <w:tc>
          <w:tcPr>
            <w:tcW w:w="567" w:type="dxa"/>
            <w:tcBorders>
              <w:top w:val="nil"/>
              <w:left w:val="nil"/>
              <w:bottom w:val="nil"/>
              <w:right w:val="nil"/>
            </w:tcBorders>
            <w:shd w:val="clear" w:color="auto" w:fill="auto"/>
            <w:noWrap/>
            <w:vAlign w:val="center"/>
            <w:hideMark/>
          </w:tcPr>
          <w:p w14:paraId="0727B74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47,9</w:t>
            </w:r>
          </w:p>
        </w:tc>
        <w:tc>
          <w:tcPr>
            <w:tcW w:w="567" w:type="dxa"/>
            <w:tcBorders>
              <w:top w:val="nil"/>
              <w:left w:val="nil"/>
              <w:bottom w:val="nil"/>
              <w:right w:val="nil"/>
            </w:tcBorders>
            <w:shd w:val="clear" w:color="auto" w:fill="auto"/>
            <w:noWrap/>
            <w:vAlign w:val="center"/>
            <w:hideMark/>
          </w:tcPr>
          <w:p w14:paraId="19AE9E3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49,4</w:t>
            </w:r>
          </w:p>
        </w:tc>
        <w:tc>
          <w:tcPr>
            <w:tcW w:w="567" w:type="dxa"/>
            <w:tcBorders>
              <w:top w:val="nil"/>
              <w:left w:val="nil"/>
              <w:bottom w:val="nil"/>
              <w:right w:val="nil"/>
            </w:tcBorders>
            <w:shd w:val="clear" w:color="auto" w:fill="auto"/>
            <w:noWrap/>
            <w:vAlign w:val="center"/>
            <w:hideMark/>
          </w:tcPr>
          <w:p w14:paraId="5AF7AC9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40,5</w:t>
            </w:r>
          </w:p>
        </w:tc>
        <w:tc>
          <w:tcPr>
            <w:tcW w:w="567" w:type="dxa"/>
            <w:vAlign w:val="center"/>
          </w:tcPr>
          <w:p w14:paraId="6AA61C09" w14:textId="77777777" w:rsidR="00986950" w:rsidRPr="00986950" w:rsidRDefault="00986950" w:rsidP="00986950">
            <w:pPr>
              <w:spacing w:after="0" w:line="240" w:lineRule="auto"/>
              <w:jc w:val="center"/>
            </w:pPr>
            <w:r w:rsidRPr="00986950">
              <w:rPr>
                <w:rFonts w:cs="Arial"/>
                <w:color w:val="000000"/>
                <w:sz w:val="16"/>
                <w:szCs w:val="16"/>
              </w:rPr>
              <w:t>41,3</w:t>
            </w:r>
          </w:p>
        </w:tc>
        <w:tc>
          <w:tcPr>
            <w:tcW w:w="567" w:type="dxa"/>
            <w:vAlign w:val="center"/>
          </w:tcPr>
          <w:p w14:paraId="2C6A9285" w14:textId="0546A8D3"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32,2</w:t>
            </w:r>
          </w:p>
        </w:tc>
      </w:tr>
      <w:tr w:rsidR="00986950" w:rsidRPr="00986950" w14:paraId="67F6EA45" w14:textId="0F83B5D6" w:rsidTr="003D23B7">
        <w:trPr>
          <w:trHeight w:val="300"/>
        </w:trPr>
        <w:tc>
          <w:tcPr>
            <w:tcW w:w="3401" w:type="dxa"/>
            <w:tcBorders>
              <w:top w:val="nil"/>
              <w:left w:val="nil"/>
              <w:bottom w:val="nil"/>
              <w:right w:val="single" w:sz="4" w:space="0" w:color="auto"/>
            </w:tcBorders>
            <w:shd w:val="clear" w:color="auto" w:fill="auto"/>
            <w:vAlign w:val="center"/>
            <w:hideMark/>
          </w:tcPr>
          <w:p w14:paraId="531F0A94"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C – Zpracovatelský průmysl</w:t>
            </w:r>
          </w:p>
        </w:tc>
        <w:tc>
          <w:tcPr>
            <w:tcW w:w="567" w:type="dxa"/>
            <w:tcBorders>
              <w:top w:val="nil"/>
              <w:left w:val="nil"/>
              <w:bottom w:val="nil"/>
              <w:right w:val="nil"/>
            </w:tcBorders>
            <w:shd w:val="clear" w:color="auto" w:fill="auto"/>
            <w:noWrap/>
            <w:vAlign w:val="center"/>
            <w:hideMark/>
          </w:tcPr>
          <w:p w14:paraId="4D41011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45,5</w:t>
            </w:r>
          </w:p>
        </w:tc>
        <w:tc>
          <w:tcPr>
            <w:tcW w:w="567" w:type="dxa"/>
            <w:tcBorders>
              <w:top w:val="nil"/>
              <w:left w:val="nil"/>
              <w:bottom w:val="nil"/>
              <w:right w:val="nil"/>
            </w:tcBorders>
            <w:shd w:val="clear" w:color="auto" w:fill="auto"/>
            <w:noWrap/>
            <w:vAlign w:val="center"/>
            <w:hideMark/>
          </w:tcPr>
          <w:p w14:paraId="51D40EB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43,7</w:t>
            </w:r>
          </w:p>
        </w:tc>
        <w:tc>
          <w:tcPr>
            <w:tcW w:w="567" w:type="dxa"/>
            <w:tcBorders>
              <w:top w:val="nil"/>
              <w:left w:val="nil"/>
              <w:bottom w:val="nil"/>
              <w:right w:val="nil"/>
            </w:tcBorders>
            <w:shd w:val="clear" w:color="auto" w:fill="auto"/>
            <w:noWrap/>
            <w:vAlign w:val="center"/>
            <w:hideMark/>
          </w:tcPr>
          <w:p w14:paraId="4F45A59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44,8</w:t>
            </w:r>
          </w:p>
        </w:tc>
        <w:tc>
          <w:tcPr>
            <w:tcW w:w="567" w:type="dxa"/>
            <w:tcBorders>
              <w:top w:val="nil"/>
              <w:left w:val="nil"/>
              <w:bottom w:val="nil"/>
              <w:right w:val="nil"/>
            </w:tcBorders>
            <w:shd w:val="clear" w:color="auto" w:fill="auto"/>
            <w:noWrap/>
            <w:vAlign w:val="center"/>
            <w:hideMark/>
          </w:tcPr>
          <w:p w14:paraId="3DEEC8F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41,6</w:t>
            </w:r>
          </w:p>
        </w:tc>
        <w:tc>
          <w:tcPr>
            <w:tcW w:w="567" w:type="dxa"/>
            <w:tcBorders>
              <w:top w:val="nil"/>
              <w:left w:val="nil"/>
              <w:bottom w:val="nil"/>
              <w:right w:val="nil"/>
            </w:tcBorders>
            <w:shd w:val="clear" w:color="auto" w:fill="auto"/>
            <w:noWrap/>
            <w:vAlign w:val="center"/>
            <w:hideMark/>
          </w:tcPr>
          <w:p w14:paraId="0CA11C5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42,4</w:t>
            </w:r>
          </w:p>
        </w:tc>
        <w:tc>
          <w:tcPr>
            <w:tcW w:w="567" w:type="dxa"/>
            <w:tcBorders>
              <w:top w:val="nil"/>
              <w:left w:val="nil"/>
              <w:bottom w:val="nil"/>
              <w:right w:val="nil"/>
            </w:tcBorders>
            <w:shd w:val="clear" w:color="auto" w:fill="auto"/>
            <w:noWrap/>
            <w:vAlign w:val="center"/>
            <w:hideMark/>
          </w:tcPr>
          <w:p w14:paraId="1BC87F83"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41,9</w:t>
            </w:r>
          </w:p>
        </w:tc>
        <w:tc>
          <w:tcPr>
            <w:tcW w:w="567" w:type="dxa"/>
            <w:tcBorders>
              <w:top w:val="nil"/>
              <w:left w:val="nil"/>
              <w:bottom w:val="nil"/>
              <w:right w:val="nil"/>
            </w:tcBorders>
            <w:shd w:val="clear" w:color="auto" w:fill="auto"/>
            <w:noWrap/>
            <w:vAlign w:val="center"/>
            <w:hideMark/>
          </w:tcPr>
          <w:p w14:paraId="75D0728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41,2</w:t>
            </w:r>
          </w:p>
        </w:tc>
        <w:tc>
          <w:tcPr>
            <w:tcW w:w="567" w:type="dxa"/>
            <w:tcBorders>
              <w:top w:val="nil"/>
              <w:left w:val="nil"/>
              <w:bottom w:val="nil"/>
              <w:right w:val="nil"/>
            </w:tcBorders>
            <w:shd w:val="clear" w:color="auto" w:fill="auto"/>
            <w:noWrap/>
            <w:vAlign w:val="center"/>
            <w:hideMark/>
          </w:tcPr>
          <w:p w14:paraId="58C63F6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42,2</w:t>
            </w:r>
          </w:p>
        </w:tc>
        <w:tc>
          <w:tcPr>
            <w:tcW w:w="567" w:type="dxa"/>
            <w:tcBorders>
              <w:top w:val="nil"/>
              <w:left w:val="nil"/>
              <w:bottom w:val="nil"/>
              <w:right w:val="nil"/>
            </w:tcBorders>
            <w:shd w:val="clear" w:color="auto" w:fill="auto"/>
            <w:noWrap/>
            <w:vAlign w:val="center"/>
            <w:hideMark/>
          </w:tcPr>
          <w:p w14:paraId="487BC350"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39,8</w:t>
            </w:r>
          </w:p>
        </w:tc>
        <w:tc>
          <w:tcPr>
            <w:tcW w:w="567" w:type="dxa"/>
            <w:vAlign w:val="center"/>
          </w:tcPr>
          <w:p w14:paraId="4F00ACED" w14:textId="77777777" w:rsidR="00986950" w:rsidRPr="00986950" w:rsidRDefault="00986950" w:rsidP="00986950">
            <w:pPr>
              <w:spacing w:after="0" w:line="240" w:lineRule="auto"/>
              <w:jc w:val="center"/>
            </w:pPr>
            <w:r w:rsidRPr="00986950">
              <w:rPr>
                <w:rFonts w:cs="Arial"/>
                <w:color w:val="000000"/>
                <w:sz w:val="16"/>
                <w:szCs w:val="16"/>
              </w:rPr>
              <w:t>33,8</w:t>
            </w:r>
          </w:p>
        </w:tc>
        <w:tc>
          <w:tcPr>
            <w:tcW w:w="567" w:type="dxa"/>
            <w:vAlign w:val="center"/>
          </w:tcPr>
          <w:p w14:paraId="4AE38B17" w14:textId="02C7696B"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26,8</w:t>
            </w:r>
          </w:p>
        </w:tc>
      </w:tr>
      <w:tr w:rsidR="00986950" w:rsidRPr="00986950" w14:paraId="5A80251B" w14:textId="165BBB9D" w:rsidTr="003D23B7">
        <w:trPr>
          <w:trHeight w:val="480"/>
        </w:trPr>
        <w:tc>
          <w:tcPr>
            <w:tcW w:w="3401" w:type="dxa"/>
            <w:tcBorders>
              <w:top w:val="nil"/>
              <w:left w:val="nil"/>
              <w:bottom w:val="nil"/>
              <w:right w:val="single" w:sz="4" w:space="0" w:color="auto"/>
            </w:tcBorders>
            <w:shd w:val="clear" w:color="auto" w:fill="auto"/>
            <w:vAlign w:val="center"/>
            <w:hideMark/>
          </w:tcPr>
          <w:p w14:paraId="068641AC"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 xml:space="preserve">D – Výroba a rozvod elektřiny, plynu, </w:t>
            </w:r>
            <w:r w:rsidRPr="00986950">
              <w:rPr>
                <w:rFonts w:cs="Arial"/>
                <w:color w:val="000000"/>
                <w:sz w:val="16"/>
                <w:szCs w:val="16"/>
              </w:rPr>
              <w:br/>
              <w:t xml:space="preserve">          tepla a klimatizovaného vzduchu</w:t>
            </w:r>
          </w:p>
        </w:tc>
        <w:tc>
          <w:tcPr>
            <w:tcW w:w="567" w:type="dxa"/>
            <w:tcBorders>
              <w:top w:val="nil"/>
              <w:left w:val="nil"/>
              <w:bottom w:val="nil"/>
              <w:right w:val="nil"/>
            </w:tcBorders>
            <w:shd w:val="clear" w:color="auto" w:fill="auto"/>
            <w:noWrap/>
            <w:vAlign w:val="center"/>
            <w:hideMark/>
          </w:tcPr>
          <w:p w14:paraId="680F497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43,1</w:t>
            </w:r>
          </w:p>
        </w:tc>
        <w:tc>
          <w:tcPr>
            <w:tcW w:w="567" w:type="dxa"/>
            <w:tcBorders>
              <w:top w:val="nil"/>
              <w:left w:val="nil"/>
              <w:bottom w:val="nil"/>
              <w:right w:val="nil"/>
            </w:tcBorders>
            <w:shd w:val="clear" w:color="auto" w:fill="auto"/>
            <w:noWrap/>
            <w:vAlign w:val="center"/>
            <w:hideMark/>
          </w:tcPr>
          <w:p w14:paraId="2D83321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38,5</w:t>
            </w:r>
          </w:p>
        </w:tc>
        <w:tc>
          <w:tcPr>
            <w:tcW w:w="567" w:type="dxa"/>
            <w:tcBorders>
              <w:top w:val="nil"/>
              <w:left w:val="nil"/>
              <w:bottom w:val="nil"/>
              <w:right w:val="nil"/>
            </w:tcBorders>
            <w:shd w:val="clear" w:color="auto" w:fill="auto"/>
            <w:noWrap/>
            <w:vAlign w:val="center"/>
            <w:hideMark/>
          </w:tcPr>
          <w:p w14:paraId="1D24F1C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40,8</w:t>
            </w:r>
          </w:p>
        </w:tc>
        <w:tc>
          <w:tcPr>
            <w:tcW w:w="567" w:type="dxa"/>
            <w:tcBorders>
              <w:top w:val="nil"/>
              <w:left w:val="nil"/>
              <w:bottom w:val="nil"/>
              <w:right w:val="nil"/>
            </w:tcBorders>
            <w:shd w:val="clear" w:color="auto" w:fill="auto"/>
            <w:noWrap/>
            <w:vAlign w:val="center"/>
            <w:hideMark/>
          </w:tcPr>
          <w:p w14:paraId="2D5CF25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40,3</w:t>
            </w:r>
          </w:p>
        </w:tc>
        <w:tc>
          <w:tcPr>
            <w:tcW w:w="567" w:type="dxa"/>
            <w:tcBorders>
              <w:top w:val="nil"/>
              <w:left w:val="nil"/>
              <w:bottom w:val="nil"/>
              <w:right w:val="nil"/>
            </w:tcBorders>
            <w:shd w:val="clear" w:color="auto" w:fill="auto"/>
            <w:noWrap/>
            <w:vAlign w:val="center"/>
            <w:hideMark/>
          </w:tcPr>
          <w:p w14:paraId="61CA5F5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41,4</w:t>
            </w:r>
          </w:p>
        </w:tc>
        <w:tc>
          <w:tcPr>
            <w:tcW w:w="567" w:type="dxa"/>
            <w:tcBorders>
              <w:top w:val="nil"/>
              <w:left w:val="nil"/>
              <w:bottom w:val="nil"/>
              <w:right w:val="nil"/>
            </w:tcBorders>
            <w:shd w:val="clear" w:color="auto" w:fill="auto"/>
            <w:noWrap/>
            <w:vAlign w:val="center"/>
            <w:hideMark/>
          </w:tcPr>
          <w:p w14:paraId="2BB8044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40,3</w:t>
            </w:r>
          </w:p>
        </w:tc>
        <w:tc>
          <w:tcPr>
            <w:tcW w:w="567" w:type="dxa"/>
            <w:tcBorders>
              <w:top w:val="nil"/>
              <w:left w:val="nil"/>
              <w:bottom w:val="nil"/>
              <w:right w:val="nil"/>
            </w:tcBorders>
            <w:shd w:val="clear" w:color="auto" w:fill="auto"/>
            <w:noWrap/>
            <w:vAlign w:val="center"/>
            <w:hideMark/>
          </w:tcPr>
          <w:p w14:paraId="4D895E8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36,9</w:t>
            </w:r>
          </w:p>
        </w:tc>
        <w:tc>
          <w:tcPr>
            <w:tcW w:w="567" w:type="dxa"/>
            <w:tcBorders>
              <w:top w:val="nil"/>
              <w:left w:val="nil"/>
              <w:bottom w:val="nil"/>
              <w:right w:val="nil"/>
            </w:tcBorders>
            <w:shd w:val="clear" w:color="auto" w:fill="auto"/>
            <w:noWrap/>
            <w:vAlign w:val="center"/>
            <w:hideMark/>
          </w:tcPr>
          <w:p w14:paraId="29FB499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38,1</w:t>
            </w:r>
          </w:p>
        </w:tc>
        <w:tc>
          <w:tcPr>
            <w:tcW w:w="567" w:type="dxa"/>
            <w:tcBorders>
              <w:top w:val="nil"/>
              <w:left w:val="nil"/>
              <w:bottom w:val="nil"/>
              <w:right w:val="nil"/>
            </w:tcBorders>
            <w:shd w:val="clear" w:color="auto" w:fill="auto"/>
            <w:noWrap/>
            <w:vAlign w:val="center"/>
            <w:hideMark/>
          </w:tcPr>
          <w:p w14:paraId="2843E23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33,2</w:t>
            </w:r>
          </w:p>
        </w:tc>
        <w:tc>
          <w:tcPr>
            <w:tcW w:w="567" w:type="dxa"/>
            <w:vAlign w:val="center"/>
          </w:tcPr>
          <w:p w14:paraId="4F49BA62" w14:textId="3B373F79" w:rsidR="00986950" w:rsidRPr="00986950" w:rsidRDefault="00986950" w:rsidP="00986950">
            <w:pPr>
              <w:spacing w:after="0" w:line="240" w:lineRule="auto"/>
              <w:jc w:val="center"/>
            </w:pPr>
            <w:r w:rsidRPr="00986950">
              <w:rPr>
                <w:rFonts w:cs="Arial"/>
                <w:color w:val="000000"/>
                <w:sz w:val="16"/>
                <w:szCs w:val="16"/>
              </w:rPr>
              <w:t>31,6</w:t>
            </w:r>
          </w:p>
        </w:tc>
        <w:tc>
          <w:tcPr>
            <w:tcW w:w="567" w:type="dxa"/>
            <w:vAlign w:val="center"/>
          </w:tcPr>
          <w:p w14:paraId="583929BC" w14:textId="38E46FE4"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24,2</w:t>
            </w:r>
          </w:p>
        </w:tc>
      </w:tr>
      <w:tr w:rsidR="00986950" w:rsidRPr="00986950" w14:paraId="525E1013" w14:textId="2402F7E0" w:rsidTr="003D23B7">
        <w:trPr>
          <w:trHeight w:val="480"/>
        </w:trPr>
        <w:tc>
          <w:tcPr>
            <w:tcW w:w="3401" w:type="dxa"/>
            <w:tcBorders>
              <w:top w:val="nil"/>
              <w:left w:val="nil"/>
              <w:bottom w:val="nil"/>
              <w:right w:val="single" w:sz="4" w:space="0" w:color="auto"/>
            </w:tcBorders>
            <w:shd w:val="clear" w:color="auto" w:fill="auto"/>
            <w:vAlign w:val="center"/>
            <w:hideMark/>
          </w:tcPr>
          <w:p w14:paraId="011C5F0B"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 xml:space="preserve">E – Zásobování vodou; činnosti </w:t>
            </w:r>
            <w:r w:rsidRPr="00986950">
              <w:rPr>
                <w:rFonts w:cs="Arial"/>
                <w:color w:val="000000"/>
                <w:sz w:val="16"/>
                <w:szCs w:val="16"/>
              </w:rPr>
              <w:br/>
              <w:t xml:space="preserve">          související s odpady a sanacemi</w:t>
            </w:r>
          </w:p>
        </w:tc>
        <w:tc>
          <w:tcPr>
            <w:tcW w:w="567" w:type="dxa"/>
            <w:tcBorders>
              <w:top w:val="nil"/>
              <w:left w:val="nil"/>
              <w:bottom w:val="nil"/>
              <w:right w:val="nil"/>
            </w:tcBorders>
            <w:shd w:val="clear" w:color="auto" w:fill="auto"/>
            <w:noWrap/>
            <w:vAlign w:val="center"/>
            <w:hideMark/>
          </w:tcPr>
          <w:p w14:paraId="43B576F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48,0</w:t>
            </w:r>
          </w:p>
        </w:tc>
        <w:tc>
          <w:tcPr>
            <w:tcW w:w="567" w:type="dxa"/>
            <w:tcBorders>
              <w:top w:val="nil"/>
              <w:left w:val="nil"/>
              <w:bottom w:val="nil"/>
              <w:right w:val="nil"/>
            </w:tcBorders>
            <w:shd w:val="clear" w:color="auto" w:fill="auto"/>
            <w:noWrap/>
            <w:vAlign w:val="center"/>
            <w:hideMark/>
          </w:tcPr>
          <w:p w14:paraId="23A1BF0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45,2</w:t>
            </w:r>
          </w:p>
        </w:tc>
        <w:tc>
          <w:tcPr>
            <w:tcW w:w="567" w:type="dxa"/>
            <w:tcBorders>
              <w:top w:val="nil"/>
              <w:left w:val="nil"/>
              <w:bottom w:val="nil"/>
              <w:right w:val="nil"/>
            </w:tcBorders>
            <w:shd w:val="clear" w:color="auto" w:fill="auto"/>
            <w:noWrap/>
            <w:vAlign w:val="center"/>
            <w:hideMark/>
          </w:tcPr>
          <w:p w14:paraId="0F29DBC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48,1</w:t>
            </w:r>
          </w:p>
        </w:tc>
        <w:tc>
          <w:tcPr>
            <w:tcW w:w="567" w:type="dxa"/>
            <w:tcBorders>
              <w:top w:val="nil"/>
              <w:left w:val="nil"/>
              <w:bottom w:val="nil"/>
              <w:right w:val="nil"/>
            </w:tcBorders>
            <w:shd w:val="clear" w:color="auto" w:fill="auto"/>
            <w:noWrap/>
            <w:vAlign w:val="center"/>
            <w:hideMark/>
          </w:tcPr>
          <w:p w14:paraId="53E0A37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45,0</w:t>
            </w:r>
          </w:p>
        </w:tc>
        <w:tc>
          <w:tcPr>
            <w:tcW w:w="567" w:type="dxa"/>
            <w:tcBorders>
              <w:top w:val="nil"/>
              <w:left w:val="nil"/>
              <w:bottom w:val="nil"/>
              <w:right w:val="nil"/>
            </w:tcBorders>
            <w:shd w:val="clear" w:color="auto" w:fill="auto"/>
            <w:noWrap/>
            <w:vAlign w:val="center"/>
            <w:hideMark/>
          </w:tcPr>
          <w:p w14:paraId="6BEC5EC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45,0</w:t>
            </w:r>
          </w:p>
        </w:tc>
        <w:tc>
          <w:tcPr>
            <w:tcW w:w="567" w:type="dxa"/>
            <w:tcBorders>
              <w:top w:val="nil"/>
              <w:left w:val="nil"/>
              <w:bottom w:val="nil"/>
              <w:right w:val="nil"/>
            </w:tcBorders>
            <w:shd w:val="clear" w:color="auto" w:fill="auto"/>
            <w:noWrap/>
            <w:vAlign w:val="center"/>
            <w:hideMark/>
          </w:tcPr>
          <w:p w14:paraId="65FCE1D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44,6</w:t>
            </w:r>
          </w:p>
        </w:tc>
        <w:tc>
          <w:tcPr>
            <w:tcW w:w="567" w:type="dxa"/>
            <w:tcBorders>
              <w:top w:val="nil"/>
              <w:left w:val="nil"/>
              <w:bottom w:val="nil"/>
              <w:right w:val="nil"/>
            </w:tcBorders>
            <w:shd w:val="clear" w:color="auto" w:fill="auto"/>
            <w:noWrap/>
            <w:vAlign w:val="center"/>
            <w:hideMark/>
          </w:tcPr>
          <w:p w14:paraId="3171D8F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44,0</w:t>
            </w:r>
          </w:p>
        </w:tc>
        <w:tc>
          <w:tcPr>
            <w:tcW w:w="567" w:type="dxa"/>
            <w:tcBorders>
              <w:top w:val="nil"/>
              <w:left w:val="nil"/>
              <w:bottom w:val="nil"/>
              <w:right w:val="nil"/>
            </w:tcBorders>
            <w:shd w:val="clear" w:color="auto" w:fill="auto"/>
            <w:noWrap/>
            <w:vAlign w:val="center"/>
            <w:hideMark/>
          </w:tcPr>
          <w:p w14:paraId="779C607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44,9</w:t>
            </w:r>
          </w:p>
        </w:tc>
        <w:tc>
          <w:tcPr>
            <w:tcW w:w="567" w:type="dxa"/>
            <w:tcBorders>
              <w:top w:val="nil"/>
              <w:left w:val="nil"/>
              <w:bottom w:val="nil"/>
              <w:right w:val="nil"/>
            </w:tcBorders>
            <w:shd w:val="clear" w:color="auto" w:fill="auto"/>
            <w:noWrap/>
            <w:vAlign w:val="center"/>
            <w:hideMark/>
          </w:tcPr>
          <w:p w14:paraId="452E1AB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41,4</w:t>
            </w:r>
          </w:p>
        </w:tc>
        <w:tc>
          <w:tcPr>
            <w:tcW w:w="567" w:type="dxa"/>
            <w:vAlign w:val="center"/>
          </w:tcPr>
          <w:p w14:paraId="14C4863A" w14:textId="6F1C0F0E" w:rsidR="00986950" w:rsidRPr="00986950" w:rsidRDefault="00986950" w:rsidP="00986950">
            <w:pPr>
              <w:spacing w:after="0" w:line="240" w:lineRule="auto"/>
              <w:jc w:val="center"/>
            </w:pPr>
            <w:r w:rsidRPr="00986950">
              <w:rPr>
                <w:rFonts w:cs="Arial"/>
                <w:color w:val="000000"/>
                <w:sz w:val="16"/>
                <w:szCs w:val="16"/>
              </w:rPr>
              <w:t>36,0</w:t>
            </w:r>
          </w:p>
        </w:tc>
        <w:tc>
          <w:tcPr>
            <w:tcW w:w="567" w:type="dxa"/>
            <w:vAlign w:val="center"/>
          </w:tcPr>
          <w:p w14:paraId="20EC1967" w14:textId="3D0F121A"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29,3</w:t>
            </w:r>
          </w:p>
        </w:tc>
      </w:tr>
      <w:tr w:rsidR="00986950" w:rsidRPr="00986950" w14:paraId="2CF0D34A" w14:textId="1C9753C5" w:rsidTr="003D23B7">
        <w:trPr>
          <w:trHeight w:val="300"/>
        </w:trPr>
        <w:tc>
          <w:tcPr>
            <w:tcW w:w="3401" w:type="dxa"/>
            <w:tcBorders>
              <w:top w:val="nil"/>
              <w:left w:val="nil"/>
              <w:bottom w:val="nil"/>
              <w:right w:val="single" w:sz="4" w:space="0" w:color="auto"/>
            </w:tcBorders>
            <w:shd w:val="clear" w:color="auto" w:fill="auto"/>
            <w:vAlign w:val="center"/>
            <w:hideMark/>
          </w:tcPr>
          <w:p w14:paraId="7D9B7ACC"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F – Stavebnictví</w:t>
            </w:r>
          </w:p>
        </w:tc>
        <w:tc>
          <w:tcPr>
            <w:tcW w:w="567" w:type="dxa"/>
            <w:tcBorders>
              <w:top w:val="nil"/>
              <w:left w:val="nil"/>
              <w:bottom w:val="nil"/>
              <w:right w:val="nil"/>
            </w:tcBorders>
            <w:shd w:val="clear" w:color="auto" w:fill="auto"/>
            <w:noWrap/>
            <w:vAlign w:val="center"/>
            <w:hideMark/>
          </w:tcPr>
          <w:p w14:paraId="5D0EA1A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58,2</w:t>
            </w:r>
          </w:p>
        </w:tc>
        <w:tc>
          <w:tcPr>
            <w:tcW w:w="567" w:type="dxa"/>
            <w:tcBorders>
              <w:top w:val="nil"/>
              <w:left w:val="nil"/>
              <w:bottom w:val="nil"/>
              <w:right w:val="nil"/>
            </w:tcBorders>
            <w:shd w:val="clear" w:color="auto" w:fill="auto"/>
            <w:noWrap/>
            <w:vAlign w:val="center"/>
            <w:hideMark/>
          </w:tcPr>
          <w:p w14:paraId="155C03D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57,1</w:t>
            </w:r>
          </w:p>
        </w:tc>
        <w:tc>
          <w:tcPr>
            <w:tcW w:w="567" w:type="dxa"/>
            <w:tcBorders>
              <w:top w:val="nil"/>
              <w:left w:val="nil"/>
              <w:bottom w:val="nil"/>
              <w:right w:val="nil"/>
            </w:tcBorders>
            <w:shd w:val="clear" w:color="auto" w:fill="auto"/>
            <w:noWrap/>
            <w:vAlign w:val="center"/>
            <w:hideMark/>
          </w:tcPr>
          <w:p w14:paraId="060B50B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59,3</w:t>
            </w:r>
          </w:p>
        </w:tc>
        <w:tc>
          <w:tcPr>
            <w:tcW w:w="567" w:type="dxa"/>
            <w:tcBorders>
              <w:top w:val="nil"/>
              <w:left w:val="nil"/>
              <w:bottom w:val="nil"/>
              <w:right w:val="nil"/>
            </w:tcBorders>
            <w:shd w:val="clear" w:color="auto" w:fill="auto"/>
            <w:noWrap/>
            <w:vAlign w:val="center"/>
            <w:hideMark/>
          </w:tcPr>
          <w:p w14:paraId="7B23D2D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53,8</w:t>
            </w:r>
          </w:p>
        </w:tc>
        <w:tc>
          <w:tcPr>
            <w:tcW w:w="567" w:type="dxa"/>
            <w:tcBorders>
              <w:top w:val="nil"/>
              <w:left w:val="nil"/>
              <w:bottom w:val="nil"/>
              <w:right w:val="nil"/>
            </w:tcBorders>
            <w:shd w:val="clear" w:color="auto" w:fill="auto"/>
            <w:noWrap/>
            <w:vAlign w:val="center"/>
            <w:hideMark/>
          </w:tcPr>
          <w:p w14:paraId="285B9C6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54,6</w:t>
            </w:r>
          </w:p>
        </w:tc>
        <w:tc>
          <w:tcPr>
            <w:tcW w:w="567" w:type="dxa"/>
            <w:tcBorders>
              <w:top w:val="nil"/>
              <w:left w:val="nil"/>
              <w:bottom w:val="nil"/>
              <w:right w:val="nil"/>
            </w:tcBorders>
            <w:shd w:val="clear" w:color="auto" w:fill="auto"/>
            <w:noWrap/>
            <w:vAlign w:val="center"/>
            <w:hideMark/>
          </w:tcPr>
          <w:p w14:paraId="5D8CEF3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53,9</w:t>
            </w:r>
          </w:p>
        </w:tc>
        <w:tc>
          <w:tcPr>
            <w:tcW w:w="567" w:type="dxa"/>
            <w:tcBorders>
              <w:top w:val="nil"/>
              <w:left w:val="nil"/>
              <w:bottom w:val="nil"/>
              <w:right w:val="nil"/>
            </w:tcBorders>
            <w:shd w:val="clear" w:color="auto" w:fill="auto"/>
            <w:noWrap/>
            <w:vAlign w:val="center"/>
            <w:hideMark/>
          </w:tcPr>
          <w:p w14:paraId="02C2073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52,1</w:t>
            </w:r>
          </w:p>
        </w:tc>
        <w:tc>
          <w:tcPr>
            <w:tcW w:w="567" w:type="dxa"/>
            <w:tcBorders>
              <w:top w:val="nil"/>
              <w:left w:val="nil"/>
              <w:bottom w:val="nil"/>
              <w:right w:val="nil"/>
            </w:tcBorders>
            <w:shd w:val="clear" w:color="auto" w:fill="auto"/>
            <w:noWrap/>
            <w:vAlign w:val="center"/>
            <w:hideMark/>
          </w:tcPr>
          <w:p w14:paraId="689BBAF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52,0</w:t>
            </w:r>
          </w:p>
        </w:tc>
        <w:tc>
          <w:tcPr>
            <w:tcW w:w="567" w:type="dxa"/>
            <w:tcBorders>
              <w:top w:val="nil"/>
              <w:left w:val="nil"/>
              <w:bottom w:val="nil"/>
              <w:right w:val="nil"/>
            </w:tcBorders>
            <w:shd w:val="clear" w:color="auto" w:fill="auto"/>
            <w:noWrap/>
            <w:vAlign w:val="center"/>
            <w:hideMark/>
          </w:tcPr>
          <w:p w14:paraId="395FBA5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45,9</w:t>
            </w:r>
          </w:p>
        </w:tc>
        <w:tc>
          <w:tcPr>
            <w:tcW w:w="567" w:type="dxa"/>
            <w:vAlign w:val="center"/>
          </w:tcPr>
          <w:p w14:paraId="287BB58E" w14:textId="77777777" w:rsidR="00986950" w:rsidRPr="00986950" w:rsidRDefault="00986950" w:rsidP="00986950">
            <w:pPr>
              <w:spacing w:after="0" w:line="240" w:lineRule="auto"/>
              <w:jc w:val="center"/>
            </w:pPr>
            <w:r w:rsidRPr="00986950">
              <w:rPr>
                <w:rFonts w:cs="Arial"/>
                <w:color w:val="000000"/>
                <w:sz w:val="16"/>
                <w:szCs w:val="16"/>
              </w:rPr>
              <w:t>39,7</w:t>
            </w:r>
          </w:p>
        </w:tc>
        <w:tc>
          <w:tcPr>
            <w:tcW w:w="567" w:type="dxa"/>
            <w:vAlign w:val="center"/>
          </w:tcPr>
          <w:p w14:paraId="74756DC0" w14:textId="4203525A"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33,9</w:t>
            </w:r>
          </w:p>
        </w:tc>
      </w:tr>
      <w:tr w:rsidR="00986950" w:rsidRPr="00986950" w14:paraId="6CC67BC9" w14:textId="58006000" w:rsidTr="003D23B7">
        <w:trPr>
          <w:trHeight w:val="480"/>
        </w:trPr>
        <w:tc>
          <w:tcPr>
            <w:tcW w:w="3401" w:type="dxa"/>
            <w:tcBorders>
              <w:top w:val="nil"/>
              <w:left w:val="nil"/>
              <w:bottom w:val="nil"/>
              <w:right w:val="single" w:sz="4" w:space="0" w:color="auto"/>
            </w:tcBorders>
            <w:shd w:val="clear" w:color="auto" w:fill="auto"/>
            <w:vAlign w:val="center"/>
            <w:hideMark/>
          </w:tcPr>
          <w:p w14:paraId="2DE69B65"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 xml:space="preserve">G – Velkoobchod a maloobchod; </w:t>
            </w:r>
            <w:r w:rsidRPr="00986950">
              <w:rPr>
                <w:rFonts w:cs="Arial"/>
                <w:color w:val="000000"/>
                <w:sz w:val="16"/>
                <w:szCs w:val="16"/>
              </w:rPr>
              <w:br/>
              <w:t xml:space="preserve">          opravy a údržba motorových vozidel</w:t>
            </w:r>
          </w:p>
        </w:tc>
        <w:tc>
          <w:tcPr>
            <w:tcW w:w="567" w:type="dxa"/>
            <w:tcBorders>
              <w:top w:val="nil"/>
              <w:left w:val="nil"/>
              <w:bottom w:val="nil"/>
              <w:right w:val="nil"/>
            </w:tcBorders>
            <w:shd w:val="clear" w:color="auto" w:fill="auto"/>
            <w:noWrap/>
            <w:vAlign w:val="center"/>
            <w:hideMark/>
          </w:tcPr>
          <w:p w14:paraId="096686C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51,0</w:t>
            </w:r>
          </w:p>
        </w:tc>
        <w:tc>
          <w:tcPr>
            <w:tcW w:w="567" w:type="dxa"/>
            <w:tcBorders>
              <w:top w:val="nil"/>
              <w:left w:val="nil"/>
              <w:bottom w:val="nil"/>
              <w:right w:val="nil"/>
            </w:tcBorders>
            <w:shd w:val="clear" w:color="auto" w:fill="auto"/>
            <w:noWrap/>
            <w:vAlign w:val="center"/>
            <w:hideMark/>
          </w:tcPr>
          <w:p w14:paraId="3D4D142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48,7</w:t>
            </w:r>
          </w:p>
        </w:tc>
        <w:tc>
          <w:tcPr>
            <w:tcW w:w="567" w:type="dxa"/>
            <w:tcBorders>
              <w:top w:val="nil"/>
              <w:left w:val="nil"/>
              <w:bottom w:val="nil"/>
              <w:right w:val="nil"/>
            </w:tcBorders>
            <w:shd w:val="clear" w:color="auto" w:fill="auto"/>
            <w:noWrap/>
            <w:vAlign w:val="center"/>
            <w:hideMark/>
          </w:tcPr>
          <w:p w14:paraId="510AEBC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50,3</w:t>
            </w:r>
          </w:p>
        </w:tc>
        <w:tc>
          <w:tcPr>
            <w:tcW w:w="567" w:type="dxa"/>
            <w:tcBorders>
              <w:top w:val="nil"/>
              <w:left w:val="nil"/>
              <w:bottom w:val="nil"/>
              <w:right w:val="nil"/>
            </w:tcBorders>
            <w:shd w:val="clear" w:color="auto" w:fill="auto"/>
            <w:noWrap/>
            <w:vAlign w:val="center"/>
            <w:hideMark/>
          </w:tcPr>
          <w:p w14:paraId="2B0531F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46,7</w:t>
            </w:r>
          </w:p>
        </w:tc>
        <w:tc>
          <w:tcPr>
            <w:tcW w:w="567" w:type="dxa"/>
            <w:tcBorders>
              <w:top w:val="nil"/>
              <w:left w:val="nil"/>
              <w:bottom w:val="nil"/>
              <w:right w:val="nil"/>
            </w:tcBorders>
            <w:shd w:val="clear" w:color="auto" w:fill="auto"/>
            <w:noWrap/>
            <w:vAlign w:val="center"/>
            <w:hideMark/>
          </w:tcPr>
          <w:p w14:paraId="015B0C2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44,9</w:t>
            </w:r>
          </w:p>
        </w:tc>
        <w:tc>
          <w:tcPr>
            <w:tcW w:w="567" w:type="dxa"/>
            <w:tcBorders>
              <w:top w:val="nil"/>
              <w:left w:val="nil"/>
              <w:bottom w:val="nil"/>
              <w:right w:val="nil"/>
            </w:tcBorders>
            <w:shd w:val="clear" w:color="auto" w:fill="auto"/>
            <w:noWrap/>
            <w:vAlign w:val="center"/>
            <w:hideMark/>
          </w:tcPr>
          <w:p w14:paraId="1CED0C5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44,8</w:t>
            </w:r>
          </w:p>
        </w:tc>
        <w:tc>
          <w:tcPr>
            <w:tcW w:w="567" w:type="dxa"/>
            <w:tcBorders>
              <w:top w:val="nil"/>
              <w:left w:val="nil"/>
              <w:bottom w:val="nil"/>
              <w:right w:val="nil"/>
            </w:tcBorders>
            <w:shd w:val="clear" w:color="auto" w:fill="auto"/>
            <w:noWrap/>
            <w:vAlign w:val="center"/>
            <w:hideMark/>
          </w:tcPr>
          <w:p w14:paraId="4CFED12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44,2</w:t>
            </w:r>
          </w:p>
        </w:tc>
        <w:tc>
          <w:tcPr>
            <w:tcW w:w="567" w:type="dxa"/>
            <w:tcBorders>
              <w:top w:val="nil"/>
              <w:left w:val="nil"/>
              <w:bottom w:val="nil"/>
              <w:right w:val="nil"/>
            </w:tcBorders>
            <w:shd w:val="clear" w:color="auto" w:fill="auto"/>
            <w:noWrap/>
            <w:vAlign w:val="center"/>
            <w:hideMark/>
          </w:tcPr>
          <w:p w14:paraId="66AA93F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44,6</w:t>
            </w:r>
          </w:p>
        </w:tc>
        <w:tc>
          <w:tcPr>
            <w:tcW w:w="567" w:type="dxa"/>
            <w:tcBorders>
              <w:top w:val="nil"/>
              <w:left w:val="nil"/>
              <w:bottom w:val="nil"/>
              <w:right w:val="nil"/>
            </w:tcBorders>
            <w:shd w:val="clear" w:color="auto" w:fill="auto"/>
            <w:noWrap/>
            <w:vAlign w:val="center"/>
            <w:hideMark/>
          </w:tcPr>
          <w:p w14:paraId="38FAE470"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41,8</w:t>
            </w:r>
          </w:p>
        </w:tc>
        <w:tc>
          <w:tcPr>
            <w:tcW w:w="567" w:type="dxa"/>
            <w:vAlign w:val="center"/>
          </w:tcPr>
          <w:p w14:paraId="0C1A6CA4" w14:textId="50BC766E" w:rsidR="00986950" w:rsidRPr="00986950" w:rsidRDefault="00986950" w:rsidP="00986950">
            <w:pPr>
              <w:spacing w:after="0" w:line="240" w:lineRule="auto"/>
              <w:jc w:val="center"/>
            </w:pPr>
            <w:r w:rsidRPr="00986950">
              <w:rPr>
                <w:rFonts w:cs="Arial"/>
                <w:color w:val="000000"/>
                <w:sz w:val="16"/>
                <w:szCs w:val="16"/>
              </w:rPr>
              <w:t>36,5</w:t>
            </w:r>
          </w:p>
        </w:tc>
        <w:tc>
          <w:tcPr>
            <w:tcW w:w="567" w:type="dxa"/>
            <w:vAlign w:val="center"/>
          </w:tcPr>
          <w:p w14:paraId="216FC694" w14:textId="55250C08"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27,4</w:t>
            </w:r>
          </w:p>
        </w:tc>
      </w:tr>
      <w:tr w:rsidR="00986950" w:rsidRPr="00986950" w14:paraId="7240AFCC" w14:textId="5821E8CA" w:rsidTr="003D23B7">
        <w:trPr>
          <w:trHeight w:val="300"/>
        </w:trPr>
        <w:tc>
          <w:tcPr>
            <w:tcW w:w="3401" w:type="dxa"/>
            <w:tcBorders>
              <w:top w:val="nil"/>
              <w:left w:val="nil"/>
              <w:bottom w:val="nil"/>
              <w:right w:val="single" w:sz="4" w:space="0" w:color="auto"/>
            </w:tcBorders>
            <w:shd w:val="clear" w:color="auto" w:fill="auto"/>
            <w:vAlign w:val="center"/>
            <w:hideMark/>
          </w:tcPr>
          <w:p w14:paraId="1587AE4E"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H – Doprava a skladování</w:t>
            </w:r>
          </w:p>
        </w:tc>
        <w:tc>
          <w:tcPr>
            <w:tcW w:w="567" w:type="dxa"/>
            <w:tcBorders>
              <w:top w:val="nil"/>
              <w:left w:val="nil"/>
              <w:bottom w:val="nil"/>
              <w:right w:val="nil"/>
            </w:tcBorders>
            <w:shd w:val="clear" w:color="auto" w:fill="auto"/>
            <w:noWrap/>
            <w:vAlign w:val="center"/>
            <w:hideMark/>
          </w:tcPr>
          <w:p w14:paraId="79133713"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51,0</w:t>
            </w:r>
          </w:p>
        </w:tc>
        <w:tc>
          <w:tcPr>
            <w:tcW w:w="567" w:type="dxa"/>
            <w:tcBorders>
              <w:top w:val="nil"/>
              <w:left w:val="nil"/>
              <w:bottom w:val="nil"/>
              <w:right w:val="nil"/>
            </w:tcBorders>
            <w:shd w:val="clear" w:color="auto" w:fill="auto"/>
            <w:noWrap/>
            <w:vAlign w:val="center"/>
            <w:hideMark/>
          </w:tcPr>
          <w:p w14:paraId="7134BE3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50,0</w:t>
            </w:r>
          </w:p>
        </w:tc>
        <w:tc>
          <w:tcPr>
            <w:tcW w:w="567" w:type="dxa"/>
            <w:tcBorders>
              <w:top w:val="nil"/>
              <w:left w:val="nil"/>
              <w:bottom w:val="nil"/>
              <w:right w:val="nil"/>
            </w:tcBorders>
            <w:shd w:val="clear" w:color="auto" w:fill="auto"/>
            <w:noWrap/>
            <w:vAlign w:val="center"/>
            <w:hideMark/>
          </w:tcPr>
          <w:p w14:paraId="0F72875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50,9</w:t>
            </w:r>
          </w:p>
        </w:tc>
        <w:tc>
          <w:tcPr>
            <w:tcW w:w="567" w:type="dxa"/>
            <w:tcBorders>
              <w:top w:val="nil"/>
              <w:left w:val="nil"/>
              <w:bottom w:val="nil"/>
              <w:right w:val="nil"/>
            </w:tcBorders>
            <w:shd w:val="clear" w:color="auto" w:fill="auto"/>
            <w:noWrap/>
            <w:vAlign w:val="center"/>
            <w:hideMark/>
          </w:tcPr>
          <w:p w14:paraId="37BE1CF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45,8</w:t>
            </w:r>
          </w:p>
        </w:tc>
        <w:tc>
          <w:tcPr>
            <w:tcW w:w="567" w:type="dxa"/>
            <w:tcBorders>
              <w:top w:val="nil"/>
              <w:left w:val="nil"/>
              <w:bottom w:val="nil"/>
              <w:right w:val="nil"/>
            </w:tcBorders>
            <w:shd w:val="clear" w:color="auto" w:fill="auto"/>
            <w:noWrap/>
            <w:vAlign w:val="center"/>
            <w:hideMark/>
          </w:tcPr>
          <w:p w14:paraId="136946A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45,9</w:t>
            </w:r>
          </w:p>
        </w:tc>
        <w:tc>
          <w:tcPr>
            <w:tcW w:w="567" w:type="dxa"/>
            <w:tcBorders>
              <w:top w:val="nil"/>
              <w:left w:val="nil"/>
              <w:bottom w:val="nil"/>
              <w:right w:val="nil"/>
            </w:tcBorders>
            <w:shd w:val="clear" w:color="auto" w:fill="auto"/>
            <w:noWrap/>
            <w:vAlign w:val="center"/>
            <w:hideMark/>
          </w:tcPr>
          <w:p w14:paraId="48C9681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44,2</w:t>
            </w:r>
          </w:p>
        </w:tc>
        <w:tc>
          <w:tcPr>
            <w:tcW w:w="567" w:type="dxa"/>
            <w:tcBorders>
              <w:top w:val="nil"/>
              <w:left w:val="nil"/>
              <w:bottom w:val="nil"/>
              <w:right w:val="nil"/>
            </w:tcBorders>
            <w:shd w:val="clear" w:color="auto" w:fill="auto"/>
            <w:noWrap/>
            <w:vAlign w:val="center"/>
            <w:hideMark/>
          </w:tcPr>
          <w:p w14:paraId="71AAFCE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44,2</w:t>
            </w:r>
          </w:p>
        </w:tc>
        <w:tc>
          <w:tcPr>
            <w:tcW w:w="567" w:type="dxa"/>
            <w:tcBorders>
              <w:top w:val="nil"/>
              <w:left w:val="nil"/>
              <w:bottom w:val="nil"/>
              <w:right w:val="nil"/>
            </w:tcBorders>
            <w:shd w:val="clear" w:color="auto" w:fill="auto"/>
            <w:noWrap/>
            <w:vAlign w:val="center"/>
            <w:hideMark/>
          </w:tcPr>
          <w:p w14:paraId="47B49C0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44,7</w:t>
            </w:r>
          </w:p>
        </w:tc>
        <w:tc>
          <w:tcPr>
            <w:tcW w:w="567" w:type="dxa"/>
            <w:tcBorders>
              <w:top w:val="nil"/>
              <w:left w:val="nil"/>
              <w:bottom w:val="nil"/>
              <w:right w:val="nil"/>
            </w:tcBorders>
            <w:shd w:val="clear" w:color="auto" w:fill="auto"/>
            <w:noWrap/>
            <w:vAlign w:val="center"/>
            <w:hideMark/>
          </w:tcPr>
          <w:p w14:paraId="76D3AE3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42,6</w:t>
            </w:r>
          </w:p>
        </w:tc>
        <w:tc>
          <w:tcPr>
            <w:tcW w:w="567" w:type="dxa"/>
            <w:vAlign w:val="center"/>
          </w:tcPr>
          <w:p w14:paraId="31CF2163" w14:textId="77777777" w:rsidR="00986950" w:rsidRPr="00986950" w:rsidRDefault="00986950" w:rsidP="00986950">
            <w:pPr>
              <w:spacing w:after="0" w:line="240" w:lineRule="auto"/>
              <w:jc w:val="center"/>
            </w:pPr>
            <w:r w:rsidRPr="00986950">
              <w:rPr>
                <w:rFonts w:cs="Arial"/>
                <w:color w:val="000000"/>
                <w:sz w:val="16"/>
                <w:szCs w:val="16"/>
              </w:rPr>
              <w:t>36,7</w:t>
            </w:r>
          </w:p>
        </w:tc>
        <w:tc>
          <w:tcPr>
            <w:tcW w:w="567" w:type="dxa"/>
            <w:vAlign w:val="center"/>
          </w:tcPr>
          <w:p w14:paraId="27EC8319" w14:textId="0A533BA5"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29,5</w:t>
            </w:r>
          </w:p>
        </w:tc>
      </w:tr>
      <w:tr w:rsidR="00986950" w:rsidRPr="00986950" w14:paraId="0E4BA8D9" w14:textId="376E1745" w:rsidTr="003D23B7">
        <w:trPr>
          <w:trHeight w:val="300"/>
        </w:trPr>
        <w:tc>
          <w:tcPr>
            <w:tcW w:w="3401" w:type="dxa"/>
            <w:tcBorders>
              <w:top w:val="nil"/>
              <w:left w:val="nil"/>
              <w:bottom w:val="nil"/>
              <w:right w:val="single" w:sz="4" w:space="0" w:color="auto"/>
            </w:tcBorders>
            <w:shd w:val="clear" w:color="auto" w:fill="auto"/>
            <w:vAlign w:val="center"/>
            <w:hideMark/>
          </w:tcPr>
          <w:p w14:paraId="36A52756"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I – Ubytování, stravování a pohostinství</w:t>
            </w:r>
          </w:p>
        </w:tc>
        <w:tc>
          <w:tcPr>
            <w:tcW w:w="567" w:type="dxa"/>
            <w:tcBorders>
              <w:top w:val="nil"/>
              <w:left w:val="nil"/>
              <w:bottom w:val="nil"/>
              <w:right w:val="nil"/>
            </w:tcBorders>
            <w:shd w:val="clear" w:color="auto" w:fill="auto"/>
            <w:noWrap/>
            <w:vAlign w:val="center"/>
            <w:hideMark/>
          </w:tcPr>
          <w:p w14:paraId="322DD37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57,9</w:t>
            </w:r>
          </w:p>
        </w:tc>
        <w:tc>
          <w:tcPr>
            <w:tcW w:w="567" w:type="dxa"/>
            <w:tcBorders>
              <w:top w:val="nil"/>
              <w:left w:val="nil"/>
              <w:bottom w:val="nil"/>
              <w:right w:val="nil"/>
            </w:tcBorders>
            <w:shd w:val="clear" w:color="auto" w:fill="auto"/>
            <w:noWrap/>
            <w:vAlign w:val="center"/>
            <w:hideMark/>
          </w:tcPr>
          <w:p w14:paraId="2316BF9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57,5</w:t>
            </w:r>
          </w:p>
        </w:tc>
        <w:tc>
          <w:tcPr>
            <w:tcW w:w="567" w:type="dxa"/>
            <w:tcBorders>
              <w:top w:val="nil"/>
              <w:left w:val="nil"/>
              <w:bottom w:val="nil"/>
              <w:right w:val="nil"/>
            </w:tcBorders>
            <w:shd w:val="clear" w:color="auto" w:fill="auto"/>
            <w:noWrap/>
            <w:vAlign w:val="center"/>
            <w:hideMark/>
          </w:tcPr>
          <w:p w14:paraId="3AC00C1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58,7</w:t>
            </w:r>
          </w:p>
        </w:tc>
        <w:tc>
          <w:tcPr>
            <w:tcW w:w="567" w:type="dxa"/>
            <w:tcBorders>
              <w:top w:val="nil"/>
              <w:left w:val="nil"/>
              <w:bottom w:val="nil"/>
              <w:right w:val="nil"/>
            </w:tcBorders>
            <w:shd w:val="clear" w:color="auto" w:fill="auto"/>
            <w:noWrap/>
            <w:vAlign w:val="center"/>
            <w:hideMark/>
          </w:tcPr>
          <w:p w14:paraId="749DD10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55,0</w:t>
            </w:r>
          </w:p>
        </w:tc>
        <w:tc>
          <w:tcPr>
            <w:tcW w:w="567" w:type="dxa"/>
            <w:tcBorders>
              <w:top w:val="nil"/>
              <w:left w:val="nil"/>
              <w:bottom w:val="nil"/>
              <w:right w:val="nil"/>
            </w:tcBorders>
            <w:shd w:val="clear" w:color="auto" w:fill="auto"/>
            <w:noWrap/>
            <w:vAlign w:val="center"/>
            <w:hideMark/>
          </w:tcPr>
          <w:p w14:paraId="656A177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54,5</w:t>
            </w:r>
          </w:p>
        </w:tc>
        <w:tc>
          <w:tcPr>
            <w:tcW w:w="567" w:type="dxa"/>
            <w:tcBorders>
              <w:top w:val="nil"/>
              <w:left w:val="nil"/>
              <w:bottom w:val="nil"/>
              <w:right w:val="nil"/>
            </w:tcBorders>
            <w:shd w:val="clear" w:color="auto" w:fill="auto"/>
            <w:noWrap/>
            <w:vAlign w:val="center"/>
            <w:hideMark/>
          </w:tcPr>
          <w:p w14:paraId="321258F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54,7</w:t>
            </w:r>
          </w:p>
        </w:tc>
        <w:tc>
          <w:tcPr>
            <w:tcW w:w="567" w:type="dxa"/>
            <w:tcBorders>
              <w:top w:val="nil"/>
              <w:left w:val="nil"/>
              <w:bottom w:val="nil"/>
              <w:right w:val="nil"/>
            </w:tcBorders>
            <w:shd w:val="clear" w:color="auto" w:fill="auto"/>
            <w:noWrap/>
            <w:vAlign w:val="center"/>
            <w:hideMark/>
          </w:tcPr>
          <w:p w14:paraId="04EAD7F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53,8</w:t>
            </w:r>
          </w:p>
        </w:tc>
        <w:tc>
          <w:tcPr>
            <w:tcW w:w="567" w:type="dxa"/>
            <w:tcBorders>
              <w:top w:val="nil"/>
              <w:left w:val="nil"/>
              <w:bottom w:val="nil"/>
              <w:right w:val="nil"/>
            </w:tcBorders>
            <w:shd w:val="clear" w:color="auto" w:fill="auto"/>
            <w:noWrap/>
            <w:vAlign w:val="center"/>
            <w:hideMark/>
          </w:tcPr>
          <w:p w14:paraId="406AE97B" w14:textId="043AE9DA"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54,4</w:t>
            </w:r>
          </w:p>
        </w:tc>
        <w:tc>
          <w:tcPr>
            <w:tcW w:w="567" w:type="dxa"/>
            <w:tcBorders>
              <w:top w:val="nil"/>
              <w:left w:val="nil"/>
              <w:bottom w:val="nil"/>
              <w:right w:val="nil"/>
            </w:tcBorders>
            <w:shd w:val="clear" w:color="auto" w:fill="auto"/>
            <w:noWrap/>
            <w:vAlign w:val="center"/>
            <w:hideMark/>
          </w:tcPr>
          <w:p w14:paraId="608BDE9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57,1</w:t>
            </w:r>
          </w:p>
        </w:tc>
        <w:tc>
          <w:tcPr>
            <w:tcW w:w="567" w:type="dxa"/>
            <w:vAlign w:val="center"/>
          </w:tcPr>
          <w:p w14:paraId="70E7F916" w14:textId="77777777" w:rsidR="00986950" w:rsidRPr="00986950" w:rsidRDefault="00986950" w:rsidP="00986950">
            <w:pPr>
              <w:spacing w:after="0" w:line="240" w:lineRule="auto"/>
              <w:jc w:val="center"/>
            </w:pPr>
            <w:r w:rsidRPr="00986950">
              <w:rPr>
                <w:rFonts w:cs="Arial"/>
                <w:color w:val="000000"/>
                <w:sz w:val="16"/>
                <w:szCs w:val="16"/>
              </w:rPr>
              <w:t>48,1</w:t>
            </w:r>
          </w:p>
        </w:tc>
        <w:tc>
          <w:tcPr>
            <w:tcW w:w="567" w:type="dxa"/>
            <w:vAlign w:val="center"/>
          </w:tcPr>
          <w:p w14:paraId="157F8CF5" w14:textId="00FE5D1F"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36,0</w:t>
            </w:r>
          </w:p>
        </w:tc>
      </w:tr>
      <w:tr w:rsidR="00986950" w:rsidRPr="00986950" w14:paraId="33334706" w14:textId="594F5324" w:rsidTr="003D23B7">
        <w:trPr>
          <w:trHeight w:val="300"/>
        </w:trPr>
        <w:tc>
          <w:tcPr>
            <w:tcW w:w="3401" w:type="dxa"/>
            <w:tcBorders>
              <w:top w:val="nil"/>
              <w:left w:val="nil"/>
              <w:bottom w:val="nil"/>
              <w:right w:val="single" w:sz="4" w:space="0" w:color="auto"/>
            </w:tcBorders>
            <w:shd w:val="clear" w:color="auto" w:fill="auto"/>
            <w:vAlign w:val="center"/>
            <w:hideMark/>
          </w:tcPr>
          <w:p w14:paraId="07993705"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J – Informační a komunikační činnosti</w:t>
            </w:r>
          </w:p>
        </w:tc>
        <w:tc>
          <w:tcPr>
            <w:tcW w:w="567" w:type="dxa"/>
            <w:tcBorders>
              <w:top w:val="nil"/>
              <w:left w:val="nil"/>
              <w:bottom w:val="nil"/>
              <w:right w:val="nil"/>
            </w:tcBorders>
            <w:shd w:val="clear" w:color="auto" w:fill="auto"/>
            <w:noWrap/>
            <w:vAlign w:val="center"/>
            <w:hideMark/>
          </w:tcPr>
          <w:p w14:paraId="0D78137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28,2</w:t>
            </w:r>
          </w:p>
        </w:tc>
        <w:tc>
          <w:tcPr>
            <w:tcW w:w="567" w:type="dxa"/>
            <w:tcBorders>
              <w:top w:val="nil"/>
              <w:left w:val="nil"/>
              <w:bottom w:val="nil"/>
              <w:right w:val="nil"/>
            </w:tcBorders>
            <w:shd w:val="clear" w:color="auto" w:fill="auto"/>
            <w:noWrap/>
            <w:vAlign w:val="center"/>
            <w:hideMark/>
          </w:tcPr>
          <w:p w14:paraId="528F5C00"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25,7</w:t>
            </w:r>
          </w:p>
        </w:tc>
        <w:tc>
          <w:tcPr>
            <w:tcW w:w="567" w:type="dxa"/>
            <w:tcBorders>
              <w:top w:val="nil"/>
              <w:left w:val="nil"/>
              <w:bottom w:val="nil"/>
              <w:right w:val="nil"/>
            </w:tcBorders>
            <w:shd w:val="clear" w:color="auto" w:fill="auto"/>
            <w:noWrap/>
            <w:vAlign w:val="center"/>
            <w:hideMark/>
          </w:tcPr>
          <w:p w14:paraId="60C94670"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27,8</w:t>
            </w:r>
          </w:p>
        </w:tc>
        <w:tc>
          <w:tcPr>
            <w:tcW w:w="567" w:type="dxa"/>
            <w:tcBorders>
              <w:top w:val="nil"/>
              <w:left w:val="nil"/>
              <w:bottom w:val="nil"/>
              <w:right w:val="nil"/>
            </w:tcBorders>
            <w:shd w:val="clear" w:color="auto" w:fill="auto"/>
            <w:noWrap/>
            <w:vAlign w:val="center"/>
            <w:hideMark/>
          </w:tcPr>
          <w:p w14:paraId="24A019B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27,5</w:t>
            </w:r>
          </w:p>
        </w:tc>
        <w:tc>
          <w:tcPr>
            <w:tcW w:w="567" w:type="dxa"/>
            <w:tcBorders>
              <w:top w:val="nil"/>
              <w:left w:val="nil"/>
              <w:bottom w:val="nil"/>
              <w:right w:val="nil"/>
            </w:tcBorders>
            <w:shd w:val="clear" w:color="auto" w:fill="auto"/>
            <w:noWrap/>
            <w:vAlign w:val="center"/>
            <w:hideMark/>
          </w:tcPr>
          <w:p w14:paraId="2D086CC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26,0</w:t>
            </w:r>
          </w:p>
        </w:tc>
        <w:tc>
          <w:tcPr>
            <w:tcW w:w="567" w:type="dxa"/>
            <w:tcBorders>
              <w:top w:val="nil"/>
              <w:left w:val="nil"/>
              <w:bottom w:val="nil"/>
              <w:right w:val="nil"/>
            </w:tcBorders>
            <w:shd w:val="clear" w:color="auto" w:fill="auto"/>
            <w:noWrap/>
            <w:vAlign w:val="center"/>
            <w:hideMark/>
          </w:tcPr>
          <w:p w14:paraId="3743126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26,2</w:t>
            </w:r>
          </w:p>
        </w:tc>
        <w:tc>
          <w:tcPr>
            <w:tcW w:w="567" w:type="dxa"/>
            <w:tcBorders>
              <w:top w:val="nil"/>
              <w:left w:val="nil"/>
              <w:bottom w:val="nil"/>
              <w:right w:val="nil"/>
            </w:tcBorders>
            <w:shd w:val="clear" w:color="auto" w:fill="auto"/>
            <w:noWrap/>
            <w:vAlign w:val="center"/>
            <w:hideMark/>
          </w:tcPr>
          <w:p w14:paraId="23268F2E" w14:textId="2E7C8C83"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26,4</w:t>
            </w:r>
          </w:p>
        </w:tc>
        <w:tc>
          <w:tcPr>
            <w:tcW w:w="567" w:type="dxa"/>
            <w:tcBorders>
              <w:top w:val="nil"/>
              <w:left w:val="nil"/>
              <w:bottom w:val="nil"/>
              <w:right w:val="nil"/>
            </w:tcBorders>
            <w:shd w:val="clear" w:color="auto" w:fill="auto"/>
            <w:noWrap/>
            <w:vAlign w:val="center"/>
            <w:hideMark/>
          </w:tcPr>
          <w:p w14:paraId="194F984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25,4</w:t>
            </w:r>
          </w:p>
        </w:tc>
        <w:tc>
          <w:tcPr>
            <w:tcW w:w="567" w:type="dxa"/>
            <w:tcBorders>
              <w:top w:val="nil"/>
              <w:left w:val="nil"/>
              <w:bottom w:val="nil"/>
              <w:right w:val="nil"/>
            </w:tcBorders>
            <w:shd w:val="clear" w:color="auto" w:fill="auto"/>
            <w:noWrap/>
            <w:vAlign w:val="center"/>
            <w:hideMark/>
          </w:tcPr>
          <w:p w14:paraId="1D928B7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26,3</w:t>
            </w:r>
          </w:p>
        </w:tc>
        <w:tc>
          <w:tcPr>
            <w:tcW w:w="567" w:type="dxa"/>
            <w:vAlign w:val="center"/>
          </w:tcPr>
          <w:p w14:paraId="19FDA86E" w14:textId="77777777" w:rsidR="00986950" w:rsidRPr="00986950" w:rsidRDefault="00986950" w:rsidP="00986950">
            <w:pPr>
              <w:spacing w:after="0" w:line="240" w:lineRule="auto"/>
              <w:jc w:val="center"/>
            </w:pPr>
            <w:r w:rsidRPr="00986950">
              <w:rPr>
                <w:rFonts w:cs="Arial"/>
                <w:color w:val="000000"/>
                <w:sz w:val="16"/>
                <w:szCs w:val="16"/>
              </w:rPr>
              <w:t>23,3</w:t>
            </w:r>
          </w:p>
        </w:tc>
        <w:tc>
          <w:tcPr>
            <w:tcW w:w="567" w:type="dxa"/>
            <w:vAlign w:val="center"/>
          </w:tcPr>
          <w:p w14:paraId="53357880" w14:textId="5CAC08E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16,8</w:t>
            </w:r>
          </w:p>
        </w:tc>
      </w:tr>
      <w:tr w:rsidR="00986950" w:rsidRPr="00986950" w14:paraId="539E74C5" w14:textId="455C99F8" w:rsidTr="003D23B7">
        <w:trPr>
          <w:trHeight w:val="300"/>
        </w:trPr>
        <w:tc>
          <w:tcPr>
            <w:tcW w:w="3401" w:type="dxa"/>
            <w:tcBorders>
              <w:top w:val="nil"/>
              <w:left w:val="nil"/>
              <w:bottom w:val="nil"/>
              <w:right w:val="single" w:sz="4" w:space="0" w:color="auto"/>
            </w:tcBorders>
            <w:shd w:val="clear" w:color="auto" w:fill="auto"/>
            <w:vAlign w:val="center"/>
            <w:hideMark/>
          </w:tcPr>
          <w:p w14:paraId="51387A75"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K – Peněžnictví a pojišťovnictví</w:t>
            </w:r>
          </w:p>
        </w:tc>
        <w:tc>
          <w:tcPr>
            <w:tcW w:w="567" w:type="dxa"/>
            <w:tcBorders>
              <w:top w:val="nil"/>
              <w:left w:val="nil"/>
              <w:bottom w:val="nil"/>
              <w:right w:val="nil"/>
            </w:tcBorders>
            <w:shd w:val="clear" w:color="auto" w:fill="auto"/>
            <w:noWrap/>
            <w:vAlign w:val="center"/>
            <w:hideMark/>
          </w:tcPr>
          <w:p w14:paraId="78CDFAF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33,9</w:t>
            </w:r>
          </w:p>
        </w:tc>
        <w:tc>
          <w:tcPr>
            <w:tcW w:w="567" w:type="dxa"/>
            <w:tcBorders>
              <w:top w:val="nil"/>
              <w:left w:val="nil"/>
              <w:bottom w:val="nil"/>
              <w:right w:val="nil"/>
            </w:tcBorders>
            <w:shd w:val="clear" w:color="auto" w:fill="auto"/>
            <w:noWrap/>
            <w:vAlign w:val="center"/>
            <w:hideMark/>
          </w:tcPr>
          <w:p w14:paraId="11219DE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31,2</w:t>
            </w:r>
          </w:p>
        </w:tc>
        <w:tc>
          <w:tcPr>
            <w:tcW w:w="567" w:type="dxa"/>
            <w:tcBorders>
              <w:top w:val="nil"/>
              <w:left w:val="nil"/>
              <w:bottom w:val="nil"/>
              <w:right w:val="nil"/>
            </w:tcBorders>
            <w:shd w:val="clear" w:color="auto" w:fill="auto"/>
            <w:noWrap/>
            <w:vAlign w:val="center"/>
            <w:hideMark/>
          </w:tcPr>
          <w:p w14:paraId="51B2E44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34,3</w:t>
            </w:r>
          </w:p>
        </w:tc>
        <w:tc>
          <w:tcPr>
            <w:tcW w:w="567" w:type="dxa"/>
            <w:tcBorders>
              <w:top w:val="nil"/>
              <w:left w:val="nil"/>
              <w:bottom w:val="nil"/>
              <w:right w:val="nil"/>
            </w:tcBorders>
            <w:shd w:val="clear" w:color="auto" w:fill="auto"/>
            <w:noWrap/>
            <w:vAlign w:val="center"/>
            <w:hideMark/>
          </w:tcPr>
          <w:p w14:paraId="56ED722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33,1</w:t>
            </w:r>
          </w:p>
        </w:tc>
        <w:tc>
          <w:tcPr>
            <w:tcW w:w="567" w:type="dxa"/>
            <w:tcBorders>
              <w:top w:val="nil"/>
              <w:left w:val="nil"/>
              <w:bottom w:val="nil"/>
              <w:right w:val="nil"/>
            </w:tcBorders>
            <w:shd w:val="clear" w:color="auto" w:fill="auto"/>
            <w:noWrap/>
            <w:vAlign w:val="center"/>
            <w:hideMark/>
          </w:tcPr>
          <w:p w14:paraId="6E42337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32,4</w:t>
            </w:r>
          </w:p>
        </w:tc>
        <w:tc>
          <w:tcPr>
            <w:tcW w:w="567" w:type="dxa"/>
            <w:tcBorders>
              <w:top w:val="nil"/>
              <w:left w:val="nil"/>
              <w:bottom w:val="nil"/>
              <w:right w:val="nil"/>
            </w:tcBorders>
            <w:shd w:val="clear" w:color="auto" w:fill="auto"/>
            <w:noWrap/>
            <w:vAlign w:val="center"/>
            <w:hideMark/>
          </w:tcPr>
          <w:p w14:paraId="7CBE2802" w14:textId="6E8E05D4"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33,8</w:t>
            </w:r>
          </w:p>
        </w:tc>
        <w:tc>
          <w:tcPr>
            <w:tcW w:w="567" w:type="dxa"/>
            <w:tcBorders>
              <w:top w:val="nil"/>
              <w:left w:val="nil"/>
              <w:bottom w:val="nil"/>
              <w:right w:val="nil"/>
            </w:tcBorders>
            <w:shd w:val="clear" w:color="auto" w:fill="auto"/>
            <w:noWrap/>
            <w:vAlign w:val="center"/>
            <w:hideMark/>
          </w:tcPr>
          <w:p w14:paraId="2611E09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31,8</w:t>
            </w:r>
          </w:p>
        </w:tc>
        <w:tc>
          <w:tcPr>
            <w:tcW w:w="567" w:type="dxa"/>
            <w:tcBorders>
              <w:top w:val="nil"/>
              <w:left w:val="nil"/>
              <w:bottom w:val="nil"/>
              <w:right w:val="nil"/>
            </w:tcBorders>
            <w:shd w:val="clear" w:color="auto" w:fill="auto"/>
            <w:noWrap/>
            <w:vAlign w:val="center"/>
            <w:hideMark/>
          </w:tcPr>
          <w:p w14:paraId="16E2EC0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31,7</w:t>
            </w:r>
          </w:p>
        </w:tc>
        <w:tc>
          <w:tcPr>
            <w:tcW w:w="567" w:type="dxa"/>
            <w:tcBorders>
              <w:top w:val="nil"/>
              <w:left w:val="nil"/>
              <w:bottom w:val="nil"/>
              <w:right w:val="nil"/>
            </w:tcBorders>
            <w:shd w:val="clear" w:color="auto" w:fill="auto"/>
            <w:noWrap/>
            <w:vAlign w:val="center"/>
            <w:hideMark/>
          </w:tcPr>
          <w:p w14:paraId="1A85D88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33,0</w:t>
            </w:r>
          </w:p>
        </w:tc>
        <w:tc>
          <w:tcPr>
            <w:tcW w:w="567" w:type="dxa"/>
            <w:vAlign w:val="center"/>
          </w:tcPr>
          <w:p w14:paraId="1BD19DC6" w14:textId="77777777" w:rsidR="00986950" w:rsidRPr="00986950" w:rsidRDefault="00986950" w:rsidP="00986950">
            <w:pPr>
              <w:spacing w:after="0" w:line="240" w:lineRule="auto"/>
              <w:jc w:val="center"/>
            </w:pPr>
            <w:r w:rsidRPr="00986950">
              <w:rPr>
                <w:rFonts w:cs="Arial"/>
                <w:color w:val="000000"/>
                <w:sz w:val="16"/>
                <w:szCs w:val="16"/>
              </w:rPr>
              <w:t>30,3</w:t>
            </w:r>
          </w:p>
        </w:tc>
        <w:tc>
          <w:tcPr>
            <w:tcW w:w="567" w:type="dxa"/>
            <w:vAlign w:val="center"/>
          </w:tcPr>
          <w:p w14:paraId="0C8BA646" w14:textId="79397D94"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21,0</w:t>
            </w:r>
          </w:p>
        </w:tc>
      </w:tr>
      <w:tr w:rsidR="00986950" w:rsidRPr="00986950" w14:paraId="10BCEEA4" w14:textId="64768379" w:rsidTr="003D23B7">
        <w:trPr>
          <w:trHeight w:val="300"/>
        </w:trPr>
        <w:tc>
          <w:tcPr>
            <w:tcW w:w="3401" w:type="dxa"/>
            <w:tcBorders>
              <w:top w:val="nil"/>
              <w:left w:val="nil"/>
              <w:bottom w:val="nil"/>
              <w:right w:val="single" w:sz="4" w:space="0" w:color="auto"/>
            </w:tcBorders>
            <w:shd w:val="clear" w:color="auto" w:fill="auto"/>
            <w:vAlign w:val="center"/>
            <w:hideMark/>
          </w:tcPr>
          <w:p w14:paraId="00F27A1E"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L – Činnosti v oblasti nemovitostí</w:t>
            </w:r>
          </w:p>
        </w:tc>
        <w:tc>
          <w:tcPr>
            <w:tcW w:w="567" w:type="dxa"/>
            <w:tcBorders>
              <w:top w:val="nil"/>
              <w:left w:val="nil"/>
              <w:bottom w:val="nil"/>
              <w:right w:val="nil"/>
            </w:tcBorders>
            <w:shd w:val="clear" w:color="auto" w:fill="auto"/>
            <w:noWrap/>
            <w:vAlign w:val="center"/>
            <w:hideMark/>
          </w:tcPr>
          <w:p w14:paraId="47BE3717"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56,1</w:t>
            </w:r>
          </w:p>
        </w:tc>
        <w:tc>
          <w:tcPr>
            <w:tcW w:w="567" w:type="dxa"/>
            <w:tcBorders>
              <w:top w:val="nil"/>
              <w:left w:val="nil"/>
              <w:bottom w:val="nil"/>
              <w:right w:val="nil"/>
            </w:tcBorders>
            <w:shd w:val="clear" w:color="auto" w:fill="auto"/>
            <w:noWrap/>
            <w:vAlign w:val="center"/>
            <w:hideMark/>
          </w:tcPr>
          <w:p w14:paraId="67543F1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54,4</w:t>
            </w:r>
          </w:p>
        </w:tc>
        <w:tc>
          <w:tcPr>
            <w:tcW w:w="567" w:type="dxa"/>
            <w:tcBorders>
              <w:top w:val="nil"/>
              <w:left w:val="nil"/>
              <w:bottom w:val="nil"/>
              <w:right w:val="nil"/>
            </w:tcBorders>
            <w:shd w:val="clear" w:color="auto" w:fill="auto"/>
            <w:noWrap/>
            <w:vAlign w:val="center"/>
            <w:hideMark/>
          </w:tcPr>
          <w:p w14:paraId="2605A8C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56,3</w:t>
            </w:r>
          </w:p>
        </w:tc>
        <w:tc>
          <w:tcPr>
            <w:tcW w:w="567" w:type="dxa"/>
            <w:tcBorders>
              <w:top w:val="nil"/>
              <w:left w:val="nil"/>
              <w:bottom w:val="nil"/>
              <w:right w:val="nil"/>
            </w:tcBorders>
            <w:shd w:val="clear" w:color="auto" w:fill="auto"/>
            <w:noWrap/>
            <w:vAlign w:val="center"/>
            <w:hideMark/>
          </w:tcPr>
          <w:p w14:paraId="4229B0F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52,0</w:t>
            </w:r>
          </w:p>
        </w:tc>
        <w:tc>
          <w:tcPr>
            <w:tcW w:w="567" w:type="dxa"/>
            <w:tcBorders>
              <w:top w:val="nil"/>
              <w:left w:val="nil"/>
              <w:bottom w:val="nil"/>
              <w:right w:val="nil"/>
            </w:tcBorders>
            <w:shd w:val="clear" w:color="auto" w:fill="auto"/>
            <w:noWrap/>
            <w:vAlign w:val="center"/>
            <w:hideMark/>
          </w:tcPr>
          <w:p w14:paraId="5475D9A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52,5</w:t>
            </w:r>
          </w:p>
        </w:tc>
        <w:tc>
          <w:tcPr>
            <w:tcW w:w="567" w:type="dxa"/>
            <w:tcBorders>
              <w:top w:val="nil"/>
              <w:left w:val="nil"/>
              <w:bottom w:val="nil"/>
              <w:right w:val="nil"/>
            </w:tcBorders>
            <w:shd w:val="clear" w:color="auto" w:fill="auto"/>
            <w:noWrap/>
            <w:vAlign w:val="center"/>
            <w:hideMark/>
          </w:tcPr>
          <w:p w14:paraId="482CB0A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53,6</w:t>
            </w:r>
          </w:p>
        </w:tc>
        <w:tc>
          <w:tcPr>
            <w:tcW w:w="567" w:type="dxa"/>
            <w:tcBorders>
              <w:top w:val="nil"/>
              <w:left w:val="nil"/>
              <w:bottom w:val="nil"/>
              <w:right w:val="nil"/>
            </w:tcBorders>
            <w:shd w:val="clear" w:color="auto" w:fill="auto"/>
            <w:noWrap/>
            <w:vAlign w:val="center"/>
            <w:hideMark/>
          </w:tcPr>
          <w:p w14:paraId="75825C6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51,1</w:t>
            </w:r>
          </w:p>
        </w:tc>
        <w:tc>
          <w:tcPr>
            <w:tcW w:w="567" w:type="dxa"/>
            <w:tcBorders>
              <w:top w:val="nil"/>
              <w:left w:val="nil"/>
              <w:bottom w:val="nil"/>
              <w:right w:val="nil"/>
            </w:tcBorders>
            <w:shd w:val="clear" w:color="auto" w:fill="auto"/>
            <w:noWrap/>
            <w:vAlign w:val="center"/>
            <w:hideMark/>
          </w:tcPr>
          <w:p w14:paraId="251F8B73"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50,8</w:t>
            </w:r>
          </w:p>
        </w:tc>
        <w:tc>
          <w:tcPr>
            <w:tcW w:w="567" w:type="dxa"/>
            <w:tcBorders>
              <w:top w:val="nil"/>
              <w:left w:val="nil"/>
              <w:bottom w:val="nil"/>
              <w:right w:val="nil"/>
            </w:tcBorders>
            <w:shd w:val="clear" w:color="auto" w:fill="auto"/>
            <w:noWrap/>
            <w:vAlign w:val="center"/>
            <w:hideMark/>
          </w:tcPr>
          <w:p w14:paraId="46357EE3"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46,7</w:t>
            </w:r>
          </w:p>
        </w:tc>
        <w:tc>
          <w:tcPr>
            <w:tcW w:w="567" w:type="dxa"/>
            <w:vAlign w:val="center"/>
          </w:tcPr>
          <w:p w14:paraId="0D51A894" w14:textId="77777777" w:rsidR="00986950" w:rsidRPr="00986950" w:rsidRDefault="00986950" w:rsidP="00986950">
            <w:pPr>
              <w:spacing w:after="0" w:line="240" w:lineRule="auto"/>
              <w:jc w:val="center"/>
            </w:pPr>
            <w:r w:rsidRPr="00986950">
              <w:rPr>
                <w:rFonts w:cs="Arial"/>
                <w:color w:val="000000"/>
                <w:sz w:val="16"/>
                <w:szCs w:val="16"/>
              </w:rPr>
              <w:t>39,4</w:t>
            </w:r>
          </w:p>
        </w:tc>
        <w:tc>
          <w:tcPr>
            <w:tcW w:w="567" w:type="dxa"/>
            <w:vAlign w:val="center"/>
          </w:tcPr>
          <w:p w14:paraId="319EB411" w14:textId="2D939D90"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31,3</w:t>
            </w:r>
          </w:p>
        </w:tc>
      </w:tr>
      <w:tr w:rsidR="00986950" w:rsidRPr="00986950" w14:paraId="7C82CE6D" w14:textId="306EB45D" w:rsidTr="003D23B7">
        <w:trPr>
          <w:trHeight w:val="300"/>
        </w:trPr>
        <w:tc>
          <w:tcPr>
            <w:tcW w:w="3401" w:type="dxa"/>
            <w:tcBorders>
              <w:top w:val="nil"/>
              <w:left w:val="nil"/>
              <w:bottom w:val="nil"/>
              <w:right w:val="single" w:sz="4" w:space="0" w:color="auto"/>
            </w:tcBorders>
            <w:shd w:val="clear" w:color="auto" w:fill="auto"/>
            <w:vAlign w:val="center"/>
            <w:hideMark/>
          </w:tcPr>
          <w:p w14:paraId="3B1BB7E2"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M – Profesní, vědecké a technické činnosti</w:t>
            </w:r>
          </w:p>
        </w:tc>
        <w:tc>
          <w:tcPr>
            <w:tcW w:w="567" w:type="dxa"/>
            <w:tcBorders>
              <w:top w:val="nil"/>
              <w:left w:val="nil"/>
              <w:bottom w:val="nil"/>
              <w:right w:val="nil"/>
            </w:tcBorders>
            <w:shd w:val="clear" w:color="auto" w:fill="auto"/>
            <w:noWrap/>
            <w:vAlign w:val="center"/>
            <w:hideMark/>
          </w:tcPr>
          <w:p w14:paraId="53A6C86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43,1</w:t>
            </w:r>
          </w:p>
        </w:tc>
        <w:tc>
          <w:tcPr>
            <w:tcW w:w="567" w:type="dxa"/>
            <w:tcBorders>
              <w:top w:val="nil"/>
              <w:left w:val="nil"/>
              <w:bottom w:val="nil"/>
              <w:right w:val="nil"/>
            </w:tcBorders>
            <w:shd w:val="clear" w:color="auto" w:fill="auto"/>
            <w:noWrap/>
            <w:vAlign w:val="center"/>
            <w:hideMark/>
          </w:tcPr>
          <w:p w14:paraId="40633EE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38,9</w:t>
            </w:r>
          </w:p>
        </w:tc>
        <w:tc>
          <w:tcPr>
            <w:tcW w:w="567" w:type="dxa"/>
            <w:tcBorders>
              <w:top w:val="nil"/>
              <w:left w:val="nil"/>
              <w:bottom w:val="nil"/>
              <w:right w:val="nil"/>
            </w:tcBorders>
            <w:shd w:val="clear" w:color="auto" w:fill="auto"/>
            <w:noWrap/>
            <w:vAlign w:val="center"/>
            <w:hideMark/>
          </w:tcPr>
          <w:p w14:paraId="3A703CA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40,9</w:t>
            </w:r>
          </w:p>
        </w:tc>
        <w:tc>
          <w:tcPr>
            <w:tcW w:w="567" w:type="dxa"/>
            <w:tcBorders>
              <w:top w:val="nil"/>
              <w:left w:val="nil"/>
              <w:bottom w:val="nil"/>
              <w:right w:val="nil"/>
            </w:tcBorders>
            <w:shd w:val="clear" w:color="auto" w:fill="auto"/>
            <w:noWrap/>
            <w:vAlign w:val="center"/>
            <w:hideMark/>
          </w:tcPr>
          <w:p w14:paraId="7ED43A6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38,8</w:t>
            </w:r>
          </w:p>
        </w:tc>
        <w:tc>
          <w:tcPr>
            <w:tcW w:w="567" w:type="dxa"/>
            <w:tcBorders>
              <w:top w:val="nil"/>
              <w:left w:val="nil"/>
              <w:bottom w:val="nil"/>
              <w:right w:val="nil"/>
            </w:tcBorders>
            <w:shd w:val="clear" w:color="auto" w:fill="auto"/>
            <w:noWrap/>
            <w:vAlign w:val="center"/>
            <w:hideMark/>
          </w:tcPr>
          <w:p w14:paraId="2ED213F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38,7</w:t>
            </w:r>
          </w:p>
        </w:tc>
        <w:tc>
          <w:tcPr>
            <w:tcW w:w="567" w:type="dxa"/>
            <w:tcBorders>
              <w:top w:val="nil"/>
              <w:left w:val="nil"/>
              <w:bottom w:val="nil"/>
              <w:right w:val="nil"/>
            </w:tcBorders>
            <w:shd w:val="clear" w:color="auto" w:fill="auto"/>
            <w:noWrap/>
            <w:vAlign w:val="center"/>
            <w:hideMark/>
          </w:tcPr>
          <w:p w14:paraId="4C5465D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39,2</w:t>
            </w:r>
          </w:p>
        </w:tc>
        <w:tc>
          <w:tcPr>
            <w:tcW w:w="567" w:type="dxa"/>
            <w:tcBorders>
              <w:top w:val="nil"/>
              <w:left w:val="nil"/>
              <w:bottom w:val="nil"/>
              <w:right w:val="nil"/>
            </w:tcBorders>
            <w:shd w:val="clear" w:color="auto" w:fill="auto"/>
            <w:noWrap/>
            <w:vAlign w:val="center"/>
            <w:hideMark/>
          </w:tcPr>
          <w:p w14:paraId="5CD48A2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39,6</w:t>
            </w:r>
          </w:p>
        </w:tc>
        <w:tc>
          <w:tcPr>
            <w:tcW w:w="567" w:type="dxa"/>
            <w:tcBorders>
              <w:top w:val="nil"/>
              <w:left w:val="nil"/>
              <w:bottom w:val="nil"/>
              <w:right w:val="nil"/>
            </w:tcBorders>
            <w:shd w:val="clear" w:color="auto" w:fill="auto"/>
            <w:noWrap/>
            <w:vAlign w:val="center"/>
            <w:hideMark/>
          </w:tcPr>
          <w:p w14:paraId="60C5D7B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39,2</w:t>
            </w:r>
          </w:p>
        </w:tc>
        <w:tc>
          <w:tcPr>
            <w:tcW w:w="567" w:type="dxa"/>
            <w:tcBorders>
              <w:top w:val="nil"/>
              <w:left w:val="nil"/>
              <w:bottom w:val="nil"/>
              <w:right w:val="nil"/>
            </w:tcBorders>
            <w:shd w:val="clear" w:color="auto" w:fill="auto"/>
            <w:noWrap/>
            <w:vAlign w:val="center"/>
            <w:hideMark/>
          </w:tcPr>
          <w:p w14:paraId="20F12228"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36,9</w:t>
            </w:r>
          </w:p>
        </w:tc>
        <w:tc>
          <w:tcPr>
            <w:tcW w:w="567" w:type="dxa"/>
            <w:vAlign w:val="center"/>
          </w:tcPr>
          <w:p w14:paraId="5DB8257B" w14:textId="77777777" w:rsidR="00986950" w:rsidRPr="00986950" w:rsidRDefault="00986950" w:rsidP="00986950">
            <w:pPr>
              <w:spacing w:after="0" w:line="240" w:lineRule="auto"/>
              <w:jc w:val="center"/>
            </w:pPr>
            <w:r w:rsidRPr="00986950">
              <w:rPr>
                <w:rFonts w:cs="Arial"/>
                <w:color w:val="000000"/>
                <w:sz w:val="16"/>
                <w:szCs w:val="16"/>
              </w:rPr>
              <w:t>32,1</w:t>
            </w:r>
          </w:p>
        </w:tc>
        <w:tc>
          <w:tcPr>
            <w:tcW w:w="567" w:type="dxa"/>
            <w:vAlign w:val="center"/>
          </w:tcPr>
          <w:p w14:paraId="220A1281" w14:textId="13106E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23,2</w:t>
            </w:r>
          </w:p>
        </w:tc>
      </w:tr>
      <w:tr w:rsidR="00986950" w:rsidRPr="00986950" w14:paraId="4113DAF2" w14:textId="7774939C" w:rsidTr="003D23B7">
        <w:trPr>
          <w:trHeight w:val="300"/>
        </w:trPr>
        <w:tc>
          <w:tcPr>
            <w:tcW w:w="3401" w:type="dxa"/>
            <w:tcBorders>
              <w:top w:val="nil"/>
              <w:left w:val="nil"/>
              <w:bottom w:val="nil"/>
              <w:right w:val="single" w:sz="4" w:space="0" w:color="auto"/>
            </w:tcBorders>
            <w:shd w:val="clear" w:color="auto" w:fill="auto"/>
            <w:vAlign w:val="center"/>
            <w:hideMark/>
          </w:tcPr>
          <w:p w14:paraId="41361745"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N – Administrativní a podpůrné činnosti</w:t>
            </w:r>
          </w:p>
        </w:tc>
        <w:tc>
          <w:tcPr>
            <w:tcW w:w="567" w:type="dxa"/>
            <w:tcBorders>
              <w:top w:val="nil"/>
              <w:left w:val="nil"/>
              <w:bottom w:val="nil"/>
              <w:right w:val="nil"/>
            </w:tcBorders>
            <w:shd w:val="clear" w:color="auto" w:fill="auto"/>
            <w:noWrap/>
            <w:vAlign w:val="center"/>
            <w:hideMark/>
          </w:tcPr>
          <w:p w14:paraId="2F4BD3A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45,6</w:t>
            </w:r>
          </w:p>
        </w:tc>
        <w:tc>
          <w:tcPr>
            <w:tcW w:w="567" w:type="dxa"/>
            <w:tcBorders>
              <w:top w:val="nil"/>
              <w:left w:val="nil"/>
              <w:bottom w:val="nil"/>
              <w:right w:val="nil"/>
            </w:tcBorders>
            <w:shd w:val="clear" w:color="auto" w:fill="auto"/>
            <w:noWrap/>
            <w:vAlign w:val="center"/>
            <w:hideMark/>
          </w:tcPr>
          <w:p w14:paraId="0B03D0F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41,7</w:t>
            </w:r>
          </w:p>
        </w:tc>
        <w:tc>
          <w:tcPr>
            <w:tcW w:w="567" w:type="dxa"/>
            <w:tcBorders>
              <w:top w:val="nil"/>
              <w:left w:val="nil"/>
              <w:bottom w:val="nil"/>
              <w:right w:val="nil"/>
            </w:tcBorders>
            <w:shd w:val="clear" w:color="auto" w:fill="auto"/>
            <w:noWrap/>
            <w:vAlign w:val="center"/>
            <w:hideMark/>
          </w:tcPr>
          <w:p w14:paraId="2C73592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41,3</w:t>
            </w:r>
          </w:p>
        </w:tc>
        <w:tc>
          <w:tcPr>
            <w:tcW w:w="567" w:type="dxa"/>
            <w:tcBorders>
              <w:top w:val="nil"/>
              <w:left w:val="nil"/>
              <w:bottom w:val="nil"/>
              <w:right w:val="nil"/>
            </w:tcBorders>
            <w:shd w:val="clear" w:color="auto" w:fill="auto"/>
            <w:noWrap/>
            <w:vAlign w:val="center"/>
            <w:hideMark/>
          </w:tcPr>
          <w:p w14:paraId="603048CB" w14:textId="38950E38"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38,5</w:t>
            </w:r>
          </w:p>
        </w:tc>
        <w:tc>
          <w:tcPr>
            <w:tcW w:w="567" w:type="dxa"/>
            <w:tcBorders>
              <w:top w:val="nil"/>
              <w:left w:val="nil"/>
              <w:bottom w:val="nil"/>
              <w:right w:val="nil"/>
            </w:tcBorders>
            <w:shd w:val="clear" w:color="auto" w:fill="auto"/>
            <w:noWrap/>
            <w:vAlign w:val="center"/>
            <w:hideMark/>
          </w:tcPr>
          <w:p w14:paraId="376577D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38,2</w:t>
            </w:r>
          </w:p>
        </w:tc>
        <w:tc>
          <w:tcPr>
            <w:tcW w:w="567" w:type="dxa"/>
            <w:tcBorders>
              <w:top w:val="nil"/>
              <w:left w:val="nil"/>
              <w:bottom w:val="nil"/>
              <w:right w:val="nil"/>
            </w:tcBorders>
            <w:shd w:val="clear" w:color="auto" w:fill="auto"/>
            <w:noWrap/>
            <w:vAlign w:val="center"/>
            <w:hideMark/>
          </w:tcPr>
          <w:p w14:paraId="4AB3B37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39,2</w:t>
            </w:r>
          </w:p>
        </w:tc>
        <w:tc>
          <w:tcPr>
            <w:tcW w:w="567" w:type="dxa"/>
            <w:tcBorders>
              <w:top w:val="nil"/>
              <w:left w:val="nil"/>
              <w:bottom w:val="nil"/>
              <w:right w:val="nil"/>
            </w:tcBorders>
            <w:shd w:val="clear" w:color="auto" w:fill="auto"/>
            <w:noWrap/>
            <w:vAlign w:val="center"/>
            <w:hideMark/>
          </w:tcPr>
          <w:p w14:paraId="6AF800A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40,5</w:t>
            </w:r>
          </w:p>
        </w:tc>
        <w:tc>
          <w:tcPr>
            <w:tcW w:w="567" w:type="dxa"/>
            <w:tcBorders>
              <w:top w:val="nil"/>
              <w:left w:val="nil"/>
              <w:bottom w:val="nil"/>
              <w:right w:val="nil"/>
            </w:tcBorders>
            <w:shd w:val="clear" w:color="auto" w:fill="auto"/>
            <w:noWrap/>
            <w:vAlign w:val="center"/>
            <w:hideMark/>
          </w:tcPr>
          <w:p w14:paraId="473E7B4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42,8</w:t>
            </w:r>
          </w:p>
        </w:tc>
        <w:tc>
          <w:tcPr>
            <w:tcW w:w="567" w:type="dxa"/>
            <w:tcBorders>
              <w:top w:val="nil"/>
              <w:left w:val="nil"/>
              <w:bottom w:val="nil"/>
              <w:right w:val="nil"/>
            </w:tcBorders>
            <w:shd w:val="clear" w:color="auto" w:fill="auto"/>
            <w:noWrap/>
            <w:vAlign w:val="center"/>
            <w:hideMark/>
          </w:tcPr>
          <w:p w14:paraId="430D61C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43,6</w:t>
            </w:r>
          </w:p>
        </w:tc>
        <w:tc>
          <w:tcPr>
            <w:tcW w:w="567" w:type="dxa"/>
            <w:vAlign w:val="center"/>
          </w:tcPr>
          <w:p w14:paraId="736D3EEC" w14:textId="77777777" w:rsidR="00986950" w:rsidRPr="00986950" w:rsidRDefault="00986950" w:rsidP="00986950">
            <w:pPr>
              <w:spacing w:after="0" w:line="240" w:lineRule="auto"/>
              <w:jc w:val="center"/>
            </w:pPr>
            <w:r w:rsidRPr="00986950">
              <w:rPr>
                <w:rFonts w:cs="Arial"/>
                <w:color w:val="000000"/>
                <w:sz w:val="16"/>
                <w:szCs w:val="16"/>
              </w:rPr>
              <w:t>38,0</w:t>
            </w:r>
          </w:p>
        </w:tc>
        <w:tc>
          <w:tcPr>
            <w:tcW w:w="567" w:type="dxa"/>
            <w:vAlign w:val="center"/>
          </w:tcPr>
          <w:p w14:paraId="4E4FC314" w14:textId="786A73D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32,1</w:t>
            </w:r>
          </w:p>
        </w:tc>
      </w:tr>
      <w:tr w:rsidR="00986950" w:rsidRPr="00986950" w14:paraId="10822A5F" w14:textId="64FBB666" w:rsidTr="003D23B7">
        <w:trPr>
          <w:trHeight w:val="480"/>
        </w:trPr>
        <w:tc>
          <w:tcPr>
            <w:tcW w:w="3401" w:type="dxa"/>
            <w:tcBorders>
              <w:top w:val="nil"/>
              <w:left w:val="nil"/>
              <w:bottom w:val="nil"/>
              <w:right w:val="single" w:sz="4" w:space="0" w:color="auto"/>
            </w:tcBorders>
            <w:shd w:val="clear" w:color="auto" w:fill="auto"/>
            <w:vAlign w:val="center"/>
            <w:hideMark/>
          </w:tcPr>
          <w:p w14:paraId="31C34F74"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 xml:space="preserve">O – Veřejná správa a obrana; </w:t>
            </w:r>
            <w:r w:rsidRPr="00986950">
              <w:rPr>
                <w:rFonts w:cs="Arial"/>
                <w:color w:val="000000"/>
                <w:sz w:val="16"/>
                <w:szCs w:val="16"/>
              </w:rPr>
              <w:br/>
              <w:t xml:space="preserve">           povinné sociální zabezpečení</w:t>
            </w:r>
          </w:p>
        </w:tc>
        <w:tc>
          <w:tcPr>
            <w:tcW w:w="567" w:type="dxa"/>
            <w:tcBorders>
              <w:top w:val="nil"/>
              <w:left w:val="nil"/>
              <w:bottom w:val="nil"/>
              <w:right w:val="nil"/>
            </w:tcBorders>
            <w:shd w:val="clear" w:color="auto" w:fill="auto"/>
            <w:noWrap/>
            <w:vAlign w:val="center"/>
            <w:hideMark/>
          </w:tcPr>
          <w:p w14:paraId="26F500D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39,7</w:t>
            </w:r>
          </w:p>
        </w:tc>
        <w:tc>
          <w:tcPr>
            <w:tcW w:w="567" w:type="dxa"/>
            <w:tcBorders>
              <w:top w:val="nil"/>
              <w:left w:val="nil"/>
              <w:bottom w:val="nil"/>
              <w:right w:val="nil"/>
            </w:tcBorders>
            <w:shd w:val="clear" w:color="auto" w:fill="auto"/>
            <w:noWrap/>
            <w:vAlign w:val="center"/>
            <w:hideMark/>
          </w:tcPr>
          <w:p w14:paraId="202E5190"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34,8</w:t>
            </w:r>
          </w:p>
        </w:tc>
        <w:tc>
          <w:tcPr>
            <w:tcW w:w="567" w:type="dxa"/>
            <w:tcBorders>
              <w:top w:val="nil"/>
              <w:left w:val="nil"/>
              <w:bottom w:val="nil"/>
              <w:right w:val="nil"/>
            </w:tcBorders>
            <w:shd w:val="clear" w:color="auto" w:fill="auto"/>
            <w:noWrap/>
            <w:vAlign w:val="center"/>
            <w:hideMark/>
          </w:tcPr>
          <w:p w14:paraId="2BFBB4C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38,0</w:t>
            </w:r>
          </w:p>
        </w:tc>
        <w:tc>
          <w:tcPr>
            <w:tcW w:w="567" w:type="dxa"/>
            <w:tcBorders>
              <w:top w:val="nil"/>
              <w:left w:val="nil"/>
              <w:bottom w:val="nil"/>
              <w:right w:val="nil"/>
            </w:tcBorders>
            <w:shd w:val="clear" w:color="auto" w:fill="auto"/>
            <w:noWrap/>
            <w:vAlign w:val="center"/>
            <w:hideMark/>
          </w:tcPr>
          <w:p w14:paraId="72537B0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35,9</w:t>
            </w:r>
          </w:p>
        </w:tc>
        <w:tc>
          <w:tcPr>
            <w:tcW w:w="567" w:type="dxa"/>
            <w:tcBorders>
              <w:top w:val="nil"/>
              <w:left w:val="nil"/>
              <w:bottom w:val="nil"/>
              <w:right w:val="nil"/>
            </w:tcBorders>
            <w:shd w:val="clear" w:color="auto" w:fill="auto"/>
            <w:noWrap/>
            <w:vAlign w:val="center"/>
            <w:hideMark/>
          </w:tcPr>
          <w:p w14:paraId="07A4A17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37,2</w:t>
            </w:r>
          </w:p>
        </w:tc>
        <w:tc>
          <w:tcPr>
            <w:tcW w:w="567" w:type="dxa"/>
            <w:tcBorders>
              <w:top w:val="nil"/>
              <w:left w:val="nil"/>
              <w:bottom w:val="nil"/>
              <w:right w:val="nil"/>
            </w:tcBorders>
            <w:shd w:val="clear" w:color="auto" w:fill="auto"/>
            <w:noWrap/>
            <w:vAlign w:val="center"/>
            <w:hideMark/>
          </w:tcPr>
          <w:p w14:paraId="51D3939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36,2</w:t>
            </w:r>
          </w:p>
        </w:tc>
        <w:tc>
          <w:tcPr>
            <w:tcW w:w="567" w:type="dxa"/>
            <w:tcBorders>
              <w:top w:val="nil"/>
              <w:left w:val="nil"/>
              <w:bottom w:val="nil"/>
              <w:right w:val="nil"/>
            </w:tcBorders>
            <w:shd w:val="clear" w:color="auto" w:fill="auto"/>
            <w:noWrap/>
            <w:vAlign w:val="center"/>
            <w:hideMark/>
          </w:tcPr>
          <w:p w14:paraId="3CD30D7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34,9</w:t>
            </w:r>
          </w:p>
        </w:tc>
        <w:tc>
          <w:tcPr>
            <w:tcW w:w="567" w:type="dxa"/>
            <w:tcBorders>
              <w:top w:val="nil"/>
              <w:left w:val="nil"/>
              <w:bottom w:val="nil"/>
              <w:right w:val="nil"/>
            </w:tcBorders>
            <w:shd w:val="clear" w:color="auto" w:fill="auto"/>
            <w:noWrap/>
            <w:vAlign w:val="center"/>
            <w:hideMark/>
          </w:tcPr>
          <w:p w14:paraId="07B915E8"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35,1</w:t>
            </w:r>
          </w:p>
        </w:tc>
        <w:tc>
          <w:tcPr>
            <w:tcW w:w="567" w:type="dxa"/>
            <w:tcBorders>
              <w:top w:val="nil"/>
              <w:left w:val="nil"/>
              <w:bottom w:val="nil"/>
              <w:right w:val="nil"/>
            </w:tcBorders>
            <w:shd w:val="clear" w:color="auto" w:fill="auto"/>
            <w:noWrap/>
            <w:vAlign w:val="center"/>
            <w:hideMark/>
          </w:tcPr>
          <w:p w14:paraId="628A202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31,5</w:t>
            </w:r>
          </w:p>
        </w:tc>
        <w:tc>
          <w:tcPr>
            <w:tcW w:w="567" w:type="dxa"/>
            <w:vAlign w:val="center"/>
          </w:tcPr>
          <w:p w14:paraId="68012F58" w14:textId="77777777" w:rsidR="00986950" w:rsidRPr="00986950" w:rsidRDefault="00986950" w:rsidP="00986950">
            <w:pPr>
              <w:spacing w:after="0" w:line="240" w:lineRule="auto"/>
              <w:jc w:val="center"/>
            </w:pPr>
            <w:r w:rsidRPr="00986950">
              <w:rPr>
                <w:rFonts w:cs="Arial"/>
                <w:color w:val="000000"/>
                <w:sz w:val="16"/>
                <w:szCs w:val="16"/>
              </w:rPr>
              <w:t>28,7</w:t>
            </w:r>
          </w:p>
        </w:tc>
        <w:tc>
          <w:tcPr>
            <w:tcW w:w="567" w:type="dxa"/>
            <w:vAlign w:val="center"/>
          </w:tcPr>
          <w:p w14:paraId="2791429E" w14:textId="26EAEA2E"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20,7</w:t>
            </w:r>
          </w:p>
        </w:tc>
      </w:tr>
      <w:tr w:rsidR="00986950" w:rsidRPr="00986950" w14:paraId="1D748419" w14:textId="0AB57FE4" w:rsidTr="003D23B7">
        <w:trPr>
          <w:trHeight w:val="300"/>
        </w:trPr>
        <w:tc>
          <w:tcPr>
            <w:tcW w:w="3401" w:type="dxa"/>
            <w:tcBorders>
              <w:top w:val="nil"/>
              <w:left w:val="nil"/>
              <w:bottom w:val="nil"/>
              <w:right w:val="single" w:sz="4" w:space="0" w:color="auto"/>
            </w:tcBorders>
            <w:shd w:val="clear" w:color="auto" w:fill="auto"/>
            <w:vAlign w:val="center"/>
            <w:hideMark/>
          </w:tcPr>
          <w:p w14:paraId="6CA04B76"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P – Vzdělávání</w:t>
            </w:r>
          </w:p>
        </w:tc>
        <w:tc>
          <w:tcPr>
            <w:tcW w:w="567" w:type="dxa"/>
            <w:tcBorders>
              <w:top w:val="nil"/>
              <w:left w:val="nil"/>
              <w:bottom w:val="nil"/>
              <w:right w:val="nil"/>
            </w:tcBorders>
            <w:shd w:val="clear" w:color="auto" w:fill="auto"/>
            <w:noWrap/>
            <w:vAlign w:val="center"/>
            <w:hideMark/>
          </w:tcPr>
          <w:p w14:paraId="16CB387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36,7</w:t>
            </w:r>
          </w:p>
        </w:tc>
        <w:tc>
          <w:tcPr>
            <w:tcW w:w="567" w:type="dxa"/>
            <w:tcBorders>
              <w:top w:val="nil"/>
              <w:left w:val="nil"/>
              <w:bottom w:val="nil"/>
              <w:right w:val="nil"/>
            </w:tcBorders>
            <w:shd w:val="clear" w:color="auto" w:fill="auto"/>
            <w:noWrap/>
            <w:vAlign w:val="center"/>
            <w:hideMark/>
          </w:tcPr>
          <w:p w14:paraId="0D43223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33,6</w:t>
            </w:r>
          </w:p>
        </w:tc>
        <w:tc>
          <w:tcPr>
            <w:tcW w:w="567" w:type="dxa"/>
            <w:tcBorders>
              <w:top w:val="nil"/>
              <w:left w:val="nil"/>
              <w:bottom w:val="nil"/>
              <w:right w:val="nil"/>
            </w:tcBorders>
            <w:shd w:val="clear" w:color="auto" w:fill="auto"/>
            <w:noWrap/>
            <w:vAlign w:val="center"/>
            <w:hideMark/>
          </w:tcPr>
          <w:p w14:paraId="6384C67D"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35,6</w:t>
            </w:r>
          </w:p>
        </w:tc>
        <w:tc>
          <w:tcPr>
            <w:tcW w:w="567" w:type="dxa"/>
            <w:tcBorders>
              <w:top w:val="nil"/>
              <w:left w:val="nil"/>
              <w:bottom w:val="nil"/>
              <w:right w:val="nil"/>
            </w:tcBorders>
            <w:shd w:val="clear" w:color="auto" w:fill="auto"/>
            <w:noWrap/>
            <w:vAlign w:val="center"/>
            <w:hideMark/>
          </w:tcPr>
          <w:p w14:paraId="77BF84D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32,6</w:t>
            </w:r>
          </w:p>
        </w:tc>
        <w:tc>
          <w:tcPr>
            <w:tcW w:w="567" w:type="dxa"/>
            <w:tcBorders>
              <w:top w:val="nil"/>
              <w:left w:val="nil"/>
              <w:bottom w:val="nil"/>
              <w:right w:val="nil"/>
            </w:tcBorders>
            <w:shd w:val="clear" w:color="auto" w:fill="auto"/>
            <w:noWrap/>
            <w:vAlign w:val="center"/>
            <w:hideMark/>
          </w:tcPr>
          <w:p w14:paraId="09575D3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33,3</w:t>
            </w:r>
          </w:p>
        </w:tc>
        <w:tc>
          <w:tcPr>
            <w:tcW w:w="567" w:type="dxa"/>
            <w:tcBorders>
              <w:top w:val="nil"/>
              <w:left w:val="nil"/>
              <w:bottom w:val="nil"/>
              <w:right w:val="nil"/>
            </w:tcBorders>
            <w:shd w:val="clear" w:color="auto" w:fill="auto"/>
            <w:noWrap/>
            <w:vAlign w:val="center"/>
            <w:hideMark/>
          </w:tcPr>
          <w:p w14:paraId="779F89E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32,2</w:t>
            </w:r>
          </w:p>
        </w:tc>
        <w:tc>
          <w:tcPr>
            <w:tcW w:w="567" w:type="dxa"/>
            <w:tcBorders>
              <w:top w:val="nil"/>
              <w:left w:val="nil"/>
              <w:bottom w:val="nil"/>
              <w:right w:val="nil"/>
            </w:tcBorders>
            <w:shd w:val="clear" w:color="auto" w:fill="auto"/>
            <w:noWrap/>
            <w:vAlign w:val="center"/>
            <w:hideMark/>
          </w:tcPr>
          <w:p w14:paraId="3E7A3FFB"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30,5</w:t>
            </w:r>
          </w:p>
        </w:tc>
        <w:tc>
          <w:tcPr>
            <w:tcW w:w="567" w:type="dxa"/>
            <w:tcBorders>
              <w:top w:val="nil"/>
              <w:left w:val="nil"/>
              <w:bottom w:val="nil"/>
              <w:right w:val="nil"/>
            </w:tcBorders>
            <w:shd w:val="clear" w:color="auto" w:fill="auto"/>
            <w:noWrap/>
            <w:vAlign w:val="center"/>
            <w:hideMark/>
          </w:tcPr>
          <w:p w14:paraId="72F54AB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31,2</w:t>
            </w:r>
          </w:p>
        </w:tc>
        <w:tc>
          <w:tcPr>
            <w:tcW w:w="567" w:type="dxa"/>
            <w:tcBorders>
              <w:top w:val="nil"/>
              <w:left w:val="nil"/>
              <w:bottom w:val="nil"/>
              <w:right w:val="nil"/>
            </w:tcBorders>
            <w:shd w:val="clear" w:color="auto" w:fill="auto"/>
            <w:noWrap/>
            <w:vAlign w:val="center"/>
            <w:hideMark/>
          </w:tcPr>
          <w:p w14:paraId="4741043C"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27,9</w:t>
            </w:r>
          </w:p>
        </w:tc>
        <w:tc>
          <w:tcPr>
            <w:tcW w:w="567" w:type="dxa"/>
            <w:vAlign w:val="center"/>
          </w:tcPr>
          <w:p w14:paraId="244C480B" w14:textId="77777777" w:rsidR="00986950" w:rsidRPr="00986950" w:rsidRDefault="00986950" w:rsidP="00986950">
            <w:pPr>
              <w:spacing w:after="0" w:line="240" w:lineRule="auto"/>
              <w:jc w:val="center"/>
            </w:pPr>
            <w:r w:rsidRPr="00986950">
              <w:rPr>
                <w:rFonts w:cs="Arial"/>
                <w:color w:val="000000"/>
                <w:sz w:val="16"/>
                <w:szCs w:val="16"/>
              </w:rPr>
              <w:t>24,0</w:t>
            </w:r>
          </w:p>
        </w:tc>
        <w:tc>
          <w:tcPr>
            <w:tcW w:w="567" w:type="dxa"/>
            <w:vAlign w:val="center"/>
          </w:tcPr>
          <w:p w14:paraId="6FF81528" w14:textId="1D26AFEB"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16,9</w:t>
            </w:r>
          </w:p>
        </w:tc>
      </w:tr>
      <w:tr w:rsidR="00986950" w:rsidRPr="00986950" w14:paraId="2FED6A06" w14:textId="1B509CBD" w:rsidTr="003D23B7">
        <w:trPr>
          <w:trHeight w:val="300"/>
        </w:trPr>
        <w:tc>
          <w:tcPr>
            <w:tcW w:w="3401" w:type="dxa"/>
            <w:tcBorders>
              <w:top w:val="nil"/>
              <w:left w:val="nil"/>
              <w:bottom w:val="nil"/>
              <w:right w:val="single" w:sz="4" w:space="0" w:color="auto"/>
            </w:tcBorders>
            <w:shd w:val="clear" w:color="auto" w:fill="auto"/>
            <w:vAlign w:val="center"/>
            <w:hideMark/>
          </w:tcPr>
          <w:p w14:paraId="19FC6C1B"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Q – Zdravotní a sociální péče</w:t>
            </w:r>
          </w:p>
        </w:tc>
        <w:tc>
          <w:tcPr>
            <w:tcW w:w="567" w:type="dxa"/>
            <w:tcBorders>
              <w:top w:val="nil"/>
              <w:left w:val="nil"/>
              <w:bottom w:val="nil"/>
              <w:right w:val="nil"/>
            </w:tcBorders>
            <w:shd w:val="clear" w:color="auto" w:fill="auto"/>
            <w:noWrap/>
            <w:vAlign w:val="center"/>
            <w:hideMark/>
          </w:tcPr>
          <w:p w14:paraId="44C4420F" w14:textId="11C483A2"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52,6</w:t>
            </w:r>
          </w:p>
        </w:tc>
        <w:tc>
          <w:tcPr>
            <w:tcW w:w="567" w:type="dxa"/>
            <w:tcBorders>
              <w:top w:val="nil"/>
              <w:left w:val="nil"/>
              <w:bottom w:val="nil"/>
              <w:right w:val="nil"/>
            </w:tcBorders>
            <w:shd w:val="clear" w:color="auto" w:fill="auto"/>
            <w:noWrap/>
            <w:vAlign w:val="center"/>
            <w:hideMark/>
          </w:tcPr>
          <w:p w14:paraId="3827236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48,9</w:t>
            </w:r>
          </w:p>
        </w:tc>
        <w:tc>
          <w:tcPr>
            <w:tcW w:w="567" w:type="dxa"/>
            <w:tcBorders>
              <w:top w:val="nil"/>
              <w:left w:val="nil"/>
              <w:bottom w:val="nil"/>
              <w:right w:val="nil"/>
            </w:tcBorders>
            <w:shd w:val="clear" w:color="auto" w:fill="auto"/>
            <w:noWrap/>
            <w:vAlign w:val="center"/>
            <w:hideMark/>
          </w:tcPr>
          <w:p w14:paraId="5085D3C0"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51,7</w:t>
            </w:r>
          </w:p>
        </w:tc>
        <w:tc>
          <w:tcPr>
            <w:tcW w:w="567" w:type="dxa"/>
            <w:tcBorders>
              <w:top w:val="nil"/>
              <w:left w:val="nil"/>
              <w:bottom w:val="nil"/>
              <w:right w:val="nil"/>
            </w:tcBorders>
            <w:shd w:val="clear" w:color="auto" w:fill="auto"/>
            <w:noWrap/>
            <w:vAlign w:val="center"/>
            <w:hideMark/>
          </w:tcPr>
          <w:p w14:paraId="39194278"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48,1</w:t>
            </w:r>
          </w:p>
        </w:tc>
        <w:tc>
          <w:tcPr>
            <w:tcW w:w="567" w:type="dxa"/>
            <w:tcBorders>
              <w:top w:val="nil"/>
              <w:left w:val="nil"/>
              <w:bottom w:val="nil"/>
              <w:right w:val="nil"/>
            </w:tcBorders>
            <w:shd w:val="clear" w:color="auto" w:fill="auto"/>
            <w:noWrap/>
            <w:vAlign w:val="center"/>
            <w:hideMark/>
          </w:tcPr>
          <w:p w14:paraId="1917C7A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48,8</w:t>
            </w:r>
          </w:p>
        </w:tc>
        <w:tc>
          <w:tcPr>
            <w:tcW w:w="567" w:type="dxa"/>
            <w:tcBorders>
              <w:top w:val="nil"/>
              <w:left w:val="nil"/>
              <w:bottom w:val="nil"/>
              <w:right w:val="nil"/>
            </w:tcBorders>
            <w:shd w:val="clear" w:color="auto" w:fill="auto"/>
            <w:noWrap/>
            <w:vAlign w:val="center"/>
            <w:hideMark/>
          </w:tcPr>
          <w:p w14:paraId="4052B47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48,0</w:t>
            </w:r>
          </w:p>
        </w:tc>
        <w:tc>
          <w:tcPr>
            <w:tcW w:w="567" w:type="dxa"/>
            <w:tcBorders>
              <w:top w:val="nil"/>
              <w:left w:val="nil"/>
              <w:bottom w:val="nil"/>
              <w:right w:val="nil"/>
            </w:tcBorders>
            <w:shd w:val="clear" w:color="auto" w:fill="auto"/>
            <w:noWrap/>
            <w:vAlign w:val="center"/>
            <w:hideMark/>
          </w:tcPr>
          <w:p w14:paraId="3FE1596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46,0</w:t>
            </w:r>
          </w:p>
        </w:tc>
        <w:tc>
          <w:tcPr>
            <w:tcW w:w="567" w:type="dxa"/>
            <w:tcBorders>
              <w:top w:val="nil"/>
              <w:left w:val="nil"/>
              <w:bottom w:val="nil"/>
              <w:right w:val="nil"/>
            </w:tcBorders>
            <w:shd w:val="clear" w:color="auto" w:fill="auto"/>
            <w:noWrap/>
            <w:vAlign w:val="center"/>
            <w:hideMark/>
          </w:tcPr>
          <w:p w14:paraId="432F6BA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46,3</w:t>
            </w:r>
          </w:p>
        </w:tc>
        <w:tc>
          <w:tcPr>
            <w:tcW w:w="567" w:type="dxa"/>
            <w:tcBorders>
              <w:top w:val="nil"/>
              <w:left w:val="nil"/>
              <w:bottom w:val="nil"/>
              <w:right w:val="nil"/>
            </w:tcBorders>
            <w:shd w:val="clear" w:color="auto" w:fill="auto"/>
            <w:noWrap/>
            <w:vAlign w:val="center"/>
            <w:hideMark/>
          </w:tcPr>
          <w:p w14:paraId="0D42D2F2"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36,0</w:t>
            </w:r>
          </w:p>
        </w:tc>
        <w:tc>
          <w:tcPr>
            <w:tcW w:w="567" w:type="dxa"/>
            <w:vAlign w:val="center"/>
          </w:tcPr>
          <w:p w14:paraId="57A3547F" w14:textId="77777777" w:rsidR="00986950" w:rsidRPr="00986950" w:rsidRDefault="00986950" w:rsidP="00986950">
            <w:pPr>
              <w:spacing w:after="0" w:line="240" w:lineRule="auto"/>
              <w:jc w:val="center"/>
            </w:pPr>
            <w:r w:rsidRPr="00986950">
              <w:rPr>
                <w:rFonts w:cs="Arial"/>
                <w:color w:val="000000"/>
                <w:sz w:val="16"/>
                <w:szCs w:val="16"/>
              </w:rPr>
              <w:t>37,5</w:t>
            </w:r>
          </w:p>
        </w:tc>
        <w:tc>
          <w:tcPr>
            <w:tcW w:w="567" w:type="dxa"/>
            <w:vAlign w:val="center"/>
          </w:tcPr>
          <w:p w14:paraId="7E99C637" w14:textId="70378F9A"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27,0</w:t>
            </w:r>
          </w:p>
        </w:tc>
      </w:tr>
      <w:tr w:rsidR="00986950" w:rsidRPr="00986950" w14:paraId="751A5295" w14:textId="6C5617BA" w:rsidTr="003D23B7">
        <w:trPr>
          <w:trHeight w:val="300"/>
        </w:trPr>
        <w:tc>
          <w:tcPr>
            <w:tcW w:w="3401" w:type="dxa"/>
            <w:tcBorders>
              <w:top w:val="nil"/>
              <w:left w:val="nil"/>
              <w:bottom w:val="nil"/>
              <w:right w:val="single" w:sz="4" w:space="0" w:color="auto"/>
            </w:tcBorders>
            <w:shd w:val="clear" w:color="auto" w:fill="auto"/>
            <w:vAlign w:val="center"/>
            <w:hideMark/>
          </w:tcPr>
          <w:p w14:paraId="42093282"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R – Kulturní, zábavní a rekreační činnosti</w:t>
            </w:r>
          </w:p>
        </w:tc>
        <w:tc>
          <w:tcPr>
            <w:tcW w:w="567" w:type="dxa"/>
            <w:tcBorders>
              <w:top w:val="nil"/>
              <w:left w:val="nil"/>
              <w:bottom w:val="nil"/>
              <w:right w:val="nil"/>
            </w:tcBorders>
            <w:shd w:val="clear" w:color="auto" w:fill="auto"/>
            <w:noWrap/>
            <w:vAlign w:val="center"/>
            <w:hideMark/>
          </w:tcPr>
          <w:p w14:paraId="34A2746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45,9</w:t>
            </w:r>
          </w:p>
        </w:tc>
        <w:tc>
          <w:tcPr>
            <w:tcW w:w="567" w:type="dxa"/>
            <w:tcBorders>
              <w:top w:val="nil"/>
              <w:left w:val="nil"/>
              <w:bottom w:val="nil"/>
              <w:right w:val="nil"/>
            </w:tcBorders>
            <w:shd w:val="clear" w:color="auto" w:fill="auto"/>
            <w:noWrap/>
            <w:vAlign w:val="center"/>
            <w:hideMark/>
          </w:tcPr>
          <w:p w14:paraId="575993E0"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42,7</w:t>
            </w:r>
          </w:p>
        </w:tc>
        <w:tc>
          <w:tcPr>
            <w:tcW w:w="567" w:type="dxa"/>
            <w:tcBorders>
              <w:top w:val="nil"/>
              <w:left w:val="nil"/>
              <w:bottom w:val="nil"/>
              <w:right w:val="nil"/>
            </w:tcBorders>
            <w:shd w:val="clear" w:color="auto" w:fill="auto"/>
            <w:noWrap/>
            <w:vAlign w:val="center"/>
            <w:hideMark/>
          </w:tcPr>
          <w:p w14:paraId="228AD224"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44,2</w:t>
            </w:r>
          </w:p>
        </w:tc>
        <w:tc>
          <w:tcPr>
            <w:tcW w:w="567" w:type="dxa"/>
            <w:tcBorders>
              <w:top w:val="nil"/>
              <w:left w:val="nil"/>
              <w:bottom w:val="nil"/>
              <w:right w:val="nil"/>
            </w:tcBorders>
            <w:shd w:val="clear" w:color="auto" w:fill="auto"/>
            <w:noWrap/>
            <w:vAlign w:val="center"/>
            <w:hideMark/>
          </w:tcPr>
          <w:p w14:paraId="42AC79C8"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41,3</w:t>
            </w:r>
          </w:p>
        </w:tc>
        <w:tc>
          <w:tcPr>
            <w:tcW w:w="567" w:type="dxa"/>
            <w:tcBorders>
              <w:top w:val="nil"/>
              <w:left w:val="nil"/>
              <w:bottom w:val="nil"/>
              <w:right w:val="nil"/>
            </w:tcBorders>
            <w:shd w:val="clear" w:color="auto" w:fill="auto"/>
            <w:noWrap/>
            <w:vAlign w:val="center"/>
            <w:hideMark/>
          </w:tcPr>
          <w:p w14:paraId="6DC8CB2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41,9</w:t>
            </w:r>
          </w:p>
        </w:tc>
        <w:tc>
          <w:tcPr>
            <w:tcW w:w="567" w:type="dxa"/>
            <w:tcBorders>
              <w:top w:val="nil"/>
              <w:left w:val="nil"/>
              <w:bottom w:val="nil"/>
              <w:right w:val="nil"/>
            </w:tcBorders>
            <w:shd w:val="clear" w:color="auto" w:fill="auto"/>
            <w:noWrap/>
            <w:vAlign w:val="center"/>
            <w:hideMark/>
          </w:tcPr>
          <w:p w14:paraId="4B26FE7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42,8</w:t>
            </w:r>
          </w:p>
        </w:tc>
        <w:tc>
          <w:tcPr>
            <w:tcW w:w="567" w:type="dxa"/>
            <w:tcBorders>
              <w:top w:val="nil"/>
              <w:left w:val="nil"/>
              <w:bottom w:val="nil"/>
              <w:right w:val="nil"/>
            </w:tcBorders>
            <w:shd w:val="clear" w:color="auto" w:fill="auto"/>
            <w:noWrap/>
            <w:vAlign w:val="center"/>
            <w:hideMark/>
          </w:tcPr>
          <w:p w14:paraId="31FD374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41,1</w:t>
            </w:r>
          </w:p>
        </w:tc>
        <w:tc>
          <w:tcPr>
            <w:tcW w:w="567" w:type="dxa"/>
            <w:tcBorders>
              <w:top w:val="nil"/>
              <w:left w:val="nil"/>
              <w:bottom w:val="nil"/>
              <w:right w:val="nil"/>
            </w:tcBorders>
            <w:shd w:val="clear" w:color="auto" w:fill="auto"/>
            <w:noWrap/>
            <w:vAlign w:val="center"/>
            <w:hideMark/>
          </w:tcPr>
          <w:p w14:paraId="5A3F92E3"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40,3</w:t>
            </w:r>
          </w:p>
        </w:tc>
        <w:tc>
          <w:tcPr>
            <w:tcW w:w="567" w:type="dxa"/>
            <w:tcBorders>
              <w:top w:val="nil"/>
              <w:left w:val="nil"/>
              <w:bottom w:val="nil"/>
              <w:right w:val="nil"/>
            </w:tcBorders>
            <w:shd w:val="clear" w:color="auto" w:fill="auto"/>
            <w:noWrap/>
            <w:vAlign w:val="center"/>
            <w:hideMark/>
          </w:tcPr>
          <w:p w14:paraId="53F2E95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39,5</w:t>
            </w:r>
          </w:p>
        </w:tc>
        <w:tc>
          <w:tcPr>
            <w:tcW w:w="567" w:type="dxa"/>
            <w:vAlign w:val="center"/>
          </w:tcPr>
          <w:p w14:paraId="28EF0833" w14:textId="77777777" w:rsidR="00986950" w:rsidRPr="00986950" w:rsidRDefault="00986950" w:rsidP="00986950">
            <w:pPr>
              <w:spacing w:after="0" w:line="240" w:lineRule="auto"/>
              <w:jc w:val="center"/>
            </w:pPr>
            <w:r w:rsidRPr="00986950">
              <w:rPr>
                <w:rFonts w:cs="Arial"/>
                <w:color w:val="000000"/>
                <w:sz w:val="16"/>
                <w:szCs w:val="16"/>
              </w:rPr>
              <w:t>33,9</w:t>
            </w:r>
          </w:p>
        </w:tc>
        <w:tc>
          <w:tcPr>
            <w:tcW w:w="567" w:type="dxa"/>
            <w:vAlign w:val="center"/>
          </w:tcPr>
          <w:p w14:paraId="3DD91C34" w14:textId="1E8D00DB"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23,9</w:t>
            </w:r>
          </w:p>
        </w:tc>
      </w:tr>
      <w:tr w:rsidR="00986950" w:rsidRPr="00986950" w14:paraId="1DCC2835" w14:textId="4D1BC471" w:rsidTr="003D23B7">
        <w:trPr>
          <w:trHeight w:val="300"/>
        </w:trPr>
        <w:tc>
          <w:tcPr>
            <w:tcW w:w="3401" w:type="dxa"/>
            <w:tcBorders>
              <w:top w:val="nil"/>
              <w:left w:val="nil"/>
              <w:bottom w:val="nil"/>
              <w:right w:val="single" w:sz="4" w:space="0" w:color="auto"/>
            </w:tcBorders>
            <w:shd w:val="clear" w:color="auto" w:fill="auto"/>
            <w:vAlign w:val="center"/>
            <w:hideMark/>
          </w:tcPr>
          <w:p w14:paraId="0DDF17F7" w14:textId="77777777" w:rsidR="00986950" w:rsidRPr="00986950" w:rsidRDefault="00986950" w:rsidP="00986950">
            <w:pPr>
              <w:spacing w:after="0" w:line="240" w:lineRule="auto"/>
              <w:ind w:firstLineChars="100" w:firstLine="160"/>
              <w:rPr>
                <w:rFonts w:cs="Arial"/>
                <w:color w:val="000000"/>
                <w:sz w:val="16"/>
                <w:szCs w:val="16"/>
              </w:rPr>
            </w:pPr>
            <w:r w:rsidRPr="00986950">
              <w:rPr>
                <w:rFonts w:cs="Arial"/>
                <w:color w:val="000000"/>
                <w:sz w:val="16"/>
                <w:szCs w:val="16"/>
              </w:rPr>
              <w:t>S – Ostatní činnosti</w:t>
            </w:r>
          </w:p>
        </w:tc>
        <w:tc>
          <w:tcPr>
            <w:tcW w:w="567" w:type="dxa"/>
            <w:tcBorders>
              <w:top w:val="nil"/>
              <w:left w:val="nil"/>
              <w:bottom w:val="nil"/>
              <w:right w:val="nil"/>
            </w:tcBorders>
            <w:shd w:val="clear" w:color="auto" w:fill="auto"/>
            <w:noWrap/>
            <w:vAlign w:val="center"/>
            <w:hideMark/>
          </w:tcPr>
          <w:p w14:paraId="2077B5A6"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50,2</w:t>
            </w:r>
          </w:p>
        </w:tc>
        <w:tc>
          <w:tcPr>
            <w:tcW w:w="567" w:type="dxa"/>
            <w:tcBorders>
              <w:top w:val="nil"/>
              <w:left w:val="nil"/>
              <w:bottom w:val="nil"/>
              <w:right w:val="nil"/>
            </w:tcBorders>
            <w:shd w:val="clear" w:color="auto" w:fill="auto"/>
            <w:noWrap/>
            <w:vAlign w:val="center"/>
            <w:hideMark/>
          </w:tcPr>
          <w:p w14:paraId="2B806DC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48,3</w:t>
            </w:r>
          </w:p>
        </w:tc>
        <w:tc>
          <w:tcPr>
            <w:tcW w:w="567" w:type="dxa"/>
            <w:tcBorders>
              <w:top w:val="nil"/>
              <w:left w:val="nil"/>
              <w:bottom w:val="nil"/>
              <w:right w:val="nil"/>
            </w:tcBorders>
            <w:shd w:val="clear" w:color="auto" w:fill="auto"/>
            <w:noWrap/>
            <w:vAlign w:val="center"/>
            <w:hideMark/>
          </w:tcPr>
          <w:p w14:paraId="79016321"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49,6</w:t>
            </w:r>
          </w:p>
        </w:tc>
        <w:tc>
          <w:tcPr>
            <w:tcW w:w="567" w:type="dxa"/>
            <w:tcBorders>
              <w:top w:val="nil"/>
              <w:left w:val="nil"/>
              <w:bottom w:val="nil"/>
              <w:right w:val="nil"/>
            </w:tcBorders>
            <w:shd w:val="clear" w:color="auto" w:fill="auto"/>
            <w:noWrap/>
            <w:vAlign w:val="center"/>
            <w:hideMark/>
          </w:tcPr>
          <w:p w14:paraId="4544ED63"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48,1</w:t>
            </w:r>
          </w:p>
        </w:tc>
        <w:tc>
          <w:tcPr>
            <w:tcW w:w="567" w:type="dxa"/>
            <w:tcBorders>
              <w:top w:val="nil"/>
              <w:left w:val="nil"/>
              <w:bottom w:val="nil"/>
              <w:right w:val="nil"/>
            </w:tcBorders>
            <w:shd w:val="clear" w:color="auto" w:fill="auto"/>
            <w:noWrap/>
            <w:vAlign w:val="center"/>
            <w:hideMark/>
          </w:tcPr>
          <w:p w14:paraId="0053C74F"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48,9</w:t>
            </w:r>
          </w:p>
        </w:tc>
        <w:tc>
          <w:tcPr>
            <w:tcW w:w="567" w:type="dxa"/>
            <w:tcBorders>
              <w:top w:val="nil"/>
              <w:left w:val="nil"/>
              <w:bottom w:val="nil"/>
              <w:right w:val="nil"/>
            </w:tcBorders>
            <w:shd w:val="clear" w:color="auto" w:fill="auto"/>
            <w:noWrap/>
            <w:vAlign w:val="center"/>
            <w:hideMark/>
          </w:tcPr>
          <w:p w14:paraId="2911DB19"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46,9</w:t>
            </w:r>
          </w:p>
        </w:tc>
        <w:tc>
          <w:tcPr>
            <w:tcW w:w="567" w:type="dxa"/>
            <w:tcBorders>
              <w:top w:val="nil"/>
              <w:left w:val="nil"/>
              <w:bottom w:val="nil"/>
              <w:right w:val="nil"/>
            </w:tcBorders>
            <w:shd w:val="clear" w:color="auto" w:fill="auto"/>
            <w:noWrap/>
            <w:vAlign w:val="center"/>
            <w:hideMark/>
          </w:tcPr>
          <w:p w14:paraId="2D0F06CE"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45,8</w:t>
            </w:r>
          </w:p>
        </w:tc>
        <w:tc>
          <w:tcPr>
            <w:tcW w:w="567" w:type="dxa"/>
            <w:tcBorders>
              <w:top w:val="nil"/>
              <w:left w:val="nil"/>
              <w:bottom w:val="nil"/>
              <w:right w:val="nil"/>
            </w:tcBorders>
            <w:shd w:val="clear" w:color="auto" w:fill="auto"/>
            <w:noWrap/>
            <w:vAlign w:val="center"/>
            <w:hideMark/>
          </w:tcPr>
          <w:p w14:paraId="3484E1F5"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46,3</w:t>
            </w:r>
          </w:p>
        </w:tc>
        <w:tc>
          <w:tcPr>
            <w:tcW w:w="567" w:type="dxa"/>
            <w:tcBorders>
              <w:top w:val="nil"/>
              <w:left w:val="nil"/>
              <w:bottom w:val="nil"/>
              <w:right w:val="nil"/>
            </w:tcBorders>
            <w:shd w:val="clear" w:color="auto" w:fill="auto"/>
            <w:noWrap/>
            <w:vAlign w:val="center"/>
            <w:hideMark/>
          </w:tcPr>
          <w:p w14:paraId="68DD34AA" w14:textId="77777777"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42,8</w:t>
            </w:r>
          </w:p>
        </w:tc>
        <w:tc>
          <w:tcPr>
            <w:tcW w:w="567" w:type="dxa"/>
            <w:vAlign w:val="center"/>
          </w:tcPr>
          <w:p w14:paraId="093A5499" w14:textId="77777777" w:rsidR="00986950" w:rsidRPr="00986950" w:rsidRDefault="00986950" w:rsidP="00986950">
            <w:pPr>
              <w:spacing w:after="0" w:line="240" w:lineRule="auto"/>
              <w:jc w:val="center"/>
            </w:pPr>
            <w:r w:rsidRPr="00986950">
              <w:rPr>
                <w:rFonts w:cs="Arial"/>
                <w:color w:val="000000"/>
                <w:sz w:val="16"/>
                <w:szCs w:val="16"/>
              </w:rPr>
              <w:t>38,4</w:t>
            </w:r>
          </w:p>
        </w:tc>
        <w:tc>
          <w:tcPr>
            <w:tcW w:w="567" w:type="dxa"/>
            <w:vAlign w:val="center"/>
          </w:tcPr>
          <w:p w14:paraId="3D4BFCD1" w14:textId="2266996B" w:rsidR="00986950" w:rsidRPr="00986950" w:rsidRDefault="00986950" w:rsidP="00986950">
            <w:pPr>
              <w:spacing w:after="0" w:line="240" w:lineRule="auto"/>
              <w:jc w:val="center"/>
              <w:rPr>
                <w:rFonts w:cs="Arial"/>
                <w:color w:val="000000"/>
                <w:sz w:val="16"/>
                <w:szCs w:val="16"/>
              </w:rPr>
            </w:pPr>
            <w:r w:rsidRPr="00986950">
              <w:rPr>
                <w:rFonts w:cs="Arial"/>
                <w:color w:val="000000"/>
                <w:sz w:val="16"/>
                <w:szCs w:val="16"/>
              </w:rPr>
              <w:t>29,4</w:t>
            </w:r>
          </w:p>
        </w:tc>
      </w:tr>
    </w:tbl>
    <w:p w14:paraId="6655E7CD" w14:textId="1DDCC325" w:rsidR="00FB211D" w:rsidRDefault="00FB211D" w:rsidP="004930CE">
      <w:pPr>
        <w:spacing w:before="120" w:after="120"/>
        <w:rPr>
          <w:sz w:val="16"/>
        </w:rPr>
      </w:pPr>
      <w:r>
        <w:rPr>
          <w:sz w:val="16"/>
        </w:rPr>
        <w:t>Pozn.: Přerušení v časové řadě.</w:t>
      </w:r>
      <w:r w:rsidRPr="00FB211D">
        <w:rPr>
          <w:noProof/>
        </w:rPr>
        <w:t xml:space="preserve"> </w:t>
      </w:r>
    </w:p>
    <w:p w14:paraId="7B38180E" w14:textId="5FC010EB" w:rsidR="00071637" w:rsidRPr="00986950" w:rsidRDefault="00071637" w:rsidP="004930CE">
      <w:pPr>
        <w:spacing w:before="120" w:after="120"/>
        <w:rPr>
          <w:sz w:val="16"/>
        </w:rPr>
      </w:pPr>
      <w:r w:rsidRPr="00986950">
        <w:rPr>
          <w:sz w:val="16"/>
        </w:rPr>
        <w:t>Zdroj: ČSÚ</w:t>
      </w:r>
    </w:p>
    <w:p w14:paraId="359E30FB" w14:textId="52D19C22" w:rsidR="004A6E11" w:rsidRPr="00073FCE" w:rsidRDefault="007F666B" w:rsidP="00D50EF1">
      <w:pPr>
        <w:spacing w:after="0" w:line="240" w:lineRule="auto"/>
      </w:pPr>
      <w:r w:rsidRPr="00073FCE">
        <w:rPr>
          <w:rFonts w:cs="Arial"/>
          <w:b/>
          <w:bCs/>
          <w:color w:val="000000"/>
          <w:szCs w:val="20"/>
        </w:rPr>
        <w:t>Graf 2.1</w:t>
      </w:r>
      <w:r w:rsidR="008257CF">
        <w:rPr>
          <w:rFonts w:cs="Arial"/>
          <w:b/>
          <w:bCs/>
          <w:color w:val="000000"/>
          <w:szCs w:val="20"/>
        </w:rPr>
        <w:t>3</w:t>
      </w:r>
      <w:r w:rsidRPr="00073FCE">
        <w:rPr>
          <w:rFonts w:cs="Arial"/>
          <w:b/>
          <w:bCs/>
          <w:color w:val="000000"/>
          <w:szCs w:val="20"/>
        </w:rPr>
        <w:t>: Průměrná délka trvání dočasné pracovní neschopnosti podle krajů ČR, 2019 a 202</w:t>
      </w:r>
      <w:r w:rsidR="00073FCE" w:rsidRPr="00073FCE">
        <w:rPr>
          <w:rFonts w:cs="Arial"/>
          <w:b/>
          <w:bCs/>
          <w:color w:val="000000"/>
          <w:szCs w:val="20"/>
        </w:rPr>
        <w:t>2</w:t>
      </w:r>
    </w:p>
    <w:p w14:paraId="2C0E6A98" w14:textId="358362EF" w:rsidR="00FC3985" w:rsidRPr="00166BEB" w:rsidRDefault="00073FCE" w:rsidP="004A6E11">
      <w:pPr>
        <w:rPr>
          <w:highlight w:val="yellow"/>
        </w:rPr>
      </w:pPr>
      <w:r>
        <w:rPr>
          <w:noProof/>
        </w:rPr>
        <w:drawing>
          <wp:inline distT="0" distB="0" distL="0" distR="0" wp14:anchorId="769D1192" wp14:editId="4A098E5A">
            <wp:extent cx="6066000" cy="2736000"/>
            <wp:effectExtent l="0" t="0" r="11430" b="7620"/>
            <wp:docPr id="63" name="Graf 63"/>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10C9D7D1" w14:textId="77777777" w:rsidR="00EF404E" w:rsidRPr="00073FCE" w:rsidRDefault="007F666B" w:rsidP="004229D4">
      <w:pPr>
        <w:spacing w:before="120" w:after="120"/>
        <w:rPr>
          <w:sz w:val="16"/>
        </w:rPr>
      </w:pPr>
      <w:r w:rsidRPr="00073FCE">
        <w:rPr>
          <w:sz w:val="16"/>
        </w:rPr>
        <w:t>Zdroj: ČSÚ</w:t>
      </w:r>
    </w:p>
    <w:p w14:paraId="4ECB6A83" w14:textId="77777777" w:rsidR="00802184" w:rsidRDefault="00802184">
      <w:pPr>
        <w:spacing w:after="0" w:line="240" w:lineRule="auto"/>
        <w:rPr>
          <w:b/>
        </w:rPr>
      </w:pPr>
      <w:r>
        <w:rPr>
          <w:b/>
        </w:rPr>
        <w:br w:type="page"/>
      </w:r>
    </w:p>
    <w:p w14:paraId="2A691D1B" w14:textId="2412C24B" w:rsidR="00EF404E" w:rsidRPr="00073FCE" w:rsidRDefault="00FB211D" w:rsidP="00EF404E">
      <w:pPr>
        <w:spacing w:after="0"/>
        <w:jc w:val="both"/>
        <w:rPr>
          <w:b/>
        </w:rPr>
      </w:pPr>
      <w:r>
        <w:rPr>
          <w:noProof/>
        </w:rPr>
        <w:lastRenderedPageBreak/>
        <mc:AlternateContent>
          <mc:Choice Requires="wps">
            <w:drawing>
              <wp:anchor distT="0" distB="0" distL="114300" distR="114300" simplePos="0" relativeHeight="251703808" behindDoc="0" locked="0" layoutInCell="1" allowOverlap="1" wp14:anchorId="2D164654" wp14:editId="44908617">
                <wp:simplePos x="0" y="0"/>
                <wp:positionH relativeFrom="column">
                  <wp:posOffset>5692140</wp:posOffset>
                </wp:positionH>
                <wp:positionV relativeFrom="paragraph">
                  <wp:posOffset>170180</wp:posOffset>
                </wp:positionV>
                <wp:extent cx="0" cy="3059430"/>
                <wp:effectExtent l="57150" t="19050" r="76200" b="45720"/>
                <wp:wrapNone/>
                <wp:docPr id="67" name="Přímá spojnice 3"/>
                <wp:cNvGraphicFramePr/>
                <a:graphic xmlns:a="http://schemas.openxmlformats.org/drawingml/2006/main">
                  <a:graphicData uri="http://schemas.microsoft.com/office/word/2010/wordprocessingShape">
                    <wps:wsp>
                      <wps:cNvCnPr/>
                      <wps:spPr>
                        <a:xfrm>
                          <a:off x="0" y="0"/>
                          <a:ext cx="0" cy="305943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C29F78" id="Přímá spojnice 3" o:spid="_x0000_s1026" style="position:absolute;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8.2pt,13.4pt" to="448.2pt,25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" strokecolor="#c00000" strokeweight=".5pt">
                <v:stroke dashstyle="dash"/>
                <v:shadow on="t" color="black" opacity="24903f" origin=",.5" offset="0,.55556mm"/>
              </v:line>
            </w:pict>
          </mc:Fallback>
        </mc:AlternateContent>
      </w:r>
      <w:r w:rsidR="00EF404E" w:rsidRPr="00073FCE">
        <w:rPr>
          <w:b/>
        </w:rPr>
        <w:t>Tab. 2.7: Průměrná délka trvání dočasné pracovní neschopnosti podle krajů ČR, 201</w:t>
      </w:r>
      <w:r w:rsidR="00073FCE" w:rsidRPr="00073FCE">
        <w:rPr>
          <w:b/>
        </w:rPr>
        <w:t>2–2022</w:t>
      </w:r>
    </w:p>
    <w:tbl>
      <w:tblPr>
        <w:tblW w:w="9655" w:type="dxa"/>
        <w:tblCellMar>
          <w:left w:w="70" w:type="dxa"/>
          <w:right w:w="70" w:type="dxa"/>
        </w:tblCellMar>
        <w:tblLook w:val="04A0" w:firstRow="1" w:lastRow="0" w:firstColumn="1" w:lastColumn="0" w:noHBand="0" w:noVBand="1"/>
      </w:tblPr>
      <w:tblGrid>
        <w:gridCol w:w="1871"/>
        <w:gridCol w:w="709"/>
        <w:gridCol w:w="709"/>
        <w:gridCol w:w="709"/>
        <w:gridCol w:w="709"/>
        <w:gridCol w:w="709"/>
        <w:gridCol w:w="709"/>
        <w:gridCol w:w="709"/>
        <w:gridCol w:w="709"/>
        <w:gridCol w:w="709"/>
        <w:gridCol w:w="700"/>
        <w:gridCol w:w="703"/>
      </w:tblGrid>
      <w:tr w:rsidR="00073FCE" w:rsidRPr="00073FCE" w14:paraId="217AE276" w14:textId="190F786D" w:rsidTr="005E5900">
        <w:trPr>
          <w:trHeight w:val="300"/>
        </w:trPr>
        <w:tc>
          <w:tcPr>
            <w:tcW w:w="1871" w:type="dxa"/>
            <w:tcBorders>
              <w:top w:val="single" w:sz="4" w:space="0" w:color="auto"/>
              <w:left w:val="nil"/>
              <w:bottom w:val="single" w:sz="4" w:space="0" w:color="auto"/>
              <w:right w:val="single" w:sz="4" w:space="0" w:color="auto"/>
            </w:tcBorders>
            <w:shd w:val="clear" w:color="000000" w:fill="F5DADD"/>
            <w:vAlign w:val="center"/>
            <w:hideMark/>
          </w:tcPr>
          <w:p w14:paraId="1D8E66C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Kraj ČR</w:t>
            </w:r>
          </w:p>
        </w:tc>
        <w:tc>
          <w:tcPr>
            <w:tcW w:w="709" w:type="dxa"/>
            <w:tcBorders>
              <w:top w:val="single" w:sz="4" w:space="0" w:color="auto"/>
              <w:left w:val="nil"/>
              <w:bottom w:val="single" w:sz="4" w:space="0" w:color="auto"/>
              <w:right w:val="nil"/>
            </w:tcBorders>
            <w:shd w:val="clear" w:color="000000" w:fill="F5DADD"/>
            <w:noWrap/>
            <w:vAlign w:val="center"/>
            <w:hideMark/>
          </w:tcPr>
          <w:p w14:paraId="43528CB1"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2012</w:t>
            </w:r>
          </w:p>
        </w:tc>
        <w:tc>
          <w:tcPr>
            <w:tcW w:w="709" w:type="dxa"/>
            <w:tcBorders>
              <w:top w:val="single" w:sz="4" w:space="0" w:color="auto"/>
              <w:left w:val="nil"/>
              <w:bottom w:val="single" w:sz="4" w:space="0" w:color="auto"/>
              <w:right w:val="nil"/>
            </w:tcBorders>
            <w:shd w:val="clear" w:color="000000" w:fill="F5DADD"/>
            <w:noWrap/>
            <w:vAlign w:val="center"/>
            <w:hideMark/>
          </w:tcPr>
          <w:p w14:paraId="50EC2F8D"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2013</w:t>
            </w:r>
          </w:p>
        </w:tc>
        <w:tc>
          <w:tcPr>
            <w:tcW w:w="709" w:type="dxa"/>
            <w:tcBorders>
              <w:top w:val="single" w:sz="4" w:space="0" w:color="auto"/>
              <w:left w:val="nil"/>
              <w:bottom w:val="single" w:sz="4" w:space="0" w:color="auto"/>
              <w:right w:val="nil"/>
            </w:tcBorders>
            <w:shd w:val="clear" w:color="000000" w:fill="F5DADD"/>
            <w:noWrap/>
            <w:vAlign w:val="center"/>
            <w:hideMark/>
          </w:tcPr>
          <w:p w14:paraId="0FE9187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2014</w:t>
            </w:r>
          </w:p>
        </w:tc>
        <w:tc>
          <w:tcPr>
            <w:tcW w:w="709" w:type="dxa"/>
            <w:tcBorders>
              <w:top w:val="single" w:sz="4" w:space="0" w:color="auto"/>
              <w:left w:val="nil"/>
              <w:bottom w:val="single" w:sz="4" w:space="0" w:color="auto"/>
              <w:right w:val="nil"/>
            </w:tcBorders>
            <w:shd w:val="clear" w:color="000000" w:fill="F5DADD"/>
            <w:noWrap/>
            <w:vAlign w:val="center"/>
            <w:hideMark/>
          </w:tcPr>
          <w:p w14:paraId="7C5CDB81"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2015</w:t>
            </w:r>
          </w:p>
        </w:tc>
        <w:tc>
          <w:tcPr>
            <w:tcW w:w="709" w:type="dxa"/>
            <w:tcBorders>
              <w:top w:val="single" w:sz="4" w:space="0" w:color="auto"/>
              <w:left w:val="nil"/>
              <w:bottom w:val="single" w:sz="4" w:space="0" w:color="auto"/>
              <w:right w:val="nil"/>
            </w:tcBorders>
            <w:shd w:val="clear" w:color="000000" w:fill="F5DADD"/>
            <w:noWrap/>
            <w:vAlign w:val="center"/>
            <w:hideMark/>
          </w:tcPr>
          <w:p w14:paraId="115DE63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2016</w:t>
            </w:r>
          </w:p>
        </w:tc>
        <w:tc>
          <w:tcPr>
            <w:tcW w:w="709" w:type="dxa"/>
            <w:tcBorders>
              <w:top w:val="single" w:sz="4" w:space="0" w:color="auto"/>
              <w:left w:val="nil"/>
              <w:bottom w:val="single" w:sz="4" w:space="0" w:color="auto"/>
              <w:right w:val="nil"/>
            </w:tcBorders>
            <w:shd w:val="clear" w:color="000000" w:fill="F5DADD"/>
            <w:noWrap/>
            <w:vAlign w:val="center"/>
            <w:hideMark/>
          </w:tcPr>
          <w:p w14:paraId="5A568E1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2017</w:t>
            </w:r>
          </w:p>
        </w:tc>
        <w:tc>
          <w:tcPr>
            <w:tcW w:w="709" w:type="dxa"/>
            <w:tcBorders>
              <w:top w:val="single" w:sz="4" w:space="0" w:color="auto"/>
              <w:left w:val="nil"/>
              <w:bottom w:val="single" w:sz="4" w:space="0" w:color="auto"/>
              <w:right w:val="nil"/>
            </w:tcBorders>
            <w:shd w:val="clear" w:color="000000" w:fill="F5DADD"/>
            <w:noWrap/>
            <w:vAlign w:val="center"/>
            <w:hideMark/>
          </w:tcPr>
          <w:p w14:paraId="45962A0D"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2018</w:t>
            </w:r>
          </w:p>
        </w:tc>
        <w:tc>
          <w:tcPr>
            <w:tcW w:w="709" w:type="dxa"/>
            <w:tcBorders>
              <w:top w:val="single" w:sz="4" w:space="0" w:color="auto"/>
              <w:left w:val="nil"/>
              <w:bottom w:val="single" w:sz="4" w:space="0" w:color="auto"/>
              <w:right w:val="nil"/>
            </w:tcBorders>
            <w:shd w:val="clear" w:color="000000" w:fill="F5DADD"/>
            <w:noWrap/>
            <w:vAlign w:val="center"/>
            <w:hideMark/>
          </w:tcPr>
          <w:p w14:paraId="2CD80DD0"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2019</w:t>
            </w:r>
          </w:p>
        </w:tc>
        <w:tc>
          <w:tcPr>
            <w:tcW w:w="709" w:type="dxa"/>
            <w:tcBorders>
              <w:top w:val="single" w:sz="4" w:space="0" w:color="auto"/>
              <w:left w:val="nil"/>
              <w:bottom w:val="single" w:sz="4" w:space="0" w:color="auto"/>
              <w:right w:val="nil"/>
            </w:tcBorders>
            <w:shd w:val="clear" w:color="000000" w:fill="F5DADD"/>
            <w:noWrap/>
            <w:vAlign w:val="center"/>
            <w:hideMark/>
          </w:tcPr>
          <w:p w14:paraId="7796BD4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2020</w:t>
            </w:r>
          </w:p>
        </w:tc>
        <w:tc>
          <w:tcPr>
            <w:tcW w:w="700" w:type="dxa"/>
            <w:tcBorders>
              <w:top w:val="single" w:sz="4" w:space="0" w:color="auto"/>
              <w:bottom w:val="single" w:sz="4" w:space="0" w:color="auto"/>
            </w:tcBorders>
            <w:shd w:val="clear" w:color="auto" w:fill="F5DADD"/>
            <w:vAlign w:val="center"/>
          </w:tcPr>
          <w:p w14:paraId="6CE82907" w14:textId="77777777" w:rsidR="00073FCE" w:rsidRPr="00073FCE" w:rsidRDefault="00073FCE" w:rsidP="00073FCE">
            <w:pPr>
              <w:spacing w:after="0" w:line="240" w:lineRule="auto"/>
              <w:jc w:val="center"/>
            </w:pPr>
            <w:r w:rsidRPr="00073FCE">
              <w:rPr>
                <w:rFonts w:cs="Arial"/>
                <w:color w:val="000000"/>
                <w:sz w:val="16"/>
                <w:szCs w:val="16"/>
              </w:rPr>
              <w:t>2021</w:t>
            </w:r>
          </w:p>
        </w:tc>
        <w:tc>
          <w:tcPr>
            <w:tcW w:w="703" w:type="dxa"/>
            <w:tcBorders>
              <w:top w:val="single" w:sz="4" w:space="0" w:color="auto"/>
              <w:bottom w:val="single" w:sz="4" w:space="0" w:color="auto"/>
            </w:tcBorders>
            <w:shd w:val="clear" w:color="auto" w:fill="F5DADD"/>
            <w:vAlign w:val="center"/>
          </w:tcPr>
          <w:p w14:paraId="018BA546" w14:textId="35EB6F1F"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2022</w:t>
            </w:r>
          </w:p>
        </w:tc>
      </w:tr>
      <w:tr w:rsidR="00073FCE" w:rsidRPr="00073FCE" w14:paraId="38EC4D49" w14:textId="65502054" w:rsidTr="005E5900">
        <w:trPr>
          <w:trHeight w:val="300"/>
        </w:trPr>
        <w:tc>
          <w:tcPr>
            <w:tcW w:w="1871" w:type="dxa"/>
            <w:tcBorders>
              <w:top w:val="nil"/>
              <w:left w:val="nil"/>
              <w:bottom w:val="nil"/>
              <w:right w:val="single" w:sz="4" w:space="0" w:color="auto"/>
            </w:tcBorders>
            <w:shd w:val="clear" w:color="auto" w:fill="auto"/>
            <w:noWrap/>
            <w:vAlign w:val="center"/>
            <w:hideMark/>
          </w:tcPr>
          <w:p w14:paraId="024E9885" w14:textId="77777777" w:rsidR="00073FCE" w:rsidRPr="00073FCE" w:rsidRDefault="00073FCE" w:rsidP="00073FCE">
            <w:pPr>
              <w:spacing w:after="0" w:line="240" w:lineRule="auto"/>
              <w:rPr>
                <w:rFonts w:cs="Arial"/>
                <w:b/>
                <w:bCs/>
                <w:color w:val="000000"/>
                <w:sz w:val="16"/>
                <w:szCs w:val="16"/>
              </w:rPr>
            </w:pPr>
            <w:r w:rsidRPr="00073FCE">
              <w:rPr>
                <w:rFonts w:cs="Arial"/>
                <w:b/>
                <w:bCs/>
                <w:color w:val="000000"/>
                <w:sz w:val="16"/>
                <w:szCs w:val="16"/>
              </w:rPr>
              <w:t>ČR celkem</w:t>
            </w:r>
          </w:p>
        </w:tc>
        <w:tc>
          <w:tcPr>
            <w:tcW w:w="709" w:type="dxa"/>
            <w:tcBorders>
              <w:top w:val="nil"/>
              <w:left w:val="nil"/>
              <w:bottom w:val="nil"/>
              <w:right w:val="nil"/>
            </w:tcBorders>
            <w:shd w:val="clear" w:color="auto" w:fill="auto"/>
            <w:noWrap/>
            <w:vAlign w:val="center"/>
            <w:hideMark/>
          </w:tcPr>
          <w:p w14:paraId="0C54ACDD"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46,1</w:t>
            </w:r>
          </w:p>
        </w:tc>
        <w:tc>
          <w:tcPr>
            <w:tcW w:w="709" w:type="dxa"/>
            <w:tcBorders>
              <w:top w:val="nil"/>
              <w:left w:val="nil"/>
              <w:bottom w:val="nil"/>
              <w:right w:val="nil"/>
            </w:tcBorders>
            <w:shd w:val="clear" w:color="auto" w:fill="auto"/>
            <w:noWrap/>
            <w:vAlign w:val="center"/>
            <w:hideMark/>
          </w:tcPr>
          <w:p w14:paraId="27784C90"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44,0</w:t>
            </w:r>
          </w:p>
        </w:tc>
        <w:tc>
          <w:tcPr>
            <w:tcW w:w="709" w:type="dxa"/>
            <w:tcBorders>
              <w:top w:val="nil"/>
              <w:left w:val="nil"/>
              <w:bottom w:val="nil"/>
              <w:right w:val="nil"/>
            </w:tcBorders>
            <w:shd w:val="clear" w:color="auto" w:fill="auto"/>
            <w:noWrap/>
            <w:vAlign w:val="center"/>
            <w:hideMark/>
          </w:tcPr>
          <w:p w14:paraId="4D1E0595"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45,8</w:t>
            </w:r>
          </w:p>
        </w:tc>
        <w:tc>
          <w:tcPr>
            <w:tcW w:w="709" w:type="dxa"/>
            <w:tcBorders>
              <w:top w:val="nil"/>
              <w:left w:val="nil"/>
              <w:bottom w:val="nil"/>
              <w:right w:val="nil"/>
            </w:tcBorders>
            <w:shd w:val="clear" w:color="auto" w:fill="auto"/>
            <w:noWrap/>
            <w:vAlign w:val="center"/>
            <w:hideMark/>
          </w:tcPr>
          <w:p w14:paraId="13C8F3BB"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42,7</w:t>
            </w:r>
          </w:p>
        </w:tc>
        <w:tc>
          <w:tcPr>
            <w:tcW w:w="709" w:type="dxa"/>
            <w:tcBorders>
              <w:top w:val="nil"/>
              <w:left w:val="nil"/>
              <w:bottom w:val="nil"/>
              <w:right w:val="nil"/>
            </w:tcBorders>
            <w:shd w:val="clear" w:color="auto" w:fill="auto"/>
            <w:noWrap/>
            <w:vAlign w:val="center"/>
            <w:hideMark/>
          </w:tcPr>
          <w:p w14:paraId="1F3B152B"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43,0</w:t>
            </w:r>
          </w:p>
        </w:tc>
        <w:tc>
          <w:tcPr>
            <w:tcW w:w="709" w:type="dxa"/>
            <w:tcBorders>
              <w:top w:val="nil"/>
              <w:left w:val="nil"/>
              <w:bottom w:val="nil"/>
              <w:right w:val="nil"/>
            </w:tcBorders>
            <w:shd w:val="clear" w:color="auto" w:fill="auto"/>
            <w:noWrap/>
            <w:vAlign w:val="center"/>
            <w:hideMark/>
          </w:tcPr>
          <w:p w14:paraId="38A7C9FE"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42,6</w:t>
            </w:r>
          </w:p>
        </w:tc>
        <w:tc>
          <w:tcPr>
            <w:tcW w:w="709" w:type="dxa"/>
            <w:tcBorders>
              <w:top w:val="nil"/>
              <w:left w:val="nil"/>
              <w:bottom w:val="nil"/>
              <w:right w:val="nil"/>
            </w:tcBorders>
            <w:shd w:val="clear" w:color="auto" w:fill="auto"/>
            <w:noWrap/>
            <w:vAlign w:val="center"/>
            <w:hideMark/>
          </w:tcPr>
          <w:p w14:paraId="17FCF808"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41,7</w:t>
            </w:r>
          </w:p>
        </w:tc>
        <w:tc>
          <w:tcPr>
            <w:tcW w:w="709" w:type="dxa"/>
            <w:tcBorders>
              <w:top w:val="nil"/>
              <w:left w:val="nil"/>
              <w:bottom w:val="nil"/>
              <w:right w:val="nil"/>
            </w:tcBorders>
            <w:shd w:val="clear" w:color="auto" w:fill="auto"/>
            <w:noWrap/>
            <w:vAlign w:val="center"/>
            <w:hideMark/>
          </w:tcPr>
          <w:p w14:paraId="5EC40DD1"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42,4</w:t>
            </w:r>
          </w:p>
        </w:tc>
        <w:tc>
          <w:tcPr>
            <w:tcW w:w="709" w:type="dxa"/>
            <w:tcBorders>
              <w:top w:val="nil"/>
              <w:left w:val="nil"/>
              <w:bottom w:val="nil"/>
              <w:right w:val="nil"/>
            </w:tcBorders>
            <w:shd w:val="clear" w:color="auto" w:fill="auto"/>
            <w:noWrap/>
            <w:vAlign w:val="center"/>
            <w:hideMark/>
          </w:tcPr>
          <w:p w14:paraId="2252ECA2" w14:textId="77777777"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39,4</w:t>
            </w:r>
          </w:p>
        </w:tc>
        <w:tc>
          <w:tcPr>
            <w:tcW w:w="700" w:type="dxa"/>
            <w:tcBorders>
              <w:top w:val="single" w:sz="4" w:space="0" w:color="auto"/>
            </w:tcBorders>
            <w:vAlign w:val="center"/>
          </w:tcPr>
          <w:p w14:paraId="624CD74B" w14:textId="66F1200C" w:rsidR="00073FCE" w:rsidRPr="00073FCE" w:rsidRDefault="00073FCE" w:rsidP="00073FCE">
            <w:pPr>
              <w:spacing w:after="0" w:line="240" w:lineRule="auto"/>
              <w:jc w:val="center"/>
            </w:pPr>
            <w:r w:rsidRPr="00073FCE">
              <w:rPr>
                <w:rFonts w:cs="Arial"/>
                <w:b/>
                <w:bCs/>
                <w:color w:val="000000"/>
                <w:sz w:val="16"/>
                <w:szCs w:val="16"/>
              </w:rPr>
              <w:t>34,5</w:t>
            </w:r>
          </w:p>
        </w:tc>
        <w:tc>
          <w:tcPr>
            <w:tcW w:w="703" w:type="dxa"/>
            <w:tcBorders>
              <w:top w:val="single" w:sz="4" w:space="0" w:color="auto"/>
            </w:tcBorders>
            <w:vAlign w:val="center"/>
          </w:tcPr>
          <w:p w14:paraId="4DF535AB" w14:textId="7ED4152A" w:rsidR="00073FCE" w:rsidRPr="00073FCE" w:rsidRDefault="00073FCE" w:rsidP="00073FCE">
            <w:pPr>
              <w:spacing w:after="0" w:line="240" w:lineRule="auto"/>
              <w:jc w:val="center"/>
              <w:rPr>
                <w:rFonts w:cs="Arial"/>
                <w:b/>
                <w:bCs/>
                <w:color w:val="000000"/>
                <w:sz w:val="16"/>
                <w:szCs w:val="16"/>
              </w:rPr>
            </w:pPr>
            <w:r w:rsidRPr="00073FCE">
              <w:rPr>
                <w:rFonts w:cs="Arial"/>
                <w:b/>
                <w:bCs/>
                <w:color w:val="000000"/>
                <w:sz w:val="16"/>
                <w:szCs w:val="16"/>
              </w:rPr>
              <w:t>26,3</w:t>
            </w:r>
          </w:p>
        </w:tc>
      </w:tr>
      <w:tr w:rsidR="00073FCE" w:rsidRPr="00073FCE" w14:paraId="4F35E549" w14:textId="5318CFCA" w:rsidTr="005E5900">
        <w:trPr>
          <w:trHeight w:val="300"/>
        </w:trPr>
        <w:tc>
          <w:tcPr>
            <w:tcW w:w="1871" w:type="dxa"/>
            <w:tcBorders>
              <w:top w:val="nil"/>
              <w:left w:val="nil"/>
              <w:bottom w:val="nil"/>
              <w:right w:val="single" w:sz="4" w:space="0" w:color="auto"/>
            </w:tcBorders>
            <w:shd w:val="clear" w:color="auto" w:fill="auto"/>
            <w:noWrap/>
            <w:vAlign w:val="center"/>
            <w:hideMark/>
          </w:tcPr>
          <w:p w14:paraId="5C5DB8B8"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Hl. m. Praha</w:t>
            </w:r>
          </w:p>
        </w:tc>
        <w:tc>
          <w:tcPr>
            <w:tcW w:w="709" w:type="dxa"/>
            <w:tcBorders>
              <w:top w:val="nil"/>
              <w:left w:val="nil"/>
              <w:bottom w:val="nil"/>
              <w:right w:val="nil"/>
            </w:tcBorders>
            <w:shd w:val="clear" w:color="auto" w:fill="auto"/>
            <w:noWrap/>
            <w:vAlign w:val="center"/>
            <w:hideMark/>
          </w:tcPr>
          <w:p w14:paraId="77431FA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40,4</w:t>
            </w:r>
          </w:p>
        </w:tc>
        <w:tc>
          <w:tcPr>
            <w:tcW w:w="709" w:type="dxa"/>
            <w:tcBorders>
              <w:top w:val="nil"/>
              <w:left w:val="nil"/>
              <w:bottom w:val="nil"/>
              <w:right w:val="nil"/>
            </w:tcBorders>
            <w:shd w:val="clear" w:color="auto" w:fill="auto"/>
            <w:noWrap/>
            <w:vAlign w:val="center"/>
            <w:hideMark/>
          </w:tcPr>
          <w:p w14:paraId="65216F9A"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37,7</w:t>
            </w:r>
          </w:p>
        </w:tc>
        <w:tc>
          <w:tcPr>
            <w:tcW w:w="709" w:type="dxa"/>
            <w:tcBorders>
              <w:top w:val="nil"/>
              <w:left w:val="nil"/>
              <w:bottom w:val="nil"/>
              <w:right w:val="nil"/>
            </w:tcBorders>
            <w:shd w:val="clear" w:color="auto" w:fill="auto"/>
            <w:noWrap/>
            <w:vAlign w:val="center"/>
            <w:hideMark/>
          </w:tcPr>
          <w:p w14:paraId="4EC35A8F"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40,0</w:t>
            </w:r>
          </w:p>
        </w:tc>
        <w:tc>
          <w:tcPr>
            <w:tcW w:w="709" w:type="dxa"/>
            <w:tcBorders>
              <w:top w:val="nil"/>
              <w:left w:val="nil"/>
              <w:bottom w:val="nil"/>
              <w:right w:val="nil"/>
            </w:tcBorders>
            <w:shd w:val="clear" w:color="auto" w:fill="auto"/>
            <w:noWrap/>
            <w:vAlign w:val="center"/>
            <w:hideMark/>
          </w:tcPr>
          <w:p w14:paraId="37760434"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38,7</w:t>
            </w:r>
          </w:p>
        </w:tc>
        <w:tc>
          <w:tcPr>
            <w:tcW w:w="709" w:type="dxa"/>
            <w:tcBorders>
              <w:top w:val="nil"/>
              <w:left w:val="nil"/>
              <w:bottom w:val="nil"/>
              <w:right w:val="nil"/>
            </w:tcBorders>
            <w:shd w:val="clear" w:color="auto" w:fill="auto"/>
            <w:noWrap/>
            <w:vAlign w:val="center"/>
            <w:hideMark/>
          </w:tcPr>
          <w:p w14:paraId="458C1A14"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37,7</w:t>
            </w:r>
          </w:p>
        </w:tc>
        <w:tc>
          <w:tcPr>
            <w:tcW w:w="709" w:type="dxa"/>
            <w:tcBorders>
              <w:top w:val="nil"/>
              <w:left w:val="nil"/>
              <w:bottom w:val="nil"/>
              <w:right w:val="nil"/>
            </w:tcBorders>
            <w:shd w:val="clear" w:color="auto" w:fill="auto"/>
            <w:noWrap/>
            <w:vAlign w:val="center"/>
            <w:hideMark/>
          </w:tcPr>
          <w:p w14:paraId="2AD14D4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38,4</w:t>
            </w:r>
          </w:p>
        </w:tc>
        <w:tc>
          <w:tcPr>
            <w:tcW w:w="709" w:type="dxa"/>
            <w:tcBorders>
              <w:top w:val="nil"/>
              <w:left w:val="nil"/>
              <w:bottom w:val="nil"/>
              <w:right w:val="nil"/>
            </w:tcBorders>
            <w:shd w:val="clear" w:color="auto" w:fill="auto"/>
            <w:noWrap/>
            <w:vAlign w:val="center"/>
            <w:hideMark/>
          </w:tcPr>
          <w:p w14:paraId="3A8E78B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38,6</w:t>
            </w:r>
          </w:p>
        </w:tc>
        <w:tc>
          <w:tcPr>
            <w:tcW w:w="709" w:type="dxa"/>
            <w:tcBorders>
              <w:top w:val="nil"/>
              <w:left w:val="nil"/>
              <w:bottom w:val="nil"/>
              <w:right w:val="nil"/>
            </w:tcBorders>
            <w:shd w:val="clear" w:color="auto" w:fill="auto"/>
            <w:noWrap/>
            <w:vAlign w:val="center"/>
            <w:hideMark/>
          </w:tcPr>
          <w:p w14:paraId="06BA72E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38,8</w:t>
            </w:r>
          </w:p>
        </w:tc>
        <w:tc>
          <w:tcPr>
            <w:tcW w:w="709" w:type="dxa"/>
            <w:tcBorders>
              <w:top w:val="nil"/>
              <w:left w:val="nil"/>
              <w:bottom w:val="nil"/>
              <w:right w:val="nil"/>
            </w:tcBorders>
            <w:shd w:val="clear" w:color="auto" w:fill="auto"/>
            <w:noWrap/>
            <w:vAlign w:val="center"/>
            <w:hideMark/>
          </w:tcPr>
          <w:p w14:paraId="39D6E10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37,2</w:t>
            </w:r>
          </w:p>
        </w:tc>
        <w:tc>
          <w:tcPr>
            <w:tcW w:w="700" w:type="dxa"/>
            <w:vAlign w:val="center"/>
          </w:tcPr>
          <w:p w14:paraId="0382E272" w14:textId="77777777" w:rsidR="00073FCE" w:rsidRPr="00073FCE" w:rsidRDefault="00073FCE" w:rsidP="00073FCE">
            <w:pPr>
              <w:spacing w:after="0" w:line="240" w:lineRule="auto"/>
              <w:jc w:val="center"/>
            </w:pPr>
            <w:r w:rsidRPr="00073FCE">
              <w:rPr>
                <w:rFonts w:cs="Arial"/>
                <w:color w:val="000000"/>
                <w:sz w:val="16"/>
                <w:szCs w:val="16"/>
              </w:rPr>
              <w:t>32,6</w:t>
            </w:r>
          </w:p>
        </w:tc>
        <w:tc>
          <w:tcPr>
            <w:tcW w:w="703" w:type="dxa"/>
            <w:vAlign w:val="center"/>
          </w:tcPr>
          <w:p w14:paraId="79E85D15" w14:textId="293CF0F5"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23,9</w:t>
            </w:r>
          </w:p>
        </w:tc>
      </w:tr>
      <w:tr w:rsidR="00073FCE" w:rsidRPr="00073FCE" w14:paraId="6D905481" w14:textId="6247F3A0" w:rsidTr="005E5900">
        <w:trPr>
          <w:trHeight w:val="300"/>
        </w:trPr>
        <w:tc>
          <w:tcPr>
            <w:tcW w:w="1871" w:type="dxa"/>
            <w:tcBorders>
              <w:top w:val="nil"/>
              <w:left w:val="nil"/>
              <w:bottom w:val="nil"/>
              <w:right w:val="single" w:sz="4" w:space="0" w:color="auto"/>
            </w:tcBorders>
            <w:shd w:val="clear" w:color="auto" w:fill="auto"/>
            <w:noWrap/>
            <w:vAlign w:val="center"/>
            <w:hideMark/>
          </w:tcPr>
          <w:p w14:paraId="61AA125C"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Středočeský kraj</w:t>
            </w:r>
          </w:p>
        </w:tc>
        <w:tc>
          <w:tcPr>
            <w:tcW w:w="709" w:type="dxa"/>
            <w:tcBorders>
              <w:top w:val="nil"/>
              <w:left w:val="nil"/>
              <w:bottom w:val="nil"/>
              <w:right w:val="nil"/>
            </w:tcBorders>
            <w:shd w:val="clear" w:color="auto" w:fill="auto"/>
            <w:noWrap/>
            <w:vAlign w:val="center"/>
            <w:hideMark/>
          </w:tcPr>
          <w:p w14:paraId="16F2D08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44,7</w:t>
            </w:r>
          </w:p>
        </w:tc>
        <w:tc>
          <w:tcPr>
            <w:tcW w:w="709" w:type="dxa"/>
            <w:tcBorders>
              <w:top w:val="nil"/>
              <w:left w:val="nil"/>
              <w:bottom w:val="nil"/>
              <w:right w:val="nil"/>
            </w:tcBorders>
            <w:shd w:val="clear" w:color="auto" w:fill="auto"/>
            <w:noWrap/>
            <w:vAlign w:val="center"/>
            <w:hideMark/>
          </w:tcPr>
          <w:p w14:paraId="7C3732A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42,2</w:t>
            </w:r>
          </w:p>
        </w:tc>
        <w:tc>
          <w:tcPr>
            <w:tcW w:w="709" w:type="dxa"/>
            <w:tcBorders>
              <w:top w:val="nil"/>
              <w:left w:val="nil"/>
              <w:bottom w:val="nil"/>
              <w:right w:val="nil"/>
            </w:tcBorders>
            <w:shd w:val="clear" w:color="auto" w:fill="auto"/>
            <w:noWrap/>
            <w:vAlign w:val="center"/>
            <w:hideMark/>
          </w:tcPr>
          <w:p w14:paraId="6C9ECF1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43,6</w:t>
            </w:r>
          </w:p>
        </w:tc>
        <w:tc>
          <w:tcPr>
            <w:tcW w:w="709" w:type="dxa"/>
            <w:tcBorders>
              <w:top w:val="nil"/>
              <w:left w:val="nil"/>
              <w:bottom w:val="nil"/>
              <w:right w:val="nil"/>
            </w:tcBorders>
            <w:shd w:val="clear" w:color="auto" w:fill="auto"/>
            <w:noWrap/>
            <w:vAlign w:val="center"/>
            <w:hideMark/>
          </w:tcPr>
          <w:p w14:paraId="237B759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40,8</w:t>
            </w:r>
          </w:p>
        </w:tc>
        <w:tc>
          <w:tcPr>
            <w:tcW w:w="709" w:type="dxa"/>
            <w:tcBorders>
              <w:top w:val="nil"/>
              <w:left w:val="nil"/>
              <w:bottom w:val="nil"/>
              <w:right w:val="nil"/>
            </w:tcBorders>
            <w:shd w:val="clear" w:color="auto" w:fill="auto"/>
            <w:noWrap/>
            <w:vAlign w:val="center"/>
            <w:hideMark/>
          </w:tcPr>
          <w:p w14:paraId="525B837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40,6</w:t>
            </w:r>
          </w:p>
        </w:tc>
        <w:tc>
          <w:tcPr>
            <w:tcW w:w="709" w:type="dxa"/>
            <w:tcBorders>
              <w:top w:val="nil"/>
              <w:left w:val="nil"/>
              <w:bottom w:val="nil"/>
              <w:right w:val="nil"/>
            </w:tcBorders>
            <w:shd w:val="clear" w:color="auto" w:fill="auto"/>
            <w:noWrap/>
            <w:vAlign w:val="center"/>
            <w:hideMark/>
          </w:tcPr>
          <w:p w14:paraId="1BCF4300"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40,4</w:t>
            </w:r>
          </w:p>
        </w:tc>
        <w:tc>
          <w:tcPr>
            <w:tcW w:w="709" w:type="dxa"/>
            <w:tcBorders>
              <w:top w:val="nil"/>
              <w:left w:val="nil"/>
              <w:bottom w:val="nil"/>
              <w:right w:val="nil"/>
            </w:tcBorders>
            <w:shd w:val="clear" w:color="auto" w:fill="auto"/>
            <w:noWrap/>
            <w:vAlign w:val="center"/>
            <w:hideMark/>
          </w:tcPr>
          <w:p w14:paraId="794A178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39,7</w:t>
            </w:r>
          </w:p>
        </w:tc>
        <w:tc>
          <w:tcPr>
            <w:tcW w:w="709" w:type="dxa"/>
            <w:tcBorders>
              <w:top w:val="nil"/>
              <w:left w:val="nil"/>
              <w:bottom w:val="nil"/>
              <w:right w:val="nil"/>
            </w:tcBorders>
            <w:shd w:val="clear" w:color="auto" w:fill="auto"/>
            <w:noWrap/>
            <w:vAlign w:val="center"/>
            <w:hideMark/>
          </w:tcPr>
          <w:p w14:paraId="2A74E57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40,4</w:t>
            </w:r>
          </w:p>
        </w:tc>
        <w:tc>
          <w:tcPr>
            <w:tcW w:w="709" w:type="dxa"/>
            <w:tcBorders>
              <w:top w:val="nil"/>
              <w:left w:val="nil"/>
              <w:bottom w:val="nil"/>
              <w:right w:val="nil"/>
            </w:tcBorders>
            <w:shd w:val="clear" w:color="auto" w:fill="auto"/>
            <w:noWrap/>
            <w:vAlign w:val="center"/>
            <w:hideMark/>
          </w:tcPr>
          <w:p w14:paraId="6194D1A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37,7</w:t>
            </w:r>
          </w:p>
        </w:tc>
        <w:tc>
          <w:tcPr>
            <w:tcW w:w="700" w:type="dxa"/>
            <w:vAlign w:val="center"/>
          </w:tcPr>
          <w:p w14:paraId="253B4344" w14:textId="489CB828" w:rsidR="00073FCE" w:rsidRPr="00073FCE" w:rsidRDefault="00073FCE" w:rsidP="00073FCE">
            <w:pPr>
              <w:spacing w:after="0" w:line="240" w:lineRule="auto"/>
              <w:jc w:val="center"/>
            </w:pPr>
            <w:r w:rsidRPr="00073FCE">
              <w:rPr>
                <w:rFonts w:cs="Arial"/>
                <w:color w:val="000000"/>
                <w:sz w:val="16"/>
                <w:szCs w:val="16"/>
              </w:rPr>
              <w:t>32,5</w:t>
            </w:r>
          </w:p>
        </w:tc>
        <w:tc>
          <w:tcPr>
            <w:tcW w:w="703" w:type="dxa"/>
            <w:vAlign w:val="center"/>
          </w:tcPr>
          <w:p w14:paraId="7D5A2AD8" w14:textId="50072649"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24,7</w:t>
            </w:r>
          </w:p>
        </w:tc>
      </w:tr>
      <w:tr w:rsidR="00073FCE" w:rsidRPr="00073FCE" w14:paraId="0560DBD9" w14:textId="072AABFD" w:rsidTr="005E5900">
        <w:trPr>
          <w:trHeight w:val="300"/>
        </w:trPr>
        <w:tc>
          <w:tcPr>
            <w:tcW w:w="1871" w:type="dxa"/>
            <w:tcBorders>
              <w:top w:val="nil"/>
              <w:left w:val="nil"/>
              <w:bottom w:val="nil"/>
              <w:right w:val="single" w:sz="4" w:space="0" w:color="auto"/>
            </w:tcBorders>
            <w:shd w:val="clear" w:color="auto" w:fill="auto"/>
            <w:noWrap/>
            <w:vAlign w:val="center"/>
            <w:hideMark/>
          </w:tcPr>
          <w:p w14:paraId="5506B9AB"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Jihočeský kraj</w:t>
            </w:r>
          </w:p>
        </w:tc>
        <w:tc>
          <w:tcPr>
            <w:tcW w:w="709" w:type="dxa"/>
            <w:tcBorders>
              <w:top w:val="nil"/>
              <w:left w:val="nil"/>
              <w:bottom w:val="nil"/>
              <w:right w:val="nil"/>
            </w:tcBorders>
            <w:shd w:val="clear" w:color="auto" w:fill="auto"/>
            <w:noWrap/>
            <w:vAlign w:val="center"/>
            <w:hideMark/>
          </w:tcPr>
          <w:p w14:paraId="71E6380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49,7</w:t>
            </w:r>
          </w:p>
        </w:tc>
        <w:tc>
          <w:tcPr>
            <w:tcW w:w="709" w:type="dxa"/>
            <w:tcBorders>
              <w:top w:val="nil"/>
              <w:left w:val="nil"/>
              <w:bottom w:val="nil"/>
              <w:right w:val="nil"/>
            </w:tcBorders>
            <w:shd w:val="clear" w:color="auto" w:fill="auto"/>
            <w:noWrap/>
            <w:vAlign w:val="center"/>
            <w:hideMark/>
          </w:tcPr>
          <w:p w14:paraId="28007C20"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46,4</w:t>
            </w:r>
          </w:p>
        </w:tc>
        <w:tc>
          <w:tcPr>
            <w:tcW w:w="709" w:type="dxa"/>
            <w:tcBorders>
              <w:top w:val="nil"/>
              <w:left w:val="nil"/>
              <w:bottom w:val="nil"/>
              <w:right w:val="nil"/>
            </w:tcBorders>
            <w:shd w:val="clear" w:color="auto" w:fill="auto"/>
            <w:noWrap/>
            <w:vAlign w:val="center"/>
            <w:hideMark/>
          </w:tcPr>
          <w:p w14:paraId="35A69CC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48,7</w:t>
            </w:r>
          </w:p>
        </w:tc>
        <w:tc>
          <w:tcPr>
            <w:tcW w:w="709" w:type="dxa"/>
            <w:tcBorders>
              <w:top w:val="nil"/>
              <w:left w:val="nil"/>
              <w:bottom w:val="nil"/>
              <w:right w:val="nil"/>
            </w:tcBorders>
            <w:shd w:val="clear" w:color="auto" w:fill="auto"/>
            <w:noWrap/>
            <w:vAlign w:val="center"/>
            <w:hideMark/>
          </w:tcPr>
          <w:p w14:paraId="53D9979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44,3</w:t>
            </w:r>
          </w:p>
        </w:tc>
        <w:tc>
          <w:tcPr>
            <w:tcW w:w="709" w:type="dxa"/>
            <w:tcBorders>
              <w:top w:val="nil"/>
              <w:left w:val="nil"/>
              <w:bottom w:val="nil"/>
              <w:right w:val="nil"/>
            </w:tcBorders>
            <w:shd w:val="clear" w:color="auto" w:fill="auto"/>
            <w:noWrap/>
            <w:vAlign w:val="center"/>
            <w:hideMark/>
          </w:tcPr>
          <w:p w14:paraId="5D99947C"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45,5</w:t>
            </w:r>
          </w:p>
        </w:tc>
        <w:tc>
          <w:tcPr>
            <w:tcW w:w="709" w:type="dxa"/>
            <w:tcBorders>
              <w:top w:val="nil"/>
              <w:left w:val="nil"/>
              <w:bottom w:val="nil"/>
              <w:right w:val="nil"/>
            </w:tcBorders>
            <w:shd w:val="clear" w:color="auto" w:fill="auto"/>
            <w:noWrap/>
            <w:vAlign w:val="center"/>
            <w:hideMark/>
          </w:tcPr>
          <w:p w14:paraId="67E232F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45,2</w:t>
            </w:r>
          </w:p>
        </w:tc>
        <w:tc>
          <w:tcPr>
            <w:tcW w:w="709" w:type="dxa"/>
            <w:tcBorders>
              <w:top w:val="nil"/>
              <w:left w:val="nil"/>
              <w:bottom w:val="nil"/>
              <w:right w:val="nil"/>
            </w:tcBorders>
            <w:shd w:val="clear" w:color="auto" w:fill="auto"/>
            <w:noWrap/>
            <w:vAlign w:val="center"/>
            <w:hideMark/>
          </w:tcPr>
          <w:p w14:paraId="6BC9E001"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43,7</w:t>
            </w:r>
          </w:p>
        </w:tc>
        <w:tc>
          <w:tcPr>
            <w:tcW w:w="709" w:type="dxa"/>
            <w:tcBorders>
              <w:top w:val="nil"/>
              <w:left w:val="nil"/>
              <w:bottom w:val="nil"/>
              <w:right w:val="nil"/>
            </w:tcBorders>
            <w:shd w:val="clear" w:color="auto" w:fill="auto"/>
            <w:noWrap/>
            <w:vAlign w:val="center"/>
            <w:hideMark/>
          </w:tcPr>
          <w:p w14:paraId="3AA381FF"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44,4</w:t>
            </w:r>
          </w:p>
        </w:tc>
        <w:tc>
          <w:tcPr>
            <w:tcW w:w="709" w:type="dxa"/>
            <w:tcBorders>
              <w:top w:val="nil"/>
              <w:left w:val="nil"/>
              <w:bottom w:val="nil"/>
              <w:right w:val="nil"/>
            </w:tcBorders>
            <w:shd w:val="clear" w:color="auto" w:fill="auto"/>
            <w:noWrap/>
            <w:vAlign w:val="center"/>
            <w:hideMark/>
          </w:tcPr>
          <w:p w14:paraId="2DBEE26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40,6</w:t>
            </w:r>
          </w:p>
        </w:tc>
        <w:tc>
          <w:tcPr>
            <w:tcW w:w="700" w:type="dxa"/>
            <w:vAlign w:val="center"/>
          </w:tcPr>
          <w:p w14:paraId="0EFFC623" w14:textId="77777777" w:rsidR="00073FCE" w:rsidRPr="00073FCE" w:rsidRDefault="00073FCE" w:rsidP="00073FCE">
            <w:pPr>
              <w:spacing w:after="0" w:line="240" w:lineRule="auto"/>
              <w:jc w:val="center"/>
            </w:pPr>
            <w:r w:rsidRPr="00073FCE">
              <w:rPr>
                <w:rFonts w:cs="Arial"/>
                <w:color w:val="000000"/>
                <w:sz w:val="16"/>
                <w:szCs w:val="16"/>
              </w:rPr>
              <w:t>34,9</w:t>
            </w:r>
          </w:p>
        </w:tc>
        <w:tc>
          <w:tcPr>
            <w:tcW w:w="703" w:type="dxa"/>
            <w:vAlign w:val="center"/>
          </w:tcPr>
          <w:p w14:paraId="0B14C4C8" w14:textId="53B87AB8"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27,2</w:t>
            </w:r>
          </w:p>
        </w:tc>
      </w:tr>
      <w:tr w:rsidR="00073FCE" w:rsidRPr="00073FCE" w14:paraId="11B2F49D" w14:textId="36CDE527" w:rsidTr="005E5900">
        <w:trPr>
          <w:trHeight w:val="300"/>
        </w:trPr>
        <w:tc>
          <w:tcPr>
            <w:tcW w:w="1871" w:type="dxa"/>
            <w:tcBorders>
              <w:top w:val="nil"/>
              <w:left w:val="nil"/>
              <w:bottom w:val="nil"/>
              <w:right w:val="single" w:sz="4" w:space="0" w:color="auto"/>
            </w:tcBorders>
            <w:shd w:val="clear" w:color="auto" w:fill="auto"/>
            <w:noWrap/>
            <w:vAlign w:val="center"/>
            <w:hideMark/>
          </w:tcPr>
          <w:p w14:paraId="6FDED0F9"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Plzeňský kraj</w:t>
            </w:r>
          </w:p>
        </w:tc>
        <w:tc>
          <w:tcPr>
            <w:tcW w:w="709" w:type="dxa"/>
            <w:tcBorders>
              <w:top w:val="nil"/>
              <w:left w:val="nil"/>
              <w:bottom w:val="nil"/>
              <w:right w:val="nil"/>
            </w:tcBorders>
            <w:shd w:val="clear" w:color="auto" w:fill="auto"/>
            <w:noWrap/>
            <w:vAlign w:val="center"/>
            <w:hideMark/>
          </w:tcPr>
          <w:p w14:paraId="7550B8D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41,6</w:t>
            </w:r>
          </w:p>
        </w:tc>
        <w:tc>
          <w:tcPr>
            <w:tcW w:w="709" w:type="dxa"/>
            <w:tcBorders>
              <w:top w:val="nil"/>
              <w:left w:val="nil"/>
              <w:bottom w:val="nil"/>
              <w:right w:val="nil"/>
            </w:tcBorders>
            <w:shd w:val="clear" w:color="auto" w:fill="auto"/>
            <w:noWrap/>
            <w:vAlign w:val="center"/>
            <w:hideMark/>
          </w:tcPr>
          <w:p w14:paraId="34D1222C"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41,6</w:t>
            </w:r>
          </w:p>
        </w:tc>
        <w:tc>
          <w:tcPr>
            <w:tcW w:w="709" w:type="dxa"/>
            <w:tcBorders>
              <w:top w:val="nil"/>
              <w:left w:val="nil"/>
              <w:bottom w:val="nil"/>
              <w:right w:val="nil"/>
            </w:tcBorders>
            <w:shd w:val="clear" w:color="auto" w:fill="auto"/>
            <w:noWrap/>
            <w:vAlign w:val="center"/>
            <w:hideMark/>
          </w:tcPr>
          <w:p w14:paraId="5618BFD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42,3</w:t>
            </w:r>
          </w:p>
        </w:tc>
        <w:tc>
          <w:tcPr>
            <w:tcW w:w="709" w:type="dxa"/>
            <w:tcBorders>
              <w:top w:val="nil"/>
              <w:left w:val="nil"/>
              <w:bottom w:val="nil"/>
              <w:right w:val="nil"/>
            </w:tcBorders>
            <w:shd w:val="clear" w:color="auto" w:fill="auto"/>
            <w:noWrap/>
            <w:vAlign w:val="center"/>
            <w:hideMark/>
          </w:tcPr>
          <w:p w14:paraId="0E84440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39,2</w:t>
            </w:r>
          </w:p>
        </w:tc>
        <w:tc>
          <w:tcPr>
            <w:tcW w:w="709" w:type="dxa"/>
            <w:tcBorders>
              <w:top w:val="nil"/>
              <w:left w:val="nil"/>
              <w:bottom w:val="nil"/>
              <w:right w:val="nil"/>
            </w:tcBorders>
            <w:shd w:val="clear" w:color="auto" w:fill="auto"/>
            <w:noWrap/>
            <w:vAlign w:val="center"/>
            <w:hideMark/>
          </w:tcPr>
          <w:p w14:paraId="03322E0A"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40,2</w:t>
            </w:r>
          </w:p>
        </w:tc>
        <w:tc>
          <w:tcPr>
            <w:tcW w:w="709" w:type="dxa"/>
            <w:tcBorders>
              <w:top w:val="nil"/>
              <w:left w:val="nil"/>
              <w:bottom w:val="nil"/>
              <w:right w:val="nil"/>
            </w:tcBorders>
            <w:shd w:val="clear" w:color="auto" w:fill="auto"/>
            <w:noWrap/>
            <w:vAlign w:val="center"/>
            <w:hideMark/>
          </w:tcPr>
          <w:p w14:paraId="371CEE4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39,1</w:t>
            </w:r>
          </w:p>
        </w:tc>
        <w:tc>
          <w:tcPr>
            <w:tcW w:w="709" w:type="dxa"/>
            <w:tcBorders>
              <w:top w:val="nil"/>
              <w:left w:val="nil"/>
              <w:bottom w:val="nil"/>
              <w:right w:val="nil"/>
            </w:tcBorders>
            <w:shd w:val="clear" w:color="auto" w:fill="auto"/>
            <w:noWrap/>
            <w:vAlign w:val="center"/>
            <w:hideMark/>
          </w:tcPr>
          <w:p w14:paraId="6BEDFFEC"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38,4</w:t>
            </w:r>
          </w:p>
        </w:tc>
        <w:tc>
          <w:tcPr>
            <w:tcW w:w="709" w:type="dxa"/>
            <w:tcBorders>
              <w:top w:val="nil"/>
              <w:left w:val="nil"/>
              <w:bottom w:val="nil"/>
              <w:right w:val="nil"/>
            </w:tcBorders>
            <w:shd w:val="clear" w:color="auto" w:fill="auto"/>
            <w:noWrap/>
            <w:vAlign w:val="center"/>
            <w:hideMark/>
          </w:tcPr>
          <w:p w14:paraId="247FE15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39,6</w:t>
            </w:r>
          </w:p>
        </w:tc>
        <w:tc>
          <w:tcPr>
            <w:tcW w:w="709" w:type="dxa"/>
            <w:tcBorders>
              <w:top w:val="nil"/>
              <w:left w:val="nil"/>
              <w:bottom w:val="nil"/>
              <w:right w:val="nil"/>
            </w:tcBorders>
            <w:shd w:val="clear" w:color="auto" w:fill="auto"/>
            <w:noWrap/>
            <w:vAlign w:val="center"/>
            <w:hideMark/>
          </w:tcPr>
          <w:p w14:paraId="58F3BF8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38,3</w:t>
            </w:r>
          </w:p>
        </w:tc>
        <w:tc>
          <w:tcPr>
            <w:tcW w:w="700" w:type="dxa"/>
            <w:vAlign w:val="center"/>
          </w:tcPr>
          <w:p w14:paraId="1A06CB53" w14:textId="77777777" w:rsidR="00073FCE" w:rsidRPr="00073FCE" w:rsidRDefault="00073FCE" w:rsidP="00073FCE">
            <w:pPr>
              <w:spacing w:after="0" w:line="240" w:lineRule="auto"/>
              <w:jc w:val="center"/>
            </w:pPr>
            <w:r w:rsidRPr="00073FCE">
              <w:rPr>
                <w:rFonts w:cs="Arial"/>
                <w:color w:val="000000"/>
                <w:sz w:val="16"/>
                <w:szCs w:val="16"/>
              </w:rPr>
              <w:t>33,0</w:t>
            </w:r>
          </w:p>
        </w:tc>
        <w:tc>
          <w:tcPr>
            <w:tcW w:w="703" w:type="dxa"/>
            <w:vAlign w:val="center"/>
          </w:tcPr>
          <w:p w14:paraId="13DCE15D" w14:textId="6AD43648"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25,1</w:t>
            </w:r>
          </w:p>
        </w:tc>
      </w:tr>
      <w:tr w:rsidR="00073FCE" w:rsidRPr="00073FCE" w14:paraId="2C3ECA3C" w14:textId="1BBE583F" w:rsidTr="005E5900">
        <w:trPr>
          <w:trHeight w:val="300"/>
        </w:trPr>
        <w:tc>
          <w:tcPr>
            <w:tcW w:w="1871" w:type="dxa"/>
            <w:tcBorders>
              <w:top w:val="nil"/>
              <w:left w:val="nil"/>
              <w:bottom w:val="nil"/>
              <w:right w:val="single" w:sz="4" w:space="0" w:color="auto"/>
            </w:tcBorders>
            <w:shd w:val="clear" w:color="auto" w:fill="auto"/>
            <w:noWrap/>
            <w:vAlign w:val="center"/>
            <w:hideMark/>
          </w:tcPr>
          <w:p w14:paraId="195EED20"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Karlovarský kraj</w:t>
            </w:r>
          </w:p>
        </w:tc>
        <w:tc>
          <w:tcPr>
            <w:tcW w:w="709" w:type="dxa"/>
            <w:tcBorders>
              <w:top w:val="nil"/>
              <w:left w:val="nil"/>
              <w:bottom w:val="nil"/>
              <w:right w:val="nil"/>
            </w:tcBorders>
            <w:shd w:val="clear" w:color="auto" w:fill="auto"/>
            <w:noWrap/>
            <w:vAlign w:val="center"/>
            <w:hideMark/>
          </w:tcPr>
          <w:p w14:paraId="5DF7A16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40,8</w:t>
            </w:r>
          </w:p>
        </w:tc>
        <w:tc>
          <w:tcPr>
            <w:tcW w:w="709" w:type="dxa"/>
            <w:tcBorders>
              <w:top w:val="nil"/>
              <w:left w:val="nil"/>
              <w:bottom w:val="nil"/>
              <w:right w:val="nil"/>
            </w:tcBorders>
            <w:shd w:val="clear" w:color="auto" w:fill="auto"/>
            <w:noWrap/>
            <w:vAlign w:val="center"/>
            <w:hideMark/>
          </w:tcPr>
          <w:p w14:paraId="7FF803B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41,4</w:t>
            </w:r>
          </w:p>
        </w:tc>
        <w:tc>
          <w:tcPr>
            <w:tcW w:w="709" w:type="dxa"/>
            <w:tcBorders>
              <w:top w:val="nil"/>
              <w:left w:val="nil"/>
              <w:bottom w:val="nil"/>
              <w:right w:val="nil"/>
            </w:tcBorders>
            <w:shd w:val="clear" w:color="auto" w:fill="auto"/>
            <w:noWrap/>
            <w:vAlign w:val="center"/>
            <w:hideMark/>
          </w:tcPr>
          <w:p w14:paraId="68B2B99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42,0</w:t>
            </w:r>
          </w:p>
        </w:tc>
        <w:tc>
          <w:tcPr>
            <w:tcW w:w="709" w:type="dxa"/>
            <w:tcBorders>
              <w:top w:val="nil"/>
              <w:left w:val="nil"/>
              <w:bottom w:val="nil"/>
              <w:right w:val="nil"/>
            </w:tcBorders>
            <w:shd w:val="clear" w:color="auto" w:fill="auto"/>
            <w:noWrap/>
            <w:vAlign w:val="center"/>
            <w:hideMark/>
          </w:tcPr>
          <w:p w14:paraId="2B871F30"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38,8</w:t>
            </w:r>
          </w:p>
        </w:tc>
        <w:tc>
          <w:tcPr>
            <w:tcW w:w="709" w:type="dxa"/>
            <w:tcBorders>
              <w:top w:val="nil"/>
              <w:left w:val="nil"/>
              <w:bottom w:val="nil"/>
              <w:right w:val="nil"/>
            </w:tcBorders>
            <w:shd w:val="clear" w:color="auto" w:fill="auto"/>
            <w:noWrap/>
            <w:vAlign w:val="center"/>
            <w:hideMark/>
          </w:tcPr>
          <w:p w14:paraId="79C450E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40,0</w:t>
            </w:r>
          </w:p>
        </w:tc>
        <w:tc>
          <w:tcPr>
            <w:tcW w:w="709" w:type="dxa"/>
            <w:tcBorders>
              <w:top w:val="nil"/>
              <w:left w:val="nil"/>
              <w:bottom w:val="nil"/>
              <w:right w:val="nil"/>
            </w:tcBorders>
            <w:shd w:val="clear" w:color="auto" w:fill="auto"/>
            <w:noWrap/>
            <w:vAlign w:val="center"/>
            <w:hideMark/>
          </w:tcPr>
          <w:p w14:paraId="7B6066EF"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39,6</w:t>
            </w:r>
          </w:p>
        </w:tc>
        <w:tc>
          <w:tcPr>
            <w:tcW w:w="709" w:type="dxa"/>
            <w:tcBorders>
              <w:top w:val="nil"/>
              <w:left w:val="nil"/>
              <w:bottom w:val="nil"/>
              <w:right w:val="nil"/>
            </w:tcBorders>
            <w:shd w:val="clear" w:color="auto" w:fill="auto"/>
            <w:noWrap/>
            <w:vAlign w:val="center"/>
            <w:hideMark/>
          </w:tcPr>
          <w:p w14:paraId="3C59E7D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39,3</w:t>
            </w:r>
          </w:p>
        </w:tc>
        <w:tc>
          <w:tcPr>
            <w:tcW w:w="709" w:type="dxa"/>
            <w:tcBorders>
              <w:top w:val="nil"/>
              <w:left w:val="nil"/>
              <w:bottom w:val="nil"/>
              <w:right w:val="nil"/>
            </w:tcBorders>
            <w:shd w:val="clear" w:color="auto" w:fill="auto"/>
            <w:noWrap/>
            <w:vAlign w:val="center"/>
            <w:hideMark/>
          </w:tcPr>
          <w:p w14:paraId="6021120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40,3</w:t>
            </w:r>
          </w:p>
        </w:tc>
        <w:tc>
          <w:tcPr>
            <w:tcW w:w="709" w:type="dxa"/>
            <w:tcBorders>
              <w:top w:val="nil"/>
              <w:left w:val="nil"/>
              <w:bottom w:val="nil"/>
              <w:right w:val="nil"/>
            </w:tcBorders>
            <w:shd w:val="clear" w:color="auto" w:fill="auto"/>
            <w:noWrap/>
            <w:vAlign w:val="center"/>
            <w:hideMark/>
          </w:tcPr>
          <w:p w14:paraId="6FBD835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40,9</w:t>
            </w:r>
          </w:p>
        </w:tc>
        <w:tc>
          <w:tcPr>
            <w:tcW w:w="700" w:type="dxa"/>
            <w:vAlign w:val="center"/>
          </w:tcPr>
          <w:p w14:paraId="5464708E" w14:textId="28AFF543" w:rsidR="00073FCE" w:rsidRPr="00073FCE" w:rsidRDefault="00073FCE" w:rsidP="00073FCE">
            <w:pPr>
              <w:spacing w:after="0" w:line="240" w:lineRule="auto"/>
              <w:jc w:val="center"/>
            </w:pPr>
            <w:r w:rsidRPr="00073FCE">
              <w:rPr>
                <w:rFonts w:cs="Arial"/>
                <w:color w:val="000000"/>
                <w:sz w:val="16"/>
                <w:szCs w:val="16"/>
              </w:rPr>
              <w:t>35,1</w:t>
            </w:r>
          </w:p>
        </w:tc>
        <w:tc>
          <w:tcPr>
            <w:tcW w:w="703" w:type="dxa"/>
            <w:vAlign w:val="center"/>
          </w:tcPr>
          <w:p w14:paraId="704C29D9" w14:textId="268494E5"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26,8</w:t>
            </w:r>
          </w:p>
        </w:tc>
      </w:tr>
      <w:tr w:rsidR="00073FCE" w:rsidRPr="00073FCE" w14:paraId="08C03D66" w14:textId="34EE562E" w:rsidTr="005E5900">
        <w:trPr>
          <w:trHeight w:val="300"/>
        </w:trPr>
        <w:tc>
          <w:tcPr>
            <w:tcW w:w="1871" w:type="dxa"/>
            <w:tcBorders>
              <w:top w:val="nil"/>
              <w:left w:val="nil"/>
              <w:bottom w:val="nil"/>
              <w:right w:val="single" w:sz="4" w:space="0" w:color="auto"/>
            </w:tcBorders>
            <w:shd w:val="clear" w:color="auto" w:fill="auto"/>
            <w:noWrap/>
            <w:vAlign w:val="center"/>
            <w:hideMark/>
          </w:tcPr>
          <w:p w14:paraId="7FE120AE"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Ústecký kraj</w:t>
            </w:r>
          </w:p>
        </w:tc>
        <w:tc>
          <w:tcPr>
            <w:tcW w:w="709" w:type="dxa"/>
            <w:tcBorders>
              <w:top w:val="nil"/>
              <w:left w:val="nil"/>
              <w:bottom w:val="nil"/>
              <w:right w:val="nil"/>
            </w:tcBorders>
            <w:shd w:val="clear" w:color="auto" w:fill="auto"/>
            <w:noWrap/>
            <w:vAlign w:val="center"/>
            <w:hideMark/>
          </w:tcPr>
          <w:p w14:paraId="433D675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48,3</w:t>
            </w:r>
          </w:p>
        </w:tc>
        <w:tc>
          <w:tcPr>
            <w:tcW w:w="709" w:type="dxa"/>
            <w:tcBorders>
              <w:top w:val="nil"/>
              <w:left w:val="nil"/>
              <w:bottom w:val="nil"/>
              <w:right w:val="nil"/>
            </w:tcBorders>
            <w:shd w:val="clear" w:color="auto" w:fill="auto"/>
            <w:noWrap/>
            <w:vAlign w:val="center"/>
            <w:hideMark/>
          </w:tcPr>
          <w:p w14:paraId="25B2403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46,7</w:t>
            </w:r>
          </w:p>
        </w:tc>
        <w:tc>
          <w:tcPr>
            <w:tcW w:w="709" w:type="dxa"/>
            <w:tcBorders>
              <w:top w:val="nil"/>
              <w:left w:val="nil"/>
              <w:bottom w:val="nil"/>
              <w:right w:val="nil"/>
            </w:tcBorders>
            <w:shd w:val="clear" w:color="auto" w:fill="auto"/>
            <w:noWrap/>
            <w:vAlign w:val="center"/>
            <w:hideMark/>
          </w:tcPr>
          <w:p w14:paraId="425615A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47,5</w:t>
            </w:r>
          </w:p>
        </w:tc>
        <w:tc>
          <w:tcPr>
            <w:tcW w:w="709" w:type="dxa"/>
            <w:tcBorders>
              <w:top w:val="nil"/>
              <w:left w:val="nil"/>
              <w:bottom w:val="nil"/>
              <w:right w:val="nil"/>
            </w:tcBorders>
            <w:shd w:val="clear" w:color="auto" w:fill="auto"/>
            <w:noWrap/>
            <w:vAlign w:val="center"/>
            <w:hideMark/>
          </w:tcPr>
          <w:p w14:paraId="7B89B72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43,8</w:t>
            </w:r>
          </w:p>
        </w:tc>
        <w:tc>
          <w:tcPr>
            <w:tcW w:w="709" w:type="dxa"/>
            <w:tcBorders>
              <w:top w:val="nil"/>
              <w:left w:val="nil"/>
              <w:bottom w:val="nil"/>
              <w:right w:val="nil"/>
            </w:tcBorders>
            <w:shd w:val="clear" w:color="auto" w:fill="auto"/>
            <w:noWrap/>
            <w:vAlign w:val="center"/>
            <w:hideMark/>
          </w:tcPr>
          <w:p w14:paraId="6D444D4C"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43,0</w:t>
            </w:r>
          </w:p>
        </w:tc>
        <w:tc>
          <w:tcPr>
            <w:tcW w:w="709" w:type="dxa"/>
            <w:tcBorders>
              <w:top w:val="nil"/>
              <w:left w:val="nil"/>
              <w:bottom w:val="nil"/>
              <w:right w:val="nil"/>
            </w:tcBorders>
            <w:shd w:val="clear" w:color="auto" w:fill="auto"/>
            <w:noWrap/>
            <w:vAlign w:val="center"/>
            <w:hideMark/>
          </w:tcPr>
          <w:p w14:paraId="70565FC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42,5</w:t>
            </w:r>
          </w:p>
        </w:tc>
        <w:tc>
          <w:tcPr>
            <w:tcW w:w="709" w:type="dxa"/>
            <w:tcBorders>
              <w:top w:val="nil"/>
              <w:left w:val="nil"/>
              <w:bottom w:val="nil"/>
              <w:right w:val="nil"/>
            </w:tcBorders>
            <w:shd w:val="clear" w:color="auto" w:fill="auto"/>
            <w:noWrap/>
            <w:vAlign w:val="center"/>
            <w:hideMark/>
          </w:tcPr>
          <w:p w14:paraId="3CA6642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42,0</w:t>
            </w:r>
          </w:p>
        </w:tc>
        <w:tc>
          <w:tcPr>
            <w:tcW w:w="709" w:type="dxa"/>
            <w:tcBorders>
              <w:top w:val="nil"/>
              <w:left w:val="nil"/>
              <w:bottom w:val="nil"/>
              <w:right w:val="nil"/>
            </w:tcBorders>
            <w:shd w:val="clear" w:color="auto" w:fill="auto"/>
            <w:noWrap/>
            <w:vAlign w:val="center"/>
            <w:hideMark/>
          </w:tcPr>
          <w:p w14:paraId="565C67C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42,0</w:t>
            </w:r>
          </w:p>
        </w:tc>
        <w:tc>
          <w:tcPr>
            <w:tcW w:w="709" w:type="dxa"/>
            <w:tcBorders>
              <w:top w:val="nil"/>
              <w:left w:val="nil"/>
              <w:bottom w:val="nil"/>
              <w:right w:val="nil"/>
            </w:tcBorders>
            <w:shd w:val="clear" w:color="auto" w:fill="auto"/>
            <w:noWrap/>
            <w:vAlign w:val="center"/>
            <w:hideMark/>
          </w:tcPr>
          <w:p w14:paraId="32055D8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38,8</w:t>
            </w:r>
          </w:p>
        </w:tc>
        <w:tc>
          <w:tcPr>
            <w:tcW w:w="700" w:type="dxa"/>
            <w:vAlign w:val="center"/>
          </w:tcPr>
          <w:p w14:paraId="12E2255E" w14:textId="1F66DD68" w:rsidR="00073FCE" w:rsidRPr="00073FCE" w:rsidRDefault="00073FCE" w:rsidP="00073FCE">
            <w:pPr>
              <w:spacing w:after="0" w:line="240" w:lineRule="auto"/>
              <w:jc w:val="center"/>
            </w:pPr>
            <w:r w:rsidRPr="00073FCE">
              <w:rPr>
                <w:rFonts w:cs="Arial"/>
                <w:color w:val="000000"/>
                <w:sz w:val="16"/>
                <w:szCs w:val="16"/>
              </w:rPr>
              <w:t>33,9</w:t>
            </w:r>
          </w:p>
        </w:tc>
        <w:tc>
          <w:tcPr>
            <w:tcW w:w="703" w:type="dxa"/>
            <w:vAlign w:val="center"/>
          </w:tcPr>
          <w:p w14:paraId="366CEF5D" w14:textId="7773CC88"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26,1</w:t>
            </w:r>
          </w:p>
        </w:tc>
      </w:tr>
      <w:tr w:rsidR="00073FCE" w:rsidRPr="00073FCE" w14:paraId="1388E073" w14:textId="0C2795A9" w:rsidTr="005E5900">
        <w:trPr>
          <w:trHeight w:val="300"/>
        </w:trPr>
        <w:tc>
          <w:tcPr>
            <w:tcW w:w="1871" w:type="dxa"/>
            <w:tcBorders>
              <w:top w:val="nil"/>
              <w:left w:val="nil"/>
              <w:bottom w:val="nil"/>
              <w:right w:val="single" w:sz="4" w:space="0" w:color="auto"/>
            </w:tcBorders>
            <w:shd w:val="clear" w:color="auto" w:fill="auto"/>
            <w:noWrap/>
            <w:vAlign w:val="center"/>
            <w:hideMark/>
          </w:tcPr>
          <w:p w14:paraId="52003903"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Liberecký kraj</w:t>
            </w:r>
          </w:p>
        </w:tc>
        <w:tc>
          <w:tcPr>
            <w:tcW w:w="709" w:type="dxa"/>
            <w:tcBorders>
              <w:top w:val="nil"/>
              <w:left w:val="nil"/>
              <w:bottom w:val="nil"/>
              <w:right w:val="nil"/>
            </w:tcBorders>
            <w:shd w:val="clear" w:color="auto" w:fill="auto"/>
            <w:noWrap/>
            <w:vAlign w:val="center"/>
            <w:hideMark/>
          </w:tcPr>
          <w:p w14:paraId="7BA2F83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44,6</w:t>
            </w:r>
          </w:p>
        </w:tc>
        <w:tc>
          <w:tcPr>
            <w:tcW w:w="709" w:type="dxa"/>
            <w:tcBorders>
              <w:top w:val="nil"/>
              <w:left w:val="nil"/>
              <w:bottom w:val="nil"/>
              <w:right w:val="nil"/>
            </w:tcBorders>
            <w:shd w:val="clear" w:color="auto" w:fill="auto"/>
            <w:noWrap/>
            <w:vAlign w:val="center"/>
            <w:hideMark/>
          </w:tcPr>
          <w:p w14:paraId="3619AC0D"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42,5</w:t>
            </w:r>
          </w:p>
        </w:tc>
        <w:tc>
          <w:tcPr>
            <w:tcW w:w="709" w:type="dxa"/>
            <w:tcBorders>
              <w:top w:val="nil"/>
              <w:left w:val="nil"/>
              <w:bottom w:val="nil"/>
              <w:right w:val="nil"/>
            </w:tcBorders>
            <w:shd w:val="clear" w:color="auto" w:fill="auto"/>
            <w:noWrap/>
            <w:vAlign w:val="center"/>
            <w:hideMark/>
          </w:tcPr>
          <w:p w14:paraId="11EA469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42,8</w:t>
            </w:r>
          </w:p>
        </w:tc>
        <w:tc>
          <w:tcPr>
            <w:tcW w:w="709" w:type="dxa"/>
            <w:tcBorders>
              <w:top w:val="nil"/>
              <w:left w:val="nil"/>
              <w:bottom w:val="nil"/>
              <w:right w:val="nil"/>
            </w:tcBorders>
            <w:shd w:val="clear" w:color="auto" w:fill="auto"/>
            <w:noWrap/>
            <w:vAlign w:val="center"/>
            <w:hideMark/>
          </w:tcPr>
          <w:p w14:paraId="63A3D15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40,2</w:t>
            </w:r>
          </w:p>
        </w:tc>
        <w:tc>
          <w:tcPr>
            <w:tcW w:w="709" w:type="dxa"/>
            <w:tcBorders>
              <w:top w:val="nil"/>
              <w:left w:val="nil"/>
              <w:bottom w:val="nil"/>
              <w:right w:val="nil"/>
            </w:tcBorders>
            <w:shd w:val="clear" w:color="auto" w:fill="auto"/>
            <w:noWrap/>
            <w:vAlign w:val="center"/>
            <w:hideMark/>
          </w:tcPr>
          <w:p w14:paraId="1EA314C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39,9</w:t>
            </w:r>
          </w:p>
        </w:tc>
        <w:tc>
          <w:tcPr>
            <w:tcW w:w="709" w:type="dxa"/>
            <w:tcBorders>
              <w:top w:val="nil"/>
              <w:left w:val="nil"/>
              <w:bottom w:val="nil"/>
              <w:right w:val="nil"/>
            </w:tcBorders>
            <w:shd w:val="clear" w:color="auto" w:fill="auto"/>
            <w:noWrap/>
            <w:vAlign w:val="center"/>
            <w:hideMark/>
          </w:tcPr>
          <w:p w14:paraId="7161012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39,0</w:t>
            </w:r>
          </w:p>
        </w:tc>
        <w:tc>
          <w:tcPr>
            <w:tcW w:w="709" w:type="dxa"/>
            <w:tcBorders>
              <w:top w:val="nil"/>
              <w:left w:val="nil"/>
              <w:bottom w:val="nil"/>
              <w:right w:val="nil"/>
            </w:tcBorders>
            <w:shd w:val="clear" w:color="auto" w:fill="auto"/>
            <w:noWrap/>
            <w:vAlign w:val="center"/>
            <w:hideMark/>
          </w:tcPr>
          <w:p w14:paraId="31759CA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37,7</w:t>
            </w:r>
          </w:p>
        </w:tc>
        <w:tc>
          <w:tcPr>
            <w:tcW w:w="709" w:type="dxa"/>
            <w:tcBorders>
              <w:top w:val="nil"/>
              <w:left w:val="nil"/>
              <w:bottom w:val="nil"/>
              <w:right w:val="nil"/>
            </w:tcBorders>
            <w:shd w:val="clear" w:color="auto" w:fill="auto"/>
            <w:noWrap/>
            <w:vAlign w:val="center"/>
            <w:hideMark/>
          </w:tcPr>
          <w:p w14:paraId="080816D4"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38,8</w:t>
            </w:r>
          </w:p>
        </w:tc>
        <w:tc>
          <w:tcPr>
            <w:tcW w:w="709" w:type="dxa"/>
            <w:tcBorders>
              <w:top w:val="nil"/>
              <w:left w:val="nil"/>
              <w:bottom w:val="nil"/>
              <w:right w:val="nil"/>
            </w:tcBorders>
            <w:shd w:val="clear" w:color="auto" w:fill="auto"/>
            <w:noWrap/>
            <w:vAlign w:val="center"/>
            <w:hideMark/>
          </w:tcPr>
          <w:p w14:paraId="39607A2A"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37,4</w:t>
            </w:r>
          </w:p>
        </w:tc>
        <w:tc>
          <w:tcPr>
            <w:tcW w:w="700" w:type="dxa"/>
            <w:vAlign w:val="center"/>
          </w:tcPr>
          <w:p w14:paraId="453B6B1C" w14:textId="77777777" w:rsidR="00073FCE" w:rsidRPr="00073FCE" w:rsidRDefault="00073FCE" w:rsidP="00073FCE">
            <w:pPr>
              <w:spacing w:after="0" w:line="240" w:lineRule="auto"/>
              <w:jc w:val="center"/>
            </w:pPr>
            <w:r w:rsidRPr="00073FCE">
              <w:rPr>
                <w:rFonts w:cs="Arial"/>
                <w:color w:val="000000"/>
                <w:sz w:val="16"/>
                <w:szCs w:val="16"/>
              </w:rPr>
              <w:t>32,3</w:t>
            </w:r>
          </w:p>
        </w:tc>
        <w:tc>
          <w:tcPr>
            <w:tcW w:w="703" w:type="dxa"/>
            <w:vAlign w:val="center"/>
          </w:tcPr>
          <w:p w14:paraId="65A523D2" w14:textId="35774BF2"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24,7</w:t>
            </w:r>
          </w:p>
        </w:tc>
      </w:tr>
      <w:tr w:rsidR="00073FCE" w:rsidRPr="00073FCE" w14:paraId="108C1F5B" w14:textId="0B5C2EAC" w:rsidTr="005E5900">
        <w:trPr>
          <w:trHeight w:val="300"/>
        </w:trPr>
        <w:tc>
          <w:tcPr>
            <w:tcW w:w="1871" w:type="dxa"/>
            <w:tcBorders>
              <w:top w:val="nil"/>
              <w:left w:val="nil"/>
              <w:bottom w:val="nil"/>
              <w:right w:val="single" w:sz="4" w:space="0" w:color="auto"/>
            </w:tcBorders>
            <w:shd w:val="clear" w:color="auto" w:fill="auto"/>
            <w:noWrap/>
            <w:vAlign w:val="center"/>
            <w:hideMark/>
          </w:tcPr>
          <w:p w14:paraId="05175600"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Královéhradecký kraj</w:t>
            </w:r>
          </w:p>
        </w:tc>
        <w:tc>
          <w:tcPr>
            <w:tcW w:w="709" w:type="dxa"/>
            <w:tcBorders>
              <w:top w:val="nil"/>
              <w:left w:val="nil"/>
              <w:bottom w:val="nil"/>
              <w:right w:val="nil"/>
            </w:tcBorders>
            <w:shd w:val="clear" w:color="auto" w:fill="auto"/>
            <w:noWrap/>
            <w:vAlign w:val="center"/>
            <w:hideMark/>
          </w:tcPr>
          <w:p w14:paraId="35E4FE1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44,4</w:t>
            </w:r>
          </w:p>
        </w:tc>
        <w:tc>
          <w:tcPr>
            <w:tcW w:w="709" w:type="dxa"/>
            <w:tcBorders>
              <w:top w:val="nil"/>
              <w:left w:val="nil"/>
              <w:bottom w:val="nil"/>
              <w:right w:val="nil"/>
            </w:tcBorders>
            <w:shd w:val="clear" w:color="auto" w:fill="auto"/>
            <w:noWrap/>
            <w:vAlign w:val="center"/>
            <w:hideMark/>
          </w:tcPr>
          <w:p w14:paraId="2CF3C23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42,4</w:t>
            </w:r>
          </w:p>
        </w:tc>
        <w:tc>
          <w:tcPr>
            <w:tcW w:w="709" w:type="dxa"/>
            <w:tcBorders>
              <w:top w:val="nil"/>
              <w:left w:val="nil"/>
              <w:bottom w:val="nil"/>
              <w:right w:val="nil"/>
            </w:tcBorders>
            <w:shd w:val="clear" w:color="auto" w:fill="auto"/>
            <w:noWrap/>
            <w:vAlign w:val="center"/>
            <w:hideMark/>
          </w:tcPr>
          <w:p w14:paraId="1E6DC0D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44,2</w:t>
            </w:r>
          </w:p>
        </w:tc>
        <w:tc>
          <w:tcPr>
            <w:tcW w:w="709" w:type="dxa"/>
            <w:tcBorders>
              <w:top w:val="nil"/>
              <w:left w:val="nil"/>
              <w:bottom w:val="nil"/>
              <w:right w:val="nil"/>
            </w:tcBorders>
            <w:shd w:val="clear" w:color="auto" w:fill="auto"/>
            <w:noWrap/>
            <w:vAlign w:val="center"/>
            <w:hideMark/>
          </w:tcPr>
          <w:p w14:paraId="738BFFA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41,1</w:t>
            </w:r>
          </w:p>
        </w:tc>
        <w:tc>
          <w:tcPr>
            <w:tcW w:w="709" w:type="dxa"/>
            <w:tcBorders>
              <w:top w:val="nil"/>
              <w:left w:val="nil"/>
              <w:bottom w:val="nil"/>
              <w:right w:val="nil"/>
            </w:tcBorders>
            <w:shd w:val="clear" w:color="auto" w:fill="auto"/>
            <w:noWrap/>
            <w:vAlign w:val="center"/>
            <w:hideMark/>
          </w:tcPr>
          <w:p w14:paraId="5CDB73B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40,6</w:t>
            </w:r>
          </w:p>
        </w:tc>
        <w:tc>
          <w:tcPr>
            <w:tcW w:w="709" w:type="dxa"/>
            <w:tcBorders>
              <w:top w:val="nil"/>
              <w:left w:val="nil"/>
              <w:bottom w:val="nil"/>
              <w:right w:val="nil"/>
            </w:tcBorders>
            <w:shd w:val="clear" w:color="auto" w:fill="auto"/>
            <w:noWrap/>
            <w:vAlign w:val="center"/>
            <w:hideMark/>
          </w:tcPr>
          <w:p w14:paraId="69F25F2F"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39,9</w:t>
            </w:r>
          </w:p>
        </w:tc>
        <w:tc>
          <w:tcPr>
            <w:tcW w:w="709" w:type="dxa"/>
            <w:tcBorders>
              <w:top w:val="nil"/>
              <w:left w:val="nil"/>
              <w:bottom w:val="nil"/>
              <w:right w:val="nil"/>
            </w:tcBorders>
            <w:shd w:val="clear" w:color="auto" w:fill="auto"/>
            <w:noWrap/>
            <w:vAlign w:val="center"/>
            <w:hideMark/>
          </w:tcPr>
          <w:p w14:paraId="123A8104"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38,8</w:t>
            </w:r>
          </w:p>
        </w:tc>
        <w:tc>
          <w:tcPr>
            <w:tcW w:w="709" w:type="dxa"/>
            <w:tcBorders>
              <w:top w:val="nil"/>
              <w:left w:val="nil"/>
              <w:bottom w:val="nil"/>
              <w:right w:val="nil"/>
            </w:tcBorders>
            <w:shd w:val="clear" w:color="auto" w:fill="auto"/>
            <w:noWrap/>
            <w:vAlign w:val="center"/>
            <w:hideMark/>
          </w:tcPr>
          <w:p w14:paraId="6974425A"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39,2</w:t>
            </w:r>
          </w:p>
        </w:tc>
        <w:tc>
          <w:tcPr>
            <w:tcW w:w="709" w:type="dxa"/>
            <w:tcBorders>
              <w:top w:val="nil"/>
              <w:left w:val="nil"/>
              <w:bottom w:val="nil"/>
              <w:right w:val="nil"/>
            </w:tcBorders>
            <w:shd w:val="clear" w:color="auto" w:fill="auto"/>
            <w:noWrap/>
            <w:vAlign w:val="center"/>
            <w:hideMark/>
          </w:tcPr>
          <w:p w14:paraId="2C2276F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36,8</w:t>
            </w:r>
          </w:p>
        </w:tc>
        <w:tc>
          <w:tcPr>
            <w:tcW w:w="700" w:type="dxa"/>
            <w:vAlign w:val="center"/>
          </w:tcPr>
          <w:p w14:paraId="413B0719" w14:textId="77777777" w:rsidR="00073FCE" w:rsidRPr="00073FCE" w:rsidRDefault="00073FCE" w:rsidP="00073FCE">
            <w:pPr>
              <w:spacing w:after="0" w:line="240" w:lineRule="auto"/>
              <w:jc w:val="center"/>
            </w:pPr>
            <w:r w:rsidRPr="00073FCE">
              <w:rPr>
                <w:rFonts w:cs="Arial"/>
                <w:color w:val="000000"/>
                <w:sz w:val="16"/>
                <w:szCs w:val="16"/>
              </w:rPr>
              <w:t>32,2</w:t>
            </w:r>
          </w:p>
        </w:tc>
        <w:tc>
          <w:tcPr>
            <w:tcW w:w="703" w:type="dxa"/>
            <w:vAlign w:val="center"/>
          </w:tcPr>
          <w:p w14:paraId="6A7727DE" w14:textId="3CA944C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24,8</w:t>
            </w:r>
          </w:p>
        </w:tc>
      </w:tr>
      <w:tr w:rsidR="00073FCE" w:rsidRPr="00073FCE" w14:paraId="7DA722E3" w14:textId="78415001" w:rsidTr="005E5900">
        <w:trPr>
          <w:trHeight w:val="300"/>
        </w:trPr>
        <w:tc>
          <w:tcPr>
            <w:tcW w:w="1871" w:type="dxa"/>
            <w:tcBorders>
              <w:top w:val="nil"/>
              <w:left w:val="nil"/>
              <w:bottom w:val="nil"/>
              <w:right w:val="single" w:sz="4" w:space="0" w:color="auto"/>
            </w:tcBorders>
            <w:shd w:val="clear" w:color="auto" w:fill="auto"/>
            <w:noWrap/>
            <w:vAlign w:val="center"/>
            <w:hideMark/>
          </w:tcPr>
          <w:p w14:paraId="6A9B8E4B"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Pardubický kraj</w:t>
            </w:r>
          </w:p>
        </w:tc>
        <w:tc>
          <w:tcPr>
            <w:tcW w:w="709" w:type="dxa"/>
            <w:tcBorders>
              <w:top w:val="nil"/>
              <w:left w:val="nil"/>
              <w:bottom w:val="nil"/>
              <w:right w:val="nil"/>
            </w:tcBorders>
            <w:shd w:val="clear" w:color="auto" w:fill="auto"/>
            <w:noWrap/>
            <w:vAlign w:val="center"/>
            <w:hideMark/>
          </w:tcPr>
          <w:p w14:paraId="074F32D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45,4</w:t>
            </w:r>
          </w:p>
        </w:tc>
        <w:tc>
          <w:tcPr>
            <w:tcW w:w="709" w:type="dxa"/>
            <w:tcBorders>
              <w:top w:val="nil"/>
              <w:left w:val="nil"/>
              <w:bottom w:val="nil"/>
              <w:right w:val="nil"/>
            </w:tcBorders>
            <w:shd w:val="clear" w:color="auto" w:fill="auto"/>
            <w:noWrap/>
            <w:vAlign w:val="center"/>
            <w:hideMark/>
          </w:tcPr>
          <w:p w14:paraId="045E44F1"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43,7</w:t>
            </w:r>
          </w:p>
        </w:tc>
        <w:tc>
          <w:tcPr>
            <w:tcW w:w="709" w:type="dxa"/>
            <w:tcBorders>
              <w:top w:val="nil"/>
              <w:left w:val="nil"/>
              <w:bottom w:val="nil"/>
              <w:right w:val="nil"/>
            </w:tcBorders>
            <w:shd w:val="clear" w:color="auto" w:fill="auto"/>
            <w:noWrap/>
            <w:vAlign w:val="center"/>
            <w:hideMark/>
          </w:tcPr>
          <w:p w14:paraId="2F877511"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46,1</w:t>
            </w:r>
          </w:p>
        </w:tc>
        <w:tc>
          <w:tcPr>
            <w:tcW w:w="709" w:type="dxa"/>
            <w:tcBorders>
              <w:top w:val="nil"/>
              <w:left w:val="nil"/>
              <w:bottom w:val="nil"/>
              <w:right w:val="nil"/>
            </w:tcBorders>
            <w:shd w:val="clear" w:color="auto" w:fill="auto"/>
            <w:noWrap/>
            <w:vAlign w:val="center"/>
            <w:hideMark/>
          </w:tcPr>
          <w:p w14:paraId="7AA2EAC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42,5</w:t>
            </w:r>
          </w:p>
        </w:tc>
        <w:tc>
          <w:tcPr>
            <w:tcW w:w="709" w:type="dxa"/>
            <w:tcBorders>
              <w:top w:val="nil"/>
              <w:left w:val="nil"/>
              <w:bottom w:val="nil"/>
              <w:right w:val="nil"/>
            </w:tcBorders>
            <w:shd w:val="clear" w:color="auto" w:fill="auto"/>
            <w:noWrap/>
            <w:vAlign w:val="center"/>
            <w:hideMark/>
          </w:tcPr>
          <w:p w14:paraId="57150FA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43,8</w:t>
            </w:r>
          </w:p>
        </w:tc>
        <w:tc>
          <w:tcPr>
            <w:tcW w:w="709" w:type="dxa"/>
            <w:tcBorders>
              <w:top w:val="nil"/>
              <w:left w:val="nil"/>
              <w:bottom w:val="nil"/>
              <w:right w:val="nil"/>
            </w:tcBorders>
            <w:shd w:val="clear" w:color="auto" w:fill="auto"/>
            <w:noWrap/>
            <w:vAlign w:val="center"/>
            <w:hideMark/>
          </w:tcPr>
          <w:p w14:paraId="5E06918C"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43,2</w:t>
            </w:r>
          </w:p>
        </w:tc>
        <w:tc>
          <w:tcPr>
            <w:tcW w:w="709" w:type="dxa"/>
            <w:tcBorders>
              <w:top w:val="nil"/>
              <w:left w:val="nil"/>
              <w:bottom w:val="nil"/>
              <w:right w:val="nil"/>
            </w:tcBorders>
            <w:shd w:val="clear" w:color="auto" w:fill="auto"/>
            <w:noWrap/>
            <w:vAlign w:val="center"/>
            <w:hideMark/>
          </w:tcPr>
          <w:p w14:paraId="3D0A88D1"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40,9</w:t>
            </w:r>
          </w:p>
        </w:tc>
        <w:tc>
          <w:tcPr>
            <w:tcW w:w="709" w:type="dxa"/>
            <w:tcBorders>
              <w:top w:val="nil"/>
              <w:left w:val="nil"/>
              <w:bottom w:val="nil"/>
              <w:right w:val="nil"/>
            </w:tcBorders>
            <w:shd w:val="clear" w:color="auto" w:fill="auto"/>
            <w:noWrap/>
            <w:vAlign w:val="center"/>
            <w:hideMark/>
          </w:tcPr>
          <w:p w14:paraId="582F956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42,2</w:t>
            </w:r>
          </w:p>
        </w:tc>
        <w:tc>
          <w:tcPr>
            <w:tcW w:w="709" w:type="dxa"/>
            <w:tcBorders>
              <w:top w:val="nil"/>
              <w:left w:val="nil"/>
              <w:bottom w:val="nil"/>
              <w:right w:val="nil"/>
            </w:tcBorders>
            <w:shd w:val="clear" w:color="auto" w:fill="auto"/>
            <w:noWrap/>
            <w:vAlign w:val="center"/>
            <w:hideMark/>
          </w:tcPr>
          <w:p w14:paraId="3483D50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38,4</w:t>
            </w:r>
          </w:p>
        </w:tc>
        <w:tc>
          <w:tcPr>
            <w:tcW w:w="700" w:type="dxa"/>
            <w:vAlign w:val="center"/>
          </w:tcPr>
          <w:p w14:paraId="40905F5C" w14:textId="77777777" w:rsidR="00073FCE" w:rsidRPr="00073FCE" w:rsidRDefault="00073FCE" w:rsidP="00073FCE">
            <w:pPr>
              <w:spacing w:after="0" w:line="240" w:lineRule="auto"/>
              <w:jc w:val="center"/>
            </w:pPr>
            <w:r w:rsidRPr="00073FCE">
              <w:rPr>
                <w:rFonts w:cs="Arial"/>
                <w:color w:val="000000"/>
                <w:sz w:val="16"/>
                <w:szCs w:val="16"/>
              </w:rPr>
              <w:t>32,9</w:t>
            </w:r>
          </w:p>
        </w:tc>
        <w:tc>
          <w:tcPr>
            <w:tcW w:w="703" w:type="dxa"/>
            <w:vAlign w:val="center"/>
          </w:tcPr>
          <w:p w14:paraId="7CA726D4" w14:textId="44C0532B"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26,1</w:t>
            </w:r>
          </w:p>
        </w:tc>
      </w:tr>
      <w:tr w:rsidR="00073FCE" w:rsidRPr="00073FCE" w14:paraId="7FAD57AF" w14:textId="33898595" w:rsidTr="005E5900">
        <w:trPr>
          <w:trHeight w:val="300"/>
        </w:trPr>
        <w:tc>
          <w:tcPr>
            <w:tcW w:w="1871" w:type="dxa"/>
            <w:tcBorders>
              <w:top w:val="nil"/>
              <w:left w:val="nil"/>
              <w:bottom w:val="nil"/>
              <w:right w:val="single" w:sz="4" w:space="0" w:color="auto"/>
            </w:tcBorders>
            <w:shd w:val="clear" w:color="auto" w:fill="auto"/>
            <w:noWrap/>
            <w:vAlign w:val="center"/>
            <w:hideMark/>
          </w:tcPr>
          <w:p w14:paraId="0FF24FD6"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Kraj Vysočina</w:t>
            </w:r>
          </w:p>
        </w:tc>
        <w:tc>
          <w:tcPr>
            <w:tcW w:w="709" w:type="dxa"/>
            <w:tcBorders>
              <w:top w:val="nil"/>
              <w:left w:val="nil"/>
              <w:bottom w:val="nil"/>
              <w:right w:val="nil"/>
            </w:tcBorders>
            <w:shd w:val="clear" w:color="auto" w:fill="auto"/>
            <w:noWrap/>
            <w:vAlign w:val="center"/>
            <w:hideMark/>
          </w:tcPr>
          <w:p w14:paraId="792719A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45,6</w:t>
            </w:r>
          </w:p>
        </w:tc>
        <w:tc>
          <w:tcPr>
            <w:tcW w:w="709" w:type="dxa"/>
            <w:tcBorders>
              <w:top w:val="nil"/>
              <w:left w:val="nil"/>
              <w:bottom w:val="nil"/>
              <w:right w:val="nil"/>
            </w:tcBorders>
            <w:shd w:val="clear" w:color="auto" w:fill="auto"/>
            <w:noWrap/>
            <w:vAlign w:val="center"/>
            <w:hideMark/>
          </w:tcPr>
          <w:p w14:paraId="6C100EA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44,4</w:t>
            </w:r>
          </w:p>
        </w:tc>
        <w:tc>
          <w:tcPr>
            <w:tcW w:w="709" w:type="dxa"/>
            <w:tcBorders>
              <w:top w:val="nil"/>
              <w:left w:val="nil"/>
              <w:bottom w:val="nil"/>
              <w:right w:val="nil"/>
            </w:tcBorders>
            <w:shd w:val="clear" w:color="auto" w:fill="auto"/>
            <w:noWrap/>
            <w:vAlign w:val="center"/>
            <w:hideMark/>
          </w:tcPr>
          <w:p w14:paraId="3F10228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47,4</w:t>
            </w:r>
          </w:p>
        </w:tc>
        <w:tc>
          <w:tcPr>
            <w:tcW w:w="709" w:type="dxa"/>
            <w:tcBorders>
              <w:top w:val="nil"/>
              <w:left w:val="nil"/>
              <w:bottom w:val="nil"/>
              <w:right w:val="nil"/>
            </w:tcBorders>
            <w:shd w:val="clear" w:color="auto" w:fill="auto"/>
            <w:noWrap/>
            <w:vAlign w:val="center"/>
            <w:hideMark/>
          </w:tcPr>
          <w:p w14:paraId="6909252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44,1</w:t>
            </w:r>
          </w:p>
        </w:tc>
        <w:tc>
          <w:tcPr>
            <w:tcW w:w="709" w:type="dxa"/>
            <w:tcBorders>
              <w:top w:val="nil"/>
              <w:left w:val="nil"/>
              <w:bottom w:val="nil"/>
              <w:right w:val="nil"/>
            </w:tcBorders>
            <w:shd w:val="clear" w:color="auto" w:fill="auto"/>
            <w:noWrap/>
            <w:vAlign w:val="center"/>
            <w:hideMark/>
          </w:tcPr>
          <w:p w14:paraId="1EE3250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45,2</w:t>
            </w:r>
          </w:p>
        </w:tc>
        <w:tc>
          <w:tcPr>
            <w:tcW w:w="709" w:type="dxa"/>
            <w:tcBorders>
              <w:top w:val="nil"/>
              <w:left w:val="nil"/>
              <w:bottom w:val="nil"/>
              <w:right w:val="nil"/>
            </w:tcBorders>
            <w:shd w:val="clear" w:color="auto" w:fill="auto"/>
            <w:noWrap/>
            <w:vAlign w:val="center"/>
            <w:hideMark/>
          </w:tcPr>
          <w:p w14:paraId="0B1071E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45,1</w:t>
            </w:r>
          </w:p>
        </w:tc>
        <w:tc>
          <w:tcPr>
            <w:tcW w:w="709" w:type="dxa"/>
            <w:tcBorders>
              <w:top w:val="nil"/>
              <w:left w:val="nil"/>
              <w:bottom w:val="nil"/>
              <w:right w:val="nil"/>
            </w:tcBorders>
            <w:shd w:val="clear" w:color="auto" w:fill="auto"/>
            <w:noWrap/>
            <w:vAlign w:val="center"/>
            <w:hideMark/>
          </w:tcPr>
          <w:p w14:paraId="10EEAE7F"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44,2</w:t>
            </w:r>
          </w:p>
        </w:tc>
        <w:tc>
          <w:tcPr>
            <w:tcW w:w="709" w:type="dxa"/>
            <w:tcBorders>
              <w:top w:val="nil"/>
              <w:left w:val="nil"/>
              <w:bottom w:val="nil"/>
              <w:right w:val="nil"/>
            </w:tcBorders>
            <w:shd w:val="clear" w:color="auto" w:fill="auto"/>
            <w:noWrap/>
            <w:vAlign w:val="center"/>
            <w:hideMark/>
          </w:tcPr>
          <w:p w14:paraId="2FA8F01D"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45,6</w:t>
            </w:r>
          </w:p>
        </w:tc>
        <w:tc>
          <w:tcPr>
            <w:tcW w:w="709" w:type="dxa"/>
            <w:tcBorders>
              <w:top w:val="nil"/>
              <w:left w:val="nil"/>
              <w:bottom w:val="nil"/>
              <w:right w:val="nil"/>
            </w:tcBorders>
            <w:shd w:val="clear" w:color="auto" w:fill="auto"/>
            <w:noWrap/>
            <w:vAlign w:val="center"/>
            <w:hideMark/>
          </w:tcPr>
          <w:p w14:paraId="7F10684A"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40,7</w:t>
            </w:r>
          </w:p>
        </w:tc>
        <w:tc>
          <w:tcPr>
            <w:tcW w:w="700" w:type="dxa"/>
            <w:vAlign w:val="center"/>
          </w:tcPr>
          <w:p w14:paraId="337DE455" w14:textId="77777777" w:rsidR="00073FCE" w:rsidRPr="00073FCE" w:rsidRDefault="00073FCE" w:rsidP="00073FCE">
            <w:pPr>
              <w:spacing w:after="0" w:line="240" w:lineRule="auto"/>
              <w:jc w:val="center"/>
            </w:pPr>
            <w:r w:rsidRPr="00073FCE">
              <w:rPr>
                <w:rFonts w:cs="Arial"/>
                <w:color w:val="000000"/>
                <w:sz w:val="16"/>
                <w:szCs w:val="16"/>
              </w:rPr>
              <w:t>35,9</w:t>
            </w:r>
          </w:p>
        </w:tc>
        <w:tc>
          <w:tcPr>
            <w:tcW w:w="703" w:type="dxa"/>
            <w:vAlign w:val="center"/>
          </w:tcPr>
          <w:p w14:paraId="3DD674A1" w14:textId="21438066"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27,8</w:t>
            </w:r>
          </w:p>
        </w:tc>
      </w:tr>
      <w:tr w:rsidR="00073FCE" w:rsidRPr="00073FCE" w14:paraId="31A9D938" w14:textId="6745139C" w:rsidTr="005E5900">
        <w:trPr>
          <w:trHeight w:val="300"/>
        </w:trPr>
        <w:tc>
          <w:tcPr>
            <w:tcW w:w="1871" w:type="dxa"/>
            <w:tcBorders>
              <w:top w:val="nil"/>
              <w:left w:val="nil"/>
              <w:bottom w:val="nil"/>
              <w:right w:val="single" w:sz="4" w:space="0" w:color="auto"/>
            </w:tcBorders>
            <w:shd w:val="clear" w:color="auto" w:fill="auto"/>
            <w:noWrap/>
            <w:vAlign w:val="center"/>
            <w:hideMark/>
          </w:tcPr>
          <w:p w14:paraId="3809C75D"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Jihomoravský kraj</w:t>
            </w:r>
          </w:p>
        </w:tc>
        <w:tc>
          <w:tcPr>
            <w:tcW w:w="709" w:type="dxa"/>
            <w:tcBorders>
              <w:top w:val="nil"/>
              <w:left w:val="nil"/>
              <w:bottom w:val="nil"/>
              <w:right w:val="nil"/>
            </w:tcBorders>
            <w:shd w:val="clear" w:color="auto" w:fill="auto"/>
            <w:noWrap/>
            <w:vAlign w:val="center"/>
            <w:hideMark/>
          </w:tcPr>
          <w:p w14:paraId="1FE07DB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47,8</w:t>
            </w:r>
          </w:p>
        </w:tc>
        <w:tc>
          <w:tcPr>
            <w:tcW w:w="709" w:type="dxa"/>
            <w:tcBorders>
              <w:top w:val="nil"/>
              <w:left w:val="nil"/>
              <w:bottom w:val="nil"/>
              <w:right w:val="nil"/>
            </w:tcBorders>
            <w:shd w:val="clear" w:color="auto" w:fill="auto"/>
            <w:noWrap/>
            <w:vAlign w:val="center"/>
            <w:hideMark/>
          </w:tcPr>
          <w:p w14:paraId="0242C73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45,3</w:t>
            </w:r>
          </w:p>
        </w:tc>
        <w:tc>
          <w:tcPr>
            <w:tcW w:w="709" w:type="dxa"/>
            <w:tcBorders>
              <w:top w:val="nil"/>
              <w:left w:val="nil"/>
              <w:bottom w:val="nil"/>
              <w:right w:val="nil"/>
            </w:tcBorders>
            <w:shd w:val="clear" w:color="auto" w:fill="auto"/>
            <w:noWrap/>
            <w:vAlign w:val="center"/>
            <w:hideMark/>
          </w:tcPr>
          <w:p w14:paraId="56E07F1D"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47,1</w:t>
            </w:r>
          </w:p>
        </w:tc>
        <w:tc>
          <w:tcPr>
            <w:tcW w:w="709" w:type="dxa"/>
            <w:tcBorders>
              <w:top w:val="nil"/>
              <w:left w:val="nil"/>
              <w:bottom w:val="nil"/>
              <w:right w:val="nil"/>
            </w:tcBorders>
            <w:shd w:val="clear" w:color="auto" w:fill="auto"/>
            <w:noWrap/>
            <w:vAlign w:val="center"/>
            <w:hideMark/>
          </w:tcPr>
          <w:p w14:paraId="7D794CF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44,1</w:t>
            </w:r>
          </w:p>
        </w:tc>
        <w:tc>
          <w:tcPr>
            <w:tcW w:w="709" w:type="dxa"/>
            <w:tcBorders>
              <w:top w:val="nil"/>
              <w:left w:val="nil"/>
              <w:bottom w:val="nil"/>
              <w:right w:val="nil"/>
            </w:tcBorders>
            <w:shd w:val="clear" w:color="auto" w:fill="auto"/>
            <w:noWrap/>
            <w:vAlign w:val="center"/>
            <w:hideMark/>
          </w:tcPr>
          <w:p w14:paraId="318B3B0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44,9</w:t>
            </w:r>
          </w:p>
        </w:tc>
        <w:tc>
          <w:tcPr>
            <w:tcW w:w="709" w:type="dxa"/>
            <w:tcBorders>
              <w:top w:val="nil"/>
              <w:left w:val="nil"/>
              <w:bottom w:val="nil"/>
              <w:right w:val="nil"/>
            </w:tcBorders>
            <w:shd w:val="clear" w:color="auto" w:fill="auto"/>
            <w:noWrap/>
            <w:vAlign w:val="center"/>
            <w:hideMark/>
          </w:tcPr>
          <w:p w14:paraId="456499D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44,0</w:t>
            </w:r>
          </w:p>
        </w:tc>
        <w:tc>
          <w:tcPr>
            <w:tcW w:w="709" w:type="dxa"/>
            <w:tcBorders>
              <w:top w:val="nil"/>
              <w:left w:val="nil"/>
              <w:bottom w:val="nil"/>
              <w:right w:val="nil"/>
            </w:tcBorders>
            <w:shd w:val="clear" w:color="auto" w:fill="auto"/>
            <w:noWrap/>
            <w:vAlign w:val="center"/>
            <w:hideMark/>
          </w:tcPr>
          <w:p w14:paraId="3F6FAC1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42,6</w:t>
            </w:r>
          </w:p>
        </w:tc>
        <w:tc>
          <w:tcPr>
            <w:tcW w:w="709" w:type="dxa"/>
            <w:tcBorders>
              <w:top w:val="nil"/>
              <w:left w:val="nil"/>
              <w:bottom w:val="nil"/>
              <w:right w:val="nil"/>
            </w:tcBorders>
            <w:shd w:val="clear" w:color="auto" w:fill="auto"/>
            <w:noWrap/>
            <w:vAlign w:val="center"/>
            <w:hideMark/>
          </w:tcPr>
          <w:p w14:paraId="3A2900E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43,3</w:t>
            </w:r>
          </w:p>
        </w:tc>
        <w:tc>
          <w:tcPr>
            <w:tcW w:w="709" w:type="dxa"/>
            <w:tcBorders>
              <w:top w:val="nil"/>
              <w:left w:val="nil"/>
              <w:bottom w:val="nil"/>
              <w:right w:val="nil"/>
            </w:tcBorders>
            <w:shd w:val="clear" w:color="auto" w:fill="auto"/>
            <w:noWrap/>
            <w:vAlign w:val="center"/>
            <w:hideMark/>
          </w:tcPr>
          <w:p w14:paraId="5213CFD8"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41,0</w:t>
            </w:r>
          </w:p>
        </w:tc>
        <w:tc>
          <w:tcPr>
            <w:tcW w:w="700" w:type="dxa"/>
            <w:vAlign w:val="center"/>
          </w:tcPr>
          <w:p w14:paraId="5D1960F7" w14:textId="77777777" w:rsidR="00073FCE" w:rsidRPr="00073FCE" w:rsidRDefault="00073FCE" w:rsidP="00073FCE">
            <w:pPr>
              <w:spacing w:after="0" w:line="240" w:lineRule="auto"/>
              <w:jc w:val="center"/>
            </w:pPr>
            <w:r w:rsidRPr="00073FCE">
              <w:rPr>
                <w:rFonts w:cs="Arial"/>
                <w:color w:val="000000"/>
                <w:sz w:val="16"/>
                <w:szCs w:val="16"/>
              </w:rPr>
              <w:t>35,5</w:t>
            </w:r>
          </w:p>
        </w:tc>
        <w:tc>
          <w:tcPr>
            <w:tcW w:w="703" w:type="dxa"/>
            <w:vAlign w:val="center"/>
          </w:tcPr>
          <w:p w14:paraId="600E40AE" w14:textId="35A1927C"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26,6</w:t>
            </w:r>
          </w:p>
        </w:tc>
      </w:tr>
      <w:tr w:rsidR="00073FCE" w:rsidRPr="00073FCE" w14:paraId="0712D4E6" w14:textId="1DD43A77" w:rsidTr="005E5900">
        <w:trPr>
          <w:trHeight w:val="300"/>
        </w:trPr>
        <w:tc>
          <w:tcPr>
            <w:tcW w:w="1871" w:type="dxa"/>
            <w:tcBorders>
              <w:top w:val="nil"/>
              <w:left w:val="nil"/>
              <w:bottom w:val="nil"/>
              <w:right w:val="single" w:sz="4" w:space="0" w:color="auto"/>
            </w:tcBorders>
            <w:shd w:val="clear" w:color="auto" w:fill="auto"/>
            <w:noWrap/>
            <w:vAlign w:val="center"/>
            <w:hideMark/>
          </w:tcPr>
          <w:p w14:paraId="5BFF0BFD"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Olomoucký kraj</w:t>
            </w:r>
          </w:p>
        </w:tc>
        <w:tc>
          <w:tcPr>
            <w:tcW w:w="709" w:type="dxa"/>
            <w:tcBorders>
              <w:top w:val="nil"/>
              <w:left w:val="nil"/>
              <w:bottom w:val="nil"/>
              <w:right w:val="nil"/>
            </w:tcBorders>
            <w:shd w:val="clear" w:color="auto" w:fill="auto"/>
            <w:noWrap/>
            <w:vAlign w:val="center"/>
            <w:hideMark/>
          </w:tcPr>
          <w:p w14:paraId="42ED9A4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53,5</w:t>
            </w:r>
          </w:p>
        </w:tc>
        <w:tc>
          <w:tcPr>
            <w:tcW w:w="709" w:type="dxa"/>
            <w:tcBorders>
              <w:top w:val="nil"/>
              <w:left w:val="nil"/>
              <w:bottom w:val="nil"/>
              <w:right w:val="nil"/>
            </w:tcBorders>
            <w:shd w:val="clear" w:color="auto" w:fill="auto"/>
            <w:noWrap/>
            <w:vAlign w:val="center"/>
            <w:hideMark/>
          </w:tcPr>
          <w:p w14:paraId="3044400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51,1</w:t>
            </w:r>
          </w:p>
        </w:tc>
        <w:tc>
          <w:tcPr>
            <w:tcW w:w="709" w:type="dxa"/>
            <w:tcBorders>
              <w:top w:val="nil"/>
              <w:left w:val="nil"/>
              <w:bottom w:val="nil"/>
              <w:right w:val="nil"/>
            </w:tcBorders>
            <w:shd w:val="clear" w:color="auto" w:fill="auto"/>
            <w:noWrap/>
            <w:vAlign w:val="center"/>
            <w:hideMark/>
          </w:tcPr>
          <w:p w14:paraId="455A1DA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54,1</w:t>
            </w:r>
          </w:p>
        </w:tc>
        <w:tc>
          <w:tcPr>
            <w:tcW w:w="709" w:type="dxa"/>
            <w:tcBorders>
              <w:top w:val="nil"/>
              <w:left w:val="nil"/>
              <w:bottom w:val="nil"/>
              <w:right w:val="nil"/>
            </w:tcBorders>
            <w:shd w:val="clear" w:color="auto" w:fill="auto"/>
            <w:noWrap/>
            <w:vAlign w:val="center"/>
            <w:hideMark/>
          </w:tcPr>
          <w:p w14:paraId="2D302480"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47,8</w:t>
            </w:r>
          </w:p>
        </w:tc>
        <w:tc>
          <w:tcPr>
            <w:tcW w:w="709" w:type="dxa"/>
            <w:tcBorders>
              <w:top w:val="nil"/>
              <w:left w:val="nil"/>
              <w:bottom w:val="nil"/>
              <w:right w:val="nil"/>
            </w:tcBorders>
            <w:shd w:val="clear" w:color="auto" w:fill="auto"/>
            <w:noWrap/>
            <w:vAlign w:val="center"/>
            <w:hideMark/>
          </w:tcPr>
          <w:p w14:paraId="2AF5090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48,6</w:t>
            </w:r>
          </w:p>
        </w:tc>
        <w:tc>
          <w:tcPr>
            <w:tcW w:w="709" w:type="dxa"/>
            <w:tcBorders>
              <w:top w:val="nil"/>
              <w:left w:val="nil"/>
              <w:bottom w:val="nil"/>
              <w:right w:val="nil"/>
            </w:tcBorders>
            <w:shd w:val="clear" w:color="auto" w:fill="auto"/>
            <w:noWrap/>
            <w:vAlign w:val="center"/>
            <w:hideMark/>
          </w:tcPr>
          <w:p w14:paraId="156768A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47,2</w:t>
            </w:r>
          </w:p>
        </w:tc>
        <w:tc>
          <w:tcPr>
            <w:tcW w:w="709" w:type="dxa"/>
            <w:tcBorders>
              <w:top w:val="nil"/>
              <w:left w:val="nil"/>
              <w:bottom w:val="nil"/>
              <w:right w:val="nil"/>
            </w:tcBorders>
            <w:shd w:val="clear" w:color="auto" w:fill="auto"/>
            <w:noWrap/>
            <w:vAlign w:val="center"/>
            <w:hideMark/>
          </w:tcPr>
          <w:p w14:paraId="3B265064"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45,7</w:t>
            </w:r>
          </w:p>
        </w:tc>
        <w:tc>
          <w:tcPr>
            <w:tcW w:w="709" w:type="dxa"/>
            <w:tcBorders>
              <w:top w:val="nil"/>
              <w:left w:val="nil"/>
              <w:bottom w:val="nil"/>
              <w:right w:val="nil"/>
            </w:tcBorders>
            <w:shd w:val="clear" w:color="auto" w:fill="auto"/>
            <w:noWrap/>
            <w:vAlign w:val="center"/>
            <w:hideMark/>
          </w:tcPr>
          <w:p w14:paraId="47E6ECFC"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46,1</w:t>
            </w:r>
          </w:p>
        </w:tc>
        <w:tc>
          <w:tcPr>
            <w:tcW w:w="709" w:type="dxa"/>
            <w:tcBorders>
              <w:top w:val="nil"/>
              <w:left w:val="nil"/>
              <w:bottom w:val="nil"/>
              <w:right w:val="nil"/>
            </w:tcBorders>
            <w:shd w:val="clear" w:color="auto" w:fill="auto"/>
            <w:noWrap/>
            <w:vAlign w:val="center"/>
            <w:hideMark/>
          </w:tcPr>
          <w:p w14:paraId="011E658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40,0</w:t>
            </w:r>
          </w:p>
        </w:tc>
        <w:tc>
          <w:tcPr>
            <w:tcW w:w="700" w:type="dxa"/>
            <w:vAlign w:val="center"/>
          </w:tcPr>
          <w:p w14:paraId="0629A7B1" w14:textId="77777777" w:rsidR="00073FCE" w:rsidRPr="00073FCE" w:rsidRDefault="00073FCE" w:rsidP="00073FCE">
            <w:pPr>
              <w:spacing w:after="0" w:line="240" w:lineRule="auto"/>
              <w:jc w:val="center"/>
            </w:pPr>
            <w:r w:rsidRPr="00073FCE">
              <w:rPr>
                <w:rFonts w:cs="Arial"/>
                <w:color w:val="000000"/>
                <w:sz w:val="16"/>
                <w:szCs w:val="16"/>
              </w:rPr>
              <w:t>35,9</w:t>
            </w:r>
          </w:p>
        </w:tc>
        <w:tc>
          <w:tcPr>
            <w:tcW w:w="703" w:type="dxa"/>
            <w:vAlign w:val="center"/>
          </w:tcPr>
          <w:p w14:paraId="71D3A63E" w14:textId="127D7930"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28,6</w:t>
            </w:r>
          </w:p>
        </w:tc>
      </w:tr>
      <w:tr w:rsidR="00073FCE" w:rsidRPr="00073FCE" w14:paraId="0FCED3C6" w14:textId="5F9D8F82" w:rsidTr="005E5900">
        <w:trPr>
          <w:trHeight w:val="300"/>
        </w:trPr>
        <w:tc>
          <w:tcPr>
            <w:tcW w:w="1871" w:type="dxa"/>
            <w:tcBorders>
              <w:top w:val="nil"/>
              <w:left w:val="nil"/>
              <w:bottom w:val="nil"/>
              <w:right w:val="single" w:sz="4" w:space="0" w:color="auto"/>
            </w:tcBorders>
            <w:shd w:val="clear" w:color="auto" w:fill="auto"/>
            <w:noWrap/>
            <w:vAlign w:val="center"/>
            <w:hideMark/>
          </w:tcPr>
          <w:p w14:paraId="787E1EE0"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Zlínský kraj</w:t>
            </w:r>
          </w:p>
        </w:tc>
        <w:tc>
          <w:tcPr>
            <w:tcW w:w="709" w:type="dxa"/>
            <w:tcBorders>
              <w:top w:val="nil"/>
              <w:left w:val="nil"/>
              <w:bottom w:val="nil"/>
              <w:right w:val="nil"/>
            </w:tcBorders>
            <w:shd w:val="clear" w:color="auto" w:fill="auto"/>
            <w:noWrap/>
            <w:vAlign w:val="center"/>
            <w:hideMark/>
          </w:tcPr>
          <w:p w14:paraId="7D6E061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55,7</w:t>
            </w:r>
          </w:p>
        </w:tc>
        <w:tc>
          <w:tcPr>
            <w:tcW w:w="709" w:type="dxa"/>
            <w:tcBorders>
              <w:top w:val="nil"/>
              <w:left w:val="nil"/>
              <w:bottom w:val="nil"/>
              <w:right w:val="nil"/>
            </w:tcBorders>
            <w:shd w:val="clear" w:color="auto" w:fill="auto"/>
            <w:noWrap/>
            <w:vAlign w:val="center"/>
            <w:hideMark/>
          </w:tcPr>
          <w:p w14:paraId="00ED3CA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53,8</w:t>
            </w:r>
          </w:p>
        </w:tc>
        <w:tc>
          <w:tcPr>
            <w:tcW w:w="709" w:type="dxa"/>
            <w:tcBorders>
              <w:top w:val="nil"/>
              <w:left w:val="nil"/>
              <w:bottom w:val="nil"/>
              <w:right w:val="nil"/>
            </w:tcBorders>
            <w:shd w:val="clear" w:color="auto" w:fill="auto"/>
            <w:noWrap/>
            <w:vAlign w:val="center"/>
            <w:hideMark/>
          </w:tcPr>
          <w:p w14:paraId="283BF26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55,5</w:t>
            </w:r>
          </w:p>
        </w:tc>
        <w:tc>
          <w:tcPr>
            <w:tcW w:w="709" w:type="dxa"/>
            <w:tcBorders>
              <w:top w:val="nil"/>
              <w:left w:val="nil"/>
              <w:bottom w:val="nil"/>
              <w:right w:val="nil"/>
            </w:tcBorders>
            <w:shd w:val="clear" w:color="auto" w:fill="auto"/>
            <w:noWrap/>
            <w:vAlign w:val="center"/>
            <w:hideMark/>
          </w:tcPr>
          <w:p w14:paraId="1ECE8A26"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50,3</w:t>
            </w:r>
          </w:p>
        </w:tc>
        <w:tc>
          <w:tcPr>
            <w:tcW w:w="709" w:type="dxa"/>
            <w:tcBorders>
              <w:top w:val="nil"/>
              <w:left w:val="nil"/>
              <w:bottom w:val="nil"/>
              <w:right w:val="nil"/>
            </w:tcBorders>
            <w:shd w:val="clear" w:color="auto" w:fill="auto"/>
            <w:noWrap/>
            <w:vAlign w:val="center"/>
            <w:hideMark/>
          </w:tcPr>
          <w:p w14:paraId="74968C0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52,1</w:t>
            </w:r>
          </w:p>
        </w:tc>
        <w:tc>
          <w:tcPr>
            <w:tcW w:w="709" w:type="dxa"/>
            <w:tcBorders>
              <w:top w:val="nil"/>
              <w:left w:val="nil"/>
              <w:bottom w:val="nil"/>
              <w:right w:val="nil"/>
            </w:tcBorders>
            <w:shd w:val="clear" w:color="auto" w:fill="auto"/>
            <w:noWrap/>
            <w:vAlign w:val="center"/>
            <w:hideMark/>
          </w:tcPr>
          <w:p w14:paraId="4E872E9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50,3</w:t>
            </w:r>
          </w:p>
        </w:tc>
        <w:tc>
          <w:tcPr>
            <w:tcW w:w="709" w:type="dxa"/>
            <w:tcBorders>
              <w:top w:val="nil"/>
              <w:left w:val="nil"/>
              <w:bottom w:val="nil"/>
              <w:right w:val="nil"/>
            </w:tcBorders>
            <w:shd w:val="clear" w:color="auto" w:fill="auto"/>
            <w:noWrap/>
            <w:vAlign w:val="center"/>
            <w:hideMark/>
          </w:tcPr>
          <w:p w14:paraId="33143080"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49,2</w:t>
            </w:r>
          </w:p>
        </w:tc>
        <w:tc>
          <w:tcPr>
            <w:tcW w:w="709" w:type="dxa"/>
            <w:tcBorders>
              <w:top w:val="nil"/>
              <w:left w:val="nil"/>
              <w:bottom w:val="nil"/>
              <w:right w:val="nil"/>
            </w:tcBorders>
            <w:shd w:val="clear" w:color="auto" w:fill="auto"/>
            <w:noWrap/>
            <w:vAlign w:val="center"/>
            <w:hideMark/>
          </w:tcPr>
          <w:p w14:paraId="289574D2"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49,6</w:t>
            </w:r>
          </w:p>
        </w:tc>
        <w:tc>
          <w:tcPr>
            <w:tcW w:w="709" w:type="dxa"/>
            <w:tcBorders>
              <w:top w:val="nil"/>
              <w:left w:val="nil"/>
              <w:bottom w:val="nil"/>
              <w:right w:val="nil"/>
            </w:tcBorders>
            <w:shd w:val="clear" w:color="auto" w:fill="auto"/>
            <w:noWrap/>
            <w:vAlign w:val="center"/>
            <w:hideMark/>
          </w:tcPr>
          <w:p w14:paraId="08AF595C"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43,5</w:t>
            </w:r>
          </w:p>
        </w:tc>
        <w:tc>
          <w:tcPr>
            <w:tcW w:w="700" w:type="dxa"/>
            <w:vAlign w:val="center"/>
          </w:tcPr>
          <w:p w14:paraId="4A03D352" w14:textId="77777777" w:rsidR="00073FCE" w:rsidRPr="00073FCE" w:rsidRDefault="00073FCE" w:rsidP="00073FCE">
            <w:pPr>
              <w:spacing w:after="0" w:line="240" w:lineRule="auto"/>
              <w:jc w:val="center"/>
            </w:pPr>
            <w:r w:rsidRPr="00073FCE">
              <w:rPr>
                <w:rFonts w:cs="Arial"/>
                <w:color w:val="000000"/>
                <w:sz w:val="16"/>
                <w:szCs w:val="16"/>
              </w:rPr>
              <w:t>39,0</w:t>
            </w:r>
          </w:p>
        </w:tc>
        <w:tc>
          <w:tcPr>
            <w:tcW w:w="703" w:type="dxa"/>
            <w:vAlign w:val="center"/>
          </w:tcPr>
          <w:p w14:paraId="3A975926" w14:textId="729EED9E"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29,8</w:t>
            </w:r>
          </w:p>
        </w:tc>
      </w:tr>
      <w:tr w:rsidR="00073FCE" w:rsidRPr="00073FCE" w14:paraId="0DE9BBB6" w14:textId="5B43E85C" w:rsidTr="005E5900">
        <w:trPr>
          <w:trHeight w:val="300"/>
        </w:trPr>
        <w:tc>
          <w:tcPr>
            <w:tcW w:w="1871" w:type="dxa"/>
            <w:tcBorders>
              <w:top w:val="nil"/>
              <w:left w:val="nil"/>
              <w:bottom w:val="nil"/>
              <w:right w:val="single" w:sz="4" w:space="0" w:color="auto"/>
            </w:tcBorders>
            <w:shd w:val="clear" w:color="auto" w:fill="auto"/>
            <w:noWrap/>
            <w:vAlign w:val="center"/>
            <w:hideMark/>
          </w:tcPr>
          <w:p w14:paraId="0C9F0463" w14:textId="77777777" w:rsidR="00073FCE" w:rsidRPr="00073FCE" w:rsidRDefault="00073FCE" w:rsidP="00073FCE">
            <w:pPr>
              <w:spacing w:after="0" w:line="240" w:lineRule="auto"/>
              <w:ind w:firstLineChars="100" w:firstLine="160"/>
              <w:rPr>
                <w:rFonts w:cs="Arial"/>
                <w:color w:val="000000"/>
                <w:sz w:val="16"/>
                <w:szCs w:val="16"/>
              </w:rPr>
            </w:pPr>
            <w:r w:rsidRPr="00073FCE">
              <w:rPr>
                <w:rFonts w:cs="Arial"/>
                <w:color w:val="000000"/>
                <w:sz w:val="16"/>
                <w:szCs w:val="16"/>
              </w:rPr>
              <w:t>Moravskoslezský kraj</w:t>
            </w:r>
          </w:p>
        </w:tc>
        <w:tc>
          <w:tcPr>
            <w:tcW w:w="709" w:type="dxa"/>
            <w:tcBorders>
              <w:top w:val="nil"/>
              <w:left w:val="nil"/>
              <w:bottom w:val="nil"/>
              <w:right w:val="nil"/>
            </w:tcBorders>
            <w:shd w:val="clear" w:color="auto" w:fill="auto"/>
            <w:noWrap/>
            <w:vAlign w:val="center"/>
            <w:hideMark/>
          </w:tcPr>
          <w:p w14:paraId="5496317B"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51,6</w:t>
            </w:r>
          </w:p>
        </w:tc>
        <w:tc>
          <w:tcPr>
            <w:tcW w:w="709" w:type="dxa"/>
            <w:tcBorders>
              <w:top w:val="nil"/>
              <w:left w:val="nil"/>
              <w:bottom w:val="nil"/>
              <w:right w:val="nil"/>
            </w:tcBorders>
            <w:shd w:val="clear" w:color="auto" w:fill="auto"/>
            <w:noWrap/>
            <w:vAlign w:val="center"/>
            <w:hideMark/>
          </w:tcPr>
          <w:p w14:paraId="20F52629"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50,1</w:t>
            </w:r>
          </w:p>
        </w:tc>
        <w:tc>
          <w:tcPr>
            <w:tcW w:w="709" w:type="dxa"/>
            <w:tcBorders>
              <w:top w:val="nil"/>
              <w:left w:val="nil"/>
              <w:bottom w:val="nil"/>
              <w:right w:val="nil"/>
            </w:tcBorders>
            <w:shd w:val="clear" w:color="auto" w:fill="auto"/>
            <w:noWrap/>
            <w:vAlign w:val="center"/>
            <w:hideMark/>
          </w:tcPr>
          <w:p w14:paraId="77C5AAA3"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52,6</w:t>
            </w:r>
          </w:p>
        </w:tc>
        <w:tc>
          <w:tcPr>
            <w:tcW w:w="709" w:type="dxa"/>
            <w:tcBorders>
              <w:top w:val="nil"/>
              <w:left w:val="nil"/>
              <w:bottom w:val="nil"/>
              <w:right w:val="nil"/>
            </w:tcBorders>
            <w:shd w:val="clear" w:color="auto" w:fill="auto"/>
            <w:noWrap/>
            <w:vAlign w:val="center"/>
            <w:hideMark/>
          </w:tcPr>
          <w:p w14:paraId="753034CF"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48,6</w:t>
            </w:r>
          </w:p>
        </w:tc>
        <w:tc>
          <w:tcPr>
            <w:tcW w:w="709" w:type="dxa"/>
            <w:tcBorders>
              <w:top w:val="nil"/>
              <w:left w:val="nil"/>
              <w:bottom w:val="nil"/>
              <w:right w:val="nil"/>
            </w:tcBorders>
            <w:shd w:val="clear" w:color="auto" w:fill="auto"/>
            <w:noWrap/>
            <w:vAlign w:val="center"/>
            <w:hideMark/>
          </w:tcPr>
          <w:p w14:paraId="5566E44E"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50,0</w:t>
            </w:r>
          </w:p>
        </w:tc>
        <w:tc>
          <w:tcPr>
            <w:tcW w:w="709" w:type="dxa"/>
            <w:tcBorders>
              <w:top w:val="nil"/>
              <w:left w:val="nil"/>
              <w:bottom w:val="nil"/>
              <w:right w:val="nil"/>
            </w:tcBorders>
            <w:shd w:val="clear" w:color="auto" w:fill="auto"/>
            <w:noWrap/>
            <w:vAlign w:val="center"/>
            <w:hideMark/>
          </w:tcPr>
          <w:p w14:paraId="67516EF5"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48,8</w:t>
            </w:r>
          </w:p>
        </w:tc>
        <w:tc>
          <w:tcPr>
            <w:tcW w:w="709" w:type="dxa"/>
            <w:tcBorders>
              <w:top w:val="nil"/>
              <w:left w:val="nil"/>
              <w:bottom w:val="nil"/>
              <w:right w:val="nil"/>
            </w:tcBorders>
            <w:shd w:val="clear" w:color="auto" w:fill="auto"/>
            <w:noWrap/>
            <w:vAlign w:val="center"/>
            <w:hideMark/>
          </w:tcPr>
          <w:p w14:paraId="3A1A990D"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47,3</w:t>
            </w:r>
          </w:p>
        </w:tc>
        <w:tc>
          <w:tcPr>
            <w:tcW w:w="709" w:type="dxa"/>
            <w:tcBorders>
              <w:top w:val="nil"/>
              <w:left w:val="nil"/>
              <w:bottom w:val="nil"/>
              <w:right w:val="nil"/>
            </w:tcBorders>
            <w:shd w:val="clear" w:color="auto" w:fill="auto"/>
            <w:noWrap/>
            <w:vAlign w:val="center"/>
            <w:hideMark/>
          </w:tcPr>
          <w:p w14:paraId="296E5EB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48,7</w:t>
            </w:r>
          </w:p>
        </w:tc>
        <w:tc>
          <w:tcPr>
            <w:tcW w:w="709" w:type="dxa"/>
            <w:tcBorders>
              <w:top w:val="nil"/>
              <w:left w:val="nil"/>
              <w:bottom w:val="nil"/>
              <w:right w:val="nil"/>
            </w:tcBorders>
            <w:shd w:val="clear" w:color="auto" w:fill="auto"/>
            <w:noWrap/>
            <w:vAlign w:val="center"/>
            <w:hideMark/>
          </w:tcPr>
          <w:p w14:paraId="0A3467E7" w14:textId="77777777"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42,9</w:t>
            </w:r>
          </w:p>
        </w:tc>
        <w:tc>
          <w:tcPr>
            <w:tcW w:w="700" w:type="dxa"/>
            <w:vAlign w:val="center"/>
          </w:tcPr>
          <w:p w14:paraId="1782BF18" w14:textId="77777777" w:rsidR="00073FCE" w:rsidRPr="00073FCE" w:rsidRDefault="00073FCE" w:rsidP="00073FCE">
            <w:pPr>
              <w:spacing w:after="0" w:line="240" w:lineRule="auto"/>
              <w:jc w:val="center"/>
            </w:pPr>
            <w:r w:rsidRPr="00073FCE">
              <w:rPr>
                <w:rFonts w:cs="Arial"/>
                <w:color w:val="000000"/>
                <w:sz w:val="16"/>
                <w:szCs w:val="16"/>
              </w:rPr>
              <w:t>38,7</w:t>
            </w:r>
          </w:p>
        </w:tc>
        <w:tc>
          <w:tcPr>
            <w:tcW w:w="703" w:type="dxa"/>
            <w:vAlign w:val="center"/>
          </w:tcPr>
          <w:p w14:paraId="5735FE4B" w14:textId="560EB5AA" w:rsidR="00073FCE" w:rsidRPr="00073FCE" w:rsidRDefault="00073FCE" w:rsidP="00073FCE">
            <w:pPr>
              <w:spacing w:after="0" w:line="240" w:lineRule="auto"/>
              <w:jc w:val="center"/>
              <w:rPr>
                <w:rFonts w:cs="Arial"/>
                <w:color w:val="000000"/>
                <w:sz w:val="16"/>
                <w:szCs w:val="16"/>
              </w:rPr>
            </w:pPr>
            <w:r w:rsidRPr="00073FCE">
              <w:rPr>
                <w:rFonts w:cs="Arial"/>
                <w:color w:val="000000"/>
                <w:sz w:val="16"/>
                <w:szCs w:val="16"/>
              </w:rPr>
              <w:t>31,0</w:t>
            </w:r>
          </w:p>
        </w:tc>
      </w:tr>
    </w:tbl>
    <w:p w14:paraId="6B5D5372" w14:textId="00FE409D" w:rsidR="00FB211D" w:rsidRDefault="00FB211D" w:rsidP="00802184">
      <w:pPr>
        <w:spacing w:before="120" w:after="120"/>
        <w:rPr>
          <w:sz w:val="16"/>
        </w:rPr>
      </w:pPr>
      <w:r>
        <w:rPr>
          <w:sz w:val="16"/>
        </w:rPr>
        <w:t>Pozn.: Přerušení v časové řadě.</w:t>
      </w:r>
    </w:p>
    <w:p w14:paraId="612672A6" w14:textId="6993EFA4" w:rsidR="005C663E" w:rsidRPr="00166BEB" w:rsidRDefault="00EF404E" w:rsidP="00802184">
      <w:pPr>
        <w:spacing w:before="120" w:after="120"/>
        <w:rPr>
          <w:b/>
          <w:highlight w:val="yellow"/>
        </w:rPr>
      </w:pPr>
      <w:r w:rsidRPr="00073FCE">
        <w:rPr>
          <w:sz w:val="16"/>
        </w:rPr>
        <w:t>Zdroj: ČSÚ</w:t>
      </w:r>
    </w:p>
    <w:p w14:paraId="68E418DF" w14:textId="1609FE06" w:rsidR="004229D4" w:rsidRPr="00FB211D" w:rsidRDefault="004229D4" w:rsidP="004229D4">
      <w:pPr>
        <w:jc w:val="both"/>
        <w:rPr>
          <w:b/>
        </w:rPr>
      </w:pPr>
      <w:r w:rsidRPr="00FB211D">
        <w:rPr>
          <w:b/>
        </w:rPr>
        <w:t>Kartogram 2.1: Průměrná délka trvání dočasné pracovní neschopnosti v okresech a krajích ČR, 202</w:t>
      </w:r>
      <w:r w:rsidR="00802184" w:rsidRPr="00FB211D">
        <w:rPr>
          <w:b/>
        </w:rPr>
        <w:t>2</w:t>
      </w:r>
    </w:p>
    <w:p w14:paraId="1862DBFD" w14:textId="675CEBBA" w:rsidR="00FB211D" w:rsidRDefault="00FB211D" w:rsidP="004229D4">
      <w:pPr>
        <w:jc w:val="both"/>
        <w:rPr>
          <w:b/>
          <w:highlight w:val="yellow"/>
        </w:rPr>
      </w:pPr>
      <w:r w:rsidRPr="00FB211D">
        <w:rPr>
          <w:b/>
          <w:noProof/>
        </w:rPr>
        <w:drawing>
          <wp:inline distT="0" distB="0" distL="0" distR="0" wp14:anchorId="13382CC5" wp14:editId="50BA7816">
            <wp:extent cx="6120130" cy="4328026"/>
            <wp:effectExtent l="0" t="0" r="0" b="0"/>
            <wp:docPr id="68" name="Obrázek 68" descr="D:\hykysova23070\Documents\PN\2022\2. pol\publ\podklady\KTG\předělané\PN_2023_dny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hykysova23070\Documents\PN\2022\2. pol\publ\podklady\KTG\předělané\PN_2023_dny_0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20130" cy="4328026"/>
                    </a:xfrm>
                    <a:prstGeom prst="rect">
                      <a:avLst/>
                    </a:prstGeom>
                    <a:noFill/>
                    <a:ln>
                      <a:noFill/>
                    </a:ln>
                  </pic:spPr>
                </pic:pic>
              </a:graphicData>
            </a:graphic>
          </wp:inline>
        </w:drawing>
      </w:r>
    </w:p>
    <w:p w14:paraId="404B736E" w14:textId="77634BA3" w:rsidR="00217F56" w:rsidRPr="00166BEB" w:rsidRDefault="00217F56" w:rsidP="004229D4">
      <w:pPr>
        <w:jc w:val="both"/>
        <w:rPr>
          <w:b/>
          <w:highlight w:val="yellow"/>
        </w:rPr>
      </w:pPr>
    </w:p>
    <w:p w14:paraId="03C5F325" w14:textId="77777777" w:rsidR="004229D4" w:rsidRPr="00217F56" w:rsidRDefault="004229D4" w:rsidP="004229D4">
      <w:pPr>
        <w:spacing w:before="120" w:after="120"/>
        <w:rPr>
          <w:sz w:val="16"/>
        </w:rPr>
      </w:pPr>
      <w:r w:rsidRPr="00217F56">
        <w:rPr>
          <w:sz w:val="16"/>
        </w:rPr>
        <w:t>Zdroj: ČSÚ</w:t>
      </w:r>
    </w:p>
    <w:p w14:paraId="5C0D83AB" w14:textId="12D2146B" w:rsidR="00B415F6" w:rsidRPr="00073FCE" w:rsidRDefault="00B415F6" w:rsidP="00B415F6">
      <w:pPr>
        <w:spacing w:before="120" w:after="120"/>
        <w:jc w:val="both"/>
      </w:pPr>
      <w:r w:rsidRPr="00073FCE">
        <w:rPr>
          <w:b/>
        </w:rPr>
        <w:lastRenderedPageBreak/>
        <w:t>Osoby samostatně výdělečně činné (OSVČ)</w:t>
      </w:r>
      <w:r w:rsidRPr="00073FCE">
        <w:t xml:space="preserve"> nastupují do pracovní neschopnosti méně často než zaměstnanci (</w:t>
      </w:r>
      <w:r w:rsidR="00073FCE" w:rsidRPr="00073FCE">
        <w:t>19</w:t>
      </w:r>
      <w:r w:rsidRPr="00073FCE">
        <w:t xml:space="preserve"> případů na 100 </w:t>
      </w:r>
      <w:proofErr w:type="spellStart"/>
      <w:r w:rsidRPr="00073FCE">
        <w:t>nemocensky</w:t>
      </w:r>
      <w:proofErr w:type="spellEnd"/>
      <w:r w:rsidRPr="00073FCE">
        <w:t xml:space="preserve"> pojištěných OSVČ vs. </w:t>
      </w:r>
      <w:r w:rsidR="00073FCE" w:rsidRPr="00073FCE">
        <w:t>74</w:t>
      </w:r>
      <w:r w:rsidRPr="00073FCE">
        <w:t xml:space="preserve"> případů u zaměstnanců v roce 202</w:t>
      </w:r>
      <w:r w:rsidR="00073FCE" w:rsidRPr="00073FCE">
        <w:t>2</w:t>
      </w:r>
      <w:r w:rsidRPr="00073FCE">
        <w:t>). Pokud jsou však ze zdravotních důvodů z výkonu práce indisponováni, průměrná délka jejich pracovní neschopnosti značně převyšuje ostatní sledované kategorie velikosti podniku (podle počtu zaměstnanců; viz graf 2.1</w:t>
      </w:r>
      <w:r w:rsidR="008257CF">
        <w:t>4</w:t>
      </w:r>
      <w:r w:rsidRPr="00073FCE">
        <w:t>).</w:t>
      </w:r>
    </w:p>
    <w:p w14:paraId="0D811DED" w14:textId="126E6012" w:rsidR="00B415F6" w:rsidRPr="00073FCE" w:rsidRDefault="00B415F6" w:rsidP="00B415F6">
      <w:pPr>
        <w:spacing w:before="120" w:after="120"/>
        <w:jc w:val="both"/>
      </w:pPr>
      <w:r w:rsidRPr="00073FCE">
        <w:t>Dočasná pracovní neschopnost OSVČ v </w:t>
      </w:r>
      <w:r w:rsidR="005D666C" w:rsidRPr="00073FCE">
        <w:t>roce 202</w:t>
      </w:r>
      <w:r w:rsidR="00073FCE" w:rsidRPr="00073FCE">
        <w:t>2</w:t>
      </w:r>
      <w:r w:rsidR="005D666C" w:rsidRPr="00073FCE">
        <w:t xml:space="preserve"> trvala průměrně </w:t>
      </w:r>
      <w:r w:rsidR="00073FCE" w:rsidRPr="00073FCE">
        <w:t>81</w:t>
      </w:r>
      <w:r w:rsidRPr="00073FCE">
        <w:t xml:space="preserve"> dn</w:t>
      </w:r>
      <w:r w:rsidR="005D666C" w:rsidRPr="00073FCE">
        <w:t>ů</w:t>
      </w:r>
      <w:r w:rsidRPr="00073FCE">
        <w:t>. Delší doba trvání pracovní neschopnosti u OSVČ může souviset se skutečností, že tato skupina pojištěnců v době prvních 14 dnů pracovní neschopnosti není finančně zabezpečena jako ostatní pojištěnci, je jim vypláceno až nemocenské od 15. dne. Vzhledem k tomuto faktu krátkodobé případy lehčích forem nemocí neřeší pracovní neschopností, tu si nechávají vystavit až při onemocnění vážnější chorobou, která si pak vyžádá dlouhodobější pracovní neschopnost. Další možností, kterou OSVČ mohou využít, je sjednání pojištění pracovní neschopnosti u</w:t>
      </w:r>
      <w:r w:rsidR="00ED6587" w:rsidRPr="00073FCE">
        <w:t> </w:t>
      </w:r>
      <w:r w:rsidRPr="00073FCE">
        <w:t>soukromých pojišťoven v rámci životního pojištění. Tomu se však tato publikace nevěnuje.</w:t>
      </w:r>
    </w:p>
    <w:p w14:paraId="2C46F37C" w14:textId="1415AD11" w:rsidR="004229D4" w:rsidRPr="00166BEB" w:rsidRDefault="00B415F6" w:rsidP="00217F56">
      <w:pPr>
        <w:spacing w:before="120" w:after="120"/>
        <w:jc w:val="both"/>
        <w:rPr>
          <w:rFonts w:cs="Arial"/>
          <w:b/>
          <w:bCs/>
          <w:color w:val="000000"/>
          <w:spacing w:val="-2"/>
          <w:szCs w:val="20"/>
          <w:highlight w:val="yellow"/>
        </w:rPr>
      </w:pPr>
      <w:r w:rsidRPr="00073FCE">
        <w:t xml:space="preserve">U zaměstnanců byla průměrná délka pracovní neschopnosti (bez ohledu na příčinu) ve srovnání s OSVČ zhruba </w:t>
      </w:r>
      <w:r w:rsidR="00073FCE" w:rsidRPr="00073FCE">
        <w:t>třetinová</w:t>
      </w:r>
      <w:r w:rsidRPr="00073FCE">
        <w:t xml:space="preserve">. </w:t>
      </w:r>
      <w:r w:rsidR="00217F56">
        <w:t>Tu v průměru n</w:t>
      </w:r>
      <w:r w:rsidRPr="00073FCE">
        <w:t>ejdelší zaznamenaly malé podniky mající do 49 zaměstnanců (</w:t>
      </w:r>
      <w:r w:rsidR="00073FCE" w:rsidRPr="00073FCE">
        <w:t>29</w:t>
      </w:r>
      <w:r w:rsidRPr="00073FCE">
        <w:t xml:space="preserve"> dnů). V ostatních velikostních kategoriích se tato hodnota pohybovala </w:t>
      </w:r>
      <w:r w:rsidR="009642F6" w:rsidRPr="00073FCE">
        <w:t xml:space="preserve">do </w:t>
      </w:r>
      <w:r w:rsidR="00073FCE" w:rsidRPr="00073FCE">
        <w:t>26</w:t>
      </w:r>
      <w:r w:rsidRPr="00073FCE">
        <w:t xml:space="preserve"> dnů.</w:t>
      </w:r>
    </w:p>
    <w:p w14:paraId="38F7AC5F" w14:textId="5CAC3AD4" w:rsidR="00EF404E" w:rsidRPr="00073FCE" w:rsidRDefault="008257CF" w:rsidP="00EF404E">
      <w:pPr>
        <w:spacing w:after="0" w:line="240" w:lineRule="auto"/>
        <w:jc w:val="both"/>
        <w:rPr>
          <w:rFonts w:cs="Arial"/>
          <w:b/>
          <w:bCs/>
          <w:color w:val="000000"/>
          <w:spacing w:val="-2"/>
          <w:szCs w:val="20"/>
        </w:rPr>
      </w:pPr>
      <w:r>
        <w:rPr>
          <w:rFonts w:cs="Arial"/>
          <w:b/>
          <w:bCs/>
          <w:color w:val="000000"/>
          <w:spacing w:val="-2"/>
          <w:szCs w:val="20"/>
        </w:rPr>
        <w:t>Graf 2.14</w:t>
      </w:r>
      <w:r w:rsidR="00EF404E" w:rsidRPr="00073FCE">
        <w:rPr>
          <w:rFonts w:cs="Arial"/>
          <w:b/>
          <w:bCs/>
          <w:color w:val="000000"/>
          <w:spacing w:val="-2"/>
          <w:szCs w:val="20"/>
        </w:rPr>
        <w:t>: Průměrná délka trvání dočasné pracovní neschopnosti podle v</w:t>
      </w:r>
      <w:r w:rsidR="00073FCE" w:rsidRPr="00073FCE">
        <w:rPr>
          <w:rFonts w:cs="Arial"/>
          <w:b/>
          <w:bCs/>
          <w:color w:val="000000"/>
          <w:spacing w:val="-2"/>
          <w:szCs w:val="20"/>
        </w:rPr>
        <w:t>elikosti podniku a příčiny, 2022</w:t>
      </w:r>
    </w:p>
    <w:p w14:paraId="109C8790" w14:textId="17091728" w:rsidR="0086258D" w:rsidRPr="00166BEB" w:rsidRDefault="00073FCE" w:rsidP="000423A6">
      <w:pPr>
        <w:pStyle w:val="Seznam"/>
        <w:spacing w:after="120"/>
        <w:contextualSpacing w:val="0"/>
        <w:jc w:val="both"/>
        <w:rPr>
          <w:highlight w:val="yellow"/>
        </w:rPr>
      </w:pPr>
      <w:r>
        <w:rPr>
          <w:noProof/>
        </w:rPr>
        <w:drawing>
          <wp:inline distT="0" distB="0" distL="0" distR="0" wp14:anchorId="52CA2848" wp14:editId="588345D8">
            <wp:extent cx="6105525" cy="3048000"/>
            <wp:effectExtent l="0" t="0" r="9525" b="0"/>
            <wp:docPr id="64" name="Graf 64"/>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60096AFD" w14:textId="77777777" w:rsidR="00EF404E" w:rsidRPr="00073FCE" w:rsidRDefault="00EF404E" w:rsidP="00EF404E">
      <w:pPr>
        <w:spacing w:before="120" w:after="120"/>
        <w:rPr>
          <w:sz w:val="16"/>
        </w:rPr>
      </w:pPr>
      <w:r w:rsidRPr="00073FCE">
        <w:rPr>
          <w:sz w:val="16"/>
        </w:rPr>
        <w:t>Zdroj: ČSÚ</w:t>
      </w:r>
    </w:p>
    <w:p w14:paraId="645A5748" w14:textId="30A3076A" w:rsidR="005A480F" w:rsidRPr="00C42FD6" w:rsidRDefault="00841DC4" w:rsidP="00841DC4">
      <w:pPr>
        <w:pStyle w:val="Nadpis4"/>
        <w:rPr>
          <w:sz w:val="24"/>
        </w:rPr>
      </w:pPr>
      <w:bookmarkStart w:id="15" w:name="_Toc54262802"/>
      <w:bookmarkStart w:id="16" w:name="_Toc70950131"/>
      <w:bookmarkStart w:id="17" w:name="_Toc136412152"/>
      <w:r w:rsidRPr="00C42FD6">
        <w:rPr>
          <w:sz w:val="24"/>
        </w:rPr>
        <w:t xml:space="preserve">4.2.3 </w:t>
      </w:r>
      <w:r w:rsidR="005A480F" w:rsidRPr="00C42FD6">
        <w:rPr>
          <w:sz w:val="24"/>
        </w:rPr>
        <w:t>Průměrné procento dočasné pracovní neschopnosti a průměrný denní stav dočasně práce neschopných</w:t>
      </w:r>
      <w:bookmarkEnd w:id="15"/>
      <w:bookmarkEnd w:id="16"/>
      <w:bookmarkEnd w:id="17"/>
    </w:p>
    <w:p w14:paraId="78D34A28" w14:textId="77777777" w:rsidR="005A480F" w:rsidRPr="00DC73FB" w:rsidRDefault="005A480F" w:rsidP="005A480F">
      <w:pPr>
        <w:spacing w:after="120"/>
        <w:jc w:val="both"/>
      </w:pPr>
      <w:r w:rsidRPr="00DC73FB">
        <w:t xml:space="preserve">Nejkomplexnějším ukazatelem statistiky pracovní neschopnosti pro nemoc a úraz je </w:t>
      </w:r>
      <w:r w:rsidRPr="00DC73FB">
        <w:rPr>
          <w:b/>
        </w:rPr>
        <w:t>průměrné procento dočasné pracovní neschopnosti</w:t>
      </w:r>
      <w:r w:rsidRPr="00DC73FB">
        <w:t xml:space="preserve">. Zohledňuje jak celkový počet případů pracovní neschopnosti (jak často lidé do pracovní neschopnosti nastupují), tak i průměrné trvání jednoho případu pracovní neschopnosti (jak dlouho v pracovní neschopnosti setrvávají). Statistiky pak doplňuje ještě další ukazatel – </w:t>
      </w:r>
      <w:r w:rsidRPr="00DC73FB">
        <w:rPr>
          <w:b/>
        </w:rPr>
        <w:t>průměrný denní stav dočasně práce neschopných</w:t>
      </w:r>
      <w:r w:rsidRPr="00DC73FB">
        <w:t>, který říká, kolik osob průměrně denně chybělo na pracovišti v důsledku dočasné pracovní neschopnosti pro nemoc a úraz.</w:t>
      </w:r>
    </w:p>
    <w:p w14:paraId="5CD0DB0A" w14:textId="77777777" w:rsidR="005A480F" w:rsidRPr="00DC73FB" w:rsidRDefault="005A480F" w:rsidP="005A480F">
      <w:pPr>
        <w:pStyle w:val="Box1"/>
        <w:ind w:left="0"/>
        <w:jc w:val="both"/>
        <w:rPr>
          <w:i/>
        </w:rPr>
      </w:pPr>
      <w:r w:rsidRPr="00DC73FB">
        <w:rPr>
          <w:b/>
          <w:i/>
        </w:rPr>
        <w:t xml:space="preserve">Průměrné procento dočasné pracovní neschopnosti </w:t>
      </w:r>
      <w:r w:rsidRPr="00DC73FB">
        <w:rPr>
          <w:i/>
        </w:rPr>
        <w:t xml:space="preserve">– ukazatel udává, kolik ze 100 </w:t>
      </w:r>
      <w:proofErr w:type="spellStart"/>
      <w:r w:rsidRPr="00DC73FB">
        <w:rPr>
          <w:i/>
        </w:rPr>
        <w:t>nemocensky</w:t>
      </w:r>
      <w:proofErr w:type="spellEnd"/>
      <w:r w:rsidRPr="00DC73FB">
        <w:rPr>
          <w:i/>
        </w:rPr>
        <w:t xml:space="preserve"> pojištěných je průměrně každý den v pracovní neschopnosti pro nemoc či úraz. </w:t>
      </w:r>
    </w:p>
    <w:p w14:paraId="536FE7DF" w14:textId="77777777" w:rsidR="005A480F" w:rsidRPr="00DC73FB" w:rsidRDefault="005A480F" w:rsidP="005A480F">
      <w:pPr>
        <w:pStyle w:val="Box1"/>
        <w:ind w:left="0"/>
        <w:jc w:val="both"/>
        <w:rPr>
          <w:i/>
          <w:u w:val="single"/>
        </w:rPr>
      </w:pPr>
      <w:r w:rsidRPr="00DC73FB">
        <w:rPr>
          <w:i/>
          <w:u w:val="single"/>
        </w:rPr>
        <w:t>Způsob výpočtu:</w:t>
      </w:r>
    </w:p>
    <w:p w14:paraId="071F3CAB" w14:textId="77777777" w:rsidR="005A480F" w:rsidRPr="00DC73FB" w:rsidRDefault="005A480F" w:rsidP="005A480F">
      <w:pPr>
        <w:pStyle w:val="Box1"/>
        <w:spacing w:before="120" w:after="120"/>
        <w:ind w:left="0"/>
        <w:contextualSpacing w:val="0"/>
        <w:jc w:val="both"/>
        <w:rPr>
          <w:i/>
        </w:rPr>
      </w:pPr>
      <w:r w:rsidRPr="00DC73FB">
        <w:rPr>
          <w:i/>
        </w:rPr>
        <w:t xml:space="preserve">Průměrné procento dočasné pracovní neschopnosti = počet kalendářních dnů dočasné pracovní neschopnosti x 100 / (průměrný počet osob </w:t>
      </w:r>
      <w:proofErr w:type="spellStart"/>
      <w:r w:rsidRPr="00DC73FB">
        <w:rPr>
          <w:i/>
        </w:rPr>
        <w:t>nemocensky</w:t>
      </w:r>
      <w:proofErr w:type="spellEnd"/>
      <w:r w:rsidRPr="00DC73FB">
        <w:rPr>
          <w:i/>
        </w:rPr>
        <w:t xml:space="preserve"> pojištěných x počet kalendářních dnů ve sledovaném období).</w:t>
      </w:r>
    </w:p>
    <w:p w14:paraId="546719C0" w14:textId="77777777" w:rsidR="005A480F" w:rsidRPr="00DC73FB" w:rsidRDefault="005A480F" w:rsidP="005A480F">
      <w:pPr>
        <w:pStyle w:val="Box1"/>
        <w:ind w:left="0"/>
        <w:jc w:val="both"/>
        <w:rPr>
          <w:i/>
        </w:rPr>
      </w:pPr>
      <w:r w:rsidRPr="00DC73FB">
        <w:rPr>
          <w:b/>
          <w:i/>
        </w:rPr>
        <w:lastRenderedPageBreak/>
        <w:t xml:space="preserve">Průměrný denní stav dočasně práce neschopných </w:t>
      </w:r>
      <w:r w:rsidRPr="00DC73FB">
        <w:rPr>
          <w:i/>
        </w:rPr>
        <w:t xml:space="preserve">– ukazatel vyjadřuje počet </w:t>
      </w:r>
      <w:proofErr w:type="spellStart"/>
      <w:r w:rsidRPr="00DC73FB">
        <w:rPr>
          <w:i/>
        </w:rPr>
        <w:t>nemocensky</w:t>
      </w:r>
      <w:proofErr w:type="spellEnd"/>
      <w:r w:rsidRPr="00DC73FB">
        <w:rPr>
          <w:i/>
        </w:rPr>
        <w:t xml:space="preserve"> pojištěných, kteří byli ve sledovaném období (roce) denně nepřítomni v práci z důvodů pracovní neschopnosti. </w:t>
      </w:r>
    </w:p>
    <w:p w14:paraId="1253CC58" w14:textId="77777777" w:rsidR="005A480F" w:rsidRPr="00DC73FB" w:rsidRDefault="005A480F" w:rsidP="005A480F">
      <w:pPr>
        <w:pStyle w:val="Box1"/>
        <w:ind w:left="0"/>
        <w:jc w:val="both"/>
        <w:rPr>
          <w:i/>
          <w:u w:val="single"/>
        </w:rPr>
      </w:pPr>
      <w:r w:rsidRPr="00DC73FB">
        <w:rPr>
          <w:i/>
          <w:u w:val="single"/>
        </w:rPr>
        <w:t>Způsob výpočtu:</w:t>
      </w:r>
    </w:p>
    <w:p w14:paraId="33D30D88" w14:textId="77777777" w:rsidR="005A480F" w:rsidRPr="00DC73FB" w:rsidRDefault="005A480F" w:rsidP="005A480F">
      <w:pPr>
        <w:pStyle w:val="Box1"/>
        <w:spacing w:before="120" w:after="120"/>
        <w:ind w:left="0"/>
        <w:contextualSpacing w:val="0"/>
        <w:jc w:val="both"/>
        <w:rPr>
          <w:i/>
        </w:rPr>
      </w:pPr>
      <w:r w:rsidRPr="00DC73FB">
        <w:rPr>
          <w:i/>
        </w:rPr>
        <w:t>Průměrný denní stav dočasně práce neschopných = kalendářní dny dočasné pracovní neschopnosti / počet kalendářních dnů ve sledovaném období.</w:t>
      </w:r>
    </w:p>
    <w:p w14:paraId="18DA0AD4" w14:textId="58BAF560" w:rsidR="004229D4" w:rsidRPr="00166BEB" w:rsidRDefault="005A480F" w:rsidP="00217F56">
      <w:pPr>
        <w:spacing w:before="120" w:after="120"/>
        <w:jc w:val="both"/>
        <w:rPr>
          <w:rFonts w:cs="Arial"/>
          <w:b/>
          <w:bCs/>
          <w:color w:val="000000"/>
          <w:szCs w:val="20"/>
          <w:highlight w:val="yellow"/>
        </w:rPr>
      </w:pPr>
      <w:r w:rsidRPr="006F3798">
        <w:t xml:space="preserve">Hodnota ukazatele </w:t>
      </w:r>
      <w:r w:rsidRPr="006F3798">
        <w:rPr>
          <w:b/>
        </w:rPr>
        <w:t>průměrné procento dočasné pracovní neschopnosti</w:t>
      </w:r>
      <w:r w:rsidR="00DC73FB" w:rsidRPr="006F3798">
        <w:t xml:space="preserve"> měla</w:t>
      </w:r>
      <w:r w:rsidRPr="006F3798">
        <w:t xml:space="preserve"> od roku 2012 rostoucí tendenci, ačkoliv v roce 2021 byla patrná meziroční stagnace na 5,5 %. </w:t>
      </w:r>
      <w:r w:rsidR="00DC73FB" w:rsidRPr="006F3798">
        <w:t xml:space="preserve">V roce 2022 oproti roku 2021 poklesla </w:t>
      </w:r>
      <w:r w:rsidR="00C93C21">
        <w:t>na hodnotu 5,3</w:t>
      </w:r>
      <w:r w:rsidRPr="006F3798">
        <w:t>. Ve srovnání s rokem 2012 průměrné procento dočasné pracovní nesch</w:t>
      </w:r>
      <w:r w:rsidR="004930CE" w:rsidRPr="006F3798">
        <w:t>opnosti vzrostlo dokonce o </w:t>
      </w:r>
      <w:r w:rsidR="006F3798" w:rsidRPr="006F3798">
        <w:t xml:space="preserve">1,8 </w:t>
      </w:r>
      <w:r w:rsidR="004930CE" w:rsidRPr="006F3798">
        <w:t>p. </w:t>
      </w:r>
      <w:r w:rsidRPr="006F3798">
        <w:t>b. Podíl na růstu může mít mj. i stárnutí populace a zvyšování průměrného věku zaměstnanců (dáno vyšším věkem odchodu do důchodu</w:t>
      </w:r>
      <w:r w:rsidR="008236E6">
        <w:t>,</w:t>
      </w:r>
      <w:r w:rsidRPr="006F3798">
        <w:t xml:space="preserve"> než bylo v minulosti). Průměrné procento dočasné pracovní neschopnosti je dlouhodobě vyšší u žen. </w:t>
      </w:r>
      <w:r w:rsidR="004930CE" w:rsidRPr="006F3798">
        <w:t>V roce 202</w:t>
      </w:r>
      <w:r w:rsidR="006F3798" w:rsidRPr="006F3798">
        <w:t>2</w:t>
      </w:r>
      <w:r w:rsidR="004930CE" w:rsidRPr="006F3798">
        <w:t xml:space="preserve"> č</w:t>
      </w:r>
      <w:r w:rsidRPr="006F3798">
        <w:t xml:space="preserve">inilo </w:t>
      </w:r>
      <w:r w:rsidR="001438A5" w:rsidRPr="006F3798">
        <w:t>5,</w:t>
      </w:r>
      <w:r w:rsidR="006F3798" w:rsidRPr="006F3798">
        <w:t>7</w:t>
      </w:r>
      <w:r w:rsidRPr="006F3798">
        <w:t xml:space="preserve"> %, zatímco pro muže </w:t>
      </w:r>
      <w:r w:rsidR="006F3798" w:rsidRPr="006F3798">
        <w:t>4,8</w:t>
      </w:r>
      <w:r w:rsidRPr="006F3798">
        <w:t xml:space="preserve"> %.</w:t>
      </w:r>
    </w:p>
    <w:p w14:paraId="7FDE2EF1" w14:textId="40C80059" w:rsidR="005A480F" w:rsidRPr="006F3798" w:rsidRDefault="005A480F" w:rsidP="005A480F">
      <w:pPr>
        <w:spacing w:after="0" w:line="240" w:lineRule="auto"/>
        <w:rPr>
          <w:rFonts w:cs="Arial"/>
          <w:b/>
          <w:bCs/>
          <w:color w:val="000000"/>
          <w:szCs w:val="20"/>
        </w:rPr>
      </w:pPr>
      <w:r w:rsidRPr="006F3798">
        <w:rPr>
          <w:rFonts w:cs="Arial"/>
          <w:b/>
          <w:bCs/>
          <w:color w:val="000000"/>
          <w:szCs w:val="20"/>
        </w:rPr>
        <w:t>Graf 2.1</w:t>
      </w:r>
      <w:r w:rsidR="006967EA">
        <w:rPr>
          <w:rFonts w:cs="Arial"/>
          <w:b/>
          <w:bCs/>
          <w:color w:val="000000"/>
          <w:szCs w:val="20"/>
        </w:rPr>
        <w:t>5</w:t>
      </w:r>
      <w:r w:rsidRPr="006F3798">
        <w:rPr>
          <w:rFonts w:cs="Arial"/>
          <w:b/>
          <w:bCs/>
          <w:color w:val="000000"/>
          <w:szCs w:val="20"/>
        </w:rPr>
        <w:t>: Průměrné procento dočasné pracovní neschopnosti pod</w:t>
      </w:r>
      <w:r w:rsidR="006F3798" w:rsidRPr="006F3798">
        <w:rPr>
          <w:rFonts w:cs="Arial"/>
          <w:b/>
          <w:bCs/>
          <w:color w:val="000000"/>
          <w:szCs w:val="20"/>
        </w:rPr>
        <w:t>le odvětví (sekce CZ-NACE), 2022</w:t>
      </w:r>
    </w:p>
    <w:p w14:paraId="09BBE225" w14:textId="759A627F" w:rsidR="00705387" w:rsidRPr="00166BEB" w:rsidRDefault="006F3798" w:rsidP="00C61BBC">
      <w:pPr>
        <w:spacing w:after="120"/>
        <w:jc w:val="both"/>
        <w:rPr>
          <w:highlight w:val="yellow"/>
        </w:rPr>
      </w:pPr>
      <w:r>
        <w:rPr>
          <w:noProof/>
        </w:rPr>
        <w:drawing>
          <wp:inline distT="0" distB="0" distL="0" distR="0" wp14:anchorId="3EC1A689" wp14:editId="41FA2A7E">
            <wp:extent cx="6120130" cy="4643120"/>
            <wp:effectExtent l="0" t="0" r="13970" b="5080"/>
            <wp:docPr id="65" name="Graf 65"/>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07DF4C09" w14:textId="77777777" w:rsidR="005A480F" w:rsidRPr="006F3798" w:rsidRDefault="005A480F" w:rsidP="005A480F">
      <w:pPr>
        <w:spacing w:before="120" w:after="120"/>
        <w:rPr>
          <w:sz w:val="16"/>
        </w:rPr>
      </w:pPr>
      <w:r w:rsidRPr="006F3798">
        <w:rPr>
          <w:sz w:val="16"/>
        </w:rPr>
        <w:t>Zdroj: ČSÚ</w:t>
      </w:r>
    </w:p>
    <w:p w14:paraId="1C74974A" w14:textId="44012320" w:rsidR="005A480F" w:rsidRPr="006F3798" w:rsidRDefault="005A480F" w:rsidP="005A480F">
      <w:pPr>
        <w:spacing w:before="120" w:after="120"/>
        <w:jc w:val="both"/>
        <w:rPr>
          <w:rFonts w:cs="Arial"/>
          <w:color w:val="000000"/>
          <w:szCs w:val="16"/>
        </w:rPr>
      </w:pPr>
      <w:r w:rsidRPr="006F3798">
        <w:rPr>
          <w:rFonts w:cs="Arial"/>
          <w:color w:val="000000"/>
          <w:szCs w:val="16"/>
        </w:rPr>
        <w:t xml:space="preserve">Nejvyšší průměrné procento dočasné pracovní neschopnosti </w:t>
      </w:r>
      <w:r w:rsidRPr="006F3798">
        <w:rPr>
          <w:rFonts w:cs="Arial"/>
          <w:b/>
          <w:color w:val="000000"/>
          <w:szCs w:val="16"/>
        </w:rPr>
        <w:t>z hlediska odvětvové činnosti</w:t>
      </w:r>
      <w:r w:rsidRPr="006F3798">
        <w:rPr>
          <w:rFonts w:cs="Arial"/>
          <w:color w:val="000000"/>
          <w:szCs w:val="16"/>
        </w:rPr>
        <w:t xml:space="preserve"> bylo zaznamenáno v odvětví </w:t>
      </w:r>
      <w:r w:rsidR="006F3798" w:rsidRPr="006F3798">
        <w:rPr>
          <w:rFonts w:cs="Arial"/>
          <w:color w:val="000000"/>
          <w:szCs w:val="16"/>
        </w:rPr>
        <w:t>Zpracovatelský průmysl (6,9 %) s nejvyšším počtem případů pracovní neschopnosti na 100 pojištěnců.</w:t>
      </w:r>
      <w:r w:rsidRPr="006F3798">
        <w:rPr>
          <w:rFonts w:cs="Arial"/>
          <w:color w:val="000000"/>
          <w:szCs w:val="16"/>
        </w:rPr>
        <w:t xml:space="preserve"> Jinými slovy, téměř </w:t>
      </w:r>
      <w:r w:rsidR="006F3798" w:rsidRPr="006F3798">
        <w:rPr>
          <w:rFonts w:cs="Arial"/>
          <w:color w:val="000000"/>
          <w:szCs w:val="16"/>
        </w:rPr>
        <w:t>7</w:t>
      </w:r>
      <w:r w:rsidRPr="006F3798">
        <w:rPr>
          <w:rFonts w:cs="Arial"/>
          <w:color w:val="000000"/>
          <w:szCs w:val="16"/>
        </w:rPr>
        <w:t xml:space="preserve"> % pojištěnců pracujících v</w:t>
      </w:r>
      <w:r w:rsidR="006F3798" w:rsidRPr="006F3798">
        <w:rPr>
          <w:rFonts w:cs="Arial"/>
          <w:color w:val="000000"/>
          <w:szCs w:val="16"/>
        </w:rPr>
        <w:t xml:space="preserve"> této </w:t>
      </w:r>
      <w:r w:rsidRPr="006F3798">
        <w:rPr>
          <w:rFonts w:cs="Arial"/>
          <w:color w:val="000000"/>
          <w:szCs w:val="16"/>
        </w:rPr>
        <w:t>sekci bylo denně v pracovní neschopnosti. Odvětvími s</w:t>
      </w:r>
      <w:r w:rsidR="008236E6">
        <w:rPr>
          <w:rFonts w:cs="Arial"/>
          <w:color w:val="000000"/>
          <w:szCs w:val="16"/>
        </w:rPr>
        <w:t> více než</w:t>
      </w:r>
      <w:r w:rsidRPr="006F3798">
        <w:rPr>
          <w:rFonts w:cs="Arial"/>
          <w:color w:val="000000"/>
          <w:szCs w:val="16"/>
        </w:rPr>
        <w:t> </w:t>
      </w:r>
      <w:r w:rsidR="006F3798" w:rsidRPr="006F3798">
        <w:rPr>
          <w:rFonts w:cs="Arial"/>
          <w:color w:val="000000"/>
          <w:szCs w:val="16"/>
        </w:rPr>
        <w:t>6</w:t>
      </w:r>
      <w:r w:rsidRPr="006F3798">
        <w:rPr>
          <w:rFonts w:cs="Arial"/>
          <w:color w:val="000000"/>
          <w:szCs w:val="16"/>
        </w:rPr>
        <w:t>% podílem osob dočasně práce neschopných denně byl</w:t>
      </w:r>
      <w:r w:rsidR="006F3798" w:rsidRPr="006F3798">
        <w:rPr>
          <w:rFonts w:cs="Arial"/>
          <w:color w:val="000000"/>
          <w:szCs w:val="16"/>
        </w:rPr>
        <w:t>a</w:t>
      </w:r>
      <w:r w:rsidRPr="006F3798">
        <w:rPr>
          <w:rFonts w:cs="Arial"/>
          <w:color w:val="000000"/>
          <w:szCs w:val="16"/>
        </w:rPr>
        <w:t> </w:t>
      </w:r>
      <w:r w:rsidR="006F3798" w:rsidRPr="006F3798">
        <w:rPr>
          <w:rFonts w:cs="Arial"/>
          <w:color w:val="000000"/>
          <w:szCs w:val="16"/>
        </w:rPr>
        <w:t>Těžba a</w:t>
      </w:r>
      <w:r w:rsidR="00A5543F">
        <w:rPr>
          <w:rFonts w:cs="Arial"/>
          <w:color w:val="000000"/>
          <w:szCs w:val="16"/>
        </w:rPr>
        <w:t> </w:t>
      </w:r>
      <w:r w:rsidR="006F3798" w:rsidRPr="006F3798">
        <w:rPr>
          <w:rFonts w:cs="Arial"/>
          <w:color w:val="000000"/>
          <w:szCs w:val="16"/>
        </w:rPr>
        <w:t xml:space="preserve">dobývání (6,6 %), </w:t>
      </w:r>
      <w:r w:rsidRPr="006F3798">
        <w:rPr>
          <w:rFonts w:cs="Arial"/>
          <w:color w:val="000000"/>
          <w:szCs w:val="16"/>
        </w:rPr>
        <w:t>Administrativní a podpůrné činnosti (6,</w:t>
      </w:r>
      <w:r w:rsidR="006F3798" w:rsidRPr="006F3798">
        <w:rPr>
          <w:rFonts w:cs="Arial"/>
          <w:color w:val="000000"/>
          <w:szCs w:val="16"/>
        </w:rPr>
        <w:t>2</w:t>
      </w:r>
      <w:r w:rsidRPr="006F3798">
        <w:rPr>
          <w:rFonts w:cs="Arial"/>
          <w:color w:val="000000"/>
          <w:szCs w:val="16"/>
        </w:rPr>
        <w:t xml:space="preserve"> %)</w:t>
      </w:r>
      <w:r w:rsidR="006F3798" w:rsidRPr="006F3798">
        <w:rPr>
          <w:rFonts w:cs="Arial"/>
          <w:color w:val="000000"/>
          <w:szCs w:val="16"/>
        </w:rPr>
        <w:t xml:space="preserve"> a Zásobování vodou; činnosti související s odpady a</w:t>
      </w:r>
      <w:r w:rsidR="00A51CDF">
        <w:rPr>
          <w:rFonts w:cs="Arial"/>
          <w:color w:val="000000"/>
          <w:szCs w:val="16"/>
        </w:rPr>
        <w:t> </w:t>
      </w:r>
      <w:r w:rsidR="006F3798" w:rsidRPr="006F3798">
        <w:rPr>
          <w:rFonts w:cs="Arial"/>
          <w:color w:val="000000"/>
          <w:szCs w:val="16"/>
        </w:rPr>
        <w:t xml:space="preserve">sanacemi (6,1 %). </w:t>
      </w:r>
      <w:r w:rsidRPr="006F3798">
        <w:rPr>
          <w:rFonts w:cs="Arial"/>
          <w:color w:val="000000"/>
          <w:szCs w:val="16"/>
        </w:rPr>
        <w:t>Naopak nejméně pracovníků v pracovní neschopnosti ze 100</w:t>
      </w:r>
      <w:r w:rsidR="00DC2A86" w:rsidRPr="006F3798">
        <w:rPr>
          <w:rFonts w:cs="Arial"/>
          <w:color w:val="000000"/>
          <w:szCs w:val="16"/>
        </w:rPr>
        <w:t> </w:t>
      </w:r>
      <w:r w:rsidRPr="006F3798">
        <w:rPr>
          <w:rFonts w:cs="Arial"/>
          <w:color w:val="000000"/>
          <w:szCs w:val="16"/>
        </w:rPr>
        <w:t>pojištěnců bylo denně evidováno v odvětví Informační a komunikační činnosti (1,</w:t>
      </w:r>
      <w:r w:rsidR="008A3A13" w:rsidRPr="006F3798">
        <w:rPr>
          <w:rFonts w:cs="Arial"/>
          <w:color w:val="000000"/>
          <w:szCs w:val="16"/>
        </w:rPr>
        <w:t>8</w:t>
      </w:r>
      <w:r w:rsidR="006F3798" w:rsidRPr="006F3798">
        <w:rPr>
          <w:rFonts w:cs="Arial"/>
          <w:color w:val="000000"/>
          <w:szCs w:val="16"/>
        </w:rPr>
        <w:t>),</w:t>
      </w:r>
      <w:r w:rsidRPr="006F3798">
        <w:rPr>
          <w:rFonts w:cs="Arial"/>
          <w:color w:val="000000"/>
          <w:szCs w:val="16"/>
        </w:rPr>
        <w:t> Peněžnictví a</w:t>
      </w:r>
      <w:r w:rsidR="008A3A13" w:rsidRPr="006F3798">
        <w:rPr>
          <w:rFonts w:cs="Arial"/>
          <w:color w:val="000000"/>
          <w:szCs w:val="16"/>
        </w:rPr>
        <w:t> </w:t>
      </w:r>
      <w:r w:rsidRPr="006F3798">
        <w:rPr>
          <w:rFonts w:cs="Arial"/>
          <w:color w:val="000000"/>
          <w:szCs w:val="16"/>
        </w:rPr>
        <w:t>pojišťovnictví (2,</w:t>
      </w:r>
      <w:r w:rsidR="006F3798" w:rsidRPr="006F3798">
        <w:rPr>
          <w:rFonts w:cs="Arial"/>
          <w:color w:val="000000"/>
          <w:szCs w:val="16"/>
        </w:rPr>
        <w:t>4</w:t>
      </w:r>
      <w:r w:rsidRPr="006F3798">
        <w:rPr>
          <w:rFonts w:cs="Arial"/>
          <w:color w:val="000000"/>
          <w:szCs w:val="16"/>
        </w:rPr>
        <w:t>)</w:t>
      </w:r>
      <w:r w:rsidR="006F3798" w:rsidRPr="006F3798">
        <w:rPr>
          <w:rFonts w:cs="Arial"/>
          <w:color w:val="000000"/>
          <w:szCs w:val="16"/>
        </w:rPr>
        <w:t xml:space="preserve"> a</w:t>
      </w:r>
      <w:r w:rsidR="00A5543F">
        <w:rPr>
          <w:rFonts w:cs="Arial"/>
          <w:color w:val="000000"/>
          <w:szCs w:val="16"/>
        </w:rPr>
        <w:t> </w:t>
      </w:r>
      <w:r w:rsidR="006F3798" w:rsidRPr="006F3798">
        <w:rPr>
          <w:rFonts w:cs="Arial"/>
          <w:color w:val="000000"/>
          <w:szCs w:val="16"/>
        </w:rPr>
        <w:t>Profesní, vědecké a technické činnosti (2,5)</w:t>
      </w:r>
      <w:r w:rsidRPr="006F3798">
        <w:rPr>
          <w:rFonts w:cs="Arial"/>
          <w:color w:val="000000"/>
          <w:szCs w:val="16"/>
        </w:rPr>
        <w:t>. Podrobněji viz graf 2.1</w:t>
      </w:r>
      <w:r w:rsidR="006967EA">
        <w:rPr>
          <w:rFonts w:cs="Arial"/>
          <w:color w:val="000000"/>
          <w:szCs w:val="16"/>
        </w:rPr>
        <w:t>5</w:t>
      </w:r>
      <w:r w:rsidRPr="006F3798">
        <w:rPr>
          <w:rFonts w:cs="Arial"/>
          <w:color w:val="000000"/>
          <w:szCs w:val="16"/>
        </w:rPr>
        <w:t xml:space="preserve"> a tabulka 2.8.</w:t>
      </w:r>
    </w:p>
    <w:p w14:paraId="1141C017" w14:textId="30CE4EFC" w:rsidR="004229D4" w:rsidRPr="00166BEB" w:rsidRDefault="004229D4" w:rsidP="00217F56">
      <w:pPr>
        <w:spacing w:before="120" w:after="120"/>
        <w:jc w:val="both"/>
        <w:rPr>
          <w:rFonts w:cs="Arial"/>
          <w:b/>
          <w:bCs/>
          <w:color w:val="000000"/>
          <w:spacing w:val="-3"/>
          <w:szCs w:val="20"/>
          <w:highlight w:val="yellow"/>
        </w:rPr>
      </w:pPr>
      <w:r w:rsidRPr="00A51CDF">
        <w:t>Z </w:t>
      </w:r>
      <w:r w:rsidRPr="00A51CDF">
        <w:rPr>
          <w:b/>
        </w:rPr>
        <w:t>regionálního pohledu</w:t>
      </w:r>
      <w:r w:rsidRPr="00A51CDF">
        <w:t xml:space="preserve"> zaznamenal nejvyšší hodnotu průměrného procenta pracovní neschopnosti Moravskoslezský </w:t>
      </w:r>
      <w:r w:rsidR="006F3798" w:rsidRPr="00A51CDF">
        <w:t xml:space="preserve">(6,6 %) a Zlínský </w:t>
      </w:r>
      <w:r w:rsidR="00A51CDF" w:rsidRPr="00A51CDF">
        <w:t xml:space="preserve">kraj </w:t>
      </w:r>
      <w:r w:rsidR="006F3798" w:rsidRPr="00A51CDF">
        <w:t>(6,4 %)</w:t>
      </w:r>
      <w:r w:rsidR="00A51CDF" w:rsidRPr="00A51CDF">
        <w:t>.</w:t>
      </w:r>
      <w:r w:rsidRPr="00A51CDF">
        <w:t xml:space="preserve"> </w:t>
      </w:r>
      <w:r w:rsidR="00A51CDF" w:rsidRPr="00A51CDF">
        <w:t xml:space="preserve">Hlavní město </w:t>
      </w:r>
      <w:r w:rsidRPr="00A51CDF">
        <w:t xml:space="preserve">Praha díky nejnižšímu počtu případů na </w:t>
      </w:r>
      <w:r w:rsidRPr="00A51CDF">
        <w:lastRenderedPageBreak/>
        <w:t>100</w:t>
      </w:r>
      <w:r w:rsidR="00A5543F">
        <w:t> </w:t>
      </w:r>
      <w:r w:rsidRPr="00A51CDF">
        <w:t xml:space="preserve">pojištěnců a </w:t>
      </w:r>
      <w:r w:rsidR="00A51CDF" w:rsidRPr="00A51CDF">
        <w:t xml:space="preserve">nejkratší </w:t>
      </w:r>
      <w:r w:rsidRPr="00A51CDF">
        <w:t>průměrné délce trvání pracovních neschopností vykazuje nejnižší procento dočasně práce neschopných denně. Zatímco hodnoty všech ostatních 13 krajů se nachází v rozmezí 5,</w:t>
      </w:r>
      <w:r w:rsidR="00A51CDF" w:rsidRPr="00A51CDF">
        <w:t>2</w:t>
      </w:r>
      <w:r w:rsidRPr="00A51CDF">
        <w:t xml:space="preserve"> až </w:t>
      </w:r>
      <w:r w:rsidR="00A51CDF" w:rsidRPr="00A51CDF">
        <w:t>6,6</w:t>
      </w:r>
      <w:r w:rsidRPr="00A51CDF">
        <w:t xml:space="preserve"> %, ukazatel v Praze v roce 202</w:t>
      </w:r>
      <w:r w:rsidR="00A51CDF" w:rsidRPr="00A51CDF">
        <w:t>2</w:t>
      </w:r>
      <w:r w:rsidRPr="00A51CDF">
        <w:t xml:space="preserve"> dosáhl hodnoty pouze 3,</w:t>
      </w:r>
      <w:r w:rsidR="00A51CDF" w:rsidRPr="00A51CDF">
        <w:t>7</w:t>
      </w:r>
      <w:r w:rsidRPr="00A51CDF">
        <w:t xml:space="preserve"> %. Toto výsadní postavení si kraj hl. m. Praha drží už řadu let, jak je zřejmé z tabulky 2.9. K největšímu zvýšení za </w:t>
      </w:r>
      <w:r w:rsidR="00A51CDF" w:rsidRPr="00A51CDF">
        <w:t>3</w:t>
      </w:r>
      <w:r w:rsidRPr="00A51CDF">
        <w:t xml:space="preserve"> roky došlo v</w:t>
      </w:r>
      <w:r w:rsidR="00A51CDF" w:rsidRPr="00A51CDF">
        <w:t> Olomouckém kraji, a sice o 1</w:t>
      </w:r>
      <w:r w:rsidRPr="00A51CDF">
        <w:t xml:space="preserve"> p. b.</w:t>
      </w:r>
    </w:p>
    <w:p w14:paraId="2272E6A8" w14:textId="2CB2B19E" w:rsidR="008A3A13" w:rsidRPr="000F2639" w:rsidRDefault="008A3A13" w:rsidP="008A3A13">
      <w:pPr>
        <w:spacing w:after="0" w:line="240" w:lineRule="auto"/>
        <w:jc w:val="both"/>
        <w:rPr>
          <w:rFonts w:cs="Arial"/>
          <w:b/>
          <w:bCs/>
          <w:color w:val="000000"/>
          <w:spacing w:val="-3"/>
          <w:szCs w:val="20"/>
        </w:rPr>
      </w:pPr>
      <w:r w:rsidRPr="000F2639">
        <w:rPr>
          <w:rFonts w:cs="Arial"/>
          <w:b/>
          <w:bCs/>
          <w:color w:val="000000"/>
          <w:spacing w:val="-3"/>
          <w:szCs w:val="20"/>
        </w:rPr>
        <w:t>Tab. 2.8: Průměrné procento dočasné pracovní neschopnosti podle odvětví (sekce CZ-NACE), 201</w:t>
      </w:r>
      <w:r w:rsidR="000F2639" w:rsidRPr="000F2639">
        <w:rPr>
          <w:rFonts w:cs="Arial"/>
          <w:b/>
          <w:bCs/>
          <w:color w:val="000000"/>
          <w:spacing w:val="-3"/>
          <w:szCs w:val="20"/>
        </w:rPr>
        <w:t>2–2022</w:t>
      </w:r>
    </w:p>
    <w:tbl>
      <w:tblPr>
        <w:tblW w:w="9638" w:type="dxa"/>
        <w:tblCellMar>
          <w:left w:w="70" w:type="dxa"/>
          <w:right w:w="70" w:type="dxa"/>
        </w:tblCellMar>
        <w:tblLook w:val="04A0" w:firstRow="1" w:lastRow="0" w:firstColumn="1" w:lastColumn="0" w:noHBand="0" w:noVBand="1"/>
      </w:tblPr>
      <w:tblGrid>
        <w:gridCol w:w="3401"/>
        <w:gridCol w:w="567"/>
        <w:gridCol w:w="567"/>
        <w:gridCol w:w="567"/>
        <w:gridCol w:w="567"/>
        <w:gridCol w:w="567"/>
        <w:gridCol w:w="567"/>
        <w:gridCol w:w="567"/>
        <w:gridCol w:w="567"/>
        <w:gridCol w:w="567"/>
        <w:gridCol w:w="567"/>
        <w:gridCol w:w="567"/>
      </w:tblGrid>
      <w:tr w:rsidR="000F2639" w:rsidRPr="000F2639" w14:paraId="366A7707" w14:textId="54B7007A" w:rsidTr="00EE02F9">
        <w:trPr>
          <w:trHeight w:val="300"/>
        </w:trPr>
        <w:tc>
          <w:tcPr>
            <w:tcW w:w="3401" w:type="dxa"/>
            <w:tcBorders>
              <w:top w:val="single" w:sz="4" w:space="0" w:color="auto"/>
              <w:left w:val="nil"/>
              <w:bottom w:val="single" w:sz="4" w:space="0" w:color="auto"/>
              <w:right w:val="single" w:sz="4" w:space="0" w:color="auto"/>
            </w:tcBorders>
            <w:shd w:val="clear" w:color="000000" w:fill="F5DADD"/>
            <w:vAlign w:val="center"/>
            <w:hideMark/>
          </w:tcPr>
          <w:p w14:paraId="2D078CA1"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Sekce CZ-NACE</w:t>
            </w:r>
          </w:p>
        </w:tc>
        <w:tc>
          <w:tcPr>
            <w:tcW w:w="567" w:type="dxa"/>
            <w:tcBorders>
              <w:top w:val="single" w:sz="4" w:space="0" w:color="auto"/>
              <w:left w:val="nil"/>
              <w:bottom w:val="single" w:sz="4" w:space="0" w:color="auto"/>
              <w:right w:val="nil"/>
            </w:tcBorders>
            <w:shd w:val="clear" w:color="000000" w:fill="F5DADD"/>
            <w:noWrap/>
            <w:vAlign w:val="center"/>
            <w:hideMark/>
          </w:tcPr>
          <w:p w14:paraId="54D092FD"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2012</w:t>
            </w:r>
          </w:p>
        </w:tc>
        <w:tc>
          <w:tcPr>
            <w:tcW w:w="567" w:type="dxa"/>
            <w:tcBorders>
              <w:top w:val="single" w:sz="4" w:space="0" w:color="auto"/>
              <w:left w:val="nil"/>
              <w:bottom w:val="single" w:sz="4" w:space="0" w:color="auto"/>
              <w:right w:val="nil"/>
            </w:tcBorders>
            <w:shd w:val="clear" w:color="000000" w:fill="F5DADD"/>
            <w:noWrap/>
            <w:vAlign w:val="center"/>
            <w:hideMark/>
          </w:tcPr>
          <w:p w14:paraId="60A3E5A6"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2013</w:t>
            </w:r>
          </w:p>
        </w:tc>
        <w:tc>
          <w:tcPr>
            <w:tcW w:w="567" w:type="dxa"/>
            <w:tcBorders>
              <w:top w:val="single" w:sz="4" w:space="0" w:color="auto"/>
              <w:left w:val="nil"/>
              <w:bottom w:val="single" w:sz="4" w:space="0" w:color="auto"/>
              <w:right w:val="nil"/>
            </w:tcBorders>
            <w:shd w:val="clear" w:color="000000" w:fill="F5DADD"/>
            <w:noWrap/>
            <w:vAlign w:val="center"/>
            <w:hideMark/>
          </w:tcPr>
          <w:p w14:paraId="0AAE072C"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2014</w:t>
            </w:r>
          </w:p>
        </w:tc>
        <w:tc>
          <w:tcPr>
            <w:tcW w:w="567" w:type="dxa"/>
            <w:tcBorders>
              <w:top w:val="single" w:sz="4" w:space="0" w:color="auto"/>
              <w:left w:val="nil"/>
              <w:bottom w:val="single" w:sz="4" w:space="0" w:color="auto"/>
              <w:right w:val="nil"/>
            </w:tcBorders>
            <w:shd w:val="clear" w:color="000000" w:fill="F5DADD"/>
            <w:noWrap/>
            <w:vAlign w:val="center"/>
            <w:hideMark/>
          </w:tcPr>
          <w:p w14:paraId="5155CBBF"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2015</w:t>
            </w:r>
          </w:p>
        </w:tc>
        <w:tc>
          <w:tcPr>
            <w:tcW w:w="567" w:type="dxa"/>
            <w:tcBorders>
              <w:top w:val="single" w:sz="4" w:space="0" w:color="auto"/>
              <w:left w:val="nil"/>
              <w:bottom w:val="single" w:sz="4" w:space="0" w:color="auto"/>
              <w:right w:val="nil"/>
            </w:tcBorders>
            <w:shd w:val="clear" w:color="000000" w:fill="F5DADD"/>
            <w:noWrap/>
            <w:vAlign w:val="center"/>
            <w:hideMark/>
          </w:tcPr>
          <w:p w14:paraId="63763108"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2016</w:t>
            </w:r>
          </w:p>
        </w:tc>
        <w:tc>
          <w:tcPr>
            <w:tcW w:w="567" w:type="dxa"/>
            <w:tcBorders>
              <w:top w:val="single" w:sz="4" w:space="0" w:color="auto"/>
              <w:left w:val="nil"/>
              <w:bottom w:val="single" w:sz="4" w:space="0" w:color="auto"/>
              <w:right w:val="nil"/>
            </w:tcBorders>
            <w:shd w:val="clear" w:color="000000" w:fill="F5DADD"/>
            <w:noWrap/>
            <w:vAlign w:val="center"/>
            <w:hideMark/>
          </w:tcPr>
          <w:p w14:paraId="4843E728"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2017</w:t>
            </w:r>
          </w:p>
        </w:tc>
        <w:tc>
          <w:tcPr>
            <w:tcW w:w="567" w:type="dxa"/>
            <w:tcBorders>
              <w:top w:val="single" w:sz="4" w:space="0" w:color="auto"/>
              <w:left w:val="nil"/>
              <w:bottom w:val="single" w:sz="4" w:space="0" w:color="auto"/>
              <w:right w:val="nil"/>
            </w:tcBorders>
            <w:shd w:val="clear" w:color="000000" w:fill="F5DADD"/>
            <w:noWrap/>
            <w:vAlign w:val="center"/>
            <w:hideMark/>
          </w:tcPr>
          <w:p w14:paraId="7007CEE8"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2018</w:t>
            </w:r>
          </w:p>
        </w:tc>
        <w:tc>
          <w:tcPr>
            <w:tcW w:w="567" w:type="dxa"/>
            <w:tcBorders>
              <w:top w:val="single" w:sz="4" w:space="0" w:color="auto"/>
              <w:left w:val="nil"/>
              <w:bottom w:val="single" w:sz="4" w:space="0" w:color="auto"/>
              <w:right w:val="nil"/>
            </w:tcBorders>
            <w:shd w:val="clear" w:color="000000" w:fill="F5DADD"/>
            <w:noWrap/>
            <w:vAlign w:val="center"/>
            <w:hideMark/>
          </w:tcPr>
          <w:p w14:paraId="76999144"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2019</w:t>
            </w:r>
          </w:p>
        </w:tc>
        <w:tc>
          <w:tcPr>
            <w:tcW w:w="567" w:type="dxa"/>
            <w:tcBorders>
              <w:top w:val="single" w:sz="4" w:space="0" w:color="auto"/>
              <w:left w:val="nil"/>
              <w:bottom w:val="single" w:sz="4" w:space="0" w:color="auto"/>
              <w:right w:val="nil"/>
            </w:tcBorders>
            <w:shd w:val="clear" w:color="000000" w:fill="F5DADD"/>
            <w:noWrap/>
            <w:vAlign w:val="center"/>
            <w:hideMark/>
          </w:tcPr>
          <w:p w14:paraId="7C66C89F" w14:textId="77777777"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2020</w:t>
            </w:r>
          </w:p>
        </w:tc>
        <w:tc>
          <w:tcPr>
            <w:tcW w:w="567" w:type="dxa"/>
            <w:tcBorders>
              <w:top w:val="single" w:sz="4" w:space="0" w:color="auto"/>
              <w:bottom w:val="single" w:sz="4" w:space="0" w:color="auto"/>
            </w:tcBorders>
            <w:shd w:val="clear" w:color="auto" w:fill="F5DADD"/>
            <w:vAlign w:val="center"/>
          </w:tcPr>
          <w:p w14:paraId="0E2B83C3" w14:textId="77777777" w:rsidR="000F2639" w:rsidRPr="000F2639" w:rsidRDefault="000F2639" w:rsidP="000F2639">
            <w:pPr>
              <w:spacing w:after="0" w:line="240" w:lineRule="auto"/>
              <w:jc w:val="center"/>
            </w:pPr>
            <w:r w:rsidRPr="000F2639">
              <w:rPr>
                <w:rFonts w:cs="Arial"/>
                <w:color w:val="000000"/>
                <w:sz w:val="16"/>
                <w:szCs w:val="16"/>
              </w:rPr>
              <w:t>2021</w:t>
            </w:r>
          </w:p>
        </w:tc>
        <w:tc>
          <w:tcPr>
            <w:tcW w:w="567" w:type="dxa"/>
            <w:tcBorders>
              <w:top w:val="single" w:sz="4" w:space="0" w:color="auto"/>
              <w:bottom w:val="single" w:sz="4" w:space="0" w:color="auto"/>
            </w:tcBorders>
            <w:shd w:val="clear" w:color="auto" w:fill="F5DADD"/>
            <w:vAlign w:val="center"/>
          </w:tcPr>
          <w:p w14:paraId="0B9A2DC7" w14:textId="6AAFF985" w:rsidR="000F2639" w:rsidRPr="000F2639" w:rsidRDefault="000F2639" w:rsidP="000F2639">
            <w:pPr>
              <w:spacing w:after="0" w:line="240" w:lineRule="auto"/>
              <w:jc w:val="center"/>
              <w:rPr>
                <w:rFonts w:cs="Arial"/>
                <w:color w:val="000000"/>
                <w:sz w:val="16"/>
                <w:szCs w:val="16"/>
              </w:rPr>
            </w:pPr>
            <w:r w:rsidRPr="000F2639">
              <w:rPr>
                <w:rFonts w:cs="Arial"/>
                <w:color w:val="000000"/>
                <w:sz w:val="16"/>
                <w:szCs w:val="16"/>
              </w:rPr>
              <w:t>2022</w:t>
            </w:r>
          </w:p>
        </w:tc>
      </w:tr>
      <w:tr w:rsidR="006C1C86" w:rsidRPr="000F2639" w14:paraId="13C2DC36" w14:textId="34DADC86" w:rsidTr="00EE02F9">
        <w:trPr>
          <w:trHeight w:val="300"/>
        </w:trPr>
        <w:tc>
          <w:tcPr>
            <w:tcW w:w="3401" w:type="dxa"/>
            <w:tcBorders>
              <w:top w:val="nil"/>
              <w:left w:val="nil"/>
              <w:bottom w:val="nil"/>
              <w:right w:val="single" w:sz="4" w:space="0" w:color="auto"/>
            </w:tcBorders>
            <w:shd w:val="clear" w:color="auto" w:fill="auto"/>
            <w:vAlign w:val="center"/>
            <w:hideMark/>
          </w:tcPr>
          <w:p w14:paraId="2D65214F" w14:textId="77777777" w:rsidR="006C1C86" w:rsidRPr="000F2639" w:rsidRDefault="006C1C86" w:rsidP="006C1C86">
            <w:pPr>
              <w:spacing w:after="0" w:line="240" w:lineRule="auto"/>
              <w:rPr>
                <w:rFonts w:cs="Arial"/>
                <w:b/>
                <w:bCs/>
                <w:color w:val="000000"/>
                <w:sz w:val="16"/>
                <w:szCs w:val="16"/>
              </w:rPr>
            </w:pPr>
            <w:r w:rsidRPr="000F2639">
              <w:rPr>
                <w:rFonts w:cs="Arial"/>
                <w:b/>
                <w:bCs/>
                <w:color w:val="000000"/>
                <w:sz w:val="16"/>
                <w:szCs w:val="16"/>
              </w:rPr>
              <w:t>Celkem</w:t>
            </w:r>
          </w:p>
        </w:tc>
        <w:tc>
          <w:tcPr>
            <w:tcW w:w="567" w:type="dxa"/>
            <w:tcBorders>
              <w:top w:val="nil"/>
              <w:left w:val="nil"/>
              <w:bottom w:val="nil"/>
              <w:right w:val="nil"/>
            </w:tcBorders>
            <w:shd w:val="clear" w:color="auto" w:fill="auto"/>
            <w:noWrap/>
            <w:vAlign w:val="center"/>
            <w:hideMark/>
          </w:tcPr>
          <w:p w14:paraId="07B8B2EF"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3,5</w:t>
            </w:r>
          </w:p>
        </w:tc>
        <w:tc>
          <w:tcPr>
            <w:tcW w:w="567" w:type="dxa"/>
            <w:tcBorders>
              <w:top w:val="nil"/>
              <w:left w:val="nil"/>
              <w:bottom w:val="nil"/>
              <w:right w:val="nil"/>
            </w:tcBorders>
            <w:shd w:val="clear" w:color="auto" w:fill="auto"/>
            <w:noWrap/>
            <w:vAlign w:val="center"/>
            <w:hideMark/>
          </w:tcPr>
          <w:p w14:paraId="53B52250"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3,6</w:t>
            </w:r>
          </w:p>
        </w:tc>
        <w:tc>
          <w:tcPr>
            <w:tcW w:w="567" w:type="dxa"/>
            <w:tcBorders>
              <w:top w:val="nil"/>
              <w:left w:val="nil"/>
              <w:bottom w:val="nil"/>
              <w:right w:val="nil"/>
            </w:tcBorders>
            <w:shd w:val="clear" w:color="auto" w:fill="auto"/>
            <w:noWrap/>
            <w:vAlign w:val="center"/>
            <w:hideMark/>
          </w:tcPr>
          <w:p w14:paraId="66F22656"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3,7</w:t>
            </w:r>
          </w:p>
        </w:tc>
        <w:tc>
          <w:tcPr>
            <w:tcW w:w="567" w:type="dxa"/>
            <w:tcBorders>
              <w:top w:val="nil"/>
              <w:left w:val="nil"/>
              <w:bottom w:val="nil"/>
              <w:right w:val="nil"/>
            </w:tcBorders>
            <w:shd w:val="clear" w:color="auto" w:fill="auto"/>
            <w:noWrap/>
            <w:vAlign w:val="center"/>
            <w:hideMark/>
          </w:tcPr>
          <w:p w14:paraId="72B591D2"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4,1</w:t>
            </w:r>
          </w:p>
        </w:tc>
        <w:tc>
          <w:tcPr>
            <w:tcW w:w="567" w:type="dxa"/>
            <w:tcBorders>
              <w:top w:val="nil"/>
              <w:left w:val="nil"/>
              <w:bottom w:val="nil"/>
              <w:right w:val="nil"/>
            </w:tcBorders>
            <w:shd w:val="clear" w:color="auto" w:fill="auto"/>
            <w:noWrap/>
            <w:vAlign w:val="center"/>
            <w:hideMark/>
          </w:tcPr>
          <w:p w14:paraId="3AA82AA9"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4,2</w:t>
            </w:r>
          </w:p>
        </w:tc>
        <w:tc>
          <w:tcPr>
            <w:tcW w:w="567" w:type="dxa"/>
            <w:tcBorders>
              <w:top w:val="nil"/>
              <w:left w:val="nil"/>
              <w:bottom w:val="nil"/>
              <w:right w:val="nil"/>
            </w:tcBorders>
            <w:shd w:val="clear" w:color="auto" w:fill="auto"/>
            <w:noWrap/>
            <w:vAlign w:val="center"/>
            <w:hideMark/>
          </w:tcPr>
          <w:p w14:paraId="60797B85"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4,3</w:t>
            </w:r>
          </w:p>
        </w:tc>
        <w:tc>
          <w:tcPr>
            <w:tcW w:w="567" w:type="dxa"/>
            <w:tcBorders>
              <w:top w:val="nil"/>
              <w:left w:val="nil"/>
              <w:bottom w:val="nil"/>
              <w:right w:val="nil"/>
            </w:tcBorders>
            <w:shd w:val="clear" w:color="auto" w:fill="auto"/>
            <w:noWrap/>
            <w:vAlign w:val="center"/>
            <w:hideMark/>
          </w:tcPr>
          <w:p w14:paraId="2F848D43"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4,5</w:t>
            </w:r>
          </w:p>
        </w:tc>
        <w:tc>
          <w:tcPr>
            <w:tcW w:w="567" w:type="dxa"/>
            <w:tcBorders>
              <w:top w:val="nil"/>
              <w:left w:val="nil"/>
              <w:bottom w:val="nil"/>
              <w:right w:val="nil"/>
            </w:tcBorders>
            <w:shd w:val="clear" w:color="auto" w:fill="auto"/>
            <w:noWrap/>
            <w:vAlign w:val="center"/>
            <w:hideMark/>
          </w:tcPr>
          <w:p w14:paraId="0B2C050E"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4,7</w:t>
            </w:r>
          </w:p>
        </w:tc>
        <w:tc>
          <w:tcPr>
            <w:tcW w:w="567" w:type="dxa"/>
            <w:tcBorders>
              <w:top w:val="nil"/>
              <w:left w:val="nil"/>
              <w:bottom w:val="nil"/>
              <w:right w:val="nil"/>
            </w:tcBorders>
            <w:shd w:val="clear" w:color="auto" w:fill="auto"/>
            <w:noWrap/>
            <w:vAlign w:val="center"/>
            <w:hideMark/>
          </w:tcPr>
          <w:p w14:paraId="32CAA907" w14:textId="77777777" w:rsidR="006C1C86" w:rsidRPr="000F2639" w:rsidRDefault="006C1C86" w:rsidP="006C1C86">
            <w:pPr>
              <w:spacing w:after="0" w:line="240" w:lineRule="auto"/>
              <w:jc w:val="center"/>
              <w:rPr>
                <w:rFonts w:cs="Arial"/>
                <w:b/>
                <w:bCs/>
                <w:color w:val="000000"/>
                <w:sz w:val="16"/>
                <w:szCs w:val="16"/>
              </w:rPr>
            </w:pPr>
            <w:r w:rsidRPr="000F2639">
              <w:rPr>
                <w:rFonts w:cs="Arial"/>
                <w:b/>
                <w:bCs/>
                <w:color w:val="000000"/>
                <w:sz w:val="16"/>
                <w:szCs w:val="16"/>
              </w:rPr>
              <w:t>5,5</w:t>
            </w:r>
          </w:p>
        </w:tc>
        <w:tc>
          <w:tcPr>
            <w:tcW w:w="567" w:type="dxa"/>
            <w:tcBorders>
              <w:top w:val="single" w:sz="4" w:space="0" w:color="auto"/>
            </w:tcBorders>
            <w:vAlign w:val="center"/>
          </w:tcPr>
          <w:p w14:paraId="23C33B33" w14:textId="77777777" w:rsidR="006C1C86" w:rsidRPr="000F2639" w:rsidRDefault="006C1C86" w:rsidP="006C1C86">
            <w:pPr>
              <w:spacing w:after="0" w:line="240" w:lineRule="auto"/>
              <w:jc w:val="center"/>
            </w:pPr>
            <w:r w:rsidRPr="000F2639">
              <w:rPr>
                <w:rFonts w:cs="Arial"/>
                <w:b/>
                <w:bCs/>
                <w:color w:val="000000"/>
                <w:sz w:val="16"/>
                <w:szCs w:val="16"/>
              </w:rPr>
              <w:t>5,5</w:t>
            </w:r>
          </w:p>
        </w:tc>
        <w:tc>
          <w:tcPr>
            <w:tcW w:w="567" w:type="dxa"/>
            <w:tcBorders>
              <w:top w:val="single" w:sz="4" w:space="0" w:color="auto"/>
            </w:tcBorders>
            <w:vAlign w:val="center"/>
          </w:tcPr>
          <w:p w14:paraId="4B4AC11E" w14:textId="64D0DB70" w:rsidR="006C1C86" w:rsidRPr="000F2639" w:rsidRDefault="006C1C86" w:rsidP="006C1C86">
            <w:pPr>
              <w:spacing w:after="0" w:line="240" w:lineRule="auto"/>
              <w:jc w:val="center"/>
              <w:rPr>
                <w:rFonts w:cs="Arial"/>
                <w:b/>
                <w:bCs/>
                <w:color w:val="000000"/>
                <w:sz w:val="16"/>
                <w:szCs w:val="16"/>
              </w:rPr>
            </w:pPr>
            <w:r>
              <w:rPr>
                <w:rFonts w:cs="Arial"/>
                <w:b/>
                <w:bCs/>
                <w:color w:val="000000"/>
                <w:sz w:val="16"/>
                <w:szCs w:val="16"/>
              </w:rPr>
              <w:t>5,3</w:t>
            </w:r>
          </w:p>
        </w:tc>
      </w:tr>
      <w:tr w:rsidR="006C1C86" w:rsidRPr="000F2639" w14:paraId="70AFAAD7" w14:textId="0DDF7DD5" w:rsidTr="00EE02F9">
        <w:trPr>
          <w:trHeight w:val="300"/>
        </w:trPr>
        <w:tc>
          <w:tcPr>
            <w:tcW w:w="3401" w:type="dxa"/>
            <w:tcBorders>
              <w:top w:val="nil"/>
              <w:left w:val="nil"/>
              <w:bottom w:val="nil"/>
              <w:right w:val="single" w:sz="4" w:space="0" w:color="auto"/>
            </w:tcBorders>
            <w:shd w:val="clear" w:color="auto" w:fill="auto"/>
            <w:vAlign w:val="center"/>
            <w:hideMark/>
          </w:tcPr>
          <w:p w14:paraId="3586BE70"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A – Zemědělství, lesnictví a rybářství</w:t>
            </w:r>
          </w:p>
        </w:tc>
        <w:tc>
          <w:tcPr>
            <w:tcW w:w="567" w:type="dxa"/>
            <w:tcBorders>
              <w:top w:val="nil"/>
              <w:left w:val="nil"/>
              <w:bottom w:val="nil"/>
              <w:right w:val="nil"/>
            </w:tcBorders>
            <w:shd w:val="clear" w:color="auto" w:fill="auto"/>
            <w:noWrap/>
            <w:vAlign w:val="center"/>
            <w:hideMark/>
          </w:tcPr>
          <w:p w14:paraId="1BA3900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4,1</w:t>
            </w:r>
          </w:p>
        </w:tc>
        <w:tc>
          <w:tcPr>
            <w:tcW w:w="567" w:type="dxa"/>
            <w:tcBorders>
              <w:top w:val="nil"/>
              <w:left w:val="nil"/>
              <w:bottom w:val="nil"/>
              <w:right w:val="nil"/>
            </w:tcBorders>
            <w:shd w:val="clear" w:color="auto" w:fill="auto"/>
            <w:noWrap/>
            <w:vAlign w:val="center"/>
            <w:hideMark/>
          </w:tcPr>
          <w:p w14:paraId="6CD842F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4,4</w:t>
            </w:r>
          </w:p>
        </w:tc>
        <w:tc>
          <w:tcPr>
            <w:tcW w:w="567" w:type="dxa"/>
            <w:tcBorders>
              <w:top w:val="nil"/>
              <w:left w:val="nil"/>
              <w:bottom w:val="nil"/>
              <w:right w:val="nil"/>
            </w:tcBorders>
            <w:shd w:val="clear" w:color="auto" w:fill="auto"/>
            <w:noWrap/>
            <w:vAlign w:val="center"/>
            <w:hideMark/>
          </w:tcPr>
          <w:p w14:paraId="3F8CE37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4,4</w:t>
            </w:r>
          </w:p>
        </w:tc>
        <w:tc>
          <w:tcPr>
            <w:tcW w:w="567" w:type="dxa"/>
            <w:tcBorders>
              <w:top w:val="nil"/>
              <w:left w:val="nil"/>
              <w:bottom w:val="nil"/>
              <w:right w:val="nil"/>
            </w:tcBorders>
            <w:shd w:val="clear" w:color="auto" w:fill="auto"/>
            <w:noWrap/>
            <w:vAlign w:val="center"/>
            <w:hideMark/>
          </w:tcPr>
          <w:p w14:paraId="1AFEB32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4,8</w:t>
            </w:r>
          </w:p>
        </w:tc>
        <w:tc>
          <w:tcPr>
            <w:tcW w:w="567" w:type="dxa"/>
            <w:tcBorders>
              <w:top w:val="nil"/>
              <w:left w:val="nil"/>
              <w:bottom w:val="nil"/>
              <w:right w:val="nil"/>
            </w:tcBorders>
            <w:shd w:val="clear" w:color="auto" w:fill="auto"/>
            <w:noWrap/>
            <w:vAlign w:val="center"/>
            <w:hideMark/>
          </w:tcPr>
          <w:p w14:paraId="382AD89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5,0</w:t>
            </w:r>
          </w:p>
        </w:tc>
        <w:tc>
          <w:tcPr>
            <w:tcW w:w="567" w:type="dxa"/>
            <w:tcBorders>
              <w:top w:val="nil"/>
              <w:left w:val="nil"/>
              <w:bottom w:val="nil"/>
              <w:right w:val="nil"/>
            </w:tcBorders>
            <w:shd w:val="clear" w:color="auto" w:fill="auto"/>
            <w:noWrap/>
            <w:vAlign w:val="center"/>
            <w:hideMark/>
          </w:tcPr>
          <w:p w14:paraId="5EC436B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5,1</w:t>
            </w:r>
          </w:p>
        </w:tc>
        <w:tc>
          <w:tcPr>
            <w:tcW w:w="567" w:type="dxa"/>
            <w:tcBorders>
              <w:top w:val="nil"/>
              <w:left w:val="nil"/>
              <w:bottom w:val="nil"/>
              <w:right w:val="nil"/>
            </w:tcBorders>
            <w:shd w:val="clear" w:color="auto" w:fill="auto"/>
            <w:noWrap/>
            <w:vAlign w:val="center"/>
            <w:hideMark/>
          </w:tcPr>
          <w:p w14:paraId="287472E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5,3</w:t>
            </w:r>
          </w:p>
        </w:tc>
        <w:tc>
          <w:tcPr>
            <w:tcW w:w="567" w:type="dxa"/>
            <w:tcBorders>
              <w:top w:val="nil"/>
              <w:left w:val="nil"/>
              <w:bottom w:val="nil"/>
              <w:right w:val="nil"/>
            </w:tcBorders>
            <w:shd w:val="clear" w:color="auto" w:fill="auto"/>
            <w:noWrap/>
            <w:vAlign w:val="center"/>
            <w:hideMark/>
          </w:tcPr>
          <w:p w14:paraId="1669195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5,4</w:t>
            </w:r>
          </w:p>
        </w:tc>
        <w:tc>
          <w:tcPr>
            <w:tcW w:w="567" w:type="dxa"/>
            <w:tcBorders>
              <w:top w:val="nil"/>
              <w:left w:val="nil"/>
              <w:bottom w:val="nil"/>
              <w:right w:val="nil"/>
            </w:tcBorders>
            <w:shd w:val="clear" w:color="auto" w:fill="auto"/>
            <w:noWrap/>
            <w:vAlign w:val="center"/>
            <w:hideMark/>
          </w:tcPr>
          <w:p w14:paraId="58FE813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5,8</w:t>
            </w:r>
          </w:p>
        </w:tc>
        <w:tc>
          <w:tcPr>
            <w:tcW w:w="567" w:type="dxa"/>
            <w:vAlign w:val="center"/>
          </w:tcPr>
          <w:p w14:paraId="36AEF311" w14:textId="77777777" w:rsidR="006C1C86" w:rsidRPr="000F2639" w:rsidRDefault="006C1C86" w:rsidP="006C1C86">
            <w:pPr>
              <w:spacing w:after="0" w:line="240" w:lineRule="auto"/>
              <w:jc w:val="center"/>
            </w:pPr>
            <w:r w:rsidRPr="000F2639">
              <w:rPr>
                <w:rFonts w:cs="Arial"/>
                <w:color w:val="000000"/>
                <w:sz w:val="16"/>
                <w:szCs w:val="16"/>
              </w:rPr>
              <w:t>6,3</w:t>
            </w:r>
          </w:p>
        </w:tc>
        <w:tc>
          <w:tcPr>
            <w:tcW w:w="567" w:type="dxa"/>
            <w:vAlign w:val="center"/>
          </w:tcPr>
          <w:p w14:paraId="51EB175D" w14:textId="1E2DC515" w:rsidR="006C1C86" w:rsidRPr="000F2639" w:rsidRDefault="006C1C86" w:rsidP="006C1C86">
            <w:pPr>
              <w:spacing w:after="0" w:line="240" w:lineRule="auto"/>
              <w:jc w:val="center"/>
              <w:rPr>
                <w:rFonts w:cs="Arial"/>
                <w:color w:val="000000"/>
                <w:sz w:val="16"/>
                <w:szCs w:val="16"/>
              </w:rPr>
            </w:pPr>
            <w:r>
              <w:rPr>
                <w:rFonts w:cs="Arial"/>
                <w:color w:val="000000"/>
                <w:sz w:val="16"/>
                <w:szCs w:val="16"/>
              </w:rPr>
              <w:t>5,9</w:t>
            </w:r>
          </w:p>
        </w:tc>
      </w:tr>
      <w:tr w:rsidR="006C1C86" w:rsidRPr="000F2639" w14:paraId="4548EF5B" w14:textId="42EC3376" w:rsidTr="00EE02F9">
        <w:trPr>
          <w:trHeight w:val="300"/>
        </w:trPr>
        <w:tc>
          <w:tcPr>
            <w:tcW w:w="3401" w:type="dxa"/>
            <w:tcBorders>
              <w:top w:val="nil"/>
              <w:left w:val="nil"/>
              <w:bottom w:val="nil"/>
              <w:right w:val="single" w:sz="4" w:space="0" w:color="auto"/>
            </w:tcBorders>
            <w:shd w:val="clear" w:color="auto" w:fill="auto"/>
            <w:vAlign w:val="center"/>
            <w:hideMark/>
          </w:tcPr>
          <w:p w14:paraId="1E39E7E1"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B – Těžba a dobývání</w:t>
            </w:r>
          </w:p>
        </w:tc>
        <w:tc>
          <w:tcPr>
            <w:tcW w:w="567" w:type="dxa"/>
            <w:tcBorders>
              <w:top w:val="nil"/>
              <w:left w:val="nil"/>
              <w:bottom w:val="nil"/>
              <w:right w:val="nil"/>
            </w:tcBorders>
            <w:shd w:val="clear" w:color="auto" w:fill="auto"/>
            <w:noWrap/>
            <w:vAlign w:val="center"/>
            <w:hideMark/>
          </w:tcPr>
          <w:p w14:paraId="337086A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4,2</w:t>
            </w:r>
          </w:p>
        </w:tc>
        <w:tc>
          <w:tcPr>
            <w:tcW w:w="567" w:type="dxa"/>
            <w:tcBorders>
              <w:top w:val="nil"/>
              <w:left w:val="nil"/>
              <w:bottom w:val="nil"/>
              <w:right w:val="nil"/>
            </w:tcBorders>
            <w:shd w:val="clear" w:color="auto" w:fill="auto"/>
            <w:noWrap/>
            <w:vAlign w:val="center"/>
            <w:hideMark/>
          </w:tcPr>
          <w:p w14:paraId="7EEB2F2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4,8</w:t>
            </w:r>
          </w:p>
        </w:tc>
        <w:tc>
          <w:tcPr>
            <w:tcW w:w="567" w:type="dxa"/>
            <w:tcBorders>
              <w:top w:val="nil"/>
              <w:left w:val="nil"/>
              <w:bottom w:val="nil"/>
              <w:right w:val="nil"/>
            </w:tcBorders>
            <w:shd w:val="clear" w:color="auto" w:fill="auto"/>
            <w:noWrap/>
            <w:vAlign w:val="center"/>
            <w:hideMark/>
          </w:tcPr>
          <w:p w14:paraId="1F7CCDA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4,7</w:t>
            </w:r>
          </w:p>
        </w:tc>
        <w:tc>
          <w:tcPr>
            <w:tcW w:w="567" w:type="dxa"/>
            <w:tcBorders>
              <w:top w:val="nil"/>
              <w:left w:val="nil"/>
              <w:bottom w:val="nil"/>
              <w:right w:val="nil"/>
            </w:tcBorders>
            <w:shd w:val="clear" w:color="auto" w:fill="auto"/>
            <w:noWrap/>
            <w:vAlign w:val="center"/>
            <w:hideMark/>
          </w:tcPr>
          <w:p w14:paraId="11E940A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4,9</w:t>
            </w:r>
          </w:p>
        </w:tc>
        <w:tc>
          <w:tcPr>
            <w:tcW w:w="567" w:type="dxa"/>
            <w:tcBorders>
              <w:top w:val="nil"/>
              <w:left w:val="nil"/>
              <w:bottom w:val="nil"/>
              <w:right w:val="nil"/>
            </w:tcBorders>
            <w:shd w:val="clear" w:color="auto" w:fill="auto"/>
            <w:noWrap/>
            <w:vAlign w:val="center"/>
            <w:hideMark/>
          </w:tcPr>
          <w:p w14:paraId="3C63069D"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5,8</w:t>
            </w:r>
          </w:p>
        </w:tc>
        <w:tc>
          <w:tcPr>
            <w:tcW w:w="567" w:type="dxa"/>
            <w:tcBorders>
              <w:top w:val="nil"/>
              <w:left w:val="nil"/>
              <w:bottom w:val="nil"/>
              <w:right w:val="nil"/>
            </w:tcBorders>
            <w:shd w:val="clear" w:color="auto" w:fill="auto"/>
            <w:noWrap/>
            <w:vAlign w:val="center"/>
            <w:hideMark/>
          </w:tcPr>
          <w:p w14:paraId="3E017FBD"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6,0</w:t>
            </w:r>
          </w:p>
        </w:tc>
        <w:tc>
          <w:tcPr>
            <w:tcW w:w="567" w:type="dxa"/>
            <w:tcBorders>
              <w:top w:val="nil"/>
              <w:left w:val="nil"/>
              <w:bottom w:val="nil"/>
              <w:right w:val="nil"/>
            </w:tcBorders>
            <w:shd w:val="clear" w:color="auto" w:fill="auto"/>
            <w:noWrap/>
            <w:vAlign w:val="center"/>
            <w:hideMark/>
          </w:tcPr>
          <w:p w14:paraId="5A8E532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5,6</w:t>
            </w:r>
          </w:p>
        </w:tc>
        <w:tc>
          <w:tcPr>
            <w:tcW w:w="567" w:type="dxa"/>
            <w:tcBorders>
              <w:top w:val="nil"/>
              <w:left w:val="nil"/>
              <w:bottom w:val="nil"/>
              <w:right w:val="nil"/>
            </w:tcBorders>
            <w:shd w:val="clear" w:color="auto" w:fill="auto"/>
            <w:noWrap/>
            <w:vAlign w:val="center"/>
            <w:hideMark/>
          </w:tcPr>
          <w:p w14:paraId="21198CD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6,0</w:t>
            </w:r>
          </w:p>
        </w:tc>
        <w:tc>
          <w:tcPr>
            <w:tcW w:w="567" w:type="dxa"/>
            <w:tcBorders>
              <w:top w:val="nil"/>
              <w:left w:val="nil"/>
              <w:bottom w:val="nil"/>
              <w:right w:val="nil"/>
            </w:tcBorders>
            <w:shd w:val="clear" w:color="auto" w:fill="auto"/>
            <w:noWrap/>
            <w:vAlign w:val="center"/>
            <w:hideMark/>
          </w:tcPr>
          <w:p w14:paraId="6C3CBD0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7,9</w:t>
            </w:r>
          </w:p>
        </w:tc>
        <w:tc>
          <w:tcPr>
            <w:tcW w:w="567" w:type="dxa"/>
            <w:vAlign w:val="center"/>
          </w:tcPr>
          <w:p w14:paraId="712C2308" w14:textId="77777777" w:rsidR="006C1C86" w:rsidRPr="000F2639" w:rsidRDefault="006C1C86" w:rsidP="006C1C86">
            <w:pPr>
              <w:spacing w:after="0" w:line="240" w:lineRule="auto"/>
              <w:jc w:val="center"/>
            </w:pPr>
            <w:r w:rsidRPr="000F2639">
              <w:rPr>
                <w:rFonts w:cs="Arial"/>
                <w:color w:val="000000"/>
                <w:sz w:val="16"/>
                <w:szCs w:val="16"/>
              </w:rPr>
              <w:t>7,9</w:t>
            </w:r>
          </w:p>
        </w:tc>
        <w:tc>
          <w:tcPr>
            <w:tcW w:w="567" w:type="dxa"/>
            <w:vAlign w:val="center"/>
          </w:tcPr>
          <w:p w14:paraId="7A7F0630" w14:textId="42F32DC3" w:rsidR="006C1C86" w:rsidRPr="000F2639" w:rsidRDefault="006C1C86" w:rsidP="006C1C86">
            <w:pPr>
              <w:spacing w:after="0" w:line="240" w:lineRule="auto"/>
              <w:jc w:val="center"/>
              <w:rPr>
                <w:rFonts w:cs="Arial"/>
                <w:color w:val="000000"/>
                <w:sz w:val="16"/>
                <w:szCs w:val="16"/>
              </w:rPr>
            </w:pPr>
            <w:r>
              <w:rPr>
                <w:rFonts w:cs="Arial"/>
                <w:color w:val="000000"/>
                <w:sz w:val="16"/>
                <w:szCs w:val="16"/>
              </w:rPr>
              <w:t>6,6</w:t>
            </w:r>
          </w:p>
        </w:tc>
      </w:tr>
      <w:tr w:rsidR="006C1C86" w:rsidRPr="000F2639" w14:paraId="53CF5F1A" w14:textId="761D54D9" w:rsidTr="00EE02F9">
        <w:trPr>
          <w:trHeight w:val="300"/>
        </w:trPr>
        <w:tc>
          <w:tcPr>
            <w:tcW w:w="3401" w:type="dxa"/>
            <w:tcBorders>
              <w:top w:val="nil"/>
              <w:left w:val="nil"/>
              <w:bottom w:val="nil"/>
              <w:right w:val="single" w:sz="4" w:space="0" w:color="auto"/>
            </w:tcBorders>
            <w:shd w:val="clear" w:color="auto" w:fill="auto"/>
            <w:vAlign w:val="center"/>
            <w:hideMark/>
          </w:tcPr>
          <w:p w14:paraId="1A133CDE"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C – Zpracovatelský průmysl</w:t>
            </w:r>
          </w:p>
        </w:tc>
        <w:tc>
          <w:tcPr>
            <w:tcW w:w="567" w:type="dxa"/>
            <w:tcBorders>
              <w:top w:val="nil"/>
              <w:left w:val="nil"/>
              <w:bottom w:val="nil"/>
              <w:right w:val="nil"/>
            </w:tcBorders>
            <w:shd w:val="clear" w:color="auto" w:fill="auto"/>
            <w:noWrap/>
            <w:vAlign w:val="center"/>
            <w:hideMark/>
          </w:tcPr>
          <w:p w14:paraId="41B8063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4,2</w:t>
            </w:r>
          </w:p>
        </w:tc>
        <w:tc>
          <w:tcPr>
            <w:tcW w:w="567" w:type="dxa"/>
            <w:tcBorders>
              <w:top w:val="nil"/>
              <w:left w:val="nil"/>
              <w:bottom w:val="nil"/>
              <w:right w:val="nil"/>
            </w:tcBorders>
            <w:shd w:val="clear" w:color="auto" w:fill="auto"/>
            <w:noWrap/>
            <w:vAlign w:val="center"/>
            <w:hideMark/>
          </w:tcPr>
          <w:p w14:paraId="4BD3E7A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4,5</w:t>
            </w:r>
          </w:p>
        </w:tc>
        <w:tc>
          <w:tcPr>
            <w:tcW w:w="567" w:type="dxa"/>
            <w:tcBorders>
              <w:top w:val="nil"/>
              <w:left w:val="nil"/>
              <w:bottom w:val="nil"/>
              <w:right w:val="nil"/>
            </w:tcBorders>
            <w:shd w:val="clear" w:color="auto" w:fill="auto"/>
            <w:noWrap/>
            <w:vAlign w:val="center"/>
            <w:hideMark/>
          </w:tcPr>
          <w:p w14:paraId="1B6B439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4,6</w:t>
            </w:r>
          </w:p>
        </w:tc>
        <w:tc>
          <w:tcPr>
            <w:tcW w:w="567" w:type="dxa"/>
            <w:tcBorders>
              <w:top w:val="nil"/>
              <w:left w:val="nil"/>
              <w:bottom w:val="nil"/>
              <w:right w:val="nil"/>
            </w:tcBorders>
            <w:shd w:val="clear" w:color="auto" w:fill="auto"/>
            <w:noWrap/>
            <w:vAlign w:val="center"/>
            <w:hideMark/>
          </w:tcPr>
          <w:p w14:paraId="7D0DDC9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5,1</w:t>
            </w:r>
          </w:p>
        </w:tc>
        <w:tc>
          <w:tcPr>
            <w:tcW w:w="567" w:type="dxa"/>
            <w:tcBorders>
              <w:top w:val="nil"/>
              <w:left w:val="nil"/>
              <w:bottom w:val="nil"/>
              <w:right w:val="nil"/>
            </w:tcBorders>
            <w:shd w:val="clear" w:color="auto" w:fill="auto"/>
            <w:noWrap/>
            <w:vAlign w:val="center"/>
            <w:hideMark/>
          </w:tcPr>
          <w:p w14:paraId="17D45EA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5,5</w:t>
            </w:r>
          </w:p>
        </w:tc>
        <w:tc>
          <w:tcPr>
            <w:tcW w:w="567" w:type="dxa"/>
            <w:tcBorders>
              <w:top w:val="nil"/>
              <w:left w:val="nil"/>
              <w:bottom w:val="nil"/>
              <w:right w:val="nil"/>
            </w:tcBorders>
            <w:shd w:val="clear" w:color="auto" w:fill="auto"/>
            <w:noWrap/>
            <w:vAlign w:val="center"/>
            <w:hideMark/>
          </w:tcPr>
          <w:p w14:paraId="4940FA2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5,5</w:t>
            </w:r>
          </w:p>
        </w:tc>
        <w:tc>
          <w:tcPr>
            <w:tcW w:w="567" w:type="dxa"/>
            <w:tcBorders>
              <w:top w:val="nil"/>
              <w:left w:val="nil"/>
              <w:bottom w:val="nil"/>
              <w:right w:val="nil"/>
            </w:tcBorders>
            <w:shd w:val="clear" w:color="auto" w:fill="auto"/>
            <w:noWrap/>
            <w:vAlign w:val="center"/>
            <w:hideMark/>
          </w:tcPr>
          <w:p w14:paraId="5CCA565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5,9</w:t>
            </w:r>
          </w:p>
        </w:tc>
        <w:tc>
          <w:tcPr>
            <w:tcW w:w="567" w:type="dxa"/>
            <w:tcBorders>
              <w:top w:val="nil"/>
              <w:left w:val="nil"/>
              <w:bottom w:val="nil"/>
              <w:right w:val="nil"/>
            </w:tcBorders>
            <w:shd w:val="clear" w:color="auto" w:fill="auto"/>
            <w:noWrap/>
            <w:vAlign w:val="center"/>
            <w:hideMark/>
          </w:tcPr>
          <w:p w14:paraId="595EC76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6,2</w:t>
            </w:r>
          </w:p>
        </w:tc>
        <w:tc>
          <w:tcPr>
            <w:tcW w:w="567" w:type="dxa"/>
            <w:tcBorders>
              <w:top w:val="nil"/>
              <w:left w:val="nil"/>
              <w:bottom w:val="nil"/>
              <w:right w:val="nil"/>
            </w:tcBorders>
            <w:shd w:val="clear" w:color="auto" w:fill="auto"/>
            <w:noWrap/>
            <w:vAlign w:val="center"/>
            <w:hideMark/>
          </w:tcPr>
          <w:p w14:paraId="2413BF8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7,3</w:t>
            </w:r>
          </w:p>
        </w:tc>
        <w:tc>
          <w:tcPr>
            <w:tcW w:w="567" w:type="dxa"/>
            <w:vAlign w:val="center"/>
          </w:tcPr>
          <w:p w14:paraId="24A7C8CE" w14:textId="77777777" w:rsidR="006C1C86" w:rsidRPr="000F2639" w:rsidRDefault="006C1C86" w:rsidP="006C1C86">
            <w:pPr>
              <w:spacing w:after="0" w:line="240" w:lineRule="auto"/>
              <w:jc w:val="center"/>
            </w:pPr>
            <w:r w:rsidRPr="000F2639">
              <w:rPr>
                <w:rFonts w:cs="Arial"/>
                <w:color w:val="000000"/>
                <w:sz w:val="16"/>
                <w:szCs w:val="16"/>
              </w:rPr>
              <w:t>7,4</w:t>
            </w:r>
          </w:p>
        </w:tc>
        <w:tc>
          <w:tcPr>
            <w:tcW w:w="567" w:type="dxa"/>
            <w:vAlign w:val="center"/>
          </w:tcPr>
          <w:p w14:paraId="5E4CFAF2" w14:textId="65D251E8" w:rsidR="006C1C86" w:rsidRPr="000F2639" w:rsidRDefault="006C1C86" w:rsidP="006C1C86">
            <w:pPr>
              <w:spacing w:after="0" w:line="240" w:lineRule="auto"/>
              <w:jc w:val="center"/>
              <w:rPr>
                <w:rFonts w:cs="Arial"/>
                <w:color w:val="000000"/>
                <w:sz w:val="16"/>
                <w:szCs w:val="16"/>
              </w:rPr>
            </w:pPr>
            <w:r>
              <w:rPr>
                <w:rFonts w:cs="Arial"/>
                <w:color w:val="000000"/>
                <w:sz w:val="16"/>
                <w:szCs w:val="16"/>
              </w:rPr>
              <w:t>6,9</w:t>
            </w:r>
          </w:p>
        </w:tc>
      </w:tr>
      <w:tr w:rsidR="006C1C86" w:rsidRPr="000F2639" w14:paraId="4E2E7679" w14:textId="4A440854" w:rsidTr="00EE02F9">
        <w:trPr>
          <w:trHeight w:val="480"/>
        </w:trPr>
        <w:tc>
          <w:tcPr>
            <w:tcW w:w="3401" w:type="dxa"/>
            <w:tcBorders>
              <w:top w:val="nil"/>
              <w:left w:val="nil"/>
              <w:bottom w:val="nil"/>
              <w:right w:val="single" w:sz="4" w:space="0" w:color="auto"/>
            </w:tcBorders>
            <w:shd w:val="clear" w:color="auto" w:fill="auto"/>
            <w:vAlign w:val="center"/>
            <w:hideMark/>
          </w:tcPr>
          <w:p w14:paraId="5580413C"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 xml:space="preserve">D – Výroba a rozvod elektřiny, plynu, tepla    </w:t>
            </w:r>
          </w:p>
          <w:p w14:paraId="34537E01"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 xml:space="preserve">      a klimatizovaného vzduchu</w:t>
            </w:r>
          </w:p>
        </w:tc>
        <w:tc>
          <w:tcPr>
            <w:tcW w:w="567" w:type="dxa"/>
            <w:tcBorders>
              <w:top w:val="nil"/>
              <w:left w:val="nil"/>
              <w:bottom w:val="nil"/>
              <w:right w:val="nil"/>
            </w:tcBorders>
            <w:shd w:val="clear" w:color="auto" w:fill="auto"/>
            <w:noWrap/>
            <w:vAlign w:val="center"/>
            <w:hideMark/>
          </w:tcPr>
          <w:p w14:paraId="15762C3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2,0</w:t>
            </w:r>
          </w:p>
        </w:tc>
        <w:tc>
          <w:tcPr>
            <w:tcW w:w="567" w:type="dxa"/>
            <w:tcBorders>
              <w:top w:val="nil"/>
              <w:left w:val="nil"/>
              <w:bottom w:val="nil"/>
              <w:right w:val="nil"/>
            </w:tcBorders>
            <w:shd w:val="clear" w:color="auto" w:fill="auto"/>
            <w:noWrap/>
            <w:vAlign w:val="center"/>
            <w:hideMark/>
          </w:tcPr>
          <w:p w14:paraId="718A042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2,1</w:t>
            </w:r>
          </w:p>
        </w:tc>
        <w:tc>
          <w:tcPr>
            <w:tcW w:w="567" w:type="dxa"/>
            <w:tcBorders>
              <w:top w:val="nil"/>
              <w:left w:val="nil"/>
              <w:bottom w:val="nil"/>
              <w:right w:val="nil"/>
            </w:tcBorders>
            <w:shd w:val="clear" w:color="auto" w:fill="auto"/>
            <w:noWrap/>
            <w:vAlign w:val="center"/>
            <w:hideMark/>
          </w:tcPr>
          <w:p w14:paraId="56CD5CE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2,2</w:t>
            </w:r>
          </w:p>
        </w:tc>
        <w:tc>
          <w:tcPr>
            <w:tcW w:w="567" w:type="dxa"/>
            <w:tcBorders>
              <w:top w:val="nil"/>
              <w:left w:val="nil"/>
              <w:bottom w:val="nil"/>
              <w:right w:val="nil"/>
            </w:tcBorders>
            <w:shd w:val="clear" w:color="auto" w:fill="auto"/>
            <w:noWrap/>
            <w:vAlign w:val="center"/>
            <w:hideMark/>
          </w:tcPr>
          <w:p w14:paraId="1F71C79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2,5</w:t>
            </w:r>
          </w:p>
        </w:tc>
        <w:tc>
          <w:tcPr>
            <w:tcW w:w="567" w:type="dxa"/>
            <w:tcBorders>
              <w:top w:val="nil"/>
              <w:left w:val="nil"/>
              <w:bottom w:val="nil"/>
              <w:right w:val="nil"/>
            </w:tcBorders>
            <w:shd w:val="clear" w:color="auto" w:fill="auto"/>
            <w:noWrap/>
            <w:vAlign w:val="center"/>
            <w:hideMark/>
          </w:tcPr>
          <w:p w14:paraId="6B028BC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tcBorders>
              <w:top w:val="nil"/>
              <w:left w:val="nil"/>
              <w:bottom w:val="nil"/>
              <w:right w:val="nil"/>
            </w:tcBorders>
            <w:shd w:val="clear" w:color="auto" w:fill="auto"/>
            <w:noWrap/>
            <w:vAlign w:val="center"/>
            <w:hideMark/>
          </w:tcPr>
          <w:p w14:paraId="5BB9134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2,8</w:t>
            </w:r>
          </w:p>
        </w:tc>
        <w:tc>
          <w:tcPr>
            <w:tcW w:w="567" w:type="dxa"/>
            <w:tcBorders>
              <w:top w:val="nil"/>
              <w:left w:val="nil"/>
              <w:bottom w:val="nil"/>
              <w:right w:val="nil"/>
            </w:tcBorders>
            <w:shd w:val="clear" w:color="auto" w:fill="auto"/>
            <w:noWrap/>
            <w:vAlign w:val="center"/>
            <w:hideMark/>
          </w:tcPr>
          <w:p w14:paraId="6626723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2,9</w:t>
            </w:r>
          </w:p>
        </w:tc>
        <w:tc>
          <w:tcPr>
            <w:tcW w:w="567" w:type="dxa"/>
            <w:tcBorders>
              <w:top w:val="nil"/>
              <w:left w:val="nil"/>
              <w:bottom w:val="nil"/>
              <w:right w:val="nil"/>
            </w:tcBorders>
            <w:shd w:val="clear" w:color="auto" w:fill="auto"/>
            <w:noWrap/>
            <w:vAlign w:val="center"/>
            <w:hideMark/>
          </w:tcPr>
          <w:p w14:paraId="6BF8DB3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tcBorders>
              <w:top w:val="nil"/>
              <w:left w:val="nil"/>
              <w:bottom w:val="nil"/>
              <w:right w:val="nil"/>
            </w:tcBorders>
            <w:shd w:val="clear" w:color="auto" w:fill="auto"/>
            <w:noWrap/>
            <w:vAlign w:val="center"/>
            <w:hideMark/>
          </w:tcPr>
          <w:p w14:paraId="44FE6CAD"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3,3</w:t>
            </w:r>
          </w:p>
        </w:tc>
        <w:tc>
          <w:tcPr>
            <w:tcW w:w="567" w:type="dxa"/>
            <w:vAlign w:val="center"/>
          </w:tcPr>
          <w:p w14:paraId="6F9BFC64" w14:textId="77777777" w:rsidR="006C1C86" w:rsidRPr="000F2639" w:rsidRDefault="006C1C86" w:rsidP="006C1C86">
            <w:pPr>
              <w:spacing w:after="0" w:line="240" w:lineRule="auto"/>
              <w:jc w:val="center"/>
            </w:pPr>
            <w:r w:rsidRPr="000F2639">
              <w:rPr>
                <w:rFonts w:cs="Arial"/>
                <w:color w:val="000000"/>
                <w:sz w:val="16"/>
                <w:szCs w:val="16"/>
              </w:rPr>
              <w:t>3,6</w:t>
            </w:r>
          </w:p>
        </w:tc>
        <w:tc>
          <w:tcPr>
            <w:tcW w:w="567" w:type="dxa"/>
            <w:vAlign w:val="center"/>
          </w:tcPr>
          <w:p w14:paraId="2F00665E" w14:textId="7ED7E771" w:rsidR="006C1C86" w:rsidRPr="000F2639" w:rsidRDefault="006C1C86" w:rsidP="006C1C86">
            <w:pPr>
              <w:spacing w:after="0" w:line="240" w:lineRule="auto"/>
              <w:jc w:val="center"/>
              <w:rPr>
                <w:rFonts w:cs="Arial"/>
                <w:color w:val="000000"/>
                <w:sz w:val="16"/>
                <w:szCs w:val="16"/>
              </w:rPr>
            </w:pPr>
            <w:r>
              <w:rPr>
                <w:rFonts w:cs="Arial"/>
                <w:color w:val="000000"/>
                <w:sz w:val="16"/>
                <w:szCs w:val="16"/>
              </w:rPr>
              <w:t>3,4</w:t>
            </w:r>
          </w:p>
        </w:tc>
      </w:tr>
      <w:tr w:rsidR="006C1C86" w:rsidRPr="000F2639" w14:paraId="2A3AB120" w14:textId="3D63F48C" w:rsidTr="00EE02F9">
        <w:trPr>
          <w:trHeight w:val="480"/>
        </w:trPr>
        <w:tc>
          <w:tcPr>
            <w:tcW w:w="3401" w:type="dxa"/>
            <w:tcBorders>
              <w:top w:val="nil"/>
              <w:left w:val="nil"/>
              <w:bottom w:val="nil"/>
              <w:right w:val="single" w:sz="4" w:space="0" w:color="auto"/>
            </w:tcBorders>
            <w:shd w:val="clear" w:color="auto" w:fill="auto"/>
            <w:vAlign w:val="center"/>
            <w:hideMark/>
          </w:tcPr>
          <w:p w14:paraId="6783DA65"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 xml:space="preserve">E – Zásobování vodou; činnosti </w:t>
            </w:r>
            <w:r w:rsidRPr="000F2639">
              <w:rPr>
                <w:rFonts w:cs="Arial"/>
                <w:color w:val="000000"/>
                <w:sz w:val="16"/>
                <w:szCs w:val="16"/>
              </w:rPr>
              <w:br/>
              <w:t xml:space="preserve">          související s odpady a sanacemi</w:t>
            </w:r>
          </w:p>
        </w:tc>
        <w:tc>
          <w:tcPr>
            <w:tcW w:w="567" w:type="dxa"/>
            <w:tcBorders>
              <w:top w:val="nil"/>
              <w:left w:val="nil"/>
              <w:bottom w:val="nil"/>
              <w:right w:val="nil"/>
            </w:tcBorders>
            <w:shd w:val="clear" w:color="auto" w:fill="auto"/>
            <w:noWrap/>
            <w:vAlign w:val="center"/>
            <w:hideMark/>
          </w:tcPr>
          <w:p w14:paraId="618D792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3,4</w:t>
            </w:r>
          </w:p>
        </w:tc>
        <w:tc>
          <w:tcPr>
            <w:tcW w:w="567" w:type="dxa"/>
            <w:tcBorders>
              <w:top w:val="nil"/>
              <w:left w:val="nil"/>
              <w:bottom w:val="nil"/>
              <w:right w:val="nil"/>
            </w:tcBorders>
            <w:shd w:val="clear" w:color="auto" w:fill="auto"/>
            <w:noWrap/>
            <w:vAlign w:val="center"/>
            <w:hideMark/>
          </w:tcPr>
          <w:p w14:paraId="0B6E5E3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3,7</w:t>
            </w:r>
          </w:p>
        </w:tc>
        <w:tc>
          <w:tcPr>
            <w:tcW w:w="567" w:type="dxa"/>
            <w:tcBorders>
              <w:top w:val="nil"/>
              <w:left w:val="nil"/>
              <w:bottom w:val="nil"/>
              <w:right w:val="nil"/>
            </w:tcBorders>
            <w:shd w:val="clear" w:color="auto" w:fill="auto"/>
            <w:noWrap/>
            <w:vAlign w:val="center"/>
            <w:hideMark/>
          </w:tcPr>
          <w:p w14:paraId="2420ED3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3,9</w:t>
            </w:r>
          </w:p>
        </w:tc>
        <w:tc>
          <w:tcPr>
            <w:tcW w:w="567" w:type="dxa"/>
            <w:tcBorders>
              <w:top w:val="nil"/>
              <w:left w:val="nil"/>
              <w:bottom w:val="nil"/>
              <w:right w:val="nil"/>
            </w:tcBorders>
            <w:shd w:val="clear" w:color="auto" w:fill="auto"/>
            <w:noWrap/>
            <w:vAlign w:val="center"/>
            <w:hideMark/>
          </w:tcPr>
          <w:p w14:paraId="1E387E1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4,3</w:t>
            </w:r>
          </w:p>
        </w:tc>
        <w:tc>
          <w:tcPr>
            <w:tcW w:w="567" w:type="dxa"/>
            <w:tcBorders>
              <w:top w:val="nil"/>
              <w:left w:val="nil"/>
              <w:bottom w:val="nil"/>
              <w:right w:val="nil"/>
            </w:tcBorders>
            <w:shd w:val="clear" w:color="auto" w:fill="auto"/>
            <w:noWrap/>
            <w:vAlign w:val="center"/>
            <w:hideMark/>
          </w:tcPr>
          <w:p w14:paraId="784B0E6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4,4</w:t>
            </w:r>
          </w:p>
        </w:tc>
        <w:tc>
          <w:tcPr>
            <w:tcW w:w="567" w:type="dxa"/>
            <w:tcBorders>
              <w:top w:val="nil"/>
              <w:left w:val="nil"/>
              <w:bottom w:val="nil"/>
              <w:right w:val="nil"/>
            </w:tcBorders>
            <w:shd w:val="clear" w:color="auto" w:fill="auto"/>
            <w:noWrap/>
            <w:vAlign w:val="center"/>
            <w:hideMark/>
          </w:tcPr>
          <w:p w14:paraId="7274668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4,6</w:t>
            </w:r>
          </w:p>
        </w:tc>
        <w:tc>
          <w:tcPr>
            <w:tcW w:w="567" w:type="dxa"/>
            <w:tcBorders>
              <w:top w:val="nil"/>
              <w:left w:val="nil"/>
              <w:bottom w:val="nil"/>
              <w:right w:val="nil"/>
            </w:tcBorders>
            <w:shd w:val="clear" w:color="auto" w:fill="auto"/>
            <w:noWrap/>
            <w:vAlign w:val="center"/>
            <w:hideMark/>
          </w:tcPr>
          <w:p w14:paraId="768E0C1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4,9</w:t>
            </w:r>
          </w:p>
        </w:tc>
        <w:tc>
          <w:tcPr>
            <w:tcW w:w="567" w:type="dxa"/>
            <w:tcBorders>
              <w:top w:val="nil"/>
              <w:left w:val="nil"/>
              <w:bottom w:val="nil"/>
              <w:right w:val="nil"/>
            </w:tcBorders>
            <w:shd w:val="clear" w:color="auto" w:fill="auto"/>
            <w:noWrap/>
            <w:vAlign w:val="center"/>
            <w:hideMark/>
          </w:tcPr>
          <w:p w14:paraId="4273312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5,2</w:t>
            </w:r>
          </w:p>
        </w:tc>
        <w:tc>
          <w:tcPr>
            <w:tcW w:w="567" w:type="dxa"/>
            <w:tcBorders>
              <w:top w:val="nil"/>
              <w:left w:val="nil"/>
              <w:bottom w:val="nil"/>
              <w:right w:val="nil"/>
            </w:tcBorders>
            <w:shd w:val="clear" w:color="auto" w:fill="auto"/>
            <w:noWrap/>
            <w:vAlign w:val="center"/>
            <w:hideMark/>
          </w:tcPr>
          <w:p w14:paraId="5831EB8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5,9</w:t>
            </w:r>
          </w:p>
        </w:tc>
        <w:tc>
          <w:tcPr>
            <w:tcW w:w="567" w:type="dxa"/>
            <w:vAlign w:val="center"/>
          </w:tcPr>
          <w:p w14:paraId="0E248623" w14:textId="59EC2B15" w:rsidR="006C1C86" w:rsidRPr="000F2639" w:rsidRDefault="006C1C86" w:rsidP="006C1C86">
            <w:pPr>
              <w:spacing w:after="0" w:line="240" w:lineRule="auto"/>
              <w:jc w:val="center"/>
            </w:pPr>
            <w:r>
              <w:rPr>
                <w:noProof/>
              </w:rPr>
              <mc:AlternateContent>
                <mc:Choice Requires="wps">
                  <w:drawing>
                    <wp:anchor distT="0" distB="0" distL="114300" distR="114300" simplePos="0" relativeHeight="251728384" behindDoc="0" locked="0" layoutInCell="1" allowOverlap="1" wp14:anchorId="5D71BFC8" wp14:editId="1A93CB7F">
                      <wp:simplePos x="0" y="0"/>
                      <wp:positionH relativeFrom="column">
                        <wp:posOffset>307975</wp:posOffset>
                      </wp:positionH>
                      <wp:positionV relativeFrom="paragraph">
                        <wp:posOffset>-1260475</wp:posOffset>
                      </wp:positionV>
                      <wp:extent cx="0" cy="4428000"/>
                      <wp:effectExtent l="57150" t="19050" r="76200" b="86995"/>
                      <wp:wrapNone/>
                      <wp:docPr id="55" name="Přímá spojnice 3"/>
                      <wp:cNvGraphicFramePr/>
                      <a:graphic xmlns:a="http://schemas.openxmlformats.org/drawingml/2006/main">
                        <a:graphicData uri="http://schemas.microsoft.com/office/word/2010/wordprocessingShape">
                          <wps:wsp>
                            <wps:cNvCnPr/>
                            <wps:spPr>
                              <a:xfrm>
                                <a:off x="0" y="0"/>
                                <a:ext cx="0" cy="442800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9B7298" id="Přímá spojnice 3" o:spid="_x0000_s1026" style="position:absolute;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25pt,-99.25pt" to="24.25pt,24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" strokecolor="#c00000" strokeweight=".5pt">
                      <v:stroke dashstyle="dash"/>
                      <v:shadow on="t" color="black" opacity="24903f" origin=",.5" offset="0,.55556mm"/>
                    </v:line>
                  </w:pict>
                </mc:Fallback>
              </mc:AlternateContent>
            </w:r>
            <w:r w:rsidRPr="000F2639">
              <w:rPr>
                <w:rFonts w:cs="Arial"/>
                <w:color w:val="000000"/>
                <w:sz w:val="16"/>
                <w:szCs w:val="16"/>
              </w:rPr>
              <w:t>6,5</w:t>
            </w:r>
          </w:p>
        </w:tc>
        <w:tc>
          <w:tcPr>
            <w:tcW w:w="567" w:type="dxa"/>
            <w:vAlign w:val="center"/>
          </w:tcPr>
          <w:p w14:paraId="3EA974E1" w14:textId="4678B8FF" w:rsidR="006C1C86" w:rsidRPr="000F2639" w:rsidRDefault="006C1C86" w:rsidP="006C1C86">
            <w:pPr>
              <w:spacing w:after="0" w:line="240" w:lineRule="auto"/>
              <w:jc w:val="center"/>
              <w:rPr>
                <w:rFonts w:cs="Arial"/>
                <w:color w:val="000000"/>
                <w:sz w:val="16"/>
                <w:szCs w:val="16"/>
              </w:rPr>
            </w:pPr>
            <w:r>
              <w:rPr>
                <w:rFonts w:cs="Arial"/>
                <w:color w:val="000000"/>
                <w:sz w:val="16"/>
                <w:szCs w:val="16"/>
              </w:rPr>
              <w:t>6,1</w:t>
            </w:r>
          </w:p>
        </w:tc>
      </w:tr>
      <w:tr w:rsidR="006C1C86" w:rsidRPr="000F2639" w14:paraId="6028F747" w14:textId="05F5A34C" w:rsidTr="00EE02F9">
        <w:trPr>
          <w:trHeight w:val="300"/>
        </w:trPr>
        <w:tc>
          <w:tcPr>
            <w:tcW w:w="3401" w:type="dxa"/>
            <w:tcBorders>
              <w:top w:val="nil"/>
              <w:left w:val="nil"/>
              <w:bottom w:val="nil"/>
              <w:right w:val="single" w:sz="4" w:space="0" w:color="auto"/>
            </w:tcBorders>
            <w:shd w:val="clear" w:color="auto" w:fill="auto"/>
            <w:vAlign w:val="center"/>
            <w:hideMark/>
          </w:tcPr>
          <w:p w14:paraId="28A9EC3F"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F – Stavebnictví</w:t>
            </w:r>
          </w:p>
        </w:tc>
        <w:tc>
          <w:tcPr>
            <w:tcW w:w="567" w:type="dxa"/>
            <w:tcBorders>
              <w:top w:val="nil"/>
              <w:left w:val="nil"/>
              <w:bottom w:val="nil"/>
              <w:right w:val="nil"/>
            </w:tcBorders>
            <w:shd w:val="clear" w:color="auto" w:fill="auto"/>
            <w:noWrap/>
            <w:vAlign w:val="center"/>
            <w:hideMark/>
          </w:tcPr>
          <w:p w14:paraId="343A726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4,2</w:t>
            </w:r>
          </w:p>
        </w:tc>
        <w:tc>
          <w:tcPr>
            <w:tcW w:w="567" w:type="dxa"/>
            <w:tcBorders>
              <w:top w:val="nil"/>
              <w:left w:val="nil"/>
              <w:bottom w:val="nil"/>
              <w:right w:val="nil"/>
            </w:tcBorders>
            <w:shd w:val="clear" w:color="auto" w:fill="auto"/>
            <w:noWrap/>
            <w:vAlign w:val="center"/>
            <w:hideMark/>
          </w:tcPr>
          <w:p w14:paraId="4142EF1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4,5</w:t>
            </w:r>
          </w:p>
        </w:tc>
        <w:tc>
          <w:tcPr>
            <w:tcW w:w="567" w:type="dxa"/>
            <w:tcBorders>
              <w:top w:val="nil"/>
              <w:left w:val="nil"/>
              <w:bottom w:val="nil"/>
              <w:right w:val="nil"/>
            </w:tcBorders>
            <w:shd w:val="clear" w:color="auto" w:fill="auto"/>
            <w:noWrap/>
            <w:vAlign w:val="center"/>
            <w:hideMark/>
          </w:tcPr>
          <w:p w14:paraId="3FDB4F3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4,4</w:t>
            </w:r>
          </w:p>
        </w:tc>
        <w:tc>
          <w:tcPr>
            <w:tcW w:w="567" w:type="dxa"/>
            <w:tcBorders>
              <w:top w:val="nil"/>
              <w:left w:val="nil"/>
              <w:bottom w:val="nil"/>
              <w:right w:val="nil"/>
            </w:tcBorders>
            <w:shd w:val="clear" w:color="auto" w:fill="auto"/>
            <w:noWrap/>
            <w:vAlign w:val="center"/>
            <w:hideMark/>
          </w:tcPr>
          <w:p w14:paraId="5B7B1FF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4,6</w:t>
            </w:r>
          </w:p>
        </w:tc>
        <w:tc>
          <w:tcPr>
            <w:tcW w:w="567" w:type="dxa"/>
            <w:tcBorders>
              <w:top w:val="nil"/>
              <w:left w:val="nil"/>
              <w:bottom w:val="nil"/>
              <w:right w:val="nil"/>
            </w:tcBorders>
            <w:shd w:val="clear" w:color="auto" w:fill="auto"/>
            <w:noWrap/>
            <w:vAlign w:val="center"/>
            <w:hideMark/>
          </w:tcPr>
          <w:p w14:paraId="1D85190D"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4,7</w:t>
            </w:r>
          </w:p>
        </w:tc>
        <w:tc>
          <w:tcPr>
            <w:tcW w:w="567" w:type="dxa"/>
            <w:tcBorders>
              <w:top w:val="nil"/>
              <w:left w:val="nil"/>
              <w:bottom w:val="nil"/>
              <w:right w:val="nil"/>
            </w:tcBorders>
            <w:shd w:val="clear" w:color="auto" w:fill="auto"/>
            <w:noWrap/>
            <w:vAlign w:val="center"/>
            <w:hideMark/>
          </w:tcPr>
          <w:p w14:paraId="161EB98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4,7</w:t>
            </w:r>
          </w:p>
        </w:tc>
        <w:tc>
          <w:tcPr>
            <w:tcW w:w="567" w:type="dxa"/>
            <w:tcBorders>
              <w:top w:val="nil"/>
              <w:left w:val="nil"/>
              <w:bottom w:val="nil"/>
              <w:right w:val="nil"/>
            </w:tcBorders>
            <w:shd w:val="clear" w:color="auto" w:fill="auto"/>
            <w:noWrap/>
            <w:vAlign w:val="center"/>
            <w:hideMark/>
          </w:tcPr>
          <w:p w14:paraId="33C1280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4,7</w:t>
            </w:r>
          </w:p>
        </w:tc>
        <w:tc>
          <w:tcPr>
            <w:tcW w:w="567" w:type="dxa"/>
            <w:tcBorders>
              <w:top w:val="nil"/>
              <w:left w:val="nil"/>
              <w:bottom w:val="nil"/>
              <w:right w:val="nil"/>
            </w:tcBorders>
            <w:shd w:val="clear" w:color="auto" w:fill="auto"/>
            <w:noWrap/>
            <w:vAlign w:val="center"/>
            <w:hideMark/>
          </w:tcPr>
          <w:p w14:paraId="142A155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4,8</w:t>
            </w:r>
          </w:p>
        </w:tc>
        <w:tc>
          <w:tcPr>
            <w:tcW w:w="567" w:type="dxa"/>
            <w:tcBorders>
              <w:top w:val="nil"/>
              <w:left w:val="nil"/>
              <w:bottom w:val="nil"/>
              <w:right w:val="nil"/>
            </w:tcBorders>
            <w:shd w:val="clear" w:color="auto" w:fill="auto"/>
            <w:noWrap/>
            <w:vAlign w:val="center"/>
            <w:hideMark/>
          </w:tcPr>
          <w:p w14:paraId="2D80D72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5,5</w:t>
            </w:r>
          </w:p>
        </w:tc>
        <w:tc>
          <w:tcPr>
            <w:tcW w:w="567" w:type="dxa"/>
            <w:vAlign w:val="center"/>
          </w:tcPr>
          <w:p w14:paraId="42CA2637" w14:textId="7EE9B9E4" w:rsidR="006C1C86" w:rsidRPr="000F2639" w:rsidRDefault="006C1C86" w:rsidP="006C1C86">
            <w:pPr>
              <w:spacing w:after="0" w:line="240" w:lineRule="auto"/>
              <w:jc w:val="center"/>
            </w:pPr>
            <w:r w:rsidRPr="000F2639">
              <w:rPr>
                <w:rFonts w:cs="Arial"/>
                <w:color w:val="000000"/>
                <w:sz w:val="16"/>
                <w:szCs w:val="16"/>
              </w:rPr>
              <w:t>5,7</w:t>
            </w:r>
          </w:p>
        </w:tc>
        <w:tc>
          <w:tcPr>
            <w:tcW w:w="567" w:type="dxa"/>
            <w:vAlign w:val="center"/>
          </w:tcPr>
          <w:p w14:paraId="3B865FFE" w14:textId="749478DC" w:rsidR="006C1C86" w:rsidRPr="000F2639" w:rsidRDefault="006C1C86" w:rsidP="006C1C86">
            <w:pPr>
              <w:spacing w:after="0" w:line="240" w:lineRule="auto"/>
              <w:jc w:val="center"/>
              <w:rPr>
                <w:rFonts w:cs="Arial"/>
                <w:color w:val="000000"/>
                <w:sz w:val="16"/>
                <w:szCs w:val="16"/>
              </w:rPr>
            </w:pPr>
            <w:r>
              <w:rPr>
                <w:rFonts w:cs="Arial"/>
                <w:color w:val="000000"/>
                <w:sz w:val="16"/>
                <w:szCs w:val="16"/>
              </w:rPr>
              <w:t>5,2</w:t>
            </w:r>
          </w:p>
        </w:tc>
      </w:tr>
      <w:tr w:rsidR="006C1C86" w:rsidRPr="000F2639" w14:paraId="5C31499C" w14:textId="2D1D74C2" w:rsidTr="00EE02F9">
        <w:trPr>
          <w:trHeight w:val="480"/>
        </w:trPr>
        <w:tc>
          <w:tcPr>
            <w:tcW w:w="3401" w:type="dxa"/>
            <w:tcBorders>
              <w:top w:val="nil"/>
              <w:left w:val="nil"/>
              <w:bottom w:val="nil"/>
              <w:right w:val="single" w:sz="4" w:space="0" w:color="auto"/>
            </w:tcBorders>
            <w:shd w:val="clear" w:color="auto" w:fill="auto"/>
            <w:vAlign w:val="center"/>
            <w:hideMark/>
          </w:tcPr>
          <w:p w14:paraId="1EA33CD5"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 xml:space="preserve">G – Velkoobchod a maloobchod; </w:t>
            </w:r>
            <w:r w:rsidRPr="000F2639">
              <w:rPr>
                <w:rFonts w:cs="Arial"/>
                <w:color w:val="000000"/>
                <w:sz w:val="16"/>
                <w:szCs w:val="16"/>
              </w:rPr>
              <w:br/>
              <w:t xml:space="preserve">          opravy a údržba motorových vozidel</w:t>
            </w:r>
          </w:p>
        </w:tc>
        <w:tc>
          <w:tcPr>
            <w:tcW w:w="567" w:type="dxa"/>
            <w:tcBorders>
              <w:top w:val="nil"/>
              <w:left w:val="nil"/>
              <w:bottom w:val="nil"/>
              <w:right w:val="nil"/>
            </w:tcBorders>
            <w:shd w:val="clear" w:color="auto" w:fill="auto"/>
            <w:noWrap/>
            <w:vAlign w:val="center"/>
            <w:hideMark/>
          </w:tcPr>
          <w:p w14:paraId="6F10C7F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3,4</w:t>
            </w:r>
          </w:p>
        </w:tc>
        <w:tc>
          <w:tcPr>
            <w:tcW w:w="567" w:type="dxa"/>
            <w:tcBorders>
              <w:top w:val="nil"/>
              <w:left w:val="nil"/>
              <w:bottom w:val="nil"/>
              <w:right w:val="nil"/>
            </w:tcBorders>
            <w:shd w:val="clear" w:color="auto" w:fill="auto"/>
            <w:noWrap/>
            <w:vAlign w:val="center"/>
            <w:hideMark/>
          </w:tcPr>
          <w:p w14:paraId="71D3723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3,6</w:t>
            </w:r>
          </w:p>
        </w:tc>
        <w:tc>
          <w:tcPr>
            <w:tcW w:w="567" w:type="dxa"/>
            <w:tcBorders>
              <w:top w:val="nil"/>
              <w:left w:val="nil"/>
              <w:bottom w:val="nil"/>
              <w:right w:val="nil"/>
            </w:tcBorders>
            <w:shd w:val="clear" w:color="auto" w:fill="auto"/>
            <w:noWrap/>
            <w:vAlign w:val="center"/>
            <w:hideMark/>
          </w:tcPr>
          <w:p w14:paraId="57D0B59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3,6</w:t>
            </w:r>
          </w:p>
        </w:tc>
        <w:tc>
          <w:tcPr>
            <w:tcW w:w="567" w:type="dxa"/>
            <w:tcBorders>
              <w:top w:val="nil"/>
              <w:left w:val="nil"/>
              <w:bottom w:val="nil"/>
              <w:right w:val="nil"/>
            </w:tcBorders>
            <w:shd w:val="clear" w:color="auto" w:fill="auto"/>
            <w:noWrap/>
            <w:vAlign w:val="center"/>
            <w:hideMark/>
          </w:tcPr>
          <w:p w14:paraId="7CD2479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3,9</w:t>
            </w:r>
          </w:p>
        </w:tc>
        <w:tc>
          <w:tcPr>
            <w:tcW w:w="567" w:type="dxa"/>
            <w:tcBorders>
              <w:top w:val="nil"/>
              <w:left w:val="nil"/>
              <w:bottom w:val="nil"/>
              <w:right w:val="nil"/>
            </w:tcBorders>
            <w:shd w:val="clear" w:color="auto" w:fill="auto"/>
            <w:noWrap/>
            <w:vAlign w:val="center"/>
            <w:hideMark/>
          </w:tcPr>
          <w:p w14:paraId="2A10D2A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4,1</w:t>
            </w:r>
          </w:p>
        </w:tc>
        <w:tc>
          <w:tcPr>
            <w:tcW w:w="567" w:type="dxa"/>
            <w:tcBorders>
              <w:top w:val="nil"/>
              <w:left w:val="nil"/>
              <w:bottom w:val="nil"/>
              <w:right w:val="nil"/>
            </w:tcBorders>
            <w:shd w:val="clear" w:color="auto" w:fill="auto"/>
            <w:noWrap/>
            <w:vAlign w:val="center"/>
            <w:hideMark/>
          </w:tcPr>
          <w:p w14:paraId="626F35D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4,2</w:t>
            </w:r>
          </w:p>
        </w:tc>
        <w:tc>
          <w:tcPr>
            <w:tcW w:w="567" w:type="dxa"/>
            <w:tcBorders>
              <w:top w:val="nil"/>
              <w:left w:val="nil"/>
              <w:bottom w:val="nil"/>
              <w:right w:val="nil"/>
            </w:tcBorders>
            <w:shd w:val="clear" w:color="auto" w:fill="auto"/>
            <w:noWrap/>
            <w:vAlign w:val="center"/>
            <w:hideMark/>
          </w:tcPr>
          <w:p w14:paraId="5F71C17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4,6</w:t>
            </w:r>
          </w:p>
        </w:tc>
        <w:tc>
          <w:tcPr>
            <w:tcW w:w="567" w:type="dxa"/>
            <w:tcBorders>
              <w:top w:val="nil"/>
              <w:left w:val="nil"/>
              <w:bottom w:val="nil"/>
              <w:right w:val="nil"/>
            </w:tcBorders>
            <w:shd w:val="clear" w:color="auto" w:fill="auto"/>
            <w:noWrap/>
            <w:vAlign w:val="center"/>
            <w:hideMark/>
          </w:tcPr>
          <w:p w14:paraId="2A17C0D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4,9</w:t>
            </w:r>
          </w:p>
        </w:tc>
        <w:tc>
          <w:tcPr>
            <w:tcW w:w="567" w:type="dxa"/>
            <w:tcBorders>
              <w:top w:val="nil"/>
              <w:left w:val="nil"/>
              <w:bottom w:val="nil"/>
              <w:right w:val="nil"/>
            </w:tcBorders>
            <w:shd w:val="clear" w:color="auto" w:fill="auto"/>
            <w:noWrap/>
            <w:vAlign w:val="center"/>
            <w:hideMark/>
          </w:tcPr>
          <w:p w14:paraId="6C4D739B" w14:textId="09D326C6"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5,7</w:t>
            </w:r>
          </w:p>
        </w:tc>
        <w:tc>
          <w:tcPr>
            <w:tcW w:w="567" w:type="dxa"/>
            <w:vAlign w:val="center"/>
          </w:tcPr>
          <w:p w14:paraId="72590568" w14:textId="5CFE555E" w:rsidR="006C1C86" w:rsidRPr="000F2639" w:rsidRDefault="006C1C86" w:rsidP="006C1C86">
            <w:pPr>
              <w:spacing w:after="0" w:line="240" w:lineRule="auto"/>
              <w:jc w:val="center"/>
            </w:pPr>
            <w:r w:rsidRPr="000F2639">
              <w:rPr>
                <w:rFonts w:cs="Arial"/>
                <w:color w:val="000000"/>
                <w:sz w:val="16"/>
                <w:szCs w:val="16"/>
              </w:rPr>
              <w:t>5,7</w:t>
            </w:r>
          </w:p>
        </w:tc>
        <w:tc>
          <w:tcPr>
            <w:tcW w:w="567" w:type="dxa"/>
            <w:vAlign w:val="center"/>
          </w:tcPr>
          <w:p w14:paraId="5E14F604" w14:textId="77D38EFE" w:rsidR="006C1C86" w:rsidRPr="000F2639" w:rsidRDefault="006C1C86" w:rsidP="006C1C86">
            <w:pPr>
              <w:spacing w:after="0" w:line="240" w:lineRule="auto"/>
              <w:jc w:val="center"/>
              <w:rPr>
                <w:rFonts w:cs="Arial"/>
                <w:color w:val="000000"/>
                <w:sz w:val="16"/>
                <w:szCs w:val="16"/>
              </w:rPr>
            </w:pPr>
            <w:r>
              <w:rPr>
                <w:rFonts w:cs="Arial"/>
                <w:color w:val="000000"/>
                <w:sz w:val="16"/>
                <w:szCs w:val="16"/>
              </w:rPr>
              <w:t>5,4</w:t>
            </w:r>
          </w:p>
        </w:tc>
      </w:tr>
      <w:tr w:rsidR="006C1C86" w:rsidRPr="000F2639" w14:paraId="27863C45" w14:textId="652ED27D" w:rsidTr="00EE02F9">
        <w:trPr>
          <w:trHeight w:val="300"/>
        </w:trPr>
        <w:tc>
          <w:tcPr>
            <w:tcW w:w="3401" w:type="dxa"/>
            <w:tcBorders>
              <w:top w:val="nil"/>
              <w:left w:val="nil"/>
              <w:bottom w:val="nil"/>
              <w:right w:val="single" w:sz="4" w:space="0" w:color="auto"/>
            </w:tcBorders>
            <w:shd w:val="clear" w:color="auto" w:fill="auto"/>
            <w:vAlign w:val="center"/>
            <w:hideMark/>
          </w:tcPr>
          <w:p w14:paraId="69E1D5FD"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H – Doprava a skladování</w:t>
            </w:r>
          </w:p>
        </w:tc>
        <w:tc>
          <w:tcPr>
            <w:tcW w:w="567" w:type="dxa"/>
            <w:tcBorders>
              <w:top w:val="nil"/>
              <w:left w:val="nil"/>
              <w:bottom w:val="nil"/>
              <w:right w:val="nil"/>
            </w:tcBorders>
            <w:shd w:val="clear" w:color="auto" w:fill="auto"/>
            <w:noWrap/>
            <w:vAlign w:val="center"/>
            <w:hideMark/>
          </w:tcPr>
          <w:p w14:paraId="4EB8B8ED"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3,5</w:t>
            </w:r>
          </w:p>
        </w:tc>
        <w:tc>
          <w:tcPr>
            <w:tcW w:w="567" w:type="dxa"/>
            <w:tcBorders>
              <w:top w:val="nil"/>
              <w:left w:val="nil"/>
              <w:bottom w:val="nil"/>
              <w:right w:val="nil"/>
            </w:tcBorders>
            <w:shd w:val="clear" w:color="auto" w:fill="auto"/>
            <w:noWrap/>
            <w:vAlign w:val="center"/>
            <w:hideMark/>
          </w:tcPr>
          <w:p w14:paraId="1F9B4DF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3,8</w:t>
            </w:r>
          </w:p>
        </w:tc>
        <w:tc>
          <w:tcPr>
            <w:tcW w:w="567" w:type="dxa"/>
            <w:tcBorders>
              <w:top w:val="nil"/>
              <w:left w:val="nil"/>
              <w:bottom w:val="nil"/>
              <w:right w:val="nil"/>
            </w:tcBorders>
            <w:shd w:val="clear" w:color="auto" w:fill="auto"/>
            <w:noWrap/>
            <w:vAlign w:val="center"/>
            <w:hideMark/>
          </w:tcPr>
          <w:p w14:paraId="240BC05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3,8</w:t>
            </w:r>
          </w:p>
        </w:tc>
        <w:tc>
          <w:tcPr>
            <w:tcW w:w="567" w:type="dxa"/>
            <w:tcBorders>
              <w:top w:val="nil"/>
              <w:left w:val="nil"/>
              <w:bottom w:val="nil"/>
              <w:right w:val="nil"/>
            </w:tcBorders>
            <w:shd w:val="clear" w:color="auto" w:fill="auto"/>
            <w:noWrap/>
            <w:vAlign w:val="center"/>
            <w:hideMark/>
          </w:tcPr>
          <w:p w14:paraId="71DEDD3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4,1</w:t>
            </w:r>
          </w:p>
        </w:tc>
        <w:tc>
          <w:tcPr>
            <w:tcW w:w="567" w:type="dxa"/>
            <w:tcBorders>
              <w:top w:val="nil"/>
              <w:left w:val="nil"/>
              <w:bottom w:val="nil"/>
              <w:right w:val="nil"/>
            </w:tcBorders>
            <w:shd w:val="clear" w:color="auto" w:fill="auto"/>
            <w:noWrap/>
            <w:vAlign w:val="center"/>
            <w:hideMark/>
          </w:tcPr>
          <w:p w14:paraId="0DD95A6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4,2</w:t>
            </w:r>
          </w:p>
        </w:tc>
        <w:tc>
          <w:tcPr>
            <w:tcW w:w="567" w:type="dxa"/>
            <w:tcBorders>
              <w:top w:val="nil"/>
              <w:left w:val="nil"/>
              <w:bottom w:val="nil"/>
              <w:right w:val="nil"/>
            </w:tcBorders>
            <w:shd w:val="clear" w:color="auto" w:fill="auto"/>
            <w:noWrap/>
            <w:vAlign w:val="center"/>
            <w:hideMark/>
          </w:tcPr>
          <w:p w14:paraId="666CF52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4,4</w:t>
            </w:r>
          </w:p>
        </w:tc>
        <w:tc>
          <w:tcPr>
            <w:tcW w:w="567" w:type="dxa"/>
            <w:tcBorders>
              <w:top w:val="nil"/>
              <w:left w:val="nil"/>
              <w:bottom w:val="nil"/>
              <w:right w:val="nil"/>
            </w:tcBorders>
            <w:shd w:val="clear" w:color="auto" w:fill="auto"/>
            <w:noWrap/>
            <w:vAlign w:val="center"/>
            <w:hideMark/>
          </w:tcPr>
          <w:p w14:paraId="7D05E907"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4,8</w:t>
            </w:r>
          </w:p>
        </w:tc>
        <w:tc>
          <w:tcPr>
            <w:tcW w:w="567" w:type="dxa"/>
            <w:tcBorders>
              <w:top w:val="nil"/>
              <w:left w:val="nil"/>
              <w:bottom w:val="nil"/>
              <w:right w:val="nil"/>
            </w:tcBorders>
            <w:shd w:val="clear" w:color="auto" w:fill="auto"/>
            <w:noWrap/>
            <w:vAlign w:val="center"/>
            <w:hideMark/>
          </w:tcPr>
          <w:p w14:paraId="66C9A827"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4,9</w:t>
            </w:r>
          </w:p>
        </w:tc>
        <w:tc>
          <w:tcPr>
            <w:tcW w:w="567" w:type="dxa"/>
            <w:tcBorders>
              <w:top w:val="nil"/>
              <w:left w:val="nil"/>
              <w:bottom w:val="nil"/>
              <w:right w:val="nil"/>
            </w:tcBorders>
            <w:shd w:val="clear" w:color="auto" w:fill="auto"/>
            <w:noWrap/>
            <w:vAlign w:val="center"/>
            <w:hideMark/>
          </w:tcPr>
          <w:p w14:paraId="6144CEA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5,8</w:t>
            </w:r>
          </w:p>
        </w:tc>
        <w:tc>
          <w:tcPr>
            <w:tcW w:w="567" w:type="dxa"/>
            <w:vAlign w:val="center"/>
          </w:tcPr>
          <w:p w14:paraId="27BA0CB5" w14:textId="5CB55639" w:rsidR="006C1C86" w:rsidRPr="000F2639" w:rsidRDefault="006C1C86" w:rsidP="006C1C86">
            <w:pPr>
              <w:spacing w:after="0" w:line="240" w:lineRule="auto"/>
              <w:jc w:val="center"/>
            </w:pPr>
            <w:r w:rsidRPr="000F2639">
              <w:rPr>
                <w:rFonts w:cs="Arial"/>
                <w:color w:val="000000"/>
                <w:sz w:val="16"/>
                <w:szCs w:val="16"/>
              </w:rPr>
              <w:t>6,1</w:t>
            </w:r>
          </w:p>
        </w:tc>
        <w:tc>
          <w:tcPr>
            <w:tcW w:w="567" w:type="dxa"/>
            <w:vAlign w:val="center"/>
          </w:tcPr>
          <w:p w14:paraId="504DF9D9" w14:textId="4891E158" w:rsidR="006C1C86" w:rsidRPr="000F2639" w:rsidRDefault="006C1C86" w:rsidP="006C1C86">
            <w:pPr>
              <w:spacing w:after="0" w:line="240" w:lineRule="auto"/>
              <w:jc w:val="center"/>
              <w:rPr>
                <w:rFonts w:cs="Arial"/>
                <w:color w:val="000000"/>
                <w:sz w:val="16"/>
                <w:szCs w:val="16"/>
              </w:rPr>
            </w:pPr>
            <w:r>
              <w:rPr>
                <w:rFonts w:cs="Arial"/>
                <w:color w:val="000000"/>
                <w:sz w:val="16"/>
                <w:szCs w:val="16"/>
              </w:rPr>
              <w:t>5,6</w:t>
            </w:r>
          </w:p>
        </w:tc>
      </w:tr>
      <w:tr w:rsidR="006C1C86" w:rsidRPr="000F2639" w14:paraId="2EB6E9A1" w14:textId="5A76DE03" w:rsidTr="00EE02F9">
        <w:trPr>
          <w:trHeight w:val="300"/>
        </w:trPr>
        <w:tc>
          <w:tcPr>
            <w:tcW w:w="3401" w:type="dxa"/>
            <w:tcBorders>
              <w:top w:val="nil"/>
              <w:left w:val="nil"/>
              <w:bottom w:val="nil"/>
              <w:right w:val="single" w:sz="4" w:space="0" w:color="auto"/>
            </w:tcBorders>
            <w:shd w:val="clear" w:color="auto" w:fill="auto"/>
            <w:vAlign w:val="center"/>
            <w:hideMark/>
          </w:tcPr>
          <w:p w14:paraId="63C2E59A"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I – Ubytování, stravování a pohostinství</w:t>
            </w:r>
          </w:p>
        </w:tc>
        <w:tc>
          <w:tcPr>
            <w:tcW w:w="567" w:type="dxa"/>
            <w:tcBorders>
              <w:top w:val="nil"/>
              <w:left w:val="nil"/>
              <w:bottom w:val="nil"/>
              <w:right w:val="nil"/>
            </w:tcBorders>
            <w:shd w:val="clear" w:color="auto" w:fill="auto"/>
            <w:noWrap/>
            <w:vAlign w:val="center"/>
            <w:hideMark/>
          </w:tcPr>
          <w:p w14:paraId="6031C30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3,6</w:t>
            </w:r>
          </w:p>
        </w:tc>
        <w:tc>
          <w:tcPr>
            <w:tcW w:w="567" w:type="dxa"/>
            <w:tcBorders>
              <w:top w:val="nil"/>
              <w:left w:val="nil"/>
              <w:bottom w:val="nil"/>
              <w:right w:val="nil"/>
            </w:tcBorders>
            <w:shd w:val="clear" w:color="auto" w:fill="auto"/>
            <w:noWrap/>
            <w:vAlign w:val="center"/>
            <w:hideMark/>
          </w:tcPr>
          <w:p w14:paraId="7013FD1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3,7</w:t>
            </w:r>
          </w:p>
        </w:tc>
        <w:tc>
          <w:tcPr>
            <w:tcW w:w="567" w:type="dxa"/>
            <w:tcBorders>
              <w:top w:val="nil"/>
              <w:left w:val="nil"/>
              <w:bottom w:val="nil"/>
              <w:right w:val="nil"/>
            </w:tcBorders>
            <w:shd w:val="clear" w:color="auto" w:fill="auto"/>
            <w:noWrap/>
            <w:vAlign w:val="center"/>
            <w:hideMark/>
          </w:tcPr>
          <w:p w14:paraId="49E07C5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3,8</w:t>
            </w:r>
          </w:p>
        </w:tc>
        <w:tc>
          <w:tcPr>
            <w:tcW w:w="567" w:type="dxa"/>
            <w:tcBorders>
              <w:top w:val="nil"/>
              <w:left w:val="nil"/>
              <w:bottom w:val="nil"/>
              <w:right w:val="nil"/>
            </w:tcBorders>
            <w:shd w:val="clear" w:color="auto" w:fill="auto"/>
            <w:noWrap/>
            <w:vAlign w:val="center"/>
            <w:hideMark/>
          </w:tcPr>
          <w:p w14:paraId="440F2FE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4,1</w:t>
            </w:r>
          </w:p>
        </w:tc>
        <w:tc>
          <w:tcPr>
            <w:tcW w:w="567" w:type="dxa"/>
            <w:tcBorders>
              <w:top w:val="nil"/>
              <w:left w:val="nil"/>
              <w:bottom w:val="nil"/>
              <w:right w:val="nil"/>
            </w:tcBorders>
            <w:shd w:val="clear" w:color="auto" w:fill="auto"/>
            <w:noWrap/>
            <w:vAlign w:val="center"/>
            <w:hideMark/>
          </w:tcPr>
          <w:p w14:paraId="15ACCAD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4,2</w:t>
            </w:r>
          </w:p>
        </w:tc>
        <w:tc>
          <w:tcPr>
            <w:tcW w:w="567" w:type="dxa"/>
            <w:tcBorders>
              <w:top w:val="nil"/>
              <w:left w:val="nil"/>
              <w:bottom w:val="nil"/>
              <w:right w:val="nil"/>
            </w:tcBorders>
            <w:shd w:val="clear" w:color="auto" w:fill="auto"/>
            <w:noWrap/>
            <w:vAlign w:val="center"/>
            <w:hideMark/>
          </w:tcPr>
          <w:p w14:paraId="20EF715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4,2</w:t>
            </w:r>
          </w:p>
        </w:tc>
        <w:tc>
          <w:tcPr>
            <w:tcW w:w="567" w:type="dxa"/>
            <w:tcBorders>
              <w:top w:val="nil"/>
              <w:left w:val="nil"/>
              <w:bottom w:val="nil"/>
              <w:right w:val="nil"/>
            </w:tcBorders>
            <w:shd w:val="clear" w:color="auto" w:fill="auto"/>
            <w:noWrap/>
            <w:vAlign w:val="center"/>
            <w:hideMark/>
          </w:tcPr>
          <w:p w14:paraId="1CDC673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4,4</w:t>
            </w:r>
          </w:p>
        </w:tc>
        <w:tc>
          <w:tcPr>
            <w:tcW w:w="567" w:type="dxa"/>
            <w:tcBorders>
              <w:top w:val="nil"/>
              <w:left w:val="nil"/>
              <w:bottom w:val="nil"/>
              <w:right w:val="nil"/>
            </w:tcBorders>
            <w:shd w:val="clear" w:color="auto" w:fill="auto"/>
            <w:noWrap/>
            <w:vAlign w:val="center"/>
            <w:hideMark/>
          </w:tcPr>
          <w:p w14:paraId="4E702A1B" w14:textId="02AF3473"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4,6</w:t>
            </w:r>
          </w:p>
        </w:tc>
        <w:tc>
          <w:tcPr>
            <w:tcW w:w="567" w:type="dxa"/>
            <w:tcBorders>
              <w:top w:val="nil"/>
              <w:left w:val="nil"/>
              <w:bottom w:val="nil"/>
              <w:right w:val="nil"/>
            </w:tcBorders>
            <w:shd w:val="clear" w:color="auto" w:fill="auto"/>
            <w:noWrap/>
            <w:vAlign w:val="center"/>
            <w:hideMark/>
          </w:tcPr>
          <w:p w14:paraId="400C1D1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6,5</w:t>
            </w:r>
          </w:p>
        </w:tc>
        <w:tc>
          <w:tcPr>
            <w:tcW w:w="567" w:type="dxa"/>
            <w:vAlign w:val="center"/>
          </w:tcPr>
          <w:p w14:paraId="2BC48F37" w14:textId="709520A8" w:rsidR="006C1C86" w:rsidRPr="000F2639" w:rsidRDefault="006C1C86" w:rsidP="006C1C86">
            <w:pPr>
              <w:spacing w:after="0" w:line="240" w:lineRule="auto"/>
              <w:jc w:val="center"/>
            </w:pPr>
            <w:r w:rsidRPr="000F2639">
              <w:rPr>
                <w:rFonts w:cs="Arial"/>
                <w:color w:val="000000"/>
                <w:sz w:val="16"/>
                <w:szCs w:val="16"/>
              </w:rPr>
              <w:t>5,2</w:t>
            </w:r>
          </w:p>
        </w:tc>
        <w:tc>
          <w:tcPr>
            <w:tcW w:w="567" w:type="dxa"/>
            <w:vAlign w:val="center"/>
          </w:tcPr>
          <w:p w14:paraId="1D2FED50" w14:textId="5B39806B" w:rsidR="006C1C86" w:rsidRPr="000F2639" w:rsidRDefault="006C1C86" w:rsidP="006C1C86">
            <w:pPr>
              <w:spacing w:after="0" w:line="240" w:lineRule="auto"/>
              <w:jc w:val="center"/>
              <w:rPr>
                <w:rFonts w:cs="Arial"/>
                <w:color w:val="000000"/>
                <w:sz w:val="16"/>
                <w:szCs w:val="16"/>
              </w:rPr>
            </w:pPr>
            <w:r>
              <w:rPr>
                <w:rFonts w:cs="Arial"/>
                <w:color w:val="000000"/>
                <w:sz w:val="16"/>
                <w:szCs w:val="16"/>
              </w:rPr>
              <w:t>5,1</w:t>
            </w:r>
          </w:p>
        </w:tc>
      </w:tr>
      <w:tr w:rsidR="006C1C86" w:rsidRPr="000F2639" w14:paraId="419206C5" w14:textId="52AFCFD5" w:rsidTr="00EE02F9">
        <w:trPr>
          <w:trHeight w:val="300"/>
        </w:trPr>
        <w:tc>
          <w:tcPr>
            <w:tcW w:w="3401" w:type="dxa"/>
            <w:tcBorders>
              <w:top w:val="nil"/>
              <w:left w:val="nil"/>
              <w:bottom w:val="nil"/>
              <w:right w:val="single" w:sz="4" w:space="0" w:color="auto"/>
            </w:tcBorders>
            <w:shd w:val="clear" w:color="auto" w:fill="auto"/>
            <w:vAlign w:val="center"/>
            <w:hideMark/>
          </w:tcPr>
          <w:p w14:paraId="3A2D8541"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J – Informační a komunikační činnosti</w:t>
            </w:r>
          </w:p>
        </w:tc>
        <w:tc>
          <w:tcPr>
            <w:tcW w:w="567" w:type="dxa"/>
            <w:tcBorders>
              <w:top w:val="nil"/>
              <w:left w:val="nil"/>
              <w:bottom w:val="nil"/>
              <w:right w:val="nil"/>
            </w:tcBorders>
            <w:shd w:val="clear" w:color="auto" w:fill="auto"/>
            <w:noWrap/>
            <w:vAlign w:val="center"/>
            <w:hideMark/>
          </w:tcPr>
          <w:p w14:paraId="4E3BB7E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1,6</w:t>
            </w:r>
          </w:p>
        </w:tc>
        <w:tc>
          <w:tcPr>
            <w:tcW w:w="567" w:type="dxa"/>
            <w:tcBorders>
              <w:top w:val="nil"/>
              <w:left w:val="nil"/>
              <w:bottom w:val="nil"/>
              <w:right w:val="nil"/>
            </w:tcBorders>
            <w:shd w:val="clear" w:color="auto" w:fill="auto"/>
            <w:noWrap/>
            <w:vAlign w:val="center"/>
            <w:hideMark/>
          </w:tcPr>
          <w:p w14:paraId="6409F1C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1,6</w:t>
            </w:r>
          </w:p>
        </w:tc>
        <w:tc>
          <w:tcPr>
            <w:tcW w:w="567" w:type="dxa"/>
            <w:tcBorders>
              <w:top w:val="nil"/>
              <w:left w:val="nil"/>
              <w:bottom w:val="nil"/>
              <w:right w:val="nil"/>
            </w:tcBorders>
            <w:shd w:val="clear" w:color="auto" w:fill="auto"/>
            <w:noWrap/>
            <w:vAlign w:val="center"/>
            <w:hideMark/>
          </w:tcPr>
          <w:p w14:paraId="6C8C49B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1,7</w:t>
            </w:r>
          </w:p>
        </w:tc>
        <w:tc>
          <w:tcPr>
            <w:tcW w:w="567" w:type="dxa"/>
            <w:tcBorders>
              <w:top w:val="nil"/>
              <w:left w:val="nil"/>
              <w:bottom w:val="nil"/>
              <w:right w:val="nil"/>
            </w:tcBorders>
            <w:shd w:val="clear" w:color="auto" w:fill="auto"/>
            <w:noWrap/>
            <w:vAlign w:val="center"/>
            <w:hideMark/>
          </w:tcPr>
          <w:p w14:paraId="5CF59C3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1,7</w:t>
            </w:r>
          </w:p>
        </w:tc>
        <w:tc>
          <w:tcPr>
            <w:tcW w:w="567" w:type="dxa"/>
            <w:tcBorders>
              <w:top w:val="nil"/>
              <w:left w:val="nil"/>
              <w:bottom w:val="nil"/>
              <w:right w:val="nil"/>
            </w:tcBorders>
            <w:shd w:val="clear" w:color="auto" w:fill="auto"/>
            <w:noWrap/>
            <w:vAlign w:val="center"/>
            <w:hideMark/>
          </w:tcPr>
          <w:p w14:paraId="5576F1F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1,7</w:t>
            </w:r>
          </w:p>
        </w:tc>
        <w:tc>
          <w:tcPr>
            <w:tcW w:w="567" w:type="dxa"/>
            <w:tcBorders>
              <w:top w:val="nil"/>
              <w:left w:val="nil"/>
              <w:bottom w:val="nil"/>
              <w:right w:val="nil"/>
            </w:tcBorders>
            <w:shd w:val="clear" w:color="auto" w:fill="auto"/>
            <w:noWrap/>
            <w:vAlign w:val="center"/>
            <w:hideMark/>
          </w:tcPr>
          <w:p w14:paraId="4F2DD14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1,8</w:t>
            </w:r>
          </w:p>
        </w:tc>
        <w:tc>
          <w:tcPr>
            <w:tcW w:w="567" w:type="dxa"/>
            <w:tcBorders>
              <w:top w:val="nil"/>
              <w:left w:val="nil"/>
              <w:bottom w:val="nil"/>
              <w:right w:val="nil"/>
            </w:tcBorders>
            <w:shd w:val="clear" w:color="auto" w:fill="auto"/>
            <w:noWrap/>
            <w:vAlign w:val="center"/>
            <w:hideMark/>
          </w:tcPr>
          <w:p w14:paraId="2BC3236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1,9</w:t>
            </w:r>
          </w:p>
        </w:tc>
        <w:tc>
          <w:tcPr>
            <w:tcW w:w="567" w:type="dxa"/>
            <w:tcBorders>
              <w:top w:val="nil"/>
              <w:left w:val="nil"/>
              <w:bottom w:val="nil"/>
              <w:right w:val="nil"/>
            </w:tcBorders>
            <w:shd w:val="clear" w:color="auto" w:fill="auto"/>
            <w:noWrap/>
            <w:vAlign w:val="center"/>
            <w:hideMark/>
          </w:tcPr>
          <w:p w14:paraId="78321B9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1,9</w:t>
            </w:r>
          </w:p>
        </w:tc>
        <w:tc>
          <w:tcPr>
            <w:tcW w:w="567" w:type="dxa"/>
            <w:tcBorders>
              <w:top w:val="nil"/>
              <w:left w:val="nil"/>
              <w:bottom w:val="nil"/>
              <w:right w:val="nil"/>
            </w:tcBorders>
            <w:shd w:val="clear" w:color="auto" w:fill="auto"/>
            <w:noWrap/>
            <w:vAlign w:val="center"/>
            <w:hideMark/>
          </w:tcPr>
          <w:p w14:paraId="3559E67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1,9</w:t>
            </w:r>
          </w:p>
        </w:tc>
        <w:tc>
          <w:tcPr>
            <w:tcW w:w="567" w:type="dxa"/>
            <w:vAlign w:val="center"/>
          </w:tcPr>
          <w:p w14:paraId="54EA74DC" w14:textId="5AF8E6E0" w:rsidR="006C1C86" w:rsidRPr="000F2639" w:rsidRDefault="006C1C86" w:rsidP="006C1C86">
            <w:pPr>
              <w:spacing w:after="0" w:line="240" w:lineRule="auto"/>
              <w:jc w:val="center"/>
            </w:pPr>
            <w:r w:rsidRPr="000F2639">
              <w:rPr>
                <w:rFonts w:cs="Arial"/>
                <w:color w:val="000000"/>
                <w:sz w:val="16"/>
                <w:szCs w:val="16"/>
              </w:rPr>
              <w:t>1,8</w:t>
            </w:r>
          </w:p>
        </w:tc>
        <w:tc>
          <w:tcPr>
            <w:tcW w:w="567" w:type="dxa"/>
            <w:vAlign w:val="center"/>
          </w:tcPr>
          <w:p w14:paraId="3DC4F9F1" w14:textId="51171A74" w:rsidR="006C1C86" w:rsidRPr="000F2639" w:rsidRDefault="006C1C86" w:rsidP="006C1C86">
            <w:pPr>
              <w:spacing w:after="0" w:line="240" w:lineRule="auto"/>
              <w:jc w:val="center"/>
              <w:rPr>
                <w:rFonts w:cs="Arial"/>
                <w:color w:val="000000"/>
                <w:sz w:val="16"/>
                <w:szCs w:val="16"/>
              </w:rPr>
            </w:pPr>
            <w:r>
              <w:rPr>
                <w:rFonts w:cs="Arial"/>
                <w:color w:val="000000"/>
                <w:sz w:val="16"/>
                <w:szCs w:val="16"/>
              </w:rPr>
              <w:t>1,8</w:t>
            </w:r>
          </w:p>
        </w:tc>
      </w:tr>
      <w:tr w:rsidR="006C1C86" w:rsidRPr="000F2639" w14:paraId="4483766A" w14:textId="48B56B0A" w:rsidTr="00EE02F9">
        <w:trPr>
          <w:trHeight w:val="300"/>
        </w:trPr>
        <w:tc>
          <w:tcPr>
            <w:tcW w:w="3401" w:type="dxa"/>
            <w:tcBorders>
              <w:top w:val="nil"/>
              <w:left w:val="nil"/>
              <w:bottom w:val="nil"/>
              <w:right w:val="single" w:sz="4" w:space="0" w:color="auto"/>
            </w:tcBorders>
            <w:shd w:val="clear" w:color="auto" w:fill="auto"/>
            <w:vAlign w:val="center"/>
            <w:hideMark/>
          </w:tcPr>
          <w:p w14:paraId="1A1A8E28"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K – Peněžnictví a pojišťovnictví</w:t>
            </w:r>
          </w:p>
        </w:tc>
        <w:tc>
          <w:tcPr>
            <w:tcW w:w="567" w:type="dxa"/>
            <w:tcBorders>
              <w:top w:val="nil"/>
              <w:left w:val="nil"/>
              <w:bottom w:val="nil"/>
              <w:right w:val="nil"/>
            </w:tcBorders>
            <w:shd w:val="clear" w:color="auto" w:fill="auto"/>
            <w:noWrap/>
            <w:vAlign w:val="center"/>
            <w:hideMark/>
          </w:tcPr>
          <w:p w14:paraId="466B7E7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2,2</w:t>
            </w:r>
          </w:p>
        </w:tc>
        <w:tc>
          <w:tcPr>
            <w:tcW w:w="567" w:type="dxa"/>
            <w:tcBorders>
              <w:top w:val="nil"/>
              <w:left w:val="nil"/>
              <w:bottom w:val="nil"/>
              <w:right w:val="nil"/>
            </w:tcBorders>
            <w:shd w:val="clear" w:color="auto" w:fill="auto"/>
            <w:noWrap/>
            <w:vAlign w:val="center"/>
            <w:hideMark/>
          </w:tcPr>
          <w:p w14:paraId="24DE60A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2,3</w:t>
            </w:r>
          </w:p>
        </w:tc>
        <w:tc>
          <w:tcPr>
            <w:tcW w:w="567" w:type="dxa"/>
            <w:tcBorders>
              <w:top w:val="nil"/>
              <w:left w:val="nil"/>
              <w:bottom w:val="nil"/>
              <w:right w:val="nil"/>
            </w:tcBorders>
            <w:shd w:val="clear" w:color="auto" w:fill="auto"/>
            <w:noWrap/>
            <w:vAlign w:val="center"/>
            <w:hideMark/>
          </w:tcPr>
          <w:p w14:paraId="022F024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2,4</w:t>
            </w:r>
          </w:p>
        </w:tc>
        <w:tc>
          <w:tcPr>
            <w:tcW w:w="567" w:type="dxa"/>
            <w:tcBorders>
              <w:top w:val="nil"/>
              <w:left w:val="nil"/>
              <w:bottom w:val="nil"/>
              <w:right w:val="nil"/>
            </w:tcBorders>
            <w:shd w:val="clear" w:color="auto" w:fill="auto"/>
            <w:noWrap/>
            <w:vAlign w:val="center"/>
            <w:hideMark/>
          </w:tcPr>
          <w:p w14:paraId="6077DB5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2,6</w:t>
            </w:r>
          </w:p>
        </w:tc>
        <w:tc>
          <w:tcPr>
            <w:tcW w:w="567" w:type="dxa"/>
            <w:tcBorders>
              <w:top w:val="nil"/>
              <w:left w:val="nil"/>
              <w:bottom w:val="nil"/>
              <w:right w:val="nil"/>
            </w:tcBorders>
            <w:shd w:val="clear" w:color="auto" w:fill="auto"/>
            <w:noWrap/>
            <w:vAlign w:val="center"/>
            <w:hideMark/>
          </w:tcPr>
          <w:p w14:paraId="7126D8F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2,5</w:t>
            </w:r>
          </w:p>
        </w:tc>
        <w:tc>
          <w:tcPr>
            <w:tcW w:w="567" w:type="dxa"/>
            <w:tcBorders>
              <w:top w:val="nil"/>
              <w:left w:val="nil"/>
              <w:bottom w:val="nil"/>
              <w:right w:val="nil"/>
            </w:tcBorders>
            <w:shd w:val="clear" w:color="auto" w:fill="auto"/>
            <w:noWrap/>
            <w:vAlign w:val="center"/>
            <w:hideMark/>
          </w:tcPr>
          <w:p w14:paraId="7A5DB72B" w14:textId="77278B33"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2,5</w:t>
            </w:r>
          </w:p>
        </w:tc>
        <w:tc>
          <w:tcPr>
            <w:tcW w:w="567" w:type="dxa"/>
            <w:tcBorders>
              <w:top w:val="nil"/>
              <w:left w:val="nil"/>
              <w:bottom w:val="nil"/>
              <w:right w:val="nil"/>
            </w:tcBorders>
            <w:shd w:val="clear" w:color="auto" w:fill="auto"/>
            <w:noWrap/>
            <w:vAlign w:val="center"/>
            <w:hideMark/>
          </w:tcPr>
          <w:p w14:paraId="7848E52D"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2,6</w:t>
            </w:r>
          </w:p>
        </w:tc>
        <w:tc>
          <w:tcPr>
            <w:tcW w:w="567" w:type="dxa"/>
            <w:tcBorders>
              <w:top w:val="nil"/>
              <w:left w:val="nil"/>
              <w:bottom w:val="nil"/>
              <w:right w:val="nil"/>
            </w:tcBorders>
            <w:shd w:val="clear" w:color="auto" w:fill="auto"/>
            <w:noWrap/>
            <w:vAlign w:val="center"/>
            <w:hideMark/>
          </w:tcPr>
          <w:p w14:paraId="1F8CF99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tcBorders>
              <w:top w:val="nil"/>
              <w:left w:val="nil"/>
              <w:bottom w:val="nil"/>
              <w:right w:val="nil"/>
            </w:tcBorders>
            <w:shd w:val="clear" w:color="auto" w:fill="auto"/>
            <w:noWrap/>
            <w:vAlign w:val="center"/>
            <w:hideMark/>
          </w:tcPr>
          <w:p w14:paraId="7E4FF4A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vAlign w:val="center"/>
          </w:tcPr>
          <w:p w14:paraId="5C6908CD" w14:textId="1F0D7112" w:rsidR="006C1C86" w:rsidRPr="000F2639" w:rsidRDefault="006C1C86" w:rsidP="006C1C86">
            <w:pPr>
              <w:spacing w:after="0" w:line="240" w:lineRule="auto"/>
              <w:jc w:val="center"/>
            </w:pPr>
            <w:r w:rsidRPr="000F2639">
              <w:rPr>
                <w:rFonts w:cs="Arial"/>
                <w:color w:val="000000"/>
                <w:sz w:val="16"/>
                <w:szCs w:val="16"/>
              </w:rPr>
              <w:t>2,6</w:t>
            </w:r>
          </w:p>
        </w:tc>
        <w:tc>
          <w:tcPr>
            <w:tcW w:w="567" w:type="dxa"/>
            <w:vAlign w:val="center"/>
          </w:tcPr>
          <w:p w14:paraId="72D84C53" w14:textId="12565B93" w:rsidR="006C1C86" w:rsidRPr="000F2639" w:rsidRDefault="006C1C86" w:rsidP="006C1C86">
            <w:pPr>
              <w:spacing w:after="0" w:line="240" w:lineRule="auto"/>
              <w:jc w:val="center"/>
              <w:rPr>
                <w:rFonts w:cs="Arial"/>
                <w:color w:val="000000"/>
                <w:sz w:val="16"/>
                <w:szCs w:val="16"/>
              </w:rPr>
            </w:pPr>
            <w:r>
              <w:rPr>
                <w:rFonts w:cs="Arial"/>
                <w:color w:val="000000"/>
                <w:sz w:val="16"/>
                <w:szCs w:val="16"/>
              </w:rPr>
              <w:t>2,4</w:t>
            </w:r>
          </w:p>
        </w:tc>
      </w:tr>
      <w:tr w:rsidR="006C1C86" w:rsidRPr="000F2639" w14:paraId="077AE24E" w14:textId="6EF5095B" w:rsidTr="00EE02F9">
        <w:trPr>
          <w:trHeight w:val="300"/>
        </w:trPr>
        <w:tc>
          <w:tcPr>
            <w:tcW w:w="3401" w:type="dxa"/>
            <w:tcBorders>
              <w:top w:val="nil"/>
              <w:left w:val="nil"/>
              <w:bottom w:val="nil"/>
              <w:right w:val="single" w:sz="4" w:space="0" w:color="auto"/>
            </w:tcBorders>
            <w:shd w:val="clear" w:color="auto" w:fill="auto"/>
            <w:vAlign w:val="center"/>
            <w:hideMark/>
          </w:tcPr>
          <w:p w14:paraId="0262A777"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L – Činnosti v oblasti nemovitostí</w:t>
            </w:r>
          </w:p>
        </w:tc>
        <w:tc>
          <w:tcPr>
            <w:tcW w:w="567" w:type="dxa"/>
            <w:tcBorders>
              <w:top w:val="nil"/>
              <w:left w:val="nil"/>
              <w:bottom w:val="nil"/>
              <w:right w:val="nil"/>
            </w:tcBorders>
            <w:shd w:val="clear" w:color="auto" w:fill="auto"/>
            <w:noWrap/>
            <w:vAlign w:val="center"/>
            <w:hideMark/>
          </w:tcPr>
          <w:p w14:paraId="48BCD49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2,1</w:t>
            </w:r>
          </w:p>
        </w:tc>
        <w:tc>
          <w:tcPr>
            <w:tcW w:w="567" w:type="dxa"/>
            <w:tcBorders>
              <w:top w:val="nil"/>
              <w:left w:val="nil"/>
              <w:bottom w:val="nil"/>
              <w:right w:val="nil"/>
            </w:tcBorders>
            <w:shd w:val="clear" w:color="auto" w:fill="auto"/>
            <w:noWrap/>
            <w:vAlign w:val="center"/>
            <w:hideMark/>
          </w:tcPr>
          <w:p w14:paraId="0F35B1D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2,2</w:t>
            </w:r>
          </w:p>
        </w:tc>
        <w:tc>
          <w:tcPr>
            <w:tcW w:w="567" w:type="dxa"/>
            <w:tcBorders>
              <w:top w:val="nil"/>
              <w:left w:val="nil"/>
              <w:bottom w:val="nil"/>
              <w:right w:val="nil"/>
            </w:tcBorders>
            <w:shd w:val="clear" w:color="auto" w:fill="auto"/>
            <w:noWrap/>
            <w:vAlign w:val="center"/>
            <w:hideMark/>
          </w:tcPr>
          <w:p w14:paraId="19F3D23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2,2</w:t>
            </w:r>
          </w:p>
        </w:tc>
        <w:tc>
          <w:tcPr>
            <w:tcW w:w="567" w:type="dxa"/>
            <w:tcBorders>
              <w:top w:val="nil"/>
              <w:left w:val="nil"/>
              <w:bottom w:val="nil"/>
              <w:right w:val="nil"/>
            </w:tcBorders>
            <w:shd w:val="clear" w:color="auto" w:fill="auto"/>
            <w:noWrap/>
            <w:vAlign w:val="center"/>
            <w:hideMark/>
          </w:tcPr>
          <w:p w14:paraId="39D4EE7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2,3</w:t>
            </w:r>
          </w:p>
        </w:tc>
        <w:tc>
          <w:tcPr>
            <w:tcW w:w="567" w:type="dxa"/>
            <w:tcBorders>
              <w:top w:val="nil"/>
              <w:left w:val="nil"/>
              <w:bottom w:val="nil"/>
              <w:right w:val="nil"/>
            </w:tcBorders>
            <w:shd w:val="clear" w:color="auto" w:fill="auto"/>
            <w:noWrap/>
            <w:vAlign w:val="center"/>
            <w:hideMark/>
          </w:tcPr>
          <w:p w14:paraId="38CCF43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2,4</w:t>
            </w:r>
          </w:p>
        </w:tc>
        <w:tc>
          <w:tcPr>
            <w:tcW w:w="567" w:type="dxa"/>
            <w:tcBorders>
              <w:top w:val="nil"/>
              <w:left w:val="nil"/>
              <w:bottom w:val="nil"/>
              <w:right w:val="nil"/>
            </w:tcBorders>
            <w:shd w:val="clear" w:color="auto" w:fill="auto"/>
            <w:noWrap/>
            <w:vAlign w:val="center"/>
            <w:hideMark/>
          </w:tcPr>
          <w:p w14:paraId="29C1C98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2,3</w:t>
            </w:r>
          </w:p>
        </w:tc>
        <w:tc>
          <w:tcPr>
            <w:tcW w:w="567" w:type="dxa"/>
            <w:tcBorders>
              <w:top w:val="nil"/>
              <w:left w:val="nil"/>
              <w:bottom w:val="nil"/>
              <w:right w:val="nil"/>
            </w:tcBorders>
            <w:shd w:val="clear" w:color="auto" w:fill="auto"/>
            <w:noWrap/>
            <w:vAlign w:val="center"/>
            <w:hideMark/>
          </w:tcPr>
          <w:p w14:paraId="0A5D414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2,4</w:t>
            </w:r>
          </w:p>
        </w:tc>
        <w:tc>
          <w:tcPr>
            <w:tcW w:w="567" w:type="dxa"/>
            <w:tcBorders>
              <w:top w:val="nil"/>
              <w:left w:val="nil"/>
              <w:bottom w:val="nil"/>
              <w:right w:val="nil"/>
            </w:tcBorders>
            <w:shd w:val="clear" w:color="auto" w:fill="auto"/>
            <w:noWrap/>
            <w:vAlign w:val="center"/>
            <w:hideMark/>
          </w:tcPr>
          <w:p w14:paraId="369EC0C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2,6</w:t>
            </w:r>
          </w:p>
        </w:tc>
        <w:tc>
          <w:tcPr>
            <w:tcW w:w="567" w:type="dxa"/>
            <w:tcBorders>
              <w:top w:val="nil"/>
              <w:left w:val="nil"/>
              <w:bottom w:val="nil"/>
              <w:right w:val="nil"/>
            </w:tcBorders>
            <w:shd w:val="clear" w:color="auto" w:fill="auto"/>
            <w:noWrap/>
            <w:vAlign w:val="center"/>
            <w:hideMark/>
          </w:tcPr>
          <w:p w14:paraId="03554BD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vAlign w:val="center"/>
          </w:tcPr>
          <w:p w14:paraId="7A4A17AB" w14:textId="77777777" w:rsidR="006C1C86" w:rsidRPr="000F2639" w:rsidRDefault="006C1C86" w:rsidP="006C1C86">
            <w:pPr>
              <w:spacing w:after="0" w:line="240" w:lineRule="auto"/>
              <w:jc w:val="center"/>
            </w:pPr>
            <w:r w:rsidRPr="000F2639">
              <w:rPr>
                <w:rFonts w:cs="Arial"/>
                <w:color w:val="000000"/>
                <w:sz w:val="16"/>
                <w:szCs w:val="16"/>
              </w:rPr>
              <w:t>3,1</w:t>
            </w:r>
          </w:p>
        </w:tc>
        <w:tc>
          <w:tcPr>
            <w:tcW w:w="567" w:type="dxa"/>
            <w:vAlign w:val="center"/>
          </w:tcPr>
          <w:p w14:paraId="4974D5FA" w14:textId="29285CA3" w:rsidR="006C1C86" w:rsidRPr="000F2639" w:rsidRDefault="006C1C86" w:rsidP="006C1C86">
            <w:pPr>
              <w:spacing w:after="0" w:line="240" w:lineRule="auto"/>
              <w:jc w:val="center"/>
              <w:rPr>
                <w:rFonts w:cs="Arial"/>
                <w:color w:val="000000"/>
                <w:sz w:val="16"/>
                <w:szCs w:val="16"/>
              </w:rPr>
            </w:pPr>
            <w:r>
              <w:rPr>
                <w:rFonts w:cs="Arial"/>
                <w:color w:val="000000"/>
                <w:sz w:val="16"/>
                <w:szCs w:val="16"/>
              </w:rPr>
              <w:t>3,0</w:t>
            </w:r>
          </w:p>
        </w:tc>
      </w:tr>
      <w:tr w:rsidR="006C1C86" w:rsidRPr="000F2639" w14:paraId="48879D6B" w14:textId="2241C3A5" w:rsidTr="00EE02F9">
        <w:trPr>
          <w:trHeight w:val="300"/>
        </w:trPr>
        <w:tc>
          <w:tcPr>
            <w:tcW w:w="3401" w:type="dxa"/>
            <w:tcBorders>
              <w:top w:val="nil"/>
              <w:left w:val="nil"/>
              <w:bottom w:val="nil"/>
              <w:right w:val="single" w:sz="4" w:space="0" w:color="auto"/>
            </w:tcBorders>
            <w:shd w:val="clear" w:color="auto" w:fill="auto"/>
            <w:vAlign w:val="center"/>
            <w:hideMark/>
          </w:tcPr>
          <w:p w14:paraId="10487306"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M – Profesní, vědecké a technické činnosti</w:t>
            </w:r>
          </w:p>
        </w:tc>
        <w:tc>
          <w:tcPr>
            <w:tcW w:w="567" w:type="dxa"/>
            <w:tcBorders>
              <w:top w:val="nil"/>
              <w:left w:val="nil"/>
              <w:bottom w:val="nil"/>
              <w:right w:val="nil"/>
            </w:tcBorders>
            <w:shd w:val="clear" w:color="auto" w:fill="auto"/>
            <w:noWrap/>
            <w:vAlign w:val="center"/>
            <w:hideMark/>
          </w:tcPr>
          <w:p w14:paraId="0A3654E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2,1</w:t>
            </w:r>
          </w:p>
        </w:tc>
        <w:tc>
          <w:tcPr>
            <w:tcW w:w="567" w:type="dxa"/>
            <w:tcBorders>
              <w:top w:val="nil"/>
              <w:left w:val="nil"/>
              <w:bottom w:val="nil"/>
              <w:right w:val="nil"/>
            </w:tcBorders>
            <w:shd w:val="clear" w:color="auto" w:fill="auto"/>
            <w:noWrap/>
            <w:vAlign w:val="center"/>
            <w:hideMark/>
          </w:tcPr>
          <w:p w14:paraId="6165137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2,1</w:t>
            </w:r>
          </w:p>
        </w:tc>
        <w:tc>
          <w:tcPr>
            <w:tcW w:w="567" w:type="dxa"/>
            <w:tcBorders>
              <w:top w:val="nil"/>
              <w:left w:val="nil"/>
              <w:bottom w:val="nil"/>
              <w:right w:val="nil"/>
            </w:tcBorders>
            <w:shd w:val="clear" w:color="auto" w:fill="auto"/>
            <w:noWrap/>
            <w:vAlign w:val="center"/>
            <w:hideMark/>
          </w:tcPr>
          <w:p w14:paraId="7DA8905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2,1</w:t>
            </w:r>
          </w:p>
        </w:tc>
        <w:tc>
          <w:tcPr>
            <w:tcW w:w="567" w:type="dxa"/>
            <w:tcBorders>
              <w:top w:val="nil"/>
              <w:left w:val="nil"/>
              <w:bottom w:val="nil"/>
              <w:right w:val="nil"/>
            </w:tcBorders>
            <w:shd w:val="clear" w:color="auto" w:fill="auto"/>
            <w:noWrap/>
            <w:vAlign w:val="center"/>
            <w:hideMark/>
          </w:tcPr>
          <w:p w14:paraId="46B78C0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2,2</w:t>
            </w:r>
          </w:p>
        </w:tc>
        <w:tc>
          <w:tcPr>
            <w:tcW w:w="567" w:type="dxa"/>
            <w:tcBorders>
              <w:top w:val="nil"/>
              <w:left w:val="nil"/>
              <w:bottom w:val="nil"/>
              <w:right w:val="nil"/>
            </w:tcBorders>
            <w:shd w:val="clear" w:color="auto" w:fill="auto"/>
            <w:noWrap/>
            <w:vAlign w:val="center"/>
            <w:hideMark/>
          </w:tcPr>
          <w:p w14:paraId="0A843B7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2,3</w:t>
            </w:r>
          </w:p>
        </w:tc>
        <w:tc>
          <w:tcPr>
            <w:tcW w:w="567" w:type="dxa"/>
            <w:tcBorders>
              <w:top w:val="nil"/>
              <w:left w:val="nil"/>
              <w:bottom w:val="nil"/>
              <w:right w:val="nil"/>
            </w:tcBorders>
            <w:shd w:val="clear" w:color="auto" w:fill="auto"/>
            <w:noWrap/>
            <w:vAlign w:val="center"/>
            <w:hideMark/>
          </w:tcPr>
          <w:p w14:paraId="0DEA2A4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2,3</w:t>
            </w:r>
          </w:p>
        </w:tc>
        <w:tc>
          <w:tcPr>
            <w:tcW w:w="567" w:type="dxa"/>
            <w:tcBorders>
              <w:top w:val="nil"/>
              <w:left w:val="nil"/>
              <w:bottom w:val="nil"/>
              <w:right w:val="nil"/>
            </w:tcBorders>
            <w:shd w:val="clear" w:color="auto" w:fill="auto"/>
            <w:noWrap/>
            <w:vAlign w:val="center"/>
            <w:hideMark/>
          </w:tcPr>
          <w:p w14:paraId="6B64F52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2,4</w:t>
            </w:r>
          </w:p>
        </w:tc>
        <w:tc>
          <w:tcPr>
            <w:tcW w:w="567" w:type="dxa"/>
            <w:tcBorders>
              <w:top w:val="nil"/>
              <w:left w:val="nil"/>
              <w:bottom w:val="nil"/>
              <w:right w:val="nil"/>
            </w:tcBorders>
            <w:shd w:val="clear" w:color="auto" w:fill="auto"/>
            <w:noWrap/>
            <w:vAlign w:val="center"/>
            <w:hideMark/>
          </w:tcPr>
          <w:p w14:paraId="1B1CDF3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2,5</w:t>
            </w:r>
          </w:p>
        </w:tc>
        <w:tc>
          <w:tcPr>
            <w:tcW w:w="567" w:type="dxa"/>
            <w:tcBorders>
              <w:top w:val="nil"/>
              <w:left w:val="nil"/>
              <w:bottom w:val="nil"/>
              <w:right w:val="nil"/>
            </w:tcBorders>
            <w:shd w:val="clear" w:color="auto" w:fill="auto"/>
            <w:noWrap/>
            <w:vAlign w:val="center"/>
            <w:hideMark/>
          </w:tcPr>
          <w:p w14:paraId="3DAAF30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2,8</w:t>
            </w:r>
          </w:p>
        </w:tc>
        <w:tc>
          <w:tcPr>
            <w:tcW w:w="567" w:type="dxa"/>
            <w:vAlign w:val="center"/>
          </w:tcPr>
          <w:p w14:paraId="62393A8A" w14:textId="575D92A0" w:rsidR="006C1C86" w:rsidRPr="000F2639" w:rsidRDefault="006C1C86" w:rsidP="006C1C86">
            <w:pPr>
              <w:spacing w:after="0" w:line="240" w:lineRule="auto"/>
              <w:jc w:val="center"/>
            </w:pPr>
            <w:r w:rsidRPr="000F2639">
              <w:rPr>
                <w:rFonts w:cs="Arial"/>
                <w:color w:val="000000"/>
                <w:sz w:val="16"/>
                <w:szCs w:val="16"/>
              </w:rPr>
              <w:t>2,7</w:t>
            </w:r>
          </w:p>
        </w:tc>
        <w:tc>
          <w:tcPr>
            <w:tcW w:w="567" w:type="dxa"/>
            <w:vAlign w:val="center"/>
          </w:tcPr>
          <w:p w14:paraId="4FFB5307" w14:textId="3FA07EB1" w:rsidR="006C1C86" w:rsidRPr="000F2639" w:rsidRDefault="006C1C86" w:rsidP="006C1C86">
            <w:pPr>
              <w:spacing w:after="0" w:line="240" w:lineRule="auto"/>
              <w:jc w:val="center"/>
              <w:rPr>
                <w:rFonts w:cs="Arial"/>
                <w:color w:val="000000"/>
                <w:sz w:val="16"/>
                <w:szCs w:val="16"/>
              </w:rPr>
            </w:pPr>
            <w:r>
              <w:rPr>
                <w:rFonts w:cs="Arial"/>
                <w:color w:val="000000"/>
                <w:sz w:val="16"/>
                <w:szCs w:val="16"/>
              </w:rPr>
              <w:t>2,5</w:t>
            </w:r>
          </w:p>
        </w:tc>
      </w:tr>
      <w:tr w:rsidR="006C1C86" w:rsidRPr="000F2639" w14:paraId="10E75E74" w14:textId="77AD1552" w:rsidTr="00EE02F9">
        <w:trPr>
          <w:trHeight w:val="300"/>
        </w:trPr>
        <w:tc>
          <w:tcPr>
            <w:tcW w:w="3401" w:type="dxa"/>
            <w:tcBorders>
              <w:top w:val="nil"/>
              <w:left w:val="nil"/>
              <w:bottom w:val="nil"/>
              <w:right w:val="single" w:sz="4" w:space="0" w:color="auto"/>
            </w:tcBorders>
            <w:shd w:val="clear" w:color="auto" w:fill="auto"/>
            <w:vAlign w:val="center"/>
            <w:hideMark/>
          </w:tcPr>
          <w:p w14:paraId="15AEF12F"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N – Administrativní a podpůrné činnosti</w:t>
            </w:r>
          </w:p>
        </w:tc>
        <w:tc>
          <w:tcPr>
            <w:tcW w:w="567" w:type="dxa"/>
            <w:tcBorders>
              <w:top w:val="nil"/>
              <w:left w:val="nil"/>
              <w:bottom w:val="nil"/>
              <w:right w:val="nil"/>
            </w:tcBorders>
            <w:shd w:val="clear" w:color="auto" w:fill="auto"/>
            <w:noWrap/>
            <w:vAlign w:val="center"/>
            <w:hideMark/>
          </w:tcPr>
          <w:p w14:paraId="5D0F2EC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3,9</w:t>
            </w:r>
          </w:p>
        </w:tc>
        <w:tc>
          <w:tcPr>
            <w:tcW w:w="567" w:type="dxa"/>
            <w:tcBorders>
              <w:top w:val="nil"/>
              <w:left w:val="nil"/>
              <w:bottom w:val="nil"/>
              <w:right w:val="nil"/>
            </w:tcBorders>
            <w:shd w:val="clear" w:color="auto" w:fill="auto"/>
            <w:noWrap/>
            <w:vAlign w:val="center"/>
            <w:hideMark/>
          </w:tcPr>
          <w:p w14:paraId="2A82E51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4,1</w:t>
            </w:r>
          </w:p>
        </w:tc>
        <w:tc>
          <w:tcPr>
            <w:tcW w:w="567" w:type="dxa"/>
            <w:tcBorders>
              <w:top w:val="nil"/>
              <w:left w:val="nil"/>
              <w:bottom w:val="nil"/>
              <w:right w:val="nil"/>
            </w:tcBorders>
            <w:shd w:val="clear" w:color="auto" w:fill="auto"/>
            <w:noWrap/>
            <w:vAlign w:val="center"/>
            <w:hideMark/>
          </w:tcPr>
          <w:p w14:paraId="7A9C21F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4,6</w:t>
            </w:r>
          </w:p>
        </w:tc>
        <w:tc>
          <w:tcPr>
            <w:tcW w:w="567" w:type="dxa"/>
            <w:tcBorders>
              <w:top w:val="nil"/>
              <w:left w:val="nil"/>
              <w:bottom w:val="nil"/>
              <w:right w:val="nil"/>
            </w:tcBorders>
            <w:shd w:val="clear" w:color="auto" w:fill="auto"/>
            <w:noWrap/>
            <w:vAlign w:val="center"/>
            <w:hideMark/>
          </w:tcPr>
          <w:p w14:paraId="52CFBC7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5,1</w:t>
            </w:r>
          </w:p>
        </w:tc>
        <w:tc>
          <w:tcPr>
            <w:tcW w:w="567" w:type="dxa"/>
            <w:tcBorders>
              <w:top w:val="nil"/>
              <w:left w:val="nil"/>
              <w:bottom w:val="nil"/>
              <w:right w:val="nil"/>
            </w:tcBorders>
            <w:shd w:val="clear" w:color="auto" w:fill="auto"/>
            <w:noWrap/>
            <w:vAlign w:val="center"/>
            <w:hideMark/>
          </w:tcPr>
          <w:p w14:paraId="067D58C7"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5,2</w:t>
            </w:r>
          </w:p>
        </w:tc>
        <w:tc>
          <w:tcPr>
            <w:tcW w:w="567" w:type="dxa"/>
            <w:tcBorders>
              <w:top w:val="nil"/>
              <w:left w:val="nil"/>
              <w:bottom w:val="nil"/>
              <w:right w:val="nil"/>
            </w:tcBorders>
            <w:shd w:val="clear" w:color="auto" w:fill="auto"/>
            <w:noWrap/>
            <w:vAlign w:val="center"/>
            <w:hideMark/>
          </w:tcPr>
          <w:p w14:paraId="11C38B5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5,2</w:t>
            </w:r>
          </w:p>
        </w:tc>
        <w:tc>
          <w:tcPr>
            <w:tcW w:w="567" w:type="dxa"/>
            <w:tcBorders>
              <w:top w:val="nil"/>
              <w:left w:val="nil"/>
              <w:bottom w:val="nil"/>
              <w:right w:val="nil"/>
            </w:tcBorders>
            <w:shd w:val="clear" w:color="auto" w:fill="auto"/>
            <w:noWrap/>
            <w:vAlign w:val="center"/>
            <w:hideMark/>
          </w:tcPr>
          <w:p w14:paraId="15C508D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5,4</w:t>
            </w:r>
          </w:p>
        </w:tc>
        <w:tc>
          <w:tcPr>
            <w:tcW w:w="567" w:type="dxa"/>
            <w:tcBorders>
              <w:top w:val="nil"/>
              <w:left w:val="nil"/>
              <w:bottom w:val="nil"/>
              <w:right w:val="nil"/>
            </w:tcBorders>
            <w:shd w:val="clear" w:color="auto" w:fill="auto"/>
            <w:noWrap/>
            <w:vAlign w:val="center"/>
            <w:hideMark/>
          </w:tcPr>
          <w:p w14:paraId="42F09BC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5,8</w:t>
            </w:r>
          </w:p>
        </w:tc>
        <w:tc>
          <w:tcPr>
            <w:tcW w:w="567" w:type="dxa"/>
            <w:tcBorders>
              <w:top w:val="nil"/>
              <w:left w:val="nil"/>
              <w:bottom w:val="nil"/>
              <w:right w:val="nil"/>
            </w:tcBorders>
            <w:shd w:val="clear" w:color="auto" w:fill="auto"/>
            <w:noWrap/>
            <w:vAlign w:val="center"/>
            <w:hideMark/>
          </w:tcPr>
          <w:p w14:paraId="23944D27"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6,8</w:t>
            </w:r>
          </w:p>
        </w:tc>
        <w:tc>
          <w:tcPr>
            <w:tcW w:w="567" w:type="dxa"/>
            <w:vAlign w:val="center"/>
          </w:tcPr>
          <w:p w14:paraId="0B608552" w14:textId="77777777" w:rsidR="006C1C86" w:rsidRPr="000F2639" w:rsidRDefault="006C1C86" w:rsidP="006C1C86">
            <w:pPr>
              <w:spacing w:after="0" w:line="240" w:lineRule="auto"/>
              <w:jc w:val="center"/>
            </w:pPr>
            <w:r w:rsidRPr="000F2639">
              <w:rPr>
                <w:rFonts w:cs="Arial"/>
                <w:color w:val="000000"/>
                <w:sz w:val="16"/>
                <w:szCs w:val="16"/>
              </w:rPr>
              <w:t>6,9</w:t>
            </w:r>
          </w:p>
        </w:tc>
        <w:tc>
          <w:tcPr>
            <w:tcW w:w="567" w:type="dxa"/>
            <w:vAlign w:val="center"/>
          </w:tcPr>
          <w:p w14:paraId="4617EC91" w14:textId="431C5699" w:rsidR="006C1C86" w:rsidRPr="000F2639" w:rsidRDefault="006C1C86" w:rsidP="006C1C86">
            <w:pPr>
              <w:spacing w:after="0" w:line="240" w:lineRule="auto"/>
              <w:jc w:val="center"/>
              <w:rPr>
                <w:rFonts w:cs="Arial"/>
                <w:color w:val="000000"/>
                <w:sz w:val="16"/>
                <w:szCs w:val="16"/>
              </w:rPr>
            </w:pPr>
            <w:r>
              <w:rPr>
                <w:rFonts w:cs="Arial"/>
                <w:color w:val="000000"/>
                <w:sz w:val="16"/>
                <w:szCs w:val="16"/>
              </w:rPr>
              <w:t>6,2</w:t>
            </w:r>
          </w:p>
        </w:tc>
      </w:tr>
      <w:tr w:rsidR="006C1C86" w:rsidRPr="000F2639" w14:paraId="1E574DC8" w14:textId="1EDB413B" w:rsidTr="00EE02F9">
        <w:trPr>
          <w:trHeight w:val="480"/>
        </w:trPr>
        <w:tc>
          <w:tcPr>
            <w:tcW w:w="3401" w:type="dxa"/>
            <w:tcBorders>
              <w:top w:val="nil"/>
              <w:left w:val="nil"/>
              <w:bottom w:val="nil"/>
              <w:right w:val="single" w:sz="4" w:space="0" w:color="auto"/>
            </w:tcBorders>
            <w:shd w:val="clear" w:color="auto" w:fill="auto"/>
            <w:vAlign w:val="center"/>
            <w:hideMark/>
          </w:tcPr>
          <w:p w14:paraId="171F3C72"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 xml:space="preserve">O – Veřejná správa a obrana; </w:t>
            </w:r>
            <w:r w:rsidRPr="000F2639">
              <w:rPr>
                <w:rFonts w:cs="Arial"/>
                <w:color w:val="000000"/>
                <w:sz w:val="16"/>
                <w:szCs w:val="16"/>
              </w:rPr>
              <w:br/>
              <w:t xml:space="preserve">          povinné sociální zabezpečení</w:t>
            </w:r>
          </w:p>
        </w:tc>
        <w:tc>
          <w:tcPr>
            <w:tcW w:w="567" w:type="dxa"/>
            <w:tcBorders>
              <w:top w:val="nil"/>
              <w:left w:val="nil"/>
              <w:bottom w:val="nil"/>
              <w:right w:val="nil"/>
            </w:tcBorders>
            <w:shd w:val="clear" w:color="auto" w:fill="auto"/>
            <w:noWrap/>
            <w:vAlign w:val="center"/>
            <w:hideMark/>
          </w:tcPr>
          <w:p w14:paraId="5A468EB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tcBorders>
              <w:top w:val="nil"/>
              <w:left w:val="nil"/>
              <w:bottom w:val="nil"/>
              <w:right w:val="nil"/>
            </w:tcBorders>
            <w:shd w:val="clear" w:color="auto" w:fill="auto"/>
            <w:noWrap/>
            <w:vAlign w:val="center"/>
            <w:hideMark/>
          </w:tcPr>
          <w:p w14:paraId="5FDE47E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tcBorders>
              <w:top w:val="nil"/>
              <w:left w:val="nil"/>
              <w:bottom w:val="nil"/>
              <w:right w:val="nil"/>
            </w:tcBorders>
            <w:shd w:val="clear" w:color="auto" w:fill="auto"/>
            <w:noWrap/>
            <w:vAlign w:val="center"/>
            <w:hideMark/>
          </w:tcPr>
          <w:p w14:paraId="6D79CDB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tcBorders>
              <w:top w:val="nil"/>
              <w:left w:val="nil"/>
              <w:bottom w:val="nil"/>
              <w:right w:val="nil"/>
            </w:tcBorders>
            <w:shd w:val="clear" w:color="auto" w:fill="auto"/>
            <w:noWrap/>
            <w:vAlign w:val="center"/>
            <w:hideMark/>
          </w:tcPr>
          <w:p w14:paraId="74D70E3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tcBorders>
              <w:top w:val="nil"/>
              <w:left w:val="nil"/>
              <w:bottom w:val="nil"/>
              <w:right w:val="nil"/>
            </w:tcBorders>
            <w:shd w:val="clear" w:color="auto" w:fill="auto"/>
            <w:noWrap/>
            <w:vAlign w:val="center"/>
            <w:hideMark/>
          </w:tcPr>
          <w:p w14:paraId="794A7C7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tcBorders>
              <w:top w:val="nil"/>
              <w:left w:val="nil"/>
              <w:bottom w:val="nil"/>
              <w:right w:val="nil"/>
            </w:tcBorders>
            <w:shd w:val="clear" w:color="auto" w:fill="auto"/>
            <w:noWrap/>
            <w:vAlign w:val="center"/>
            <w:hideMark/>
          </w:tcPr>
          <w:p w14:paraId="3995217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tcBorders>
              <w:top w:val="nil"/>
              <w:left w:val="nil"/>
              <w:bottom w:val="nil"/>
              <w:right w:val="nil"/>
            </w:tcBorders>
            <w:shd w:val="clear" w:color="auto" w:fill="auto"/>
            <w:noWrap/>
            <w:vAlign w:val="center"/>
            <w:hideMark/>
          </w:tcPr>
          <w:p w14:paraId="2931BC6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3,3</w:t>
            </w:r>
          </w:p>
        </w:tc>
        <w:tc>
          <w:tcPr>
            <w:tcW w:w="567" w:type="dxa"/>
            <w:tcBorders>
              <w:top w:val="nil"/>
              <w:left w:val="nil"/>
              <w:bottom w:val="nil"/>
              <w:right w:val="nil"/>
            </w:tcBorders>
            <w:shd w:val="clear" w:color="auto" w:fill="auto"/>
            <w:noWrap/>
            <w:vAlign w:val="center"/>
            <w:hideMark/>
          </w:tcPr>
          <w:p w14:paraId="7415A40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3,4</w:t>
            </w:r>
          </w:p>
        </w:tc>
        <w:tc>
          <w:tcPr>
            <w:tcW w:w="567" w:type="dxa"/>
            <w:tcBorders>
              <w:top w:val="nil"/>
              <w:left w:val="nil"/>
              <w:bottom w:val="nil"/>
              <w:right w:val="nil"/>
            </w:tcBorders>
            <w:shd w:val="clear" w:color="auto" w:fill="auto"/>
            <w:noWrap/>
            <w:vAlign w:val="center"/>
            <w:hideMark/>
          </w:tcPr>
          <w:p w14:paraId="7D421D2B"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3,9</w:t>
            </w:r>
          </w:p>
        </w:tc>
        <w:tc>
          <w:tcPr>
            <w:tcW w:w="567" w:type="dxa"/>
            <w:vAlign w:val="center"/>
          </w:tcPr>
          <w:p w14:paraId="6C65F43A" w14:textId="77777777" w:rsidR="006C1C86" w:rsidRPr="000F2639" w:rsidRDefault="006C1C86" w:rsidP="006C1C86">
            <w:pPr>
              <w:spacing w:after="0" w:line="240" w:lineRule="auto"/>
              <w:jc w:val="center"/>
            </w:pPr>
            <w:r w:rsidRPr="000F2639">
              <w:rPr>
                <w:rFonts w:cs="Arial"/>
                <w:color w:val="000000"/>
                <w:sz w:val="16"/>
                <w:szCs w:val="16"/>
              </w:rPr>
              <w:t>4,1</w:t>
            </w:r>
          </w:p>
        </w:tc>
        <w:tc>
          <w:tcPr>
            <w:tcW w:w="567" w:type="dxa"/>
            <w:vAlign w:val="center"/>
          </w:tcPr>
          <w:p w14:paraId="5C624402" w14:textId="0C4FDE53" w:rsidR="006C1C86" w:rsidRPr="000F2639" w:rsidRDefault="006C1C86" w:rsidP="006C1C86">
            <w:pPr>
              <w:spacing w:after="0" w:line="240" w:lineRule="auto"/>
              <w:jc w:val="center"/>
              <w:rPr>
                <w:rFonts w:cs="Arial"/>
                <w:color w:val="000000"/>
                <w:sz w:val="16"/>
                <w:szCs w:val="16"/>
              </w:rPr>
            </w:pPr>
            <w:r>
              <w:rPr>
                <w:rFonts w:cs="Arial"/>
                <w:color w:val="000000"/>
                <w:sz w:val="16"/>
                <w:szCs w:val="16"/>
              </w:rPr>
              <w:t>4,4</w:t>
            </w:r>
          </w:p>
        </w:tc>
      </w:tr>
      <w:tr w:rsidR="006C1C86" w:rsidRPr="000F2639" w14:paraId="3E057A82" w14:textId="40D7D6D2" w:rsidTr="00EE02F9">
        <w:trPr>
          <w:trHeight w:val="300"/>
        </w:trPr>
        <w:tc>
          <w:tcPr>
            <w:tcW w:w="3401" w:type="dxa"/>
            <w:tcBorders>
              <w:top w:val="nil"/>
              <w:left w:val="nil"/>
              <w:bottom w:val="nil"/>
              <w:right w:val="single" w:sz="4" w:space="0" w:color="auto"/>
            </w:tcBorders>
            <w:shd w:val="clear" w:color="auto" w:fill="auto"/>
            <w:vAlign w:val="center"/>
            <w:hideMark/>
          </w:tcPr>
          <w:p w14:paraId="164FBD1D"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P – Vzdělávání</w:t>
            </w:r>
          </w:p>
        </w:tc>
        <w:tc>
          <w:tcPr>
            <w:tcW w:w="567" w:type="dxa"/>
            <w:tcBorders>
              <w:top w:val="nil"/>
              <w:left w:val="nil"/>
              <w:bottom w:val="nil"/>
              <w:right w:val="nil"/>
            </w:tcBorders>
            <w:shd w:val="clear" w:color="auto" w:fill="auto"/>
            <w:noWrap/>
            <w:vAlign w:val="center"/>
            <w:hideMark/>
          </w:tcPr>
          <w:p w14:paraId="5DA9AB9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2,2</w:t>
            </w:r>
          </w:p>
        </w:tc>
        <w:tc>
          <w:tcPr>
            <w:tcW w:w="567" w:type="dxa"/>
            <w:tcBorders>
              <w:top w:val="nil"/>
              <w:left w:val="nil"/>
              <w:bottom w:val="nil"/>
              <w:right w:val="nil"/>
            </w:tcBorders>
            <w:shd w:val="clear" w:color="auto" w:fill="auto"/>
            <w:noWrap/>
            <w:vAlign w:val="center"/>
            <w:hideMark/>
          </w:tcPr>
          <w:p w14:paraId="5128462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2,3</w:t>
            </w:r>
          </w:p>
        </w:tc>
        <w:tc>
          <w:tcPr>
            <w:tcW w:w="567" w:type="dxa"/>
            <w:tcBorders>
              <w:top w:val="nil"/>
              <w:left w:val="nil"/>
              <w:bottom w:val="nil"/>
              <w:right w:val="nil"/>
            </w:tcBorders>
            <w:shd w:val="clear" w:color="auto" w:fill="auto"/>
            <w:noWrap/>
            <w:vAlign w:val="center"/>
            <w:hideMark/>
          </w:tcPr>
          <w:p w14:paraId="1118038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2,4</w:t>
            </w:r>
          </w:p>
        </w:tc>
        <w:tc>
          <w:tcPr>
            <w:tcW w:w="567" w:type="dxa"/>
            <w:tcBorders>
              <w:top w:val="nil"/>
              <w:left w:val="nil"/>
              <w:bottom w:val="nil"/>
              <w:right w:val="nil"/>
            </w:tcBorders>
            <w:shd w:val="clear" w:color="auto" w:fill="auto"/>
            <w:noWrap/>
            <w:vAlign w:val="center"/>
            <w:hideMark/>
          </w:tcPr>
          <w:p w14:paraId="614C6F8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tcBorders>
              <w:top w:val="nil"/>
              <w:left w:val="nil"/>
              <w:bottom w:val="nil"/>
              <w:right w:val="nil"/>
            </w:tcBorders>
            <w:shd w:val="clear" w:color="auto" w:fill="auto"/>
            <w:noWrap/>
            <w:vAlign w:val="center"/>
            <w:hideMark/>
          </w:tcPr>
          <w:p w14:paraId="4C5FF9F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2,8</w:t>
            </w:r>
          </w:p>
        </w:tc>
        <w:tc>
          <w:tcPr>
            <w:tcW w:w="567" w:type="dxa"/>
            <w:tcBorders>
              <w:top w:val="nil"/>
              <w:left w:val="nil"/>
              <w:bottom w:val="nil"/>
              <w:right w:val="nil"/>
            </w:tcBorders>
            <w:shd w:val="clear" w:color="auto" w:fill="auto"/>
            <w:noWrap/>
            <w:vAlign w:val="center"/>
            <w:hideMark/>
          </w:tcPr>
          <w:p w14:paraId="19065E97"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2,9</w:t>
            </w:r>
          </w:p>
        </w:tc>
        <w:tc>
          <w:tcPr>
            <w:tcW w:w="567" w:type="dxa"/>
            <w:tcBorders>
              <w:top w:val="nil"/>
              <w:left w:val="nil"/>
              <w:bottom w:val="nil"/>
              <w:right w:val="nil"/>
            </w:tcBorders>
            <w:shd w:val="clear" w:color="auto" w:fill="auto"/>
            <w:noWrap/>
            <w:vAlign w:val="center"/>
            <w:hideMark/>
          </w:tcPr>
          <w:p w14:paraId="24678E1D"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3,0</w:t>
            </w:r>
          </w:p>
        </w:tc>
        <w:tc>
          <w:tcPr>
            <w:tcW w:w="567" w:type="dxa"/>
            <w:tcBorders>
              <w:top w:val="nil"/>
              <w:left w:val="nil"/>
              <w:bottom w:val="nil"/>
              <w:right w:val="nil"/>
            </w:tcBorders>
            <w:shd w:val="clear" w:color="auto" w:fill="auto"/>
            <w:noWrap/>
            <w:vAlign w:val="center"/>
            <w:hideMark/>
          </w:tcPr>
          <w:p w14:paraId="33C3BE6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tcBorders>
              <w:top w:val="nil"/>
              <w:left w:val="nil"/>
              <w:bottom w:val="nil"/>
              <w:right w:val="nil"/>
            </w:tcBorders>
            <w:shd w:val="clear" w:color="auto" w:fill="auto"/>
            <w:noWrap/>
            <w:vAlign w:val="center"/>
            <w:hideMark/>
          </w:tcPr>
          <w:p w14:paraId="776C8DBE"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3,3</w:t>
            </w:r>
          </w:p>
        </w:tc>
        <w:tc>
          <w:tcPr>
            <w:tcW w:w="567" w:type="dxa"/>
            <w:vAlign w:val="center"/>
          </w:tcPr>
          <w:p w14:paraId="1A86BCCB" w14:textId="77777777" w:rsidR="006C1C86" w:rsidRPr="000F2639" w:rsidRDefault="006C1C86" w:rsidP="006C1C86">
            <w:pPr>
              <w:spacing w:after="0" w:line="240" w:lineRule="auto"/>
              <w:jc w:val="center"/>
            </w:pPr>
            <w:r w:rsidRPr="000F2639">
              <w:rPr>
                <w:rFonts w:cs="Arial"/>
                <w:color w:val="000000"/>
                <w:sz w:val="16"/>
                <w:szCs w:val="16"/>
              </w:rPr>
              <w:t>3,7</w:t>
            </w:r>
          </w:p>
        </w:tc>
        <w:tc>
          <w:tcPr>
            <w:tcW w:w="567" w:type="dxa"/>
            <w:vAlign w:val="center"/>
          </w:tcPr>
          <w:p w14:paraId="335904D1" w14:textId="73CEA33E" w:rsidR="006C1C86" w:rsidRPr="000F2639" w:rsidRDefault="006C1C86" w:rsidP="006C1C86">
            <w:pPr>
              <w:spacing w:after="0" w:line="240" w:lineRule="auto"/>
              <w:jc w:val="center"/>
              <w:rPr>
                <w:rFonts w:cs="Arial"/>
                <w:color w:val="000000"/>
                <w:sz w:val="16"/>
                <w:szCs w:val="16"/>
              </w:rPr>
            </w:pPr>
            <w:r>
              <w:rPr>
                <w:rFonts w:cs="Arial"/>
                <w:color w:val="000000"/>
                <w:sz w:val="16"/>
                <w:szCs w:val="16"/>
              </w:rPr>
              <w:t>4,0</w:t>
            </w:r>
          </w:p>
        </w:tc>
      </w:tr>
      <w:tr w:rsidR="006C1C86" w:rsidRPr="000F2639" w14:paraId="783501D3" w14:textId="791A872F" w:rsidTr="00EE02F9">
        <w:trPr>
          <w:trHeight w:val="300"/>
        </w:trPr>
        <w:tc>
          <w:tcPr>
            <w:tcW w:w="3401" w:type="dxa"/>
            <w:tcBorders>
              <w:top w:val="nil"/>
              <w:left w:val="nil"/>
              <w:bottom w:val="nil"/>
              <w:right w:val="single" w:sz="4" w:space="0" w:color="auto"/>
            </w:tcBorders>
            <w:shd w:val="clear" w:color="auto" w:fill="auto"/>
            <w:vAlign w:val="center"/>
            <w:hideMark/>
          </w:tcPr>
          <w:p w14:paraId="7339A0FE"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Q – Zdravotní a sociální péče</w:t>
            </w:r>
          </w:p>
        </w:tc>
        <w:tc>
          <w:tcPr>
            <w:tcW w:w="567" w:type="dxa"/>
            <w:tcBorders>
              <w:top w:val="nil"/>
              <w:left w:val="nil"/>
              <w:bottom w:val="nil"/>
              <w:right w:val="nil"/>
            </w:tcBorders>
            <w:shd w:val="clear" w:color="auto" w:fill="auto"/>
            <w:noWrap/>
            <w:vAlign w:val="center"/>
            <w:hideMark/>
          </w:tcPr>
          <w:p w14:paraId="74D7C526" w14:textId="6B777A73"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3,2</w:t>
            </w:r>
          </w:p>
        </w:tc>
        <w:tc>
          <w:tcPr>
            <w:tcW w:w="567" w:type="dxa"/>
            <w:tcBorders>
              <w:top w:val="nil"/>
              <w:left w:val="nil"/>
              <w:bottom w:val="nil"/>
              <w:right w:val="nil"/>
            </w:tcBorders>
            <w:shd w:val="clear" w:color="auto" w:fill="auto"/>
            <w:noWrap/>
            <w:vAlign w:val="center"/>
            <w:hideMark/>
          </w:tcPr>
          <w:p w14:paraId="14B3466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3,4</w:t>
            </w:r>
          </w:p>
        </w:tc>
        <w:tc>
          <w:tcPr>
            <w:tcW w:w="567" w:type="dxa"/>
            <w:tcBorders>
              <w:top w:val="nil"/>
              <w:left w:val="nil"/>
              <w:bottom w:val="nil"/>
              <w:right w:val="nil"/>
            </w:tcBorders>
            <w:shd w:val="clear" w:color="auto" w:fill="auto"/>
            <w:noWrap/>
            <w:vAlign w:val="center"/>
            <w:hideMark/>
          </w:tcPr>
          <w:p w14:paraId="3C9FCF9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3,6</w:t>
            </w:r>
          </w:p>
        </w:tc>
        <w:tc>
          <w:tcPr>
            <w:tcW w:w="567" w:type="dxa"/>
            <w:tcBorders>
              <w:top w:val="nil"/>
              <w:left w:val="nil"/>
              <w:bottom w:val="nil"/>
              <w:right w:val="nil"/>
            </w:tcBorders>
            <w:shd w:val="clear" w:color="auto" w:fill="auto"/>
            <w:noWrap/>
            <w:vAlign w:val="center"/>
            <w:hideMark/>
          </w:tcPr>
          <w:p w14:paraId="59EB4086"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3,9</w:t>
            </w:r>
          </w:p>
        </w:tc>
        <w:tc>
          <w:tcPr>
            <w:tcW w:w="567" w:type="dxa"/>
            <w:tcBorders>
              <w:top w:val="nil"/>
              <w:left w:val="nil"/>
              <w:bottom w:val="nil"/>
              <w:right w:val="nil"/>
            </w:tcBorders>
            <w:shd w:val="clear" w:color="auto" w:fill="auto"/>
            <w:noWrap/>
            <w:vAlign w:val="center"/>
            <w:hideMark/>
          </w:tcPr>
          <w:p w14:paraId="311733C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4,1</w:t>
            </w:r>
          </w:p>
        </w:tc>
        <w:tc>
          <w:tcPr>
            <w:tcW w:w="567" w:type="dxa"/>
            <w:tcBorders>
              <w:top w:val="nil"/>
              <w:left w:val="nil"/>
              <w:bottom w:val="nil"/>
              <w:right w:val="nil"/>
            </w:tcBorders>
            <w:shd w:val="clear" w:color="auto" w:fill="auto"/>
            <w:noWrap/>
            <w:vAlign w:val="center"/>
            <w:hideMark/>
          </w:tcPr>
          <w:p w14:paraId="6229ACEF"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4,1</w:t>
            </w:r>
          </w:p>
        </w:tc>
        <w:tc>
          <w:tcPr>
            <w:tcW w:w="567" w:type="dxa"/>
            <w:tcBorders>
              <w:top w:val="nil"/>
              <w:left w:val="nil"/>
              <w:bottom w:val="nil"/>
              <w:right w:val="nil"/>
            </w:tcBorders>
            <w:shd w:val="clear" w:color="auto" w:fill="auto"/>
            <w:noWrap/>
            <w:vAlign w:val="center"/>
            <w:hideMark/>
          </w:tcPr>
          <w:p w14:paraId="73DC38A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4,3</w:t>
            </w:r>
          </w:p>
        </w:tc>
        <w:tc>
          <w:tcPr>
            <w:tcW w:w="567" w:type="dxa"/>
            <w:tcBorders>
              <w:top w:val="nil"/>
              <w:left w:val="nil"/>
              <w:bottom w:val="nil"/>
              <w:right w:val="nil"/>
            </w:tcBorders>
            <w:shd w:val="clear" w:color="auto" w:fill="auto"/>
            <w:noWrap/>
            <w:vAlign w:val="center"/>
            <w:hideMark/>
          </w:tcPr>
          <w:p w14:paraId="6275FA6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4,5</w:t>
            </w:r>
          </w:p>
        </w:tc>
        <w:tc>
          <w:tcPr>
            <w:tcW w:w="567" w:type="dxa"/>
            <w:tcBorders>
              <w:top w:val="nil"/>
              <w:left w:val="nil"/>
              <w:bottom w:val="nil"/>
              <w:right w:val="nil"/>
            </w:tcBorders>
            <w:shd w:val="clear" w:color="auto" w:fill="auto"/>
            <w:noWrap/>
            <w:vAlign w:val="center"/>
            <w:hideMark/>
          </w:tcPr>
          <w:p w14:paraId="6313B04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5,9</w:t>
            </w:r>
          </w:p>
        </w:tc>
        <w:tc>
          <w:tcPr>
            <w:tcW w:w="567" w:type="dxa"/>
            <w:vAlign w:val="center"/>
          </w:tcPr>
          <w:p w14:paraId="055DBD54" w14:textId="77777777" w:rsidR="006C1C86" w:rsidRPr="000F2639" w:rsidRDefault="006C1C86" w:rsidP="006C1C86">
            <w:pPr>
              <w:spacing w:after="0" w:line="240" w:lineRule="auto"/>
              <w:jc w:val="center"/>
            </w:pPr>
            <w:r w:rsidRPr="000F2639">
              <w:rPr>
                <w:rFonts w:cs="Arial"/>
                <w:color w:val="000000"/>
                <w:sz w:val="16"/>
                <w:szCs w:val="16"/>
              </w:rPr>
              <w:t>5,4</w:t>
            </w:r>
          </w:p>
        </w:tc>
        <w:tc>
          <w:tcPr>
            <w:tcW w:w="567" w:type="dxa"/>
            <w:vAlign w:val="center"/>
          </w:tcPr>
          <w:p w14:paraId="09C11E4C" w14:textId="56A2330B" w:rsidR="006C1C86" w:rsidRPr="000F2639" w:rsidRDefault="006C1C86" w:rsidP="006C1C86">
            <w:pPr>
              <w:spacing w:after="0" w:line="240" w:lineRule="auto"/>
              <w:jc w:val="center"/>
              <w:rPr>
                <w:rFonts w:cs="Arial"/>
                <w:color w:val="000000"/>
                <w:sz w:val="16"/>
                <w:szCs w:val="16"/>
              </w:rPr>
            </w:pPr>
            <w:r>
              <w:rPr>
                <w:rFonts w:cs="Arial"/>
                <w:color w:val="000000"/>
                <w:sz w:val="16"/>
                <w:szCs w:val="16"/>
              </w:rPr>
              <w:t>5,3</w:t>
            </w:r>
          </w:p>
        </w:tc>
      </w:tr>
      <w:tr w:rsidR="006C1C86" w:rsidRPr="000F2639" w14:paraId="74F71D36" w14:textId="50B405C7" w:rsidTr="00EE02F9">
        <w:trPr>
          <w:trHeight w:val="300"/>
        </w:trPr>
        <w:tc>
          <w:tcPr>
            <w:tcW w:w="3401" w:type="dxa"/>
            <w:tcBorders>
              <w:top w:val="nil"/>
              <w:left w:val="nil"/>
              <w:bottom w:val="nil"/>
              <w:right w:val="single" w:sz="4" w:space="0" w:color="auto"/>
            </w:tcBorders>
            <w:shd w:val="clear" w:color="auto" w:fill="auto"/>
            <w:vAlign w:val="center"/>
            <w:hideMark/>
          </w:tcPr>
          <w:p w14:paraId="2493F257"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R – Kulturní, zábavní a rekreační činnosti</w:t>
            </w:r>
          </w:p>
        </w:tc>
        <w:tc>
          <w:tcPr>
            <w:tcW w:w="567" w:type="dxa"/>
            <w:tcBorders>
              <w:top w:val="nil"/>
              <w:left w:val="nil"/>
              <w:bottom w:val="nil"/>
              <w:right w:val="nil"/>
            </w:tcBorders>
            <w:shd w:val="clear" w:color="auto" w:fill="auto"/>
            <w:noWrap/>
            <w:vAlign w:val="center"/>
            <w:hideMark/>
          </w:tcPr>
          <w:p w14:paraId="496C72B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2,3</w:t>
            </w:r>
          </w:p>
        </w:tc>
        <w:tc>
          <w:tcPr>
            <w:tcW w:w="567" w:type="dxa"/>
            <w:tcBorders>
              <w:top w:val="nil"/>
              <w:left w:val="nil"/>
              <w:bottom w:val="nil"/>
              <w:right w:val="nil"/>
            </w:tcBorders>
            <w:shd w:val="clear" w:color="auto" w:fill="auto"/>
            <w:noWrap/>
            <w:vAlign w:val="center"/>
            <w:hideMark/>
          </w:tcPr>
          <w:p w14:paraId="6079752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2,5</w:t>
            </w:r>
          </w:p>
        </w:tc>
        <w:tc>
          <w:tcPr>
            <w:tcW w:w="567" w:type="dxa"/>
            <w:tcBorders>
              <w:top w:val="nil"/>
              <w:left w:val="nil"/>
              <w:bottom w:val="nil"/>
              <w:right w:val="nil"/>
            </w:tcBorders>
            <w:shd w:val="clear" w:color="auto" w:fill="auto"/>
            <w:noWrap/>
            <w:vAlign w:val="center"/>
            <w:hideMark/>
          </w:tcPr>
          <w:p w14:paraId="2E8F31A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2,5</w:t>
            </w:r>
          </w:p>
        </w:tc>
        <w:tc>
          <w:tcPr>
            <w:tcW w:w="567" w:type="dxa"/>
            <w:tcBorders>
              <w:top w:val="nil"/>
              <w:left w:val="nil"/>
              <w:bottom w:val="nil"/>
              <w:right w:val="nil"/>
            </w:tcBorders>
            <w:shd w:val="clear" w:color="auto" w:fill="auto"/>
            <w:noWrap/>
            <w:vAlign w:val="center"/>
            <w:hideMark/>
          </w:tcPr>
          <w:p w14:paraId="466FC1A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2,7</w:t>
            </w:r>
          </w:p>
        </w:tc>
        <w:tc>
          <w:tcPr>
            <w:tcW w:w="567" w:type="dxa"/>
            <w:tcBorders>
              <w:top w:val="nil"/>
              <w:left w:val="nil"/>
              <w:bottom w:val="nil"/>
              <w:right w:val="nil"/>
            </w:tcBorders>
            <w:shd w:val="clear" w:color="auto" w:fill="auto"/>
            <w:noWrap/>
            <w:vAlign w:val="center"/>
            <w:hideMark/>
          </w:tcPr>
          <w:p w14:paraId="48643D04"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2,8</w:t>
            </w:r>
          </w:p>
        </w:tc>
        <w:tc>
          <w:tcPr>
            <w:tcW w:w="567" w:type="dxa"/>
            <w:tcBorders>
              <w:top w:val="nil"/>
              <w:left w:val="nil"/>
              <w:bottom w:val="nil"/>
              <w:right w:val="nil"/>
            </w:tcBorders>
            <w:shd w:val="clear" w:color="auto" w:fill="auto"/>
            <w:noWrap/>
            <w:vAlign w:val="center"/>
            <w:hideMark/>
          </w:tcPr>
          <w:p w14:paraId="4885A22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2,9</w:t>
            </w:r>
          </w:p>
        </w:tc>
        <w:tc>
          <w:tcPr>
            <w:tcW w:w="567" w:type="dxa"/>
            <w:tcBorders>
              <w:top w:val="nil"/>
              <w:left w:val="nil"/>
              <w:bottom w:val="nil"/>
              <w:right w:val="nil"/>
            </w:tcBorders>
            <w:shd w:val="clear" w:color="auto" w:fill="auto"/>
            <w:noWrap/>
            <w:vAlign w:val="center"/>
            <w:hideMark/>
          </w:tcPr>
          <w:p w14:paraId="49A9F0D5"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3,0</w:t>
            </w:r>
          </w:p>
        </w:tc>
        <w:tc>
          <w:tcPr>
            <w:tcW w:w="567" w:type="dxa"/>
            <w:tcBorders>
              <w:top w:val="nil"/>
              <w:left w:val="nil"/>
              <w:bottom w:val="nil"/>
              <w:right w:val="nil"/>
            </w:tcBorders>
            <w:shd w:val="clear" w:color="auto" w:fill="auto"/>
            <w:noWrap/>
            <w:vAlign w:val="center"/>
            <w:hideMark/>
          </w:tcPr>
          <w:p w14:paraId="1788E63C"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tcBorders>
              <w:top w:val="nil"/>
              <w:left w:val="nil"/>
              <w:bottom w:val="nil"/>
              <w:right w:val="nil"/>
            </w:tcBorders>
            <w:shd w:val="clear" w:color="auto" w:fill="auto"/>
            <w:noWrap/>
            <w:vAlign w:val="center"/>
            <w:hideMark/>
          </w:tcPr>
          <w:p w14:paraId="79F550E1"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3,7</w:t>
            </w:r>
          </w:p>
        </w:tc>
        <w:tc>
          <w:tcPr>
            <w:tcW w:w="567" w:type="dxa"/>
            <w:vAlign w:val="center"/>
          </w:tcPr>
          <w:p w14:paraId="532CB3B6" w14:textId="77777777" w:rsidR="006C1C86" w:rsidRPr="000F2639" w:rsidRDefault="006C1C86" w:rsidP="006C1C86">
            <w:pPr>
              <w:spacing w:after="0" w:line="240" w:lineRule="auto"/>
              <w:jc w:val="center"/>
            </w:pPr>
            <w:r w:rsidRPr="000F2639">
              <w:rPr>
                <w:rFonts w:cs="Arial"/>
                <w:color w:val="000000"/>
                <w:sz w:val="16"/>
                <w:szCs w:val="16"/>
              </w:rPr>
              <w:t>3,4</w:t>
            </w:r>
          </w:p>
        </w:tc>
        <w:tc>
          <w:tcPr>
            <w:tcW w:w="567" w:type="dxa"/>
            <w:vAlign w:val="center"/>
          </w:tcPr>
          <w:p w14:paraId="254E77AA" w14:textId="6C318489" w:rsidR="006C1C86" w:rsidRPr="000F2639" w:rsidRDefault="006C1C86" w:rsidP="006C1C86">
            <w:pPr>
              <w:spacing w:after="0" w:line="240" w:lineRule="auto"/>
              <w:jc w:val="center"/>
              <w:rPr>
                <w:rFonts w:cs="Arial"/>
                <w:color w:val="000000"/>
                <w:sz w:val="16"/>
                <w:szCs w:val="16"/>
              </w:rPr>
            </w:pPr>
            <w:r>
              <w:rPr>
                <w:rFonts w:cs="Arial"/>
                <w:color w:val="000000"/>
                <w:sz w:val="16"/>
                <w:szCs w:val="16"/>
              </w:rPr>
              <w:t>3,7</w:t>
            </w:r>
          </w:p>
        </w:tc>
      </w:tr>
      <w:tr w:rsidR="006C1C86" w:rsidRPr="000F2639" w14:paraId="110B9590" w14:textId="4E517C77" w:rsidTr="00EE02F9">
        <w:trPr>
          <w:trHeight w:val="300"/>
        </w:trPr>
        <w:tc>
          <w:tcPr>
            <w:tcW w:w="3401" w:type="dxa"/>
            <w:tcBorders>
              <w:top w:val="nil"/>
              <w:left w:val="nil"/>
              <w:bottom w:val="nil"/>
              <w:right w:val="single" w:sz="4" w:space="0" w:color="auto"/>
            </w:tcBorders>
            <w:shd w:val="clear" w:color="auto" w:fill="auto"/>
            <w:vAlign w:val="center"/>
            <w:hideMark/>
          </w:tcPr>
          <w:p w14:paraId="4728A77D" w14:textId="77777777" w:rsidR="006C1C86" w:rsidRPr="000F2639" w:rsidRDefault="006C1C86" w:rsidP="006C1C86">
            <w:pPr>
              <w:spacing w:after="0" w:line="240" w:lineRule="auto"/>
              <w:ind w:firstLineChars="100" w:firstLine="160"/>
              <w:rPr>
                <w:rFonts w:cs="Arial"/>
                <w:color w:val="000000"/>
                <w:sz w:val="16"/>
                <w:szCs w:val="16"/>
              </w:rPr>
            </w:pPr>
            <w:r w:rsidRPr="000F2639">
              <w:rPr>
                <w:rFonts w:cs="Arial"/>
                <w:color w:val="000000"/>
                <w:sz w:val="16"/>
                <w:szCs w:val="16"/>
              </w:rPr>
              <w:t>S – Ostatní činnosti</w:t>
            </w:r>
          </w:p>
        </w:tc>
        <w:tc>
          <w:tcPr>
            <w:tcW w:w="567" w:type="dxa"/>
            <w:tcBorders>
              <w:top w:val="nil"/>
              <w:left w:val="nil"/>
              <w:bottom w:val="nil"/>
              <w:right w:val="nil"/>
            </w:tcBorders>
            <w:shd w:val="clear" w:color="auto" w:fill="auto"/>
            <w:noWrap/>
            <w:vAlign w:val="center"/>
            <w:hideMark/>
          </w:tcPr>
          <w:p w14:paraId="209EAC07"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2,9</w:t>
            </w:r>
          </w:p>
        </w:tc>
        <w:tc>
          <w:tcPr>
            <w:tcW w:w="567" w:type="dxa"/>
            <w:tcBorders>
              <w:top w:val="nil"/>
              <w:left w:val="nil"/>
              <w:bottom w:val="nil"/>
              <w:right w:val="nil"/>
            </w:tcBorders>
            <w:shd w:val="clear" w:color="auto" w:fill="auto"/>
            <w:noWrap/>
            <w:vAlign w:val="center"/>
            <w:hideMark/>
          </w:tcPr>
          <w:p w14:paraId="023A51E7"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3,1</w:t>
            </w:r>
          </w:p>
        </w:tc>
        <w:tc>
          <w:tcPr>
            <w:tcW w:w="567" w:type="dxa"/>
            <w:tcBorders>
              <w:top w:val="nil"/>
              <w:left w:val="nil"/>
              <w:bottom w:val="nil"/>
              <w:right w:val="nil"/>
            </w:tcBorders>
            <w:shd w:val="clear" w:color="auto" w:fill="auto"/>
            <w:noWrap/>
            <w:vAlign w:val="center"/>
            <w:hideMark/>
          </w:tcPr>
          <w:p w14:paraId="1264B7BA"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3,2</w:t>
            </w:r>
          </w:p>
        </w:tc>
        <w:tc>
          <w:tcPr>
            <w:tcW w:w="567" w:type="dxa"/>
            <w:tcBorders>
              <w:top w:val="nil"/>
              <w:left w:val="nil"/>
              <w:bottom w:val="nil"/>
              <w:right w:val="nil"/>
            </w:tcBorders>
            <w:shd w:val="clear" w:color="auto" w:fill="auto"/>
            <w:noWrap/>
            <w:vAlign w:val="center"/>
            <w:hideMark/>
          </w:tcPr>
          <w:p w14:paraId="3CE925E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3,6</w:t>
            </w:r>
          </w:p>
        </w:tc>
        <w:tc>
          <w:tcPr>
            <w:tcW w:w="567" w:type="dxa"/>
            <w:tcBorders>
              <w:top w:val="nil"/>
              <w:left w:val="nil"/>
              <w:bottom w:val="nil"/>
              <w:right w:val="nil"/>
            </w:tcBorders>
            <w:shd w:val="clear" w:color="auto" w:fill="auto"/>
            <w:noWrap/>
            <w:vAlign w:val="center"/>
            <w:hideMark/>
          </w:tcPr>
          <w:p w14:paraId="575EE1E8"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3,8</w:t>
            </w:r>
          </w:p>
        </w:tc>
        <w:tc>
          <w:tcPr>
            <w:tcW w:w="567" w:type="dxa"/>
            <w:tcBorders>
              <w:top w:val="nil"/>
              <w:left w:val="nil"/>
              <w:bottom w:val="nil"/>
              <w:right w:val="nil"/>
            </w:tcBorders>
            <w:shd w:val="clear" w:color="auto" w:fill="auto"/>
            <w:noWrap/>
            <w:vAlign w:val="center"/>
            <w:hideMark/>
          </w:tcPr>
          <w:p w14:paraId="6E0D71D2"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3,6</w:t>
            </w:r>
          </w:p>
        </w:tc>
        <w:tc>
          <w:tcPr>
            <w:tcW w:w="567" w:type="dxa"/>
            <w:tcBorders>
              <w:top w:val="nil"/>
              <w:left w:val="nil"/>
              <w:bottom w:val="nil"/>
              <w:right w:val="nil"/>
            </w:tcBorders>
            <w:shd w:val="clear" w:color="auto" w:fill="auto"/>
            <w:noWrap/>
            <w:vAlign w:val="center"/>
            <w:hideMark/>
          </w:tcPr>
          <w:p w14:paraId="14D47EC0"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3,8</w:t>
            </w:r>
          </w:p>
        </w:tc>
        <w:tc>
          <w:tcPr>
            <w:tcW w:w="567" w:type="dxa"/>
            <w:tcBorders>
              <w:top w:val="nil"/>
              <w:left w:val="nil"/>
              <w:bottom w:val="nil"/>
              <w:right w:val="nil"/>
            </w:tcBorders>
            <w:shd w:val="clear" w:color="auto" w:fill="auto"/>
            <w:noWrap/>
            <w:vAlign w:val="center"/>
            <w:hideMark/>
          </w:tcPr>
          <w:p w14:paraId="370F5029"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4,0</w:t>
            </w:r>
          </w:p>
        </w:tc>
        <w:tc>
          <w:tcPr>
            <w:tcW w:w="567" w:type="dxa"/>
            <w:tcBorders>
              <w:top w:val="nil"/>
              <w:left w:val="nil"/>
              <w:bottom w:val="nil"/>
              <w:right w:val="nil"/>
            </w:tcBorders>
            <w:shd w:val="clear" w:color="auto" w:fill="auto"/>
            <w:noWrap/>
            <w:vAlign w:val="center"/>
            <w:hideMark/>
          </w:tcPr>
          <w:p w14:paraId="61830883" w14:textId="77777777" w:rsidR="006C1C86" w:rsidRPr="000F2639" w:rsidRDefault="006C1C86" w:rsidP="006C1C86">
            <w:pPr>
              <w:spacing w:after="0" w:line="240" w:lineRule="auto"/>
              <w:jc w:val="center"/>
              <w:rPr>
                <w:rFonts w:cs="Arial"/>
                <w:color w:val="000000"/>
                <w:sz w:val="16"/>
                <w:szCs w:val="16"/>
              </w:rPr>
            </w:pPr>
            <w:r w:rsidRPr="000F2639">
              <w:rPr>
                <w:rFonts w:cs="Arial"/>
                <w:color w:val="000000"/>
                <w:sz w:val="16"/>
                <w:szCs w:val="16"/>
              </w:rPr>
              <w:t>4,8</w:t>
            </w:r>
          </w:p>
        </w:tc>
        <w:tc>
          <w:tcPr>
            <w:tcW w:w="567" w:type="dxa"/>
            <w:vAlign w:val="center"/>
          </w:tcPr>
          <w:p w14:paraId="7AEA7EB3" w14:textId="77777777" w:rsidR="006C1C86" w:rsidRPr="000F2639" w:rsidRDefault="006C1C86" w:rsidP="006C1C86">
            <w:pPr>
              <w:spacing w:after="0" w:line="240" w:lineRule="auto"/>
              <w:jc w:val="center"/>
            </w:pPr>
            <w:r w:rsidRPr="000F2639">
              <w:rPr>
                <w:rFonts w:cs="Arial"/>
                <w:color w:val="000000"/>
                <w:sz w:val="16"/>
                <w:szCs w:val="16"/>
              </w:rPr>
              <w:t>4,6</w:t>
            </w:r>
          </w:p>
        </w:tc>
        <w:tc>
          <w:tcPr>
            <w:tcW w:w="567" w:type="dxa"/>
            <w:vAlign w:val="center"/>
          </w:tcPr>
          <w:p w14:paraId="2720B48D" w14:textId="6C184423" w:rsidR="006C1C86" w:rsidRPr="000F2639" w:rsidRDefault="006C1C86" w:rsidP="006C1C86">
            <w:pPr>
              <w:spacing w:after="0" w:line="240" w:lineRule="auto"/>
              <w:jc w:val="center"/>
              <w:rPr>
                <w:rFonts w:cs="Arial"/>
                <w:color w:val="000000"/>
                <w:sz w:val="16"/>
                <w:szCs w:val="16"/>
              </w:rPr>
            </w:pPr>
            <w:r>
              <w:rPr>
                <w:rFonts w:cs="Arial"/>
                <w:color w:val="000000"/>
                <w:sz w:val="16"/>
                <w:szCs w:val="16"/>
              </w:rPr>
              <w:t>4,5</w:t>
            </w:r>
          </w:p>
        </w:tc>
      </w:tr>
    </w:tbl>
    <w:p w14:paraId="3F9A466A" w14:textId="0C11CAA4" w:rsidR="004F6383" w:rsidRDefault="004F6383" w:rsidP="008A3A13">
      <w:pPr>
        <w:spacing w:before="120" w:after="120"/>
        <w:rPr>
          <w:sz w:val="16"/>
        </w:rPr>
      </w:pPr>
      <w:r>
        <w:rPr>
          <w:sz w:val="16"/>
        </w:rPr>
        <w:t>Pozn.: Přerušení v časové řadě.</w:t>
      </w:r>
      <w:r w:rsidRPr="004F6383">
        <w:rPr>
          <w:noProof/>
        </w:rPr>
        <w:t xml:space="preserve"> </w:t>
      </w:r>
    </w:p>
    <w:p w14:paraId="04756499" w14:textId="4308B1D0" w:rsidR="008A3A13" w:rsidRPr="000F2639" w:rsidRDefault="008A3A13" w:rsidP="008A3A13">
      <w:pPr>
        <w:spacing w:before="120" w:after="120"/>
        <w:rPr>
          <w:sz w:val="16"/>
        </w:rPr>
      </w:pPr>
      <w:r w:rsidRPr="000F2639">
        <w:rPr>
          <w:sz w:val="16"/>
        </w:rPr>
        <w:t>Zdroj: ČSÚ</w:t>
      </w:r>
    </w:p>
    <w:p w14:paraId="26A0E64C" w14:textId="12762813" w:rsidR="008A3A13" w:rsidRPr="00577417" w:rsidRDefault="008A3A13" w:rsidP="008A3A13">
      <w:pPr>
        <w:spacing w:before="120" w:after="120"/>
        <w:jc w:val="both"/>
      </w:pPr>
      <w:r w:rsidRPr="00577417">
        <w:t xml:space="preserve">Podle </w:t>
      </w:r>
      <w:r w:rsidRPr="00577417">
        <w:rPr>
          <w:b/>
        </w:rPr>
        <w:t>detailnějšího územního členění</w:t>
      </w:r>
      <w:r w:rsidRPr="00577417">
        <w:t xml:space="preserve"> se okresem s nejvyšším průměrným procentem dočasné pracovní neschopnosti v roce 202</w:t>
      </w:r>
      <w:r w:rsidR="000F2639" w:rsidRPr="00577417">
        <w:t>2</w:t>
      </w:r>
      <w:r w:rsidRPr="00577417">
        <w:t xml:space="preserve"> stala opět Karviná (</w:t>
      </w:r>
      <w:r w:rsidR="000F2639" w:rsidRPr="00577417">
        <w:t>7,5</w:t>
      </w:r>
      <w:r w:rsidRPr="00577417">
        <w:t xml:space="preserve"> %) v Moravskoslezském kraji. Následovaly okresy </w:t>
      </w:r>
      <w:r w:rsidR="000F2639" w:rsidRPr="00577417">
        <w:t>Hodonín (Jihomoravský kraj)</w:t>
      </w:r>
      <w:r w:rsidRPr="00577417">
        <w:t xml:space="preserve"> a Česká Lípa (Liberecký kraj) s</w:t>
      </w:r>
      <w:r w:rsidR="005A1583" w:rsidRPr="00577417">
        <w:t> </w:t>
      </w:r>
      <w:r w:rsidRPr="00577417">
        <w:t>hodnotou</w:t>
      </w:r>
      <w:r w:rsidR="005A1583" w:rsidRPr="00577417">
        <w:t xml:space="preserve"> </w:t>
      </w:r>
      <w:r w:rsidR="000F2639" w:rsidRPr="00577417">
        <w:t>7,4</w:t>
      </w:r>
      <w:r w:rsidR="005A1583" w:rsidRPr="00577417">
        <w:t xml:space="preserve"> %</w:t>
      </w:r>
      <w:r w:rsidRPr="00577417">
        <w:t xml:space="preserve">. Nejnižší hodnotu průměrného procenta pracovní neschopnosti vykazovaly stejně jako v předchozích letech </w:t>
      </w:r>
      <w:r w:rsidR="000F2639" w:rsidRPr="00577417">
        <w:t xml:space="preserve">následující </w:t>
      </w:r>
      <w:r w:rsidRPr="00577417">
        <w:t xml:space="preserve">okresy </w:t>
      </w:r>
      <w:r w:rsidR="000F2639" w:rsidRPr="00577417">
        <w:t xml:space="preserve">– již zmíněná Praha (3,7 %), Brno-město v Jihomoravském kraji (4,2 %) a </w:t>
      </w:r>
      <w:r w:rsidRPr="00577417">
        <w:t>Jeseník</w:t>
      </w:r>
      <w:r w:rsidR="000F2639" w:rsidRPr="00577417">
        <w:t xml:space="preserve"> v Olomouckém kraji s 4,7</w:t>
      </w:r>
      <w:r w:rsidR="00D9160E" w:rsidRPr="00577417">
        <w:t> </w:t>
      </w:r>
      <w:r w:rsidRPr="00577417">
        <w:t>%</w:t>
      </w:r>
      <w:r w:rsidR="000F2639" w:rsidRPr="00577417">
        <w:t>.</w:t>
      </w:r>
      <w:r w:rsidR="00565BA0" w:rsidRPr="00577417">
        <w:t xml:space="preserve"> V posledně jmenovaném okrese se hodnota zvýšila oproti roku 2021 z</w:t>
      </w:r>
      <w:r w:rsidR="00577417" w:rsidRPr="00577417">
        <w:t> 2,8 %</w:t>
      </w:r>
      <w:r w:rsidR="00577417" w:rsidRPr="00577417">
        <w:rPr>
          <w:rStyle w:val="Znakapoznpodarou"/>
        </w:rPr>
        <w:footnoteReference w:id="13"/>
      </w:r>
      <w:r w:rsidR="00577417" w:rsidRPr="00577417">
        <w:t>.</w:t>
      </w:r>
      <w:r w:rsidR="008553FD">
        <w:t xml:space="preserve"> </w:t>
      </w:r>
      <w:r w:rsidRPr="00577417">
        <w:t xml:space="preserve">Hodnotu ukazatele pod hranicí 5 % zaznamenal ještě okres </w:t>
      </w:r>
      <w:r w:rsidR="00577417" w:rsidRPr="00577417">
        <w:t xml:space="preserve">Hradec Králové (4,8 %) </w:t>
      </w:r>
      <w:r w:rsidRPr="00577417">
        <w:t>ležící v</w:t>
      </w:r>
      <w:r w:rsidR="00577417" w:rsidRPr="00577417">
        <w:t> Královéhradeckém kraji, dále Mělník (Středočeský kraj) a okres Pardubice (oba shodně 5</w:t>
      </w:r>
      <w:r w:rsidR="008236E6">
        <w:t>,0</w:t>
      </w:r>
      <w:r w:rsidR="00577417" w:rsidRPr="00577417">
        <w:t xml:space="preserve"> %)</w:t>
      </w:r>
      <w:r w:rsidRPr="00577417">
        <w:t>. Podrobné informace za celou Českou republiku nabízí kartogram 2.2, resp. tabulka 3.5 v tabulkové části publikace.</w:t>
      </w:r>
    </w:p>
    <w:p w14:paraId="05AFCB9A" w14:textId="70CA006C" w:rsidR="004229D4" w:rsidRPr="00166BEB" w:rsidRDefault="004229D4">
      <w:pPr>
        <w:spacing w:after="0" w:line="240" w:lineRule="auto"/>
        <w:rPr>
          <w:rFonts w:cs="Arial"/>
          <w:b/>
          <w:bCs/>
          <w:color w:val="000000"/>
          <w:szCs w:val="20"/>
          <w:highlight w:val="yellow"/>
        </w:rPr>
      </w:pPr>
      <w:r w:rsidRPr="00166BEB">
        <w:rPr>
          <w:rFonts w:cs="Arial"/>
          <w:b/>
          <w:bCs/>
          <w:color w:val="000000"/>
          <w:szCs w:val="20"/>
          <w:highlight w:val="yellow"/>
        </w:rPr>
        <w:br w:type="page"/>
      </w:r>
    </w:p>
    <w:p w14:paraId="7C6904F2" w14:textId="0182EF6E" w:rsidR="008A3A13" w:rsidRPr="00577417" w:rsidRDefault="00D9160E" w:rsidP="00D50EF1">
      <w:pPr>
        <w:spacing w:after="0" w:line="240" w:lineRule="auto"/>
        <w:jc w:val="both"/>
      </w:pPr>
      <w:r w:rsidRPr="00577417">
        <w:rPr>
          <w:rFonts w:cs="Arial"/>
          <w:b/>
          <w:bCs/>
          <w:color w:val="000000"/>
          <w:szCs w:val="20"/>
        </w:rPr>
        <w:lastRenderedPageBreak/>
        <w:t>Graf 2.1</w:t>
      </w:r>
      <w:r w:rsidR="006967EA">
        <w:rPr>
          <w:rFonts w:cs="Arial"/>
          <w:b/>
          <w:bCs/>
          <w:color w:val="000000"/>
          <w:szCs w:val="20"/>
        </w:rPr>
        <w:t>6</w:t>
      </w:r>
      <w:r w:rsidRPr="00577417">
        <w:rPr>
          <w:rFonts w:cs="Arial"/>
          <w:b/>
          <w:bCs/>
          <w:color w:val="000000"/>
          <w:szCs w:val="20"/>
        </w:rPr>
        <w:t>: Průměrné procento dočasné pracovní neschopnosti podle krajů ČR, 2019 a 202</w:t>
      </w:r>
      <w:r w:rsidR="00577417" w:rsidRPr="00577417">
        <w:rPr>
          <w:rFonts w:cs="Arial"/>
          <w:b/>
          <w:bCs/>
          <w:color w:val="000000"/>
          <w:szCs w:val="20"/>
        </w:rPr>
        <w:t>2</w:t>
      </w:r>
    </w:p>
    <w:p w14:paraId="0B610BEC" w14:textId="5DA62959" w:rsidR="00FC3985" w:rsidRPr="00166BEB" w:rsidRDefault="00577417" w:rsidP="008A3A13">
      <w:pPr>
        <w:spacing w:before="120" w:after="120"/>
        <w:jc w:val="both"/>
        <w:rPr>
          <w:highlight w:val="yellow"/>
        </w:rPr>
      </w:pPr>
      <w:r>
        <w:rPr>
          <w:noProof/>
        </w:rPr>
        <w:drawing>
          <wp:inline distT="0" distB="0" distL="0" distR="0" wp14:anchorId="2CB75822" wp14:editId="4009F2E0">
            <wp:extent cx="6066000" cy="2736000"/>
            <wp:effectExtent l="0" t="0" r="11430" b="7620"/>
            <wp:docPr id="66" name="Graf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63EFAD40" w14:textId="77777777" w:rsidR="00D9160E" w:rsidRPr="00577417" w:rsidRDefault="00D9160E" w:rsidP="00D9160E">
      <w:pPr>
        <w:spacing w:before="120" w:after="120"/>
        <w:rPr>
          <w:sz w:val="16"/>
        </w:rPr>
      </w:pPr>
      <w:r w:rsidRPr="00577417">
        <w:rPr>
          <w:sz w:val="16"/>
        </w:rPr>
        <w:t>Zdroj: ČSÚ</w:t>
      </w:r>
    </w:p>
    <w:p w14:paraId="7CD65B78" w14:textId="72FD5A8F" w:rsidR="00D9160E" w:rsidRPr="00A80520" w:rsidRDefault="00D9160E" w:rsidP="00D9160E">
      <w:pPr>
        <w:rPr>
          <w:b/>
          <w:spacing w:val="-3"/>
        </w:rPr>
      </w:pPr>
      <w:r w:rsidRPr="00A80520">
        <w:rPr>
          <w:b/>
          <w:spacing w:val="-3"/>
        </w:rPr>
        <w:t>Kartogram 2.2: Průměrné procento dočasné pracovní neschopnosti v okresech a krajích ČR, 202</w:t>
      </w:r>
      <w:r w:rsidR="008553FD" w:rsidRPr="00A80520">
        <w:rPr>
          <w:b/>
          <w:spacing w:val="-3"/>
        </w:rPr>
        <w:t>2</w:t>
      </w:r>
    </w:p>
    <w:p w14:paraId="7C881FB3" w14:textId="186F5011" w:rsidR="00A80520" w:rsidRPr="00166BEB" w:rsidRDefault="00A80520" w:rsidP="00D9160E">
      <w:pPr>
        <w:rPr>
          <w:b/>
          <w:spacing w:val="-3"/>
          <w:highlight w:val="yellow"/>
        </w:rPr>
      </w:pPr>
      <w:r w:rsidRPr="00A80520">
        <w:rPr>
          <w:b/>
          <w:noProof/>
          <w:spacing w:val="-3"/>
        </w:rPr>
        <w:drawing>
          <wp:inline distT="0" distB="0" distL="0" distR="0" wp14:anchorId="3B5431CE" wp14:editId="53EF4C3E">
            <wp:extent cx="6120130" cy="4328026"/>
            <wp:effectExtent l="0" t="0" r="0" b="0"/>
            <wp:docPr id="69" name="Obrázek 69" descr="D:\hykysova23070\Documents\PN\2022\2. pol\publ\podklady\KTG\předělané\PN_2023_%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hykysova23070\Documents\PN\2022\2. pol\publ\podklady\KTG\předělané\PN_2023_%_02.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20130" cy="4328026"/>
                    </a:xfrm>
                    <a:prstGeom prst="rect">
                      <a:avLst/>
                    </a:prstGeom>
                    <a:noFill/>
                    <a:ln>
                      <a:noFill/>
                    </a:ln>
                  </pic:spPr>
                </pic:pic>
              </a:graphicData>
            </a:graphic>
          </wp:inline>
        </w:drawing>
      </w:r>
    </w:p>
    <w:p w14:paraId="38C0AAB8" w14:textId="77777777" w:rsidR="00890181" w:rsidRPr="003A18CD" w:rsidRDefault="00890181" w:rsidP="00890181">
      <w:pPr>
        <w:spacing w:before="120" w:after="120"/>
        <w:rPr>
          <w:sz w:val="16"/>
        </w:rPr>
      </w:pPr>
      <w:r w:rsidRPr="003A18CD">
        <w:rPr>
          <w:sz w:val="16"/>
        </w:rPr>
        <w:t>Zdroj: ČSÚ</w:t>
      </w:r>
    </w:p>
    <w:p w14:paraId="5CE89398" w14:textId="77777777" w:rsidR="005C663E" w:rsidRPr="00166BEB" w:rsidRDefault="005C663E">
      <w:pPr>
        <w:spacing w:after="0" w:line="240" w:lineRule="auto"/>
        <w:rPr>
          <w:rFonts w:cs="Arial"/>
          <w:b/>
          <w:bCs/>
          <w:color w:val="000000"/>
          <w:szCs w:val="20"/>
          <w:highlight w:val="yellow"/>
        </w:rPr>
      </w:pPr>
      <w:r w:rsidRPr="00166BEB">
        <w:rPr>
          <w:rFonts w:cs="Arial"/>
          <w:b/>
          <w:bCs/>
          <w:color w:val="000000"/>
          <w:szCs w:val="20"/>
          <w:highlight w:val="yellow"/>
        </w:rPr>
        <w:br w:type="page"/>
      </w:r>
    </w:p>
    <w:p w14:paraId="526214D5" w14:textId="52240BE8" w:rsidR="002B7CCE" w:rsidRPr="00577417" w:rsidRDefault="006C1C86" w:rsidP="002B7CCE">
      <w:pPr>
        <w:spacing w:after="0" w:line="240" w:lineRule="auto"/>
        <w:rPr>
          <w:rFonts w:cs="Arial"/>
          <w:b/>
          <w:bCs/>
          <w:color w:val="000000"/>
          <w:szCs w:val="20"/>
        </w:rPr>
      </w:pPr>
      <w:r>
        <w:rPr>
          <w:noProof/>
        </w:rPr>
        <w:lastRenderedPageBreak/>
        <mc:AlternateContent>
          <mc:Choice Requires="wps">
            <w:drawing>
              <wp:anchor distT="0" distB="0" distL="114300" distR="114300" simplePos="0" relativeHeight="251707904" behindDoc="0" locked="0" layoutInCell="1" allowOverlap="1" wp14:anchorId="07283707" wp14:editId="4DBFBC03">
                <wp:simplePos x="0" y="0"/>
                <wp:positionH relativeFrom="column">
                  <wp:posOffset>5672455</wp:posOffset>
                </wp:positionH>
                <wp:positionV relativeFrom="paragraph">
                  <wp:posOffset>148590</wp:posOffset>
                </wp:positionV>
                <wp:extent cx="0" cy="2915920"/>
                <wp:effectExtent l="57150" t="19050" r="76200" b="55880"/>
                <wp:wrapNone/>
                <wp:docPr id="71" name="Přímá spojnice 3"/>
                <wp:cNvGraphicFramePr/>
                <a:graphic xmlns:a="http://schemas.openxmlformats.org/drawingml/2006/main">
                  <a:graphicData uri="http://schemas.microsoft.com/office/word/2010/wordprocessingShape">
                    <wps:wsp>
                      <wps:cNvCnPr/>
                      <wps:spPr>
                        <a:xfrm>
                          <a:off x="0" y="0"/>
                          <a:ext cx="0" cy="291592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297AF9" id="Přímá spojnice 3" o:spid="_x0000_s1026" style="position:absolute;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6.65pt,11.7pt" to="446.65pt,24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" strokecolor="#c00000" strokeweight=".5pt">
                <v:stroke dashstyle="dash"/>
                <v:shadow on="t" color="black" opacity="24903f" origin=",.5" offset="0,.55556mm"/>
              </v:line>
            </w:pict>
          </mc:Fallback>
        </mc:AlternateContent>
      </w:r>
      <w:r w:rsidR="002B7CCE" w:rsidRPr="00577417">
        <w:rPr>
          <w:rFonts w:cs="Arial"/>
          <w:b/>
          <w:bCs/>
          <w:color w:val="000000"/>
          <w:szCs w:val="20"/>
        </w:rPr>
        <w:t>Tab. 2.9: Průměrné procento dočasné pracovní n</w:t>
      </w:r>
      <w:r w:rsidR="00577417" w:rsidRPr="00577417">
        <w:rPr>
          <w:rFonts w:cs="Arial"/>
          <w:b/>
          <w:bCs/>
          <w:color w:val="000000"/>
          <w:szCs w:val="20"/>
        </w:rPr>
        <w:t>eschopnosti podle krajů ČR, 2012–2022</w:t>
      </w:r>
    </w:p>
    <w:tbl>
      <w:tblPr>
        <w:tblW w:w="9593" w:type="dxa"/>
        <w:tblCellMar>
          <w:left w:w="70" w:type="dxa"/>
          <w:right w:w="70" w:type="dxa"/>
        </w:tblCellMar>
        <w:tblLook w:val="04A0" w:firstRow="1" w:lastRow="0" w:firstColumn="1" w:lastColumn="0" w:noHBand="0" w:noVBand="1"/>
      </w:tblPr>
      <w:tblGrid>
        <w:gridCol w:w="2058"/>
        <w:gridCol w:w="685"/>
        <w:gridCol w:w="685"/>
        <w:gridCol w:w="685"/>
        <w:gridCol w:w="685"/>
        <w:gridCol w:w="685"/>
        <w:gridCol w:w="685"/>
        <w:gridCol w:w="685"/>
        <w:gridCol w:w="685"/>
        <w:gridCol w:w="685"/>
        <w:gridCol w:w="685"/>
        <w:gridCol w:w="685"/>
      </w:tblGrid>
      <w:tr w:rsidR="00577417" w:rsidRPr="00577417" w14:paraId="5B90FDE8" w14:textId="5E5D5122" w:rsidTr="00EE02F9">
        <w:trPr>
          <w:trHeight w:val="282"/>
        </w:trPr>
        <w:tc>
          <w:tcPr>
            <w:tcW w:w="2058" w:type="dxa"/>
            <w:tcBorders>
              <w:top w:val="single" w:sz="4" w:space="0" w:color="auto"/>
              <w:left w:val="nil"/>
              <w:bottom w:val="single" w:sz="4" w:space="0" w:color="auto"/>
              <w:right w:val="single" w:sz="4" w:space="0" w:color="auto"/>
            </w:tcBorders>
            <w:shd w:val="clear" w:color="000000" w:fill="F5DADD"/>
            <w:vAlign w:val="center"/>
            <w:hideMark/>
          </w:tcPr>
          <w:p w14:paraId="17C60DD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Kraj ČR</w:t>
            </w:r>
          </w:p>
        </w:tc>
        <w:tc>
          <w:tcPr>
            <w:tcW w:w="685" w:type="dxa"/>
            <w:tcBorders>
              <w:top w:val="single" w:sz="4" w:space="0" w:color="auto"/>
              <w:left w:val="nil"/>
              <w:bottom w:val="single" w:sz="4" w:space="0" w:color="auto"/>
              <w:right w:val="nil"/>
            </w:tcBorders>
            <w:shd w:val="clear" w:color="000000" w:fill="F5DADD"/>
            <w:noWrap/>
            <w:vAlign w:val="center"/>
            <w:hideMark/>
          </w:tcPr>
          <w:p w14:paraId="62F5C71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2012</w:t>
            </w:r>
          </w:p>
        </w:tc>
        <w:tc>
          <w:tcPr>
            <w:tcW w:w="685" w:type="dxa"/>
            <w:tcBorders>
              <w:top w:val="single" w:sz="4" w:space="0" w:color="auto"/>
              <w:left w:val="nil"/>
              <w:bottom w:val="single" w:sz="4" w:space="0" w:color="auto"/>
              <w:right w:val="nil"/>
            </w:tcBorders>
            <w:shd w:val="clear" w:color="000000" w:fill="F5DADD"/>
            <w:noWrap/>
            <w:vAlign w:val="center"/>
            <w:hideMark/>
          </w:tcPr>
          <w:p w14:paraId="09E2964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2013</w:t>
            </w:r>
          </w:p>
        </w:tc>
        <w:tc>
          <w:tcPr>
            <w:tcW w:w="685" w:type="dxa"/>
            <w:tcBorders>
              <w:top w:val="single" w:sz="4" w:space="0" w:color="auto"/>
              <w:left w:val="nil"/>
              <w:bottom w:val="single" w:sz="4" w:space="0" w:color="auto"/>
              <w:right w:val="nil"/>
            </w:tcBorders>
            <w:shd w:val="clear" w:color="000000" w:fill="F5DADD"/>
            <w:noWrap/>
            <w:vAlign w:val="center"/>
            <w:hideMark/>
          </w:tcPr>
          <w:p w14:paraId="54AB864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2014</w:t>
            </w:r>
          </w:p>
        </w:tc>
        <w:tc>
          <w:tcPr>
            <w:tcW w:w="685" w:type="dxa"/>
            <w:tcBorders>
              <w:top w:val="single" w:sz="4" w:space="0" w:color="auto"/>
              <w:left w:val="nil"/>
              <w:bottom w:val="single" w:sz="4" w:space="0" w:color="auto"/>
              <w:right w:val="nil"/>
            </w:tcBorders>
            <w:shd w:val="clear" w:color="000000" w:fill="F5DADD"/>
            <w:noWrap/>
            <w:vAlign w:val="center"/>
            <w:hideMark/>
          </w:tcPr>
          <w:p w14:paraId="534BD20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2015</w:t>
            </w:r>
          </w:p>
        </w:tc>
        <w:tc>
          <w:tcPr>
            <w:tcW w:w="685" w:type="dxa"/>
            <w:tcBorders>
              <w:top w:val="single" w:sz="4" w:space="0" w:color="auto"/>
              <w:left w:val="nil"/>
              <w:bottom w:val="single" w:sz="4" w:space="0" w:color="auto"/>
              <w:right w:val="nil"/>
            </w:tcBorders>
            <w:shd w:val="clear" w:color="000000" w:fill="F5DADD"/>
            <w:noWrap/>
            <w:vAlign w:val="center"/>
            <w:hideMark/>
          </w:tcPr>
          <w:p w14:paraId="1EC5F84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2016</w:t>
            </w:r>
          </w:p>
        </w:tc>
        <w:tc>
          <w:tcPr>
            <w:tcW w:w="685" w:type="dxa"/>
            <w:tcBorders>
              <w:top w:val="single" w:sz="4" w:space="0" w:color="auto"/>
              <w:left w:val="nil"/>
              <w:bottom w:val="single" w:sz="4" w:space="0" w:color="auto"/>
              <w:right w:val="nil"/>
            </w:tcBorders>
            <w:shd w:val="clear" w:color="000000" w:fill="F5DADD"/>
            <w:noWrap/>
            <w:vAlign w:val="center"/>
            <w:hideMark/>
          </w:tcPr>
          <w:p w14:paraId="2BD3183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2017</w:t>
            </w:r>
          </w:p>
        </w:tc>
        <w:tc>
          <w:tcPr>
            <w:tcW w:w="685" w:type="dxa"/>
            <w:tcBorders>
              <w:top w:val="single" w:sz="4" w:space="0" w:color="auto"/>
              <w:left w:val="nil"/>
              <w:bottom w:val="single" w:sz="4" w:space="0" w:color="auto"/>
              <w:right w:val="nil"/>
            </w:tcBorders>
            <w:shd w:val="clear" w:color="000000" w:fill="F5DADD"/>
            <w:noWrap/>
            <w:vAlign w:val="center"/>
            <w:hideMark/>
          </w:tcPr>
          <w:p w14:paraId="5C55781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2018</w:t>
            </w:r>
          </w:p>
        </w:tc>
        <w:tc>
          <w:tcPr>
            <w:tcW w:w="685" w:type="dxa"/>
            <w:tcBorders>
              <w:top w:val="single" w:sz="4" w:space="0" w:color="auto"/>
              <w:left w:val="nil"/>
              <w:bottom w:val="single" w:sz="4" w:space="0" w:color="auto"/>
              <w:right w:val="nil"/>
            </w:tcBorders>
            <w:shd w:val="clear" w:color="000000" w:fill="F5DADD"/>
            <w:noWrap/>
            <w:vAlign w:val="center"/>
            <w:hideMark/>
          </w:tcPr>
          <w:p w14:paraId="55ED9A7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2019</w:t>
            </w:r>
          </w:p>
        </w:tc>
        <w:tc>
          <w:tcPr>
            <w:tcW w:w="685" w:type="dxa"/>
            <w:tcBorders>
              <w:top w:val="single" w:sz="4" w:space="0" w:color="auto"/>
              <w:left w:val="nil"/>
              <w:bottom w:val="single" w:sz="4" w:space="0" w:color="auto"/>
              <w:right w:val="nil"/>
            </w:tcBorders>
            <w:shd w:val="clear" w:color="000000" w:fill="F5DADD"/>
            <w:noWrap/>
            <w:vAlign w:val="center"/>
            <w:hideMark/>
          </w:tcPr>
          <w:p w14:paraId="174CC93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2020</w:t>
            </w:r>
          </w:p>
        </w:tc>
        <w:tc>
          <w:tcPr>
            <w:tcW w:w="685" w:type="dxa"/>
            <w:tcBorders>
              <w:top w:val="single" w:sz="4" w:space="0" w:color="auto"/>
              <w:bottom w:val="single" w:sz="4" w:space="0" w:color="auto"/>
            </w:tcBorders>
            <w:shd w:val="clear" w:color="auto" w:fill="F5DADD"/>
            <w:vAlign w:val="center"/>
          </w:tcPr>
          <w:p w14:paraId="77CF021D" w14:textId="77777777" w:rsidR="00577417" w:rsidRPr="00577417" w:rsidRDefault="00577417" w:rsidP="00577417">
            <w:pPr>
              <w:spacing w:after="0" w:line="240" w:lineRule="auto"/>
              <w:jc w:val="center"/>
            </w:pPr>
            <w:r w:rsidRPr="00577417">
              <w:rPr>
                <w:rFonts w:cs="Arial"/>
                <w:color w:val="000000"/>
                <w:sz w:val="16"/>
                <w:szCs w:val="16"/>
              </w:rPr>
              <w:t>2021</w:t>
            </w:r>
          </w:p>
        </w:tc>
        <w:tc>
          <w:tcPr>
            <w:tcW w:w="685" w:type="dxa"/>
            <w:tcBorders>
              <w:top w:val="single" w:sz="4" w:space="0" w:color="auto"/>
              <w:bottom w:val="single" w:sz="4" w:space="0" w:color="auto"/>
            </w:tcBorders>
            <w:shd w:val="clear" w:color="auto" w:fill="F5DADD"/>
            <w:vAlign w:val="center"/>
          </w:tcPr>
          <w:p w14:paraId="3CFE5D9E" w14:textId="3F2D879F"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2022</w:t>
            </w:r>
          </w:p>
        </w:tc>
      </w:tr>
      <w:tr w:rsidR="00577417" w:rsidRPr="00577417" w14:paraId="6B97FA59" w14:textId="055A4F31" w:rsidTr="00EE02F9">
        <w:trPr>
          <w:trHeight w:val="282"/>
        </w:trPr>
        <w:tc>
          <w:tcPr>
            <w:tcW w:w="2058" w:type="dxa"/>
            <w:tcBorders>
              <w:top w:val="nil"/>
              <w:left w:val="nil"/>
              <w:bottom w:val="nil"/>
              <w:right w:val="single" w:sz="4" w:space="0" w:color="auto"/>
            </w:tcBorders>
            <w:shd w:val="clear" w:color="auto" w:fill="auto"/>
            <w:noWrap/>
            <w:vAlign w:val="center"/>
            <w:hideMark/>
          </w:tcPr>
          <w:p w14:paraId="6469925C" w14:textId="77777777" w:rsidR="00577417" w:rsidRPr="00577417" w:rsidRDefault="00577417" w:rsidP="00577417">
            <w:pPr>
              <w:spacing w:after="0" w:line="240" w:lineRule="auto"/>
              <w:rPr>
                <w:rFonts w:cs="Arial"/>
                <w:b/>
                <w:bCs/>
                <w:color w:val="000000"/>
                <w:sz w:val="16"/>
                <w:szCs w:val="16"/>
              </w:rPr>
            </w:pPr>
            <w:r w:rsidRPr="00577417">
              <w:rPr>
                <w:rFonts w:cs="Arial"/>
                <w:b/>
                <w:bCs/>
                <w:color w:val="000000"/>
                <w:sz w:val="16"/>
                <w:szCs w:val="16"/>
              </w:rPr>
              <w:t>ČR celkem</w:t>
            </w:r>
          </w:p>
        </w:tc>
        <w:tc>
          <w:tcPr>
            <w:tcW w:w="685" w:type="dxa"/>
            <w:tcBorders>
              <w:top w:val="nil"/>
              <w:left w:val="nil"/>
              <w:bottom w:val="nil"/>
              <w:right w:val="nil"/>
            </w:tcBorders>
            <w:shd w:val="clear" w:color="auto" w:fill="auto"/>
            <w:noWrap/>
            <w:vAlign w:val="center"/>
            <w:hideMark/>
          </w:tcPr>
          <w:p w14:paraId="1DD492D1"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3,5</w:t>
            </w:r>
          </w:p>
        </w:tc>
        <w:tc>
          <w:tcPr>
            <w:tcW w:w="685" w:type="dxa"/>
            <w:tcBorders>
              <w:top w:val="nil"/>
              <w:left w:val="nil"/>
              <w:bottom w:val="nil"/>
              <w:right w:val="nil"/>
            </w:tcBorders>
            <w:shd w:val="clear" w:color="auto" w:fill="auto"/>
            <w:noWrap/>
            <w:vAlign w:val="center"/>
            <w:hideMark/>
          </w:tcPr>
          <w:p w14:paraId="7F11159E"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3,6</w:t>
            </w:r>
          </w:p>
        </w:tc>
        <w:tc>
          <w:tcPr>
            <w:tcW w:w="685" w:type="dxa"/>
            <w:tcBorders>
              <w:top w:val="nil"/>
              <w:left w:val="nil"/>
              <w:bottom w:val="nil"/>
              <w:right w:val="nil"/>
            </w:tcBorders>
            <w:shd w:val="clear" w:color="auto" w:fill="auto"/>
            <w:noWrap/>
            <w:vAlign w:val="center"/>
            <w:hideMark/>
          </w:tcPr>
          <w:p w14:paraId="4D77495B"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3,7</w:t>
            </w:r>
          </w:p>
        </w:tc>
        <w:tc>
          <w:tcPr>
            <w:tcW w:w="685" w:type="dxa"/>
            <w:tcBorders>
              <w:top w:val="nil"/>
              <w:left w:val="nil"/>
              <w:bottom w:val="nil"/>
              <w:right w:val="nil"/>
            </w:tcBorders>
            <w:shd w:val="clear" w:color="auto" w:fill="auto"/>
            <w:noWrap/>
            <w:vAlign w:val="center"/>
            <w:hideMark/>
          </w:tcPr>
          <w:p w14:paraId="744604BE"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4,1</w:t>
            </w:r>
          </w:p>
        </w:tc>
        <w:tc>
          <w:tcPr>
            <w:tcW w:w="685" w:type="dxa"/>
            <w:tcBorders>
              <w:top w:val="nil"/>
              <w:left w:val="nil"/>
              <w:bottom w:val="nil"/>
              <w:right w:val="nil"/>
            </w:tcBorders>
            <w:shd w:val="clear" w:color="auto" w:fill="auto"/>
            <w:noWrap/>
            <w:vAlign w:val="center"/>
            <w:hideMark/>
          </w:tcPr>
          <w:p w14:paraId="3D30E150"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4,2</w:t>
            </w:r>
          </w:p>
        </w:tc>
        <w:tc>
          <w:tcPr>
            <w:tcW w:w="685" w:type="dxa"/>
            <w:tcBorders>
              <w:top w:val="nil"/>
              <w:left w:val="nil"/>
              <w:bottom w:val="nil"/>
              <w:right w:val="nil"/>
            </w:tcBorders>
            <w:shd w:val="clear" w:color="auto" w:fill="auto"/>
            <w:noWrap/>
            <w:vAlign w:val="center"/>
            <w:hideMark/>
          </w:tcPr>
          <w:p w14:paraId="1740904F"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4,3</w:t>
            </w:r>
          </w:p>
        </w:tc>
        <w:tc>
          <w:tcPr>
            <w:tcW w:w="685" w:type="dxa"/>
            <w:tcBorders>
              <w:top w:val="nil"/>
              <w:left w:val="nil"/>
              <w:bottom w:val="nil"/>
              <w:right w:val="nil"/>
            </w:tcBorders>
            <w:shd w:val="clear" w:color="auto" w:fill="auto"/>
            <w:noWrap/>
            <w:vAlign w:val="center"/>
            <w:hideMark/>
          </w:tcPr>
          <w:p w14:paraId="22ECDCCD"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4,5</w:t>
            </w:r>
          </w:p>
        </w:tc>
        <w:tc>
          <w:tcPr>
            <w:tcW w:w="685" w:type="dxa"/>
            <w:tcBorders>
              <w:top w:val="nil"/>
              <w:left w:val="nil"/>
              <w:bottom w:val="nil"/>
              <w:right w:val="nil"/>
            </w:tcBorders>
            <w:shd w:val="clear" w:color="auto" w:fill="auto"/>
            <w:noWrap/>
            <w:vAlign w:val="center"/>
            <w:hideMark/>
          </w:tcPr>
          <w:p w14:paraId="73DF5D7E"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4,7</w:t>
            </w:r>
          </w:p>
        </w:tc>
        <w:tc>
          <w:tcPr>
            <w:tcW w:w="685" w:type="dxa"/>
            <w:tcBorders>
              <w:top w:val="nil"/>
              <w:left w:val="nil"/>
              <w:bottom w:val="nil"/>
              <w:right w:val="nil"/>
            </w:tcBorders>
            <w:shd w:val="clear" w:color="auto" w:fill="auto"/>
            <w:noWrap/>
            <w:vAlign w:val="center"/>
            <w:hideMark/>
          </w:tcPr>
          <w:p w14:paraId="5B128D61" w14:textId="77777777"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5,5</w:t>
            </w:r>
          </w:p>
        </w:tc>
        <w:tc>
          <w:tcPr>
            <w:tcW w:w="685" w:type="dxa"/>
            <w:tcBorders>
              <w:top w:val="single" w:sz="4" w:space="0" w:color="auto"/>
            </w:tcBorders>
            <w:vAlign w:val="center"/>
          </w:tcPr>
          <w:p w14:paraId="71C69D93" w14:textId="77777777" w:rsidR="00577417" w:rsidRPr="00577417" w:rsidRDefault="00577417" w:rsidP="00577417">
            <w:pPr>
              <w:spacing w:after="0" w:line="240" w:lineRule="auto"/>
              <w:jc w:val="center"/>
            </w:pPr>
            <w:r w:rsidRPr="00577417">
              <w:rPr>
                <w:rFonts w:cs="Arial"/>
                <w:b/>
                <w:bCs/>
                <w:color w:val="000000"/>
                <w:sz w:val="16"/>
                <w:szCs w:val="16"/>
              </w:rPr>
              <w:t>5,5</w:t>
            </w:r>
          </w:p>
        </w:tc>
        <w:tc>
          <w:tcPr>
            <w:tcW w:w="685" w:type="dxa"/>
            <w:tcBorders>
              <w:top w:val="single" w:sz="4" w:space="0" w:color="auto"/>
            </w:tcBorders>
            <w:vAlign w:val="center"/>
          </w:tcPr>
          <w:p w14:paraId="749CC7A4" w14:textId="50B8A81E" w:rsidR="00577417" w:rsidRPr="00577417" w:rsidRDefault="00577417" w:rsidP="00577417">
            <w:pPr>
              <w:spacing w:after="0" w:line="240" w:lineRule="auto"/>
              <w:jc w:val="center"/>
              <w:rPr>
                <w:rFonts w:cs="Arial"/>
                <w:b/>
                <w:bCs/>
                <w:color w:val="000000"/>
                <w:sz w:val="16"/>
                <w:szCs w:val="16"/>
              </w:rPr>
            </w:pPr>
            <w:r w:rsidRPr="00577417">
              <w:rPr>
                <w:rFonts w:cs="Arial"/>
                <w:b/>
                <w:bCs/>
                <w:color w:val="000000"/>
                <w:sz w:val="16"/>
                <w:szCs w:val="16"/>
              </w:rPr>
              <w:t>5,3</w:t>
            </w:r>
          </w:p>
        </w:tc>
      </w:tr>
      <w:tr w:rsidR="00577417" w:rsidRPr="00577417" w14:paraId="548B5538" w14:textId="3DA3CB4D" w:rsidTr="00EE02F9">
        <w:trPr>
          <w:trHeight w:val="282"/>
        </w:trPr>
        <w:tc>
          <w:tcPr>
            <w:tcW w:w="2058" w:type="dxa"/>
            <w:tcBorders>
              <w:top w:val="nil"/>
              <w:left w:val="nil"/>
              <w:bottom w:val="nil"/>
              <w:right w:val="single" w:sz="4" w:space="0" w:color="auto"/>
            </w:tcBorders>
            <w:shd w:val="clear" w:color="auto" w:fill="auto"/>
            <w:noWrap/>
            <w:vAlign w:val="center"/>
            <w:hideMark/>
          </w:tcPr>
          <w:p w14:paraId="406C228A"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Hl. m. Praha</w:t>
            </w:r>
          </w:p>
        </w:tc>
        <w:tc>
          <w:tcPr>
            <w:tcW w:w="685" w:type="dxa"/>
            <w:tcBorders>
              <w:top w:val="nil"/>
              <w:left w:val="nil"/>
              <w:bottom w:val="nil"/>
              <w:right w:val="nil"/>
            </w:tcBorders>
            <w:shd w:val="clear" w:color="auto" w:fill="auto"/>
            <w:noWrap/>
            <w:vAlign w:val="center"/>
            <w:hideMark/>
          </w:tcPr>
          <w:p w14:paraId="39E64E0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2,6</w:t>
            </w:r>
          </w:p>
        </w:tc>
        <w:tc>
          <w:tcPr>
            <w:tcW w:w="685" w:type="dxa"/>
            <w:tcBorders>
              <w:top w:val="nil"/>
              <w:left w:val="nil"/>
              <w:bottom w:val="nil"/>
              <w:right w:val="nil"/>
            </w:tcBorders>
            <w:shd w:val="clear" w:color="auto" w:fill="auto"/>
            <w:noWrap/>
            <w:vAlign w:val="center"/>
            <w:hideMark/>
          </w:tcPr>
          <w:p w14:paraId="534D67F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2,7</w:t>
            </w:r>
          </w:p>
        </w:tc>
        <w:tc>
          <w:tcPr>
            <w:tcW w:w="685" w:type="dxa"/>
            <w:tcBorders>
              <w:top w:val="nil"/>
              <w:left w:val="nil"/>
              <w:bottom w:val="nil"/>
              <w:right w:val="nil"/>
            </w:tcBorders>
            <w:shd w:val="clear" w:color="auto" w:fill="auto"/>
            <w:noWrap/>
            <w:vAlign w:val="center"/>
            <w:hideMark/>
          </w:tcPr>
          <w:p w14:paraId="5B99883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2,8</w:t>
            </w:r>
          </w:p>
        </w:tc>
        <w:tc>
          <w:tcPr>
            <w:tcW w:w="685" w:type="dxa"/>
            <w:tcBorders>
              <w:top w:val="nil"/>
              <w:left w:val="nil"/>
              <w:bottom w:val="nil"/>
              <w:right w:val="nil"/>
            </w:tcBorders>
            <w:shd w:val="clear" w:color="auto" w:fill="auto"/>
            <w:noWrap/>
            <w:vAlign w:val="center"/>
            <w:hideMark/>
          </w:tcPr>
          <w:p w14:paraId="2C0C06B1"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3,1</w:t>
            </w:r>
          </w:p>
        </w:tc>
        <w:tc>
          <w:tcPr>
            <w:tcW w:w="685" w:type="dxa"/>
            <w:tcBorders>
              <w:top w:val="nil"/>
              <w:left w:val="nil"/>
              <w:bottom w:val="nil"/>
              <w:right w:val="nil"/>
            </w:tcBorders>
            <w:shd w:val="clear" w:color="auto" w:fill="auto"/>
            <w:noWrap/>
            <w:vAlign w:val="center"/>
            <w:hideMark/>
          </w:tcPr>
          <w:p w14:paraId="6469842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3,1</w:t>
            </w:r>
          </w:p>
        </w:tc>
        <w:tc>
          <w:tcPr>
            <w:tcW w:w="685" w:type="dxa"/>
            <w:tcBorders>
              <w:top w:val="nil"/>
              <w:left w:val="nil"/>
              <w:bottom w:val="nil"/>
              <w:right w:val="nil"/>
            </w:tcBorders>
            <w:shd w:val="clear" w:color="auto" w:fill="auto"/>
            <w:noWrap/>
            <w:vAlign w:val="center"/>
            <w:hideMark/>
          </w:tcPr>
          <w:p w14:paraId="3F007DF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3,2</w:t>
            </w:r>
          </w:p>
        </w:tc>
        <w:tc>
          <w:tcPr>
            <w:tcW w:w="685" w:type="dxa"/>
            <w:tcBorders>
              <w:top w:val="nil"/>
              <w:left w:val="nil"/>
              <w:bottom w:val="nil"/>
              <w:right w:val="nil"/>
            </w:tcBorders>
            <w:shd w:val="clear" w:color="auto" w:fill="auto"/>
            <w:noWrap/>
            <w:vAlign w:val="center"/>
            <w:hideMark/>
          </w:tcPr>
          <w:p w14:paraId="10ECB7A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3,4</w:t>
            </w:r>
          </w:p>
        </w:tc>
        <w:tc>
          <w:tcPr>
            <w:tcW w:w="685" w:type="dxa"/>
            <w:tcBorders>
              <w:top w:val="nil"/>
              <w:left w:val="nil"/>
              <w:bottom w:val="nil"/>
              <w:right w:val="nil"/>
            </w:tcBorders>
            <w:shd w:val="clear" w:color="auto" w:fill="auto"/>
            <w:noWrap/>
            <w:vAlign w:val="center"/>
            <w:hideMark/>
          </w:tcPr>
          <w:p w14:paraId="644F775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3,6</w:t>
            </w:r>
          </w:p>
        </w:tc>
        <w:tc>
          <w:tcPr>
            <w:tcW w:w="685" w:type="dxa"/>
            <w:tcBorders>
              <w:top w:val="nil"/>
              <w:left w:val="nil"/>
              <w:bottom w:val="nil"/>
              <w:right w:val="nil"/>
            </w:tcBorders>
            <w:shd w:val="clear" w:color="auto" w:fill="auto"/>
            <w:noWrap/>
            <w:vAlign w:val="center"/>
            <w:hideMark/>
          </w:tcPr>
          <w:p w14:paraId="57A1F20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3,9</w:t>
            </w:r>
          </w:p>
        </w:tc>
        <w:tc>
          <w:tcPr>
            <w:tcW w:w="685" w:type="dxa"/>
            <w:vAlign w:val="center"/>
          </w:tcPr>
          <w:p w14:paraId="7ACE39C6" w14:textId="7308B1E0" w:rsidR="00577417" w:rsidRPr="00577417" w:rsidRDefault="00577417" w:rsidP="00577417">
            <w:pPr>
              <w:spacing w:after="0" w:line="240" w:lineRule="auto"/>
              <w:jc w:val="center"/>
            </w:pPr>
            <w:r w:rsidRPr="00577417">
              <w:rPr>
                <w:rFonts w:cs="Arial"/>
                <w:color w:val="000000"/>
                <w:sz w:val="16"/>
                <w:szCs w:val="16"/>
              </w:rPr>
              <w:t>3,9</w:t>
            </w:r>
          </w:p>
        </w:tc>
        <w:tc>
          <w:tcPr>
            <w:tcW w:w="685" w:type="dxa"/>
            <w:vAlign w:val="center"/>
          </w:tcPr>
          <w:p w14:paraId="4FBB1207" w14:textId="57165A11"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r>
      <w:tr w:rsidR="00577417" w:rsidRPr="00577417" w14:paraId="22852CFB" w14:textId="56AF7434" w:rsidTr="00EE02F9">
        <w:trPr>
          <w:trHeight w:val="282"/>
        </w:trPr>
        <w:tc>
          <w:tcPr>
            <w:tcW w:w="2058" w:type="dxa"/>
            <w:tcBorders>
              <w:top w:val="nil"/>
              <w:left w:val="nil"/>
              <w:bottom w:val="nil"/>
              <w:right w:val="single" w:sz="4" w:space="0" w:color="auto"/>
            </w:tcBorders>
            <w:shd w:val="clear" w:color="auto" w:fill="auto"/>
            <w:noWrap/>
            <w:vAlign w:val="center"/>
            <w:hideMark/>
          </w:tcPr>
          <w:p w14:paraId="00511B97"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Středočeský kraj</w:t>
            </w:r>
          </w:p>
        </w:tc>
        <w:tc>
          <w:tcPr>
            <w:tcW w:w="685" w:type="dxa"/>
            <w:tcBorders>
              <w:top w:val="nil"/>
              <w:left w:val="nil"/>
              <w:bottom w:val="nil"/>
              <w:right w:val="nil"/>
            </w:tcBorders>
            <w:shd w:val="clear" w:color="auto" w:fill="auto"/>
            <w:noWrap/>
            <w:vAlign w:val="center"/>
            <w:hideMark/>
          </w:tcPr>
          <w:p w14:paraId="7B68E106"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3,5</w:t>
            </w:r>
          </w:p>
        </w:tc>
        <w:tc>
          <w:tcPr>
            <w:tcW w:w="685" w:type="dxa"/>
            <w:tcBorders>
              <w:top w:val="nil"/>
              <w:left w:val="nil"/>
              <w:bottom w:val="nil"/>
              <w:right w:val="nil"/>
            </w:tcBorders>
            <w:shd w:val="clear" w:color="auto" w:fill="auto"/>
            <w:noWrap/>
            <w:vAlign w:val="center"/>
            <w:hideMark/>
          </w:tcPr>
          <w:p w14:paraId="018D942D"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3,6</w:t>
            </w:r>
          </w:p>
        </w:tc>
        <w:tc>
          <w:tcPr>
            <w:tcW w:w="685" w:type="dxa"/>
            <w:tcBorders>
              <w:top w:val="nil"/>
              <w:left w:val="nil"/>
              <w:bottom w:val="nil"/>
              <w:right w:val="nil"/>
            </w:tcBorders>
            <w:shd w:val="clear" w:color="auto" w:fill="auto"/>
            <w:noWrap/>
            <w:vAlign w:val="center"/>
            <w:hideMark/>
          </w:tcPr>
          <w:p w14:paraId="2F7A3287"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3,8</w:t>
            </w:r>
          </w:p>
        </w:tc>
        <w:tc>
          <w:tcPr>
            <w:tcW w:w="685" w:type="dxa"/>
            <w:tcBorders>
              <w:top w:val="nil"/>
              <w:left w:val="nil"/>
              <w:bottom w:val="nil"/>
              <w:right w:val="nil"/>
            </w:tcBorders>
            <w:shd w:val="clear" w:color="auto" w:fill="auto"/>
            <w:noWrap/>
            <w:vAlign w:val="center"/>
            <w:hideMark/>
          </w:tcPr>
          <w:p w14:paraId="7DF1370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29D86ED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4,2</w:t>
            </w:r>
          </w:p>
        </w:tc>
        <w:tc>
          <w:tcPr>
            <w:tcW w:w="685" w:type="dxa"/>
            <w:tcBorders>
              <w:top w:val="nil"/>
              <w:left w:val="nil"/>
              <w:bottom w:val="nil"/>
              <w:right w:val="nil"/>
            </w:tcBorders>
            <w:shd w:val="clear" w:color="auto" w:fill="auto"/>
            <w:noWrap/>
            <w:vAlign w:val="center"/>
            <w:hideMark/>
          </w:tcPr>
          <w:p w14:paraId="6F21940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4,3</w:t>
            </w:r>
          </w:p>
        </w:tc>
        <w:tc>
          <w:tcPr>
            <w:tcW w:w="685" w:type="dxa"/>
            <w:tcBorders>
              <w:top w:val="nil"/>
              <w:left w:val="nil"/>
              <w:bottom w:val="nil"/>
              <w:right w:val="nil"/>
            </w:tcBorders>
            <w:shd w:val="clear" w:color="auto" w:fill="auto"/>
            <w:noWrap/>
            <w:vAlign w:val="center"/>
            <w:hideMark/>
          </w:tcPr>
          <w:p w14:paraId="7639EEB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4,6</w:t>
            </w:r>
          </w:p>
        </w:tc>
        <w:tc>
          <w:tcPr>
            <w:tcW w:w="685" w:type="dxa"/>
            <w:tcBorders>
              <w:top w:val="nil"/>
              <w:left w:val="nil"/>
              <w:bottom w:val="nil"/>
              <w:right w:val="nil"/>
            </w:tcBorders>
            <w:shd w:val="clear" w:color="auto" w:fill="auto"/>
            <w:noWrap/>
            <w:vAlign w:val="center"/>
            <w:hideMark/>
          </w:tcPr>
          <w:p w14:paraId="2788F36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4,8</w:t>
            </w:r>
          </w:p>
        </w:tc>
        <w:tc>
          <w:tcPr>
            <w:tcW w:w="685" w:type="dxa"/>
            <w:tcBorders>
              <w:top w:val="nil"/>
              <w:left w:val="nil"/>
              <w:bottom w:val="nil"/>
              <w:right w:val="nil"/>
            </w:tcBorders>
            <w:shd w:val="clear" w:color="auto" w:fill="auto"/>
            <w:noWrap/>
            <w:vAlign w:val="center"/>
            <w:hideMark/>
          </w:tcPr>
          <w:p w14:paraId="4BEF4E9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5,5</w:t>
            </w:r>
          </w:p>
        </w:tc>
        <w:tc>
          <w:tcPr>
            <w:tcW w:w="685" w:type="dxa"/>
            <w:vAlign w:val="center"/>
          </w:tcPr>
          <w:p w14:paraId="36A63D29" w14:textId="4CD14F27" w:rsidR="00577417" w:rsidRPr="00577417" w:rsidRDefault="00577417" w:rsidP="00577417">
            <w:pPr>
              <w:spacing w:after="0" w:line="240" w:lineRule="auto"/>
              <w:jc w:val="center"/>
            </w:pPr>
            <w:r w:rsidRPr="00577417">
              <w:rPr>
                <w:rFonts w:cs="Arial"/>
                <w:color w:val="000000"/>
                <w:sz w:val="16"/>
                <w:szCs w:val="16"/>
              </w:rPr>
              <w:t>5,7</w:t>
            </w:r>
          </w:p>
        </w:tc>
        <w:tc>
          <w:tcPr>
            <w:tcW w:w="685" w:type="dxa"/>
            <w:vAlign w:val="center"/>
          </w:tcPr>
          <w:p w14:paraId="2409CAAE" w14:textId="0F8A2FD8"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5,4</w:t>
            </w:r>
          </w:p>
        </w:tc>
      </w:tr>
      <w:tr w:rsidR="00577417" w:rsidRPr="00577417" w14:paraId="31A8891A" w14:textId="26B13C3F" w:rsidTr="00EE02F9">
        <w:trPr>
          <w:trHeight w:val="282"/>
        </w:trPr>
        <w:tc>
          <w:tcPr>
            <w:tcW w:w="2058" w:type="dxa"/>
            <w:tcBorders>
              <w:top w:val="nil"/>
              <w:left w:val="nil"/>
              <w:bottom w:val="nil"/>
              <w:right w:val="single" w:sz="4" w:space="0" w:color="auto"/>
            </w:tcBorders>
            <w:shd w:val="clear" w:color="auto" w:fill="auto"/>
            <w:noWrap/>
            <w:vAlign w:val="center"/>
            <w:hideMark/>
          </w:tcPr>
          <w:p w14:paraId="6A1B5FEA"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Jihočeský kraj</w:t>
            </w:r>
          </w:p>
        </w:tc>
        <w:tc>
          <w:tcPr>
            <w:tcW w:w="685" w:type="dxa"/>
            <w:tcBorders>
              <w:top w:val="nil"/>
              <w:left w:val="nil"/>
              <w:bottom w:val="nil"/>
              <w:right w:val="nil"/>
            </w:tcBorders>
            <w:shd w:val="clear" w:color="auto" w:fill="auto"/>
            <w:noWrap/>
            <w:vAlign w:val="center"/>
            <w:hideMark/>
          </w:tcPr>
          <w:p w14:paraId="00A3D078"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27814704"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258E1981"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57753FE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4,8</w:t>
            </w:r>
          </w:p>
        </w:tc>
        <w:tc>
          <w:tcPr>
            <w:tcW w:w="685" w:type="dxa"/>
            <w:tcBorders>
              <w:top w:val="nil"/>
              <w:left w:val="nil"/>
              <w:bottom w:val="nil"/>
              <w:right w:val="nil"/>
            </w:tcBorders>
            <w:shd w:val="clear" w:color="auto" w:fill="auto"/>
            <w:noWrap/>
            <w:vAlign w:val="center"/>
            <w:hideMark/>
          </w:tcPr>
          <w:p w14:paraId="4821F898"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5,0</w:t>
            </w:r>
          </w:p>
        </w:tc>
        <w:tc>
          <w:tcPr>
            <w:tcW w:w="685" w:type="dxa"/>
            <w:tcBorders>
              <w:top w:val="nil"/>
              <w:left w:val="nil"/>
              <w:bottom w:val="nil"/>
              <w:right w:val="nil"/>
            </w:tcBorders>
            <w:shd w:val="clear" w:color="auto" w:fill="auto"/>
            <w:noWrap/>
            <w:vAlign w:val="center"/>
            <w:hideMark/>
          </w:tcPr>
          <w:p w14:paraId="5A4AB5A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5,1</w:t>
            </w:r>
          </w:p>
        </w:tc>
        <w:tc>
          <w:tcPr>
            <w:tcW w:w="685" w:type="dxa"/>
            <w:tcBorders>
              <w:top w:val="nil"/>
              <w:left w:val="nil"/>
              <w:bottom w:val="nil"/>
              <w:right w:val="nil"/>
            </w:tcBorders>
            <w:shd w:val="clear" w:color="auto" w:fill="auto"/>
            <w:noWrap/>
            <w:vAlign w:val="center"/>
            <w:hideMark/>
          </w:tcPr>
          <w:p w14:paraId="7F28EBF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5,2</w:t>
            </w:r>
          </w:p>
        </w:tc>
        <w:tc>
          <w:tcPr>
            <w:tcW w:w="685" w:type="dxa"/>
            <w:tcBorders>
              <w:top w:val="nil"/>
              <w:left w:val="nil"/>
              <w:bottom w:val="nil"/>
              <w:right w:val="nil"/>
            </w:tcBorders>
            <w:shd w:val="clear" w:color="auto" w:fill="auto"/>
            <w:noWrap/>
            <w:vAlign w:val="center"/>
            <w:hideMark/>
          </w:tcPr>
          <w:p w14:paraId="5FF04F9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5,3</w:t>
            </w:r>
          </w:p>
        </w:tc>
        <w:tc>
          <w:tcPr>
            <w:tcW w:w="685" w:type="dxa"/>
            <w:tcBorders>
              <w:top w:val="nil"/>
              <w:left w:val="nil"/>
              <w:bottom w:val="nil"/>
              <w:right w:val="nil"/>
            </w:tcBorders>
            <w:shd w:val="clear" w:color="auto" w:fill="auto"/>
            <w:noWrap/>
            <w:vAlign w:val="center"/>
            <w:hideMark/>
          </w:tcPr>
          <w:p w14:paraId="212977C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6,2</w:t>
            </w:r>
          </w:p>
        </w:tc>
        <w:tc>
          <w:tcPr>
            <w:tcW w:w="685" w:type="dxa"/>
            <w:vAlign w:val="center"/>
          </w:tcPr>
          <w:p w14:paraId="4EE49157" w14:textId="77777777" w:rsidR="00577417" w:rsidRPr="00577417" w:rsidRDefault="00577417" w:rsidP="00577417">
            <w:pPr>
              <w:spacing w:after="0" w:line="240" w:lineRule="auto"/>
              <w:jc w:val="center"/>
            </w:pPr>
            <w:r w:rsidRPr="00577417">
              <w:rPr>
                <w:rFonts w:cs="Arial"/>
                <w:color w:val="000000"/>
                <w:sz w:val="16"/>
                <w:szCs w:val="16"/>
              </w:rPr>
              <w:t>6,2</w:t>
            </w:r>
          </w:p>
        </w:tc>
        <w:tc>
          <w:tcPr>
            <w:tcW w:w="685" w:type="dxa"/>
            <w:vAlign w:val="center"/>
          </w:tcPr>
          <w:p w14:paraId="7860F7DA" w14:textId="0FA780C4"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5,8</w:t>
            </w:r>
          </w:p>
        </w:tc>
      </w:tr>
      <w:tr w:rsidR="00577417" w:rsidRPr="00577417" w14:paraId="1DE45CA3" w14:textId="3B116486" w:rsidTr="00EE02F9">
        <w:trPr>
          <w:trHeight w:val="282"/>
        </w:trPr>
        <w:tc>
          <w:tcPr>
            <w:tcW w:w="2058" w:type="dxa"/>
            <w:tcBorders>
              <w:top w:val="nil"/>
              <w:left w:val="nil"/>
              <w:bottom w:val="nil"/>
              <w:right w:val="single" w:sz="4" w:space="0" w:color="auto"/>
            </w:tcBorders>
            <w:shd w:val="clear" w:color="auto" w:fill="auto"/>
            <w:noWrap/>
            <w:vAlign w:val="center"/>
            <w:hideMark/>
          </w:tcPr>
          <w:p w14:paraId="29A083C3"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Plzeňský kraj</w:t>
            </w:r>
          </w:p>
        </w:tc>
        <w:tc>
          <w:tcPr>
            <w:tcW w:w="685" w:type="dxa"/>
            <w:tcBorders>
              <w:top w:val="nil"/>
              <w:left w:val="nil"/>
              <w:bottom w:val="nil"/>
              <w:right w:val="nil"/>
            </w:tcBorders>
            <w:shd w:val="clear" w:color="auto" w:fill="auto"/>
            <w:noWrap/>
            <w:vAlign w:val="center"/>
            <w:hideMark/>
          </w:tcPr>
          <w:p w14:paraId="221069F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3,8</w:t>
            </w:r>
          </w:p>
        </w:tc>
        <w:tc>
          <w:tcPr>
            <w:tcW w:w="685" w:type="dxa"/>
            <w:tcBorders>
              <w:top w:val="nil"/>
              <w:left w:val="nil"/>
              <w:bottom w:val="nil"/>
              <w:right w:val="nil"/>
            </w:tcBorders>
            <w:shd w:val="clear" w:color="auto" w:fill="auto"/>
            <w:noWrap/>
            <w:vAlign w:val="center"/>
            <w:hideMark/>
          </w:tcPr>
          <w:p w14:paraId="6ABDA79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08D3C9B7"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3FEE343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4,6</w:t>
            </w:r>
          </w:p>
        </w:tc>
        <w:tc>
          <w:tcPr>
            <w:tcW w:w="685" w:type="dxa"/>
            <w:tcBorders>
              <w:top w:val="nil"/>
              <w:left w:val="nil"/>
              <w:bottom w:val="nil"/>
              <w:right w:val="nil"/>
            </w:tcBorders>
            <w:shd w:val="clear" w:color="auto" w:fill="auto"/>
            <w:noWrap/>
            <w:vAlign w:val="center"/>
            <w:hideMark/>
          </w:tcPr>
          <w:p w14:paraId="3057024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14FFD3E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357245C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4,8</w:t>
            </w:r>
          </w:p>
        </w:tc>
        <w:tc>
          <w:tcPr>
            <w:tcW w:w="685" w:type="dxa"/>
            <w:tcBorders>
              <w:top w:val="nil"/>
              <w:left w:val="nil"/>
              <w:bottom w:val="nil"/>
              <w:right w:val="nil"/>
            </w:tcBorders>
            <w:shd w:val="clear" w:color="auto" w:fill="auto"/>
            <w:noWrap/>
            <w:vAlign w:val="center"/>
            <w:hideMark/>
          </w:tcPr>
          <w:p w14:paraId="7BEAACFD"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5,0</w:t>
            </w:r>
          </w:p>
        </w:tc>
        <w:tc>
          <w:tcPr>
            <w:tcW w:w="685" w:type="dxa"/>
            <w:tcBorders>
              <w:top w:val="nil"/>
              <w:left w:val="nil"/>
              <w:bottom w:val="nil"/>
              <w:right w:val="nil"/>
            </w:tcBorders>
            <w:shd w:val="clear" w:color="auto" w:fill="auto"/>
            <w:noWrap/>
            <w:vAlign w:val="center"/>
            <w:hideMark/>
          </w:tcPr>
          <w:p w14:paraId="74FB68B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5,9</w:t>
            </w:r>
          </w:p>
        </w:tc>
        <w:tc>
          <w:tcPr>
            <w:tcW w:w="685" w:type="dxa"/>
            <w:vAlign w:val="center"/>
          </w:tcPr>
          <w:p w14:paraId="6BEDD3D4" w14:textId="77777777" w:rsidR="00577417" w:rsidRPr="00577417" w:rsidRDefault="00577417" w:rsidP="00577417">
            <w:pPr>
              <w:spacing w:after="0" w:line="240" w:lineRule="auto"/>
              <w:jc w:val="center"/>
            </w:pPr>
            <w:r w:rsidRPr="00577417">
              <w:rPr>
                <w:rFonts w:cs="Arial"/>
                <w:color w:val="000000"/>
                <w:sz w:val="16"/>
                <w:szCs w:val="16"/>
              </w:rPr>
              <w:t>6,2</w:t>
            </w:r>
          </w:p>
        </w:tc>
        <w:tc>
          <w:tcPr>
            <w:tcW w:w="685" w:type="dxa"/>
            <w:vAlign w:val="center"/>
          </w:tcPr>
          <w:p w14:paraId="254A4C1D" w14:textId="776FE53E"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5,7</w:t>
            </w:r>
          </w:p>
        </w:tc>
      </w:tr>
      <w:tr w:rsidR="00577417" w:rsidRPr="00577417" w14:paraId="7AC42176" w14:textId="2E56A970" w:rsidTr="00EE02F9">
        <w:trPr>
          <w:trHeight w:val="282"/>
        </w:trPr>
        <w:tc>
          <w:tcPr>
            <w:tcW w:w="2058" w:type="dxa"/>
            <w:tcBorders>
              <w:top w:val="nil"/>
              <w:left w:val="nil"/>
              <w:bottom w:val="nil"/>
              <w:right w:val="single" w:sz="4" w:space="0" w:color="auto"/>
            </w:tcBorders>
            <w:shd w:val="clear" w:color="auto" w:fill="auto"/>
            <w:noWrap/>
            <w:vAlign w:val="center"/>
            <w:hideMark/>
          </w:tcPr>
          <w:p w14:paraId="5CC28CFD"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Karlovarský kraj</w:t>
            </w:r>
          </w:p>
        </w:tc>
        <w:tc>
          <w:tcPr>
            <w:tcW w:w="685" w:type="dxa"/>
            <w:tcBorders>
              <w:top w:val="nil"/>
              <w:left w:val="nil"/>
              <w:bottom w:val="nil"/>
              <w:right w:val="nil"/>
            </w:tcBorders>
            <w:shd w:val="clear" w:color="auto" w:fill="auto"/>
            <w:noWrap/>
            <w:vAlign w:val="center"/>
            <w:hideMark/>
          </w:tcPr>
          <w:p w14:paraId="729C5868"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3,5</w:t>
            </w:r>
          </w:p>
        </w:tc>
        <w:tc>
          <w:tcPr>
            <w:tcW w:w="685" w:type="dxa"/>
            <w:tcBorders>
              <w:top w:val="nil"/>
              <w:left w:val="nil"/>
              <w:bottom w:val="nil"/>
              <w:right w:val="nil"/>
            </w:tcBorders>
            <w:shd w:val="clear" w:color="auto" w:fill="auto"/>
            <w:noWrap/>
            <w:vAlign w:val="center"/>
            <w:hideMark/>
          </w:tcPr>
          <w:p w14:paraId="72F883D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3,8</w:t>
            </w:r>
          </w:p>
        </w:tc>
        <w:tc>
          <w:tcPr>
            <w:tcW w:w="685" w:type="dxa"/>
            <w:tcBorders>
              <w:top w:val="nil"/>
              <w:left w:val="nil"/>
              <w:bottom w:val="nil"/>
              <w:right w:val="nil"/>
            </w:tcBorders>
            <w:shd w:val="clear" w:color="auto" w:fill="auto"/>
            <w:noWrap/>
            <w:vAlign w:val="center"/>
            <w:hideMark/>
          </w:tcPr>
          <w:p w14:paraId="42E7BFA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4,0</w:t>
            </w:r>
          </w:p>
        </w:tc>
        <w:tc>
          <w:tcPr>
            <w:tcW w:w="685" w:type="dxa"/>
            <w:tcBorders>
              <w:top w:val="nil"/>
              <w:left w:val="nil"/>
              <w:bottom w:val="nil"/>
              <w:right w:val="nil"/>
            </w:tcBorders>
            <w:shd w:val="clear" w:color="auto" w:fill="auto"/>
            <w:noWrap/>
            <w:vAlign w:val="center"/>
            <w:hideMark/>
          </w:tcPr>
          <w:p w14:paraId="4FB13C91"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5D6D760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4,5</w:t>
            </w:r>
          </w:p>
        </w:tc>
        <w:tc>
          <w:tcPr>
            <w:tcW w:w="685" w:type="dxa"/>
            <w:tcBorders>
              <w:top w:val="nil"/>
              <w:left w:val="nil"/>
              <w:bottom w:val="nil"/>
              <w:right w:val="nil"/>
            </w:tcBorders>
            <w:shd w:val="clear" w:color="auto" w:fill="auto"/>
            <w:noWrap/>
            <w:vAlign w:val="center"/>
            <w:hideMark/>
          </w:tcPr>
          <w:p w14:paraId="4B55748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28637F2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4,8</w:t>
            </w:r>
          </w:p>
        </w:tc>
        <w:tc>
          <w:tcPr>
            <w:tcW w:w="685" w:type="dxa"/>
            <w:tcBorders>
              <w:top w:val="nil"/>
              <w:left w:val="nil"/>
              <w:bottom w:val="nil"/>
              <w:right w:val="nil"/>
            </w:tcBorders>
            <w:shd w:val="clear" w:color="auto" w:fill="auto"/>
            <w:noWrap/>
            <w:vAlign w:val="center"/>
            <w:hideMark/>
          </w:tcPr>
          <w:p w14:paraId="0C11286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5,0</w:t>
            </w:r>
          </w:p>
        </w:tc>
        <w:tc>
          <w:tcPr>
            <w:tcW w:w="685" w:type="dxa"/>
            <w:tcBorders>
              <w:top w:val="nil"/>
              <w:left w:val="nil"/>
              <w:bottom w:val="nil"/>
              <w:right w:val="nil"/>
            </w:tcBorders>
            <w:shd w:val="clear" w:color="auto" w:fill="auto"/>
            <w:noWrap/>
            <w:vAlign w:val="center"/>
            <w:hideMark/>
          </w:tcPr>
          <w:p w14:paraId="0946A95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5,9</w:t>
            </w:r>
          </w:p>
        </w:tc>
        <w:tc>
          <w:tcPr>
            <w:tcW w:w="685" w:type="dxa"/>
            <w:vAlign w:val="center"/>
          </w:tcPr>
          <w:p w14:paraId="76DC415A" w14:textId="77777777" w:rsidR="00577417" w:rsidRPr="00577417" w:rsidRDefault="00577417" w:rsidP="00577417">
            <w:pPr>
              <w:spacing w:after="0" w:line="240" w:lineRule="auto"/>
              <w:jc w:val="center"/>
            </w:pPr>
            <w:r w:rsidRPr="00577417">
              <w:rPr>
                <w:rFonts w:cs="Arial"/>
                <w:color w:val="000000"/>
                <w:sz w:val="16"/>
                <w:szCs w:val="16"/>
              </w:rPr>
              <w:t>6,2</w:t>
            </w:r>
          </w:p>
        </w:tc>
        <w:tc>
          <w:tcPr>
            <w:tcW w:w="685" w:type="dxa"/>
            <w:vAlign w:val="center"/>
          </w:tcPr>
          <w:p w14:paraId="4DAEEA4E" w14:textId="1ABA7429"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5,8</w:t>
            </w:r>
          </w:p>
        </w:tc>
      </w:tr>
      <w:tr w:rsidR="00577417" w:rsidRPr="00577417" w14:paraId="5BB57AE1" w14:textId="4A5F8A27" w:rsidTr="00EE02F9">
        <w:trPr>
          <w:trHeight w:val="282"/>
        </w:trPr>
        <w:tc>
          <w:tcPr>
            <w:tcW w:w="2058" w:type="dxa"/>
            <w:tcBorders>
              <w:top w:val="nil"/>
              <w:left w:val="nil"/>
              <w:bottom w:val="nil"/>
              <w:right w:val="single" w:sz="4" w:space="0" w:color="auto"/>
            </w:tcBorders>
            <w:shd w:val="clear" w:color="auto" w:fill="auto"/>
            <w:noWrap/>
            <w:vAlign w:val="center"/>
            <w:hideMark/>
          </w:tcPr>
          <w:p w14:paraId="5144B12A"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Ústecký kraj</w:t>
            </w:r>
          </w:p>
        </w:tc>
        <w:tc>
          <w:tcPr>
            <w:tcW w:w="685" w:type="dxa"/>
            <w:tcBorders>
              <w:top w:val="nil"/>
              <w:left w:val="nil"/>
              <w:bottom w:val="nil"/>
              <w:right w:val="nil"/>
            </w:tcBorders>
            <w:shd w:val="clear" w:color="auto" w:fill="auto"/>
            <w:noWrap/>
            <w:vAlign w:val="center"/>
            <w:hideMark/>
          </w:tcPr>
          <w:p w14:paraId="5DEDF171"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c>
          <w:tcPr>
            <w:tcW w:w="685" w:type="dxa"/>
            <w:tcBorders>
              <w:top w:val="nil"/>
              <w:left w:val="nil"/>
              <w:bottom w:val="nil"/>
              <w:right w:val="nil"/>
            </w:tcBorders>
            <w:shd w:val="clear" w:color="auto" w:fill="auto"/>
            <w:noWrap/>
            <w:vAlign w:val="center"/>
            <w:hideMark/>
          </w:tcPr>
          <w:p w14:paraId="0C545FA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4,0</w:t>
            </w:r>
          </w:p>
        </w:tc>
        <w:tc>
          <w:tcPr>
            <w:tcW w:w="685" w:type="dxa"/>
            <w:tcBorders>
              <w:top w:val="nil"/>
              <w:left w:val="nil"/>
              <w:bottom w:val="nil"/>
              <w:right w:val="nil"/>
            </w:tcBorders>
            <w:shd w:val="clear" w:color="auto" w:fill="auto"/>
            <w:noWrap/>
            <w:vAlign w:val="center"/>
            <w:hideMark/>
          </w:tcPr>
          <w:p w14:paraId="1BE58CB1"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4,0</w:t>
            </w:r>
          </w:p>
        </w:tc>
        <w:tc>
          <w:tcPr>
            <w:tcW w:w="685" w:type="dxa"/>
            <w:tcBorders>
              <w:top w:val="nil"/>
              <w:left w:val="nil"/>
              <w:bottom w:val="nil"/>
              <w:right w:val="nil"/>
            </w:tcBorders>
            <w:shd w:val="clear" w:color="auto" w:fill="auto"/>
            <w:noWrap/>
            <w:vAlign w:val="center"/>
            <w:hideMark/>
          </w:tcPr>
          <w:p w14:paraId="505316AD"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4,3</w:t>
            </w:r>
          </w:p>
        </w:tc>
        <w:tc>
          <w:tcPr>
            <w:tcW w:w="685" w:type="dxa"/>
            <w:tcBorders>
              <w:top w:val="nil"/>
              <w:left w:val="nil"/>
              <w:bottom w:val="nil"/>
              <w:right w:val="nil"/>
            </w:tcBorders>
            <w:shd w:val="clear" w:color="auto" w:fill="auto"/>
            <w:noWrap/>
            <w:vAlign w:val="center"/>
            <w:hideMark/>
          </w:tcPr>
          <w:p w14:paraId="1E99C36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4,5</w:t>
            </w:r>
          </w:p>
        </w:tc>
        <w:tc>
          <w:tcPr>
            <w:tcW w:w="685" w:type="dxa"/>
            <w:tcBorders>
              <w:top w:val="nil"/>
              <w:left w:val="nil"/>
              <w:bottom w:val="nil"/>
              <w:right w:val="nil"/>
            </w:tcBorders>
            <w:shd w:val="clear" w:color="auto" w:fill="auto"/>
            <w:noWrap/>
            <w:vAlign w:val="center"/>
            <w:hideMark/>
          </w:tcPr>
          <w:p w14:paraId="0BEA87D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4,6</w:t>
            </w:r>
          </w:p>
        </w:tc>
        <w:tc>
          <w:tcPr>
            <w:tcW w:w="685" w:type="dxa"/>
            <w:tcBorders>
              <w:top w:val="nil"/>
              <w:left w:val="nil"/>
              <w:bottom w:val="nil"/>
              <w:right w:val="nil"/>
            </w:tcBorders>
            <w:shd w:val="clear" w:color="auto" w:fill="auto"/>
            <w:noWrap/>
            <w:vAlign w:val="center"/>
            <w:hideMark/>
          </w:tcPr>
          <w:p w14:paraId="3F68E2E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4,9</w:t>
            </w:r>
          </w:p>
        </w:tc>
        <w:tc>
          <w:tcPr>
            <w:tcW w:w="685" w:type="dxa"/>
            <w:tcBorders>
              <w:top w:val="nil"/>
              <w:left w:val="nil"/>
              <w:bottom w:val="nil"/>
              <w:right w:val="nil"/>
            </w:tcBorders>
            <w:shd w:val="clear" w:color="auto" w:fill="auto"/>
            <w:noWrap/>
            <w:vAlign w:val="center"/>
            <w:hideMark/>
          </w:tcPr>
          <w:p w14:paraId="35D63F97"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5,1</w:t>
            </w:r>
          </w:p>
        </w:tc>
        <w:tc>
          <w:tcPr>
            <w:tcW w:w="685" w:type="dxa"/>
            <w:tcBorders>
              <w:top w:val="nil"/>
              <w:left w:val="nil"/>
              <w:bottom w:val="nil"/>
              <w:right w:val="nil"/>
            </w:tcBorders>
            <w:shd w:val="clear" w:color="auto" w:fill="auto"/>
            <w:noWrap/>
            <w:vAlign w:val="center"/>
            <w:hideMark/>
          </w:tcPr>
          <w:p w14:paraId="7752651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5,8</w:t>
            </w:r>
          </w:p>
        </w:tc>
        <w:tc>
          <w:tcPr>
            <w:tcW w:w="685" w:type="dxa"/>
            <w:vAlign w:val="center"/>
          </w:tcPr>
          <w:p w14:paraId="2EFDDA89" w14:textId="795BB800" w:rsidR="00577417" w:rsidRPr="00577417" w:rsidRDefault="00577417" w:rsidP="00577417">
            <w:pPr>
              <w:spacing w:after="0" w:line="240" w:lineRule="auto"/>
              <w:jc w:val="center"/>
            </w:pPr>
            <w:r w:rsidRPr="00577417">
              <w:rPr>
                <w:rFonts w:cs="Arial"/>
                <w:color w:val="000000"/>
                <w:sz w:val="16"/>
                <w:szCs w:val="16"/>
              </w:rPr>
              <w:t>6,2</w:t>
            </w:r>
          </w:p>
        </w:tc>
        <w:tc>
          <w:tcPr>
            <w:tcW w:w="685" w:type="dxa"/>
            <w:vAlign w:val="center"/>
          </w:tcPr>
          <w:p w14:paraId="4E43CF83" w14:textId="7E070D73"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5,9</w:t>
            </w:r>
          </w:p>
        </w:tc>
      </w:tr>
      <w:tr w:rsidR="00577417" w:rsidRPr="00577417" w14:paraId="178B3BF8" w14:textId="1A7CAA29" w:rsidTr="00EE02F9">
        <w:trPr>
          <w:trHeight w:val="282"/>
        </w:trPr>
        <w:tc>
          <w:tcPr>
            <w:tcW w:w="2058" w:type="dxa"/>
            <w:tcBorders>
              <w:top w:val="nil"/>
              <w:left w:val="nil"/>
              <w:bottom w:val="nil"/>
              <w:right w:val="single" w:sz="4" w:space="0" w:color="auto"/>
            </w:tcBorders>
            <w:shd w:val="clear" w:color="auto" w:fill="auto"/>
            <w:noWrap/>
            <w:vAlign w:val="center"/>
            <w:hideMark/>
          </w:tcPr>
          <w:p w14:paraId="5C380405"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Liberecký kraj</w:t>
            </w:r>
          </w:p>
        </w:tc>
        <w:tc>
          <w:tcPr>
            <w:tcW w:w="685" w:type="dxa"/>
            <w:tcBorders>
              <w:top w:val="nil"/>
              <w:left w:val="nil"/>
              <w:bottom w:val="nil"/>
              <w:right w:val="nil"/>
            </w:tcBorders>
            <w:shd w:val="clear" w:color="auto" w:fill="auto"/>
            <w:noWrap/>
            <w:vAlign w:val="center"/>
            <w:hideMark/>
          </w:tcPr>
          <w:p w14:paraId="353F9AB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3,9</w:t>
            </w:r>
          </w:p>
        </w:tc>
        <w:tc>
          <w:tcPr>
            <w:tcW w:w="685" w:type="dxa"/>
            <w:tcBorders>
              <w:top w:val="nil"/>
              <w:left w:val="nil"/>
              <w:bottom w:val="nil"/>
              <w:right w:val="nil"/>
            </w:tcBorders>
            <w:shd w:val="clear" w:color="auto" w:fill="auto"/>
            <w:noWrap/>
            <w:vAlign w:val="center"/>
            <w:hideMark/>
          </w:tcPr>
          <w:p w14:paraId="641FF57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4,2</w:t>
            </w:r>
          </w:p>
        </w:tc>
        <w:tc>
          <w:tcPr>
            <w:tcW w:w="685" w:type="dxa"/>
            <w:tcBorders>
              <w:top w:val="nil"/>
              <w:left w:val="nil"/>
              <w:bottom w:val="nil"/>
              <w:right w:val="nil"/>
            </w:tcBorders>
            <w:shd w:val="clear" w:color="auto" w:fill="auto"/>
            <w:noWrap/>
            <w:vAlign w:val="center"/>
            <w:hideMark/>
          </w:tcPr>
          <w:p w14:paraId="3917AD0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5C56534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4,5</w:t>
            </w:r>
          </w:p>
        </w:tc>
        <w:tc>
          <w:tcPr>
            <w:tcW w:w="685" w:type="dxa"/>
            <w:tcBorders>
              <w:top w:val="nil"/>
              <w:left w:val="nil"/>
              <w:bottom w:val="nil"/>
              <w:right w:val="nil"/>
            </w:tcBorders>
            <w:shd w:val="clear" w:color="auto" w:fill="auto"/>
            <w:noWrap/>
            <w:vAlign w:val="center"/>
            <w:hideMark/>
          </w:tcPr>
          <w:p w14:paraId="76C624F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2A85AEFD"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6596F8D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5,0</w:t>
            </w:r>
          </w:p>
        </w:tc>
        <w:tc>
          <w:tcPr>
            <w:tcW w:w="685" w:type="dxa"/>
            <w:tcBorders>
              <w:top w:val="nil"/>
              <w:left w:val="nil"/>
              <w:bottom w:val="nil"/>
              <w:right w:val="nil"/>
            </w:tcBorders>
            <w:shd w:val="clear" w:color="auto" w:fill="auto"/>
            <w:noWrap/>
            <w:vAlign w:val="center"/>
            <w:hideMark/>
          </w:tcPr>
          <w:p w14:paraId="6BD58DF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5,3</w:t>
            </w:r>
          </w:p>
        </w:tc>
        <w:tc>
          <w:tcPr>
            <w:tcW w:w="685" w:type="dxa"/>
            <w:tcBorders>
              <w:top w:val="nil"/>
              <w:left w:val="nil"/>
              <w:bottom w:val="nil"/>
              <w:right w:val="nil"/>
            </w:tcBorders>
            <w:shd w:val="clear" w:color="auto" w:fill="auto"/>
            <w:noWrap/>
            <w:vAlign w:val="center"/>
            <w:hideMark/>
          </w:tcPr>
          <w:p w14:paraId="7AB46DE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6,5</w:t>
            </w:r>
          </w:p>
        </w:tc>
        <w:tc>
          <w:tcPr>
            <w:tcW w:w="685" w:type="dxa"/>
            <w:vAlign w:val="center"/>
          </w:tcPr>
          <w:p w14:paraId="76EA59FD" w14:textId="1D07DFDE" w:rsidR="00577417" w:rsidRPr="00577417" w:rsidRDefault="00577417" w:rsidP="00577417">
            <w:pPr>
              <w:spacing w:after="0" w:line="240" w:lineRule="auto"/>
              <w:jc w:val="center"/>
            </w:pPr>
            <w:r w:rsidRPr="00577417">
              <w:rPr>
                <w:rFonts w:cs="Arial"/>
                <w:color w:val="000000"/>
                <w:sz w:val="16"/>
                <w:szCs w:val="16"/>
              </w:rPr>
              <w:t>6,5</w:t>
            </w:r>
          </w:p>
        </w:tc>
        <w:tc>
          <w:tcPr>
            <w:tcW w:w="685" w:type="dxa"/>
            <w:vAlign w:val="center"/>
          </w:tcPr>
          <w:p w14:paraId="3B98AB01" w14:textId="7146F5E5"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6,1</w:t>
            </w:r>
          </w:p>
        </w:tc>
      </w:tr>
      <w:tr w:rsidR="00577417" w:rsidRPr="00577417" w14:paraId="27304B6A" w14:textId="6AE52379" w:rsidTr="00EE02F9">
        <w:trPr>
          <w:trHeight w:val="282"/>
        </w:trPr>
        <w:tc>
          <w:tcPr>
            <w:tcW w:w="2058" w:type="dxa"/>
            <w:tcBorders>
              <w:top w:val="nil"/>
              <w:left w:val="nil"/>
              <w:bottom w:val="nil"/>
              <w:right w:val="single" w:sz="4" w:space="0" w:color="auto"/>
            </w:tcBorders>
            <w:shd w:val="clear" w:color="auto" w:fill="auto"/>
            <w:noWrap/>
            <w:vAlign w:val="center"/>
            <w:hideMark/>
          </w:tcPr>
          <w:p w14:paraId="538852B6"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Královéhradecký kraj</w:t>
            </w:r>
          </w:p>
        </w:tc>
        <w:tc>
          <w:tcPr>
            <w:tcW w:w="685" w:type="dxa"/>
            <w:tcBorders>
              <w:top w:val="nil"/>
              <w:left w:val="nil"/>
              <w:bottom w:val="nil"/>
              <w:right w:val="nil"/>
            </w:tcBorders>
            <w:shd w:val="clear" w:color="auto" w:fill="auto"/>
            <w:noWrap/>
            <w:vAlign w:val="center"/>
            <w:hideMark/>
          </w:tcPr>
          <w:p w14:paraId="59DC608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3,5</w:t>
            </w:r>
          </w:p>
        </w:tc>
        <w:tc>
          <w:tcPr>
            <w:tcW w:w="685" w:type="dxa"/>
            <w:tcBorders>
              <w:top w:val="nil"/>
              <w:left w:val="nil"/>
              <w:bottom w:val="nil"/>
              <w:right w:val="nil"/>
            </w:tcBorders>
            <w:shd w:val="clear" w:color="auto" w:fill="auto"/>
            <w:noWrap/>
            <w:vAlign w:val="center"/>
            <w:hideMark/>
          </w:tcPr>
          <w:p w14:paraId="76707B1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c>
          <w:tcPr>
            <w:tcW w:w="685" w:type="dxa"/>
            <w:tcBorders>
              <w:top w:val="nil"/>
              <w:left w:val="nil"/>
              <w:bottom w:val="nil"/>
              <w:right w:val="nil"/>
            </w:tcBorders>
            <w:shd w:val="clear" w:color="auto" w:fill="auto"/>
            <w:noWrap/>
            <w:vAlign w:val="center"/>
            <w:hideMark/>
          </w:tcPr>
          <w:p w14:paraId="542E8C26"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c>
          <w:tcPr>
            <w:tcW w:w="685" w:type="dxa"/>
            <w:tcBorders>
              <w:top w:val="nil"/>
              <w:left w:val="nil"/>
              <w:bottom w:val="nil"/>
              <w:right w:val="nil"/>
            </w:tcBorders>
            <w:shd w:val="clear" w:color="auto" w:fill="auto"/>
            <w:noWrap/>
            <w:vAlign w:val="center"/>
            <w:hideMark/>
          </w:tcPr>
          <w:p w14:paraId="18C37E9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1EDB8F0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4,3</w:t>
            </w:r>
          </w:p>
        </w:tc>
        <w:tc>
          <w:tcPr>
            <w:tcW w:w="685" w:type="dxa"/>
            <w:tcBorders>
              <w:top w:val="nil"/>
              <w:left w:val="nil"/>
              <w:bottom w:val="nil"/>
              <w:right w:val="nil"/>
            </w:tcBorders>
            <w:shd w:val="clear" w:color="auto" w:fill="auto"/>
            <w:noWrap/>
            <w:vAlign w:val="center"/>
            <w:hideMark/>
          </w:tcPr>
          <w:p w14:paraId="680B50F7"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152E07D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21F0BE5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4,9</w:t>
            </w:r>
          </w:p>
        </w:tc>
        <w:tc>
          <w:tcPr>
            <w:tcW w:w="685" w:type="dxa"/>
            <w:tcBorders>
              <w:top w:val="nil"/>
              <w:left w:val="nil"/>
              <w:bottom w:val="nil"/>
              <w:right w:val="nil"/>
            </w:tcBorders>
            <w:shd w:val="clear" w:color="auto" w:fill="auto"/>
            <w:noWrap/>
            <w:vAlign w:val="center"/>
            <w:hideMark/>
          </w:tcPr>
          <w:p w14:paraId="2BC20E2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5,9</w:t>
            </w:r>
          </w:p>
        </w:tc>
        <w:tc>
          <w:tcPr>
            <w:tcW w:w="685" w:type="dxa"/>
            <w:vAlign w:val="center"/>
          </w:tcPr>
          <w:p w14:paraId="4EA4E69F" w14:textId="26BF6504" w:rsidR="00577417" w:rsidRPr="00577417" w:rsidRDefault="00577417" w:rsidP="00577417">
            <w:pPr>
              <w:spacing w:after="0" w:line="240" w:lineRule="auto"/>
              <w:jc w:val="center"/>
            </w:pPr>
            <w:r w:rsidRPr="00577417">
              <w:rPr>
                <w:rFonts w:cs="Arial"/>
                <w:color w:val="000000"/>
                <w:sz w:val="16"/>
                <w:szCs w:val="16"/>
              </w:rPr>
              <w:t>6,0</w:t>
            </w:r>
          </w:p>
        </w:tc>
        <w:tc>
          <w:tcPr>
            <w:tcW w:w="685" w:type="dxa"/>
            <w:vAlign w:val="center"/>
          </w:tcPr>
          <w:p w14:paraId="738EB830" w14:textId="1EBBEC91"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5,6</w:t>
            </w:r>
          </w:p>
        </w:tc>
      </w:tr>
      <w:tr w:rsidR="00577417" w:rsidRPr="00577417" w14:paraId="3B8EC9CE" w14:textId="453D048B" w:rsidTr="00EE02F9">
        <w:trPr>
          <w:trHeight w:val="282"/>
        </w:trPr>
        <w:tc>
          <w:tcPr>
            <w:tcW w:w="2058" w:type="dxa"/>
            <w:tcBorders>
              <w:top w:val="nil"/>
              <w:left w:val="nil"/>
              <w:bottom w:val="nil"/>
              <w:right w:val="single" w:sz="4" w:space="0" w:color="auto"/>
            </w:tcBorders>
            <w:shd w:val="clear" w:color="auto" w:fill="auto"/>
            <w:noWrap/>
            <w:vAlign w:val="center"/>
            <w:hideMark/>
          </w:tcPr>
          <w:p w14:paraId="02C9D955"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Pardubický kraj</w:t>
            </w:r>
          </w:p>
        </w:tc>
        <w:tc>
          <w:tcPr>
            <w:tcW w:w="685" w:type="dxa"/>
            <w:tcBorders>
              <w:top w:val="nil"/>
              <w:left w:val="nil"/>
              <w:bottom w:val="nil"/>
              <w:right w:val="nil"/>
            </w:tcBorders>
            <w:shd w:val="clear" w:color="auto" w:fill="auto"/>
            <w:noWrap/>
            <w:vAlign w:val="center"/>
            <w:hideMark/>
          </w:tcPr>
          <w:p w14:paraId="5882D06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3,5</w:t>
            </w:r>
          </w:p>
        </w:tc>
        <w:tc>
          <w:tcPr>
            <w:tcW w:w="685" w:type="dxa"/>
            <w:tcBorders>
              <w:top w:val="nil"/>
              <w:left w:val="nil"/>
              <w:bottom w:val="nil"/>
              <w:right w:val="nil"/>
            </w:tcBorders>
            <w:shd w:val="clear" w:color="auto" w:fill="auto"/>
            <w:noWrap/>
            <w:vAlign w:val="center"/>
            <w:hideMark/>
          </w:tcPr>
          <w:p w14:paraId="2D81874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c>
          <w:tcPr>
            <w:tcW w:w="685" w:type="dxa"/>
            <w:tcBorders>
              <w:top w:val="nil"/>
              <w:left w:val="nil"/>
              <w:bottom w:val="nil"/>
              <w:right w:val="nil"/>
            </w:tcBorders>
            <w:shd w:val="clear" w:color="auto" w:fill="auto"/>
            <w:noWrap/>
            <w:vAlign w:val="center"/>
            <w:hideMark/>
          </w:tcPr>
          <w:p w14:paraId="5D2FD821"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3,9</w:t>
            </w:r>
          </w:p>
        </w:tc>
        <w:tc>
          <w:tcPr>
            <w:tcW w:w="685" w:type="dxa"/>
            <w:tcBorders>
              <w:top w:val="nil"/>
              <w:left w:val="nil"/>
              <w:bottom w:val="nil"/>
              <w:right w:val="nil"/>
            </w:tcBorders>
            <w:shd w:val="clear" w:color="auto" w:fill="auto"/>
            <w:noWrap/>
            <w:vAlign w:val="center"/>
            <w:hideMark/>
          </w:tcPr>
          <w:p w14:paraId="0F83575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4,3</w:t>
            </w:r>
          </w:p>
        </w:tc>
        <w:tc>
          <w:tcPr>
            <w:tcW w:w="685" w:type="dxa"/>
            <w:tcBorders>
              <w:top w:val="nil"/>
              <w:left w:val="nil"/>
              <w:bottom w:val="nil"/>
              <w:right w:val="nil"/>
            </w:tcBorders>
            <w:shd w:val="clear" w:color="auto" w:fill="auto"/>
            <w:noWrap/>
            <w:vAlign w:val="center"/>
            <w:hideMark/>
          </w:tcPr>
          <w:p w14:paraId="3CB94C1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4,5</w:t>
            </w:r>
          </w:p>
        </w:tc>
        <w:tc>
          <w:tcPr>
            <w:tcW w:w="685" w:type="dxa"/>
            <w:tcBorders>
              <w:top w:val="nil"/>
              <w:left w:val="nil"/>
              <w:bottom w:val="nil"/>
              <w:right w:val="nil"/>
            </w:tcBorders>
            <w:shd w:val="clear" w:color="auto" w:fill="auto"/>
            <w:noWrap/>
            <w:vAlign w:val="center"/>
            <w:hideMark/>
          </w:tcPr>
          <w:p w14:paraId="2BA7DDE7"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4,6</w:t>
            </w:r>
          </w:p>
        </w:tc>
        <w:tc>
          <w:tcPr>
            <w:tcW w:w="685" w:type="dxa"/>
            <w:tcBorders>
              <w:top w:val="nil"/>
              <w:left w:val="nil"/>
              <w:bottom w:val="nil"/>
              <w:right w:val="nil"/>
            </w:tcBorders>
            <w:shd w:val="clear" w:color="auto" w:fill="auto"/>
            <w:noWrap/>
            <w:vAlign w:val="center"/>
            <w:hideMark/>
          </w:tcPr>
          <w:p w14:paraId="61F8A37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1AA3B6B8"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5,0</w:t>
            </w:r>
          </w:p>
        </w:tc>
        <w:tc>
          <w:tcPr>
            <w:tcW w:w="685" w:type="dxa"/>
            <w:tcBorders>
              <w:top w:val="nil"/>
              <w:left w:val="nil"/>
              <w:bottom w:val="nil"/>
              <w:right w:val="nil"/>
            </w:tcBorders>
            <w:shd w:val="clear" w:color="auto" w:fill="auto"/>
            <w:noWrap/>
            <w:vAlign w:val="center"/>
            <w:hideMark/>
          </w:tcPr>
          <w:p w14:paraId="15A563F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5,7</w:t>
            </w:r>
          </w:p>
        </w:tc>
        <w:tc>
          <w:tcPr>
            <w:tcW w:w="685" w:type="dxa"/>
            <w:vAlign w:val="center"/>
          </w:tcPr>
          <w:p w14:paraId="04F8101D" w14:textId="7C31185A" w:rsidR="00577417" w:rsidRPr="00577417" w:rsidRDefault="00577417" w:rsidP="00577417">
            <w:pPr>
              <w:spacing w:after="0" w:line="240" w:lineRule="auto"/>
              <w:jc w:val="center"/>
            </w:pPr>
            <w:r w:rsidRPr="00577417">
              <w:rPr>
                <w:rFonts w:cs="Arial"/>
                <w:color w:val="000000"/>
                <w:sz w:val="16"/>
                <w:szCs w:val="16"/>
              </w:rPr>
              <w:t>5,9</w:t>
            </w:r>
          </w:p>
        </w:tc>
        <w:tc>
          <w:tcPr>
            <w:tcW w:w="685" w:type="dxa"/>
            <w:vAlign w:val="center"/>
          </w:tcPr>
          <w:p w14:paraId="50E4331E" w14:textId="0DBB307B"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5,8</w:t>
            </w:r>
          </w:p>
        </w:tc>
      </w:tr>
      <w:tr w:rsidR="00577417" w:rsidRPr="00577417" w14:paraId="13433F69" w14:textId="5D89F1F2" w:rsidTr="00EE02F9">
        <w:trPr>
          <w:trHeight w:val="282"/>
        </w:trPr>
        <w:tc>
          <w:tcPr>
            <w:tcW w:w="2058" w:type="dxa"/>
            <w:tcBorders>
              <w:top w:val="nil"/>
              <w:left w:val="nil"/>
              <w:bottom w:val="nil"/>
              <w:right w:val="single" w:sz="4" w:space="0" w:color="auto"/>
            </w:tcBorders>
            <w:shd w:val="clear" w:color="auto" w:fill="auto"/>
            <w:noWrap/>
            <w:vAlign w:val="center"/>
            <w:hideMark/>
          </w:tcPr>
          <w:p w14:paraId="6FE0B02F"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Kraj Vysočina</w:t>
            </w:r>
          </w:p>
        </w:tc>
        <w:tc>
          <w:tcPr>
            <w:tcW w:w="685" w:type="dxa"/>
            <w:tcBorders>
              <w:top w:val="nil"/>
              <w:left w:val="nil"/>
              <w:bottom w:val="nil"/>
              <w:right w:val="nil"/>
            </w:tcBorders>
            <w:shd w:val="clear" w:color="auto" w:fill="auto"/>
            <w:noWrap/>
            <w:vAlign w:val="center"/>
            <w:hideMark/>
          </w:tcPr>
          <w:p w14:paraId="74E2BE8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3,6</w:t>
            </w:r>
          </w:p>
        </w:tc>
        <w:tc>
          <w:tcPr>
            <w:tcW w:w="685" w:type="dxa"/>
            <w:tcBorders>
              <w:top w:val="nil"/>
              <w:left w:val="nil"/>
              <w:bottom w:val="nil"/>
              <w:right w:val="nil"/>
            </w:tcBorders>
            <w:shd w:val="clear" w:color="auto" w:fill="auto"/>
            <w:noWrap/>
            <w:vAlign w:val="center"/>
            <w:hideMark/>
          </w:tcPr>
          <w:p w14:paraId="39B4733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3,9</w:t>
            </w:r>
          </w:p>
        </w:tc>
        <w:tc>
          <w:tcPr>
            <w:tcW w:w="685" w:type="dxa"/>
            <w:tcBorders>
              <w:top w:val="nil"/>
              <w:left w:val="nil"/>
              <w:bottom w:val="nil"/>
              <w:right w:val="nil"/>
            </w:tcBorders>
            <w:shd w:val="clear" w:color="auto" w:fill="auto"/>
            <w:noWrap/>
            <w:vAlign w:val="center"/>
            <w:hideMark/>
          </w:tcPr>
          <w:p w14:paraId="5AB5297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4,0</w:t>
            </w:r>
          </w:p>
        </w:tc>
        <w:tc>
          <w:tcPr>
            <w:tcW w:w="685" w:type="dxa"/>
            <w:tcBorders>
              <w:top w:val="nil"/>
              <w:left w:val="nil"/>
              <w:bottom w:val="nil"/>
              <w:right w:val="nil"/>
            </w:tcBorders>
            <w:shd w:val="clear" w:color="auto" w:fill="auto"/>
            <w:noWrap/>
            <w:vAlign w:val="center"/>
            <w:hideMark/>
          </w:tcPr>
          <w:p w14:paraId="7303EF26"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4,5</w:t>
            </w:r>
          </w:p>
        </w:tc>
        <w:tc>
          <w:tcPr>
            <w:tcW w:w="685" w:type="dxa"/>
            <w:tcBorders>
              <w:top w:val="nil"/>
              <w:left w:val="nil"/>
              <w:bottom w:val="nil"/>
              <w:right w:val="nil"/>
            </w:tcBorders>
            <w:shd w:val="clear" w:color="auto" w:fill="auto"/>
            <w:noWrap/>
            <w:vAlign w:val="center"/>
            <w:hideMark/>
          </w:tcPr>
          <w:p w14:paraId="78FA84D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3DC7AFB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4,8</w:t>
            </w:r>
          </w:p>
        </w:tc>
        <w:tc>
          <w:tcPr>
            <w:tcW w:w="685" w:type="dxa"/>
            <w:tcBorders>
              <w:top w:val="nil"/>
              <w:left w:val="nil"/>
              <w:bottom w:val="nil"/>
              <w:right w:val="nil"/>
            </w:tcBorders>
            <w:shd w:val="clear" w:color="auto" w:fill="auto"/>
            <w:noWrap/>
            <w:vAlign w:val="center"/>
            <w:hideMark/>
          </w:tcPr>
          <w:p w14:paraId="30AD819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5,1</w:t>
            </w:r>
          </w:p>
        </w:tc>
        <w:tc>
          <w:tcPr>
            <w:tcW w:w="685" w:type="dxa"/>
            <w:tcBorders>
              <w:top w:val="nil"/>
              <w:left w:val="nil"/>
              <w:bottom w:val="nil"/>
              <w:right w:val="nil"/>
            </w:tcBorders>
            <w:shd w:val="clear" w:color="auto" w:fill="auto"/>
            <w:noWrap/>
            <w:vAlign w:val="center"/>
            <w:hideMark/>
          </w:tcPr>
          <w:p w14:paraId="0B520E0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5,4</w:t>
            </w:r>
          </w:p>
        </w:tc>
        <w:tc>
          <w:tcPr>
            <w:tcW w:w="685" w:type="dxa"/>
            <w:tcBorders>
              <w:top w:val="nil"/>
              <w:left w:val="nil"/>
              <w:bottom w:val="nil"/>
              <w:right w:val="nil"/>
            </w:tcBorders>
            <w:shd w:val="clear" w:color="auto" w:fill="auto"/>
            <w:noWrap/>
            <w:vAlign w:val="center"/>
            <w:hideMark/>
          </w:tcPr>
          <w:p w14:paraId="65EFBEAF"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6,4</w:t>
            </w:r>
          </w:p>
        </w:tc>
        <w:tc>
          <w:tcPr>
            <w:tcW w:w="685" w:type="dxa"/>
            <w:vAlign w:val="center"/>
          </w:tcPr>
          <w:p w14:paraId="3973319E" w14:textId="77777777" w:rsidR="00577417" w:rsidRPr="00577417" w:rsidRDefault="00577417" w:rsidP="00577417">
            <w:pPr>
              <w:spacing w:after="0" w:line="240" w:lineRule="auto"/>
              <w:jc w:val="center"/>
            </w:pPr>
            <w:r w:rsidRPr="00577417">
              <w:rPr>
                <w:rFonts w:cs="Arial"/>
                <w:color w:val="000000"/>
                <w:sz w:val="16"/>
                <w:szCs w:val="16"/>
              </w:rPr>
              <w:t>6,1</w:t>
            </w:r>
          </w:p>
        </w:tc>
        <w:tc>
          <w:tcPr>
            <w:tcW w:w="685" w:type="dxa"/>
            <w:vAlign w:val="center"/>
          </w:tcPr>
          <w:p w14:paraId="1013A7E9" w14:textId="41414B09"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5,9</w:t>
            </w:r>
          </w:p>
        </w:tc>
      </w:tr>
      <w:tr w:rsidR="00577417" w:rsidRPr="00577417" w14:paraId="5B2AE0FC" w14:textId="5D1D44B3" w:rsidTr="00EE02F9">
        <w:trPr>
          <w:trHeight w:val="282"/>
        </w:trPr>
        <w:tc>
          <w:tcPr>
            <w:tcW w:w="2058" w:type="dxa"/>
            <w:tcBorders>
              <w:top w:val="nil"/>
              <w:left w:val="nil"/>
              <w:bottom w:val="nil"/>
              <w:right w:val="single" w:sz="4" w:space="0" w:color="auto"/>
            </w:tcBorders>
            <w:shd w:val="clear" w:color="auto" w:fill="auto"/>
            <w:noWrap/>
            <w:vAlign w:val="center"/>
            <w:hideMark/>
          </w:tcPr>
          <w:p w14:paraId="15E45DCA"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Jihomoravský kraj</w:t>
            </w:r>
          </w:p>
        </w:tc>
        <w:tc>
          <w:tcPr>
            <w:tcW w:w="685" w:type="dxa"/>
            <w:tcBorders>
              <w:top w:val="nil"/>
              <w:left w:val="nil"/>
              <w:bottom w:val="nil"/>
              <w:right w:val="nil"/>
            </w:tcBorders>
            <w:shd w:val="clear" w:color="auto" w:fill="auto"/>
            <w:noWrap/>
            <w:vAlign w:val="center"/>
            <w:hideMark/>
          </w:tcPr>
          <w:p w14:paraId="05B5706D"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3,5</w:t>
            </w:r>
          </w:p>
        </w:tc>
        <w:tc>
          <w:tcPr>
            <w:tcW w:w="685" w:type="dxa"/>
            <w:tcBorders>
              <w:top w:val="nil"/>
              <w:left w:val="nil"/>
              <w:bottom w:val="nil"/>
              <w:right w:val="nil"/>
            </w:tcBorders>
            <w:shd w:val="clear" w:color="auto" w:fill="auto"/>
            <w:noWrap/>
            <w:vAlign w:val="center"/>
            <w:hideMark/>
          </w:tcPr>
          <w:p w14:paraId="1CA6BF1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c>
          <w:tcPr>
            <w:tcW w:w="685" w:type="dxa"/>
            <w:tcBorders>
              <w:top w:val="nil"/>
              <w:left w:val="nil"/>
              <w:bottom w:val="nil"/>
              <w:right w:val="nil"/>
            </w:tcBorders>
            <w:shd w:val="clear" w:color="auto" w:fill="auto"/>
            <w:noWrap/>
            <w:vAlign w:val="center"/>
            <w:hideMark/>
          </w:tcPr>
          <w:p w14:paraId="43FCD53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c>
          <w:tcPr>
            <w:tcW w:w="685" w:type="dxa"/>
            <w:tcBorders>
              <w:top w:val="nil"/>
              <w:left w:val="nil"/>
              <w:bottom w:val="nil"/>
              <w:right w:val="nil"/>
            </w:tcBorders>
            <w:shd w:val="clear" w:color="auto" w:fill="auto"/>
            <w:noWrap/>
            <w:vAlign w:val="center"/>
            <w:hideMark/>
          </w:tcPr>
          <w:p w14:paraId="558CFB0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1C87C13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4,2</w:t>
            </w:r>
          </w:p>
        </w:tc>
        <w:tc>
          <w:tcPr>
            <w:tcW w:w="685" w:type="dxa"/>
            <w:tcBorders>
              <w:top w:val="nil"/>
              <w:left w:val="nil"/>
              <w:bottom w:val="nil"/>
              <w:right w:val="nil"/>
            </w:tcBorders>
            <w:shd w:val="clear" w:color="auto" w:fill="auto"/>
            <w:noWrap/>
            <w:vAlign w:val="center"/>
            <w:hideMark/>
          </w:tcPr>
          <w:p w14:paraId="1F0B59B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4,3</w:t>
            </w:r>
          </w:p>
        </w:tc>
        <w:tc>
          <w:tcPr>
            <w:tcW w:w="685" w:type="dxa"/>
            <w:tcBorders>
              <w:top w:val="nil"/>
              <w:left w:val="nil"/>
              <w:bottom w:val="nil"/>
              <w:right w:val="nil"/>
            </w:tcBorders>
            <w:shd w:val="clear" w:color="auto" w:fill="auto"/>
            <w:noWrap/>
            <w:vAlign w:val="center"/>
            <w:hideMark/>
          </w:tcPr>
          <w:p w14:paraId="117E281D"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2FD5977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4,6</w:t>
            </w:r>
          </w:p>
        </w:tc>
        <w:tc>
          <w:tcPr>
            <w:tcW w:w="685" w:type="dxa"/>
            <w:tcBorders>
              <w:top w:val="nil"/>
              <w:left w:val="nil"/>
              <w:bottom w:val="nil"/>
              <w:right w:val="nil"/>
            </w:tcBorders>
            <w:shd w:val="clear" w:color="auto" w:fill="auto"/>
            <w:noWrap/>
            <w:vAlign w:val="center"/>
            <w:hideMark/>
          </w:tcPr>
          <w:p w14:paraId="302042D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5,4</w:t>
            </w:r>
          </w:p>
        </w:tc>
        <w:tc>
          <w:tcPr>
            <w:tcW w:w="685" w:type="dxa"/>
            <w:vAlign w:val="center"/>
          </w:tcPr>
          <w:p w14:paraId="60B00133" w14:textId="0E9AC4AB" w:rsidR="00577417" w:rsidRPr="00577417" w:rsidRDefault="00577417" w:rsidP="00577417">
            <w:pPr>
              <w:spacing w:after="0" w:line="240" w:lineRule="auto"/>
              <w:jc w:val="center"/>
            </w:pPr>
            <w:r w:rsidRPr="00577417">
              <w:rPr>
                <w:rFonts w:cs="Arial"/>
                <w:color w:val="000000"/>
                <w:sz w:val="16"/>
                <w:szCs w:val="16"/>
              </w:rPr>
              <w:t>5,5</w:t>
            </w:r>
          </w:p>
        </w:tc>
        <w:tc>
          <w:tcPr>
            <w:tcW w:w="685" w:type="dxa"/>
            <w:vAlign w:val="center"/>
          </w:tcPr>
          <w:p w14:paraId="46E16390" w14:textId="24CA966E"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5,2</w:t>
            </w:r>
          </w:p>
        </w:tc>
      </w:tr>
      <w:tr w:rsidR="00577417" w:rsidRPr="00577417" w14:paraId="5F2E5F01" w14:textId="4FB571AA" w:rsidTr="00EE02F9">
        <w:trPr>
          <w:trHeight w:val="282"/>
        </w:trPr>
        <w:tc>
          <w:tcPr>
            <w:tcW w:w="2058" w:type="dxa"/>
            <w:tcBorders>
              <w:top w:val="nil"/>
              <w:left w:val="nil"/>
              <w:bottom w:val="nil"/>
              <w:right w:val="single" w:sz="4" w:space="0" w:color="auto"/>
            </w:tcBorders>
            <w:shd w:val="clear" w:color="auto" w:fill="auto"/>
            <w:noWrap/>
            <w:vAlign w:val="center"/>
            <w:hideMark/>
          </w:tcPr>
          <w:p w14:paraId="17060D20"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Olomoucký kraj</w:t>
            </w:r>
          </w:p>
        </w:tc>
        <w:tc>
          <w:tcPr>
            <w:tcW w:w="685" w:type="dxa"/>
            <w:tcBorders>
              <w:top w:val="nil"/>
              <w:left w:val="nil"/>
              <w:bottom w:val="nil"/>
              <w:right w:val="nil"/>
            </w:tcBorders>
            <w:shd w:val="clear" w:color="auto" w:fill="auto"/>
            <w:noWrap/>
            <w:vAlign w:val="center"/>
            <w:hideMark/>
          </w:tcPr>
          <w:p w14:paraId="473A73A5"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3,7</w:t>
            </w:r>
          </w:p>
        </w:tc>
        <w:tc>
          <w:tcPr>
            <w:tcW w:w="685" w:type="dxa"/>
            <w:tcBorders>
              <w:top w:val="nil"/>
              <w:left w:val="nil"/>
              <w:bottom w:val="nil"/>
              <w:right w:val="nil"/>
            </w:tcBorders>
            <w:shd w:val="clear" w:color="auto" w:fill="auto"/>
            <w:noWrap/>
            <w:vAlign w:val="center"/>
            <w:hideMark/>
          </w:tcPr>
          <w:p w14:paraId="2873511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3,8</w:t>
            </w:r>
          </w:p>
        </w:tc>
        <w:tc>
          <w:tcPr>
            <w:tcW w:w="685" w:type="dxa"/>
            <w:tcBorders>
              <w:top w:val="nil"/>
              <w:left w:val="nil"/>
              <w:bottom w:val="nil"/>
              <w:right w:val="nil"/>
            </w:tcBorders>
            <w:shd w:val="clear" w:color="auto" w:fill="auto"/>
            <w:noWrap/>
            <w:vAlign w:val="center"/>
            <w:hideMark/>
          </w:tcPr>
          <w:p w14:paraId="6AFBAD0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3,9</w:t>
            </w:r>
          </w:p>
        </w:tc>
        <w:tc>
          <w:tcPr>
            <w:tcW w:w="685" w:type="dxa"/>
            <w:tcBorders>
              <w:top w:val="nil"/>
              <w:left w:val="nil"/>
              <w:bottom w:val="nil"/>
              <w:right w:val="nil"/>
            </w:tcBorders>
            <w:shd w:val="clear" w:color="auto" w:fill="auto"/>
            <w:noWrap/>
            <w:vAlign w:val="center"/>
            <w:hideMark/>
          </w:tcPr>
          <w:p w14:paraId="5429200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4,3</w:t>
            </w:r>
          </w:p>
        </w:tc>
        <w:tc>
          <w:tcPr>
            <w:tcW w:w="685" w:type="dxa"/>
            <w:tcBorders>
              <w:top w:val="nil"/>
              <w:left w:val="nil"/>
              <w:bottom w:val="nil"/>
              <w:right w:val="nil"/>
            </w:tcBorders>
            <w:shd w:val="clear" w:color="auto" w:fill="auto"/>
            <w:noWrap/>
            <w:vAlign w:val="center"/>
            <w:hideMark/>
          </w:tcPr>
          <w:p w14:paraId="48BDD75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4,5</w:t>
            </w:r>
          </w:p>
        </w:tc>
        <w:tc>
          <w:tcPr>
            <w:tcW w:w="685" w:type="dxa"/>
            <w:tcBorders>
              <w:top w:val="nil"/>
              <w:left w:val="nil"/>
              <w:bottom w:val="nil"/>
              <w:right w:val="nil"/>
            </w:tcBorders>
            <w:shd w:val="clear" w:color="auto" w:fill="auto"/>
            <w:noWrap/>
            <w:vAlign w:val="center"/>
            <w:hideMark/>
          </w:tcPr>
          <w:p w14:paraId="35FB5D61"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4,5</w:t>
            </w:r>
          </w:p>
        </w:tc>
        <w:tc>
          <w:tcPr>
            <w:tcW w:w="685" w:type="dxa"/>
            <w:tcBorders>
              <w:top w:val="nil"/>
              <w:left w:val="nil"/>
              <w:bottom w:val="nil"/>
              <w:right w:val="nil"/>
            </w:tcBorders>
            <w:shd w:val="clear" w:color="auto" w:fill="auto"/>
            <w:noWrap/>
            <w:vAlign w:val="center"/>
            <w:hideMark/>
          </w:tcPr>
          <w:p w14:paraId="073A293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4,7</w:t>
            </w:r>
          </w:p>
        </w:tc>
        <w:tc>
          <w:tcPr>
            <w:tcW w:w="685" w:type="dxa"/>
            <w:tcBorders>
              <w:top w:val="nil"/>
              <w:left w:val="nil"/>
              <w:bottom w:val="nil"/>
              <w:right w:val="nil"/>
            </w:tcBorders>
            <w:shd w:val="clear" w:color="auto" w:fill="auto"/>
            <w:noWrap/>
            <w:vAlign w:val="center"/>
            <w:hideMark/>
          </w:tcPr>
          <w:p w14:paraId="5D4C91D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5,0</w:t>
            </w:r>
          </w:p>
        </w:tc>
        <w:tc>
          <w:tcPr>
            <w:tcW w:w="685" w:type="dxa"/>
            <w:tcBorders>
              <w:top w:val="nil"/>
              <w:left w:val="nil"/>
              <w:bottom w:val="nil"/>
              <w:right w:val="nil"/>
            </w:tcBorders>
            <w:shd w:val="clear" w:color="auto" w:fill="auto"/>
            <w:noWrap/>
            <w:vAlign w:val="center"/>
            <w:hideMark/>
          </w:tcPr>
          <w:p w14:paraId="5D8434BB"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6,0</w:t>
            </w:r>
          </w:p>
        </w:tc>
        <w:tc>
          <w:tcPr>
            <w:tcW w:w="685" w:type="dxa"/>
            <w:vAlign w:val="center"/>
          </w:tcPr>
          <w:p w14:paraId="33E7D049" w14:textId="15018C51" w:rsidR="00577417" w:rsidRPr="00577417" w:rsidRDefault="00577417" w:rsidP="00577417">
            <w:pPr>
              <w:spacing w:after="0" w:line="240" w:lineRule="auto"/>
              <w:jc w:val="center"/>
            </w:pPr>
            <w:r w:rsidRPr="00577417">
              <w:rPr>
                <w:rFonts w:cs="Arial"/>
                <w:color w:val="000000"/>
                <w:sz w:val="16"/>
                <w:szCs w:val="16"/>
              </w:rPr>
              <w:t>6,1</w:t>
            </w:r>
          </w:p>
        </w:tc>
        <w:tc>
          <w:tcPr>
            <w:tcW w:w="685" w:type="dxa"/>
            <w:vAlign w:val="center"/>
          </w:tcPr>
          <w:p w14:paraId="7ED6653D" w14:textId="5503A706"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6,0</w:t>
            </w:r>
          </w:p>
        </w:tc>
      </w:tr>
      <w:tr w:rsidR="00577417" w:rsidRPr="00577417" w14:paraId="07ED89A7" w14:textId="01F6D73D" w:rsidTr="00EE02F9">
        <w:trPr>
          <w:trHeight w:val="282"/>
        </w:trPr>
        <w:tc>
          <w:tcPr>
            <w:tcW w:w="2058" w:type="dxa"/>
            <w:tcBorders>
              <w:top w:val="nil"/>
              <w:left w:val="nil"/>
              <w:bottom w:val="nil"/>
              <w:right w:val="single" w:sz="4" w:space="0" w:color="auto"/>
            </w:tcBorders>
            <w:shd w:val="clear" w:color="auto" w:fill="auto"/>
            <w:noWrap/>
            <w:vAlign w:val="center"/>
            <w:hideMark/>
          </w:tcPr>
          <w:p w14:paraId="10FF8514"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Zlínský kraj</w:t>
            </w:r>
          </w:p>
        </w:tc>
        <w:tc>
          <w:tcPr>
            <w:tcW w:w="685" w:type="dxa"/>
            <w:tcBorders>
              <w:top w:val="nil"/>
              <w:left w:val="nil"/>
              <w:bottom w:val="nil"/>
              <w:right w:val="nil"/>
            </w:tcBorders>
            <w:shd w:val="clear" w:color="auto" w:fill="auto"/>
            <w:noWrap/>
            <w:vAlign w:val="center"/>
            <w:hideMark/>
          </w:tcPr>
          <w:p w14:paraId="7EFC4BF7"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4,1</w:t>
            </w:r>
          </w:p>
        </w:tc>
        <w:tc>
          <w:tcPr>
            <w:tcW w:w="685" w:type="dxa"/>
            <w:tcBorders>
              <w:top w:val="nil"/>
              <w:left w:val="nil"/>
              <w:bottom w:val="nil"/>
              <w:right w:val="nil"/>
            </w:tcBorders>
            <w:shd w:val="clear" w:color="auto" w:fill="auto"/>
            <w:noWrap/>
            <w:vAlign w:val="center"/>
            <w:hideMark/>
          </w:tcPr>
          <w:p w14:paraId="2FFB40B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54ED607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319A04AE"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4,9</w:t>
            </w:r>
          </w:p>
        </w:tc>
        <w:tc>
          <w:tcPr>
            <w:tcW w:w="685" w:type="dxa"/>
            <w:tcBorders>
              <w:top w:val="nil"/>
              <w:left w:val="nil"/>
              <w:bottom w:val="nil"/>
              <w:right w:val="nil"/>
            </w:tcBorders>
            <w:shd w:val="clear" w:color="auto" w:fill="auto"/>
            <w:noWrap/>
            <w:vAlign w:val="center"/>
            <w:hideMark/>
          </w:tcPr>
          <w:p w14:paraId="7CB2461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5,1</w:t>
            </w:r>
          </w:p>
        </w:tc>
        <w:tc>
          <w:tcPr>
            <w:tcW w:w="685" w:type="dxa"/>
            <w:tcBorders>
              <w:top w:val="nil"/>
              <w:left w:val="nil"/>
              <w:bottom w:val="nil"/>
              <w:right w:val="nil"/>
            </w:tcBorders>
            <w:shd w:val="clear" w:color="auto" w:fill="auto"/>
            <w:noWrap/>
            <w:vAlign w:val="center"/>
            <w:hideMark/>
          </w:tcPr>
          <w:p w14:paraId="5E372FF3"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5,2</w:t>
            </w:r>
          </w:p>
        </w:tc>
        <w:tc>
          <w:tcPr>
            <w:tcW w:w="685" w:type="dxa"/>
            <w:tcBorders>
              <w:top w:val="nil"/>
              <w:left w:val="nil"/>
              <w:bottom w:val="nil"/>
              <w:right w:val="nil"/>
            </w:tcBorders>
            <w:shd w:val="clear" w:color="auto" w:fill="auto"/>
            <w:noWrap/>
            <w:vAlign w:val="center"/>
            <w:hideMark/>
          </w:tcPr>
          <w:p w14:paraId="0637709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5,3</w:t>
            </w:r>
          </w:p>
        </w:tc>
        <w:tc>
          <w:tcPr>
            <w:tcW w:w="685" w:type="dxa"/>
            <w:tcBorders>
              <w:top w:val="nil"/>
              <w:left w:val="nil"/>
              <w:bottom w:val="nil"/>
              <w:right w:val="nil"/>
            </w:tcBorders>
            <w:shd w:val="clear" w:color="auto" w:fill="auto"/>
            <w:noWrap/>
            <w:vAlign w:val="center"/>
            <w:hideMark/>
          </w:tcPr>
          <w:p w14:paraId="17E73F9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5,6</w:t>
            </w:r>
          </w:p>
        </w:tc>
        <w:tc>
          <w:tcPr>
            <w:tcW w:w="685" w:type="dxa"/>
            <w:tcBorders>
              <w:top w:val="nil"/>
              <w:left w:val="nil"/>
              <w:bottom w:val="nil"/>
              <w:right w:val="nil"/>
            </w:tcBorders>
            <w:shd w:val="clear" w:color="auto" w:fill="auto"/>
            <w:noWrap/>
            <w:vAlign w:val="center"/>
            <w:hideMark/>
          </w:tcPr>
          <w:p w14:paraId="1D7FBC42"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7,0</w:t>
            </w:r>
          </w:p>
        </w:tc>
        <w:tc>
          <w:tcPr>
            <w:tcW w:w="685" w:type="dxa"/>
            <w:vAlign w:val="center"/>
          </w:tcPr>
          <w:p w14:paraId="4865E420" w14:textId="77777777" w:rsidR="00577417" w:rsidRPr="00577417" w:rsidRDefault="00577417" w:rsidP="00577417">
            <w:pPr>
              <w:spacing w:after="0" w:line="240" w:lineRule="auto"/>
              <w:jc w:val="center"/>
            </w:pPr>
            <w:r w:rsidRPr="00577417">
              <w:rPr>
                <w:rFonts w:cs="Arial"/>
                <w:color w:val="000000"/>
                <w:sz w:val="16"/>
                <w:szCs w:val="16"/>
              </w:rPr>
              <w:t>6,7</w:t>
            </w:r>
          </w:p>
        </w:tc>
        <w:tc>
          <w:tcPr>
            <w:tcW w:w="685" w:type="dxa"/>
            <w:vAlign w:val="center"/>
          </w:tcPr>
          <w:p w14:paraId="75ABFF39" w14:textId="304791D9"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6,4</w:t>
            </w:r>
          </w:p>
        </w:tc>
      </w:tr>
      <w:tr w:rsidR="00577417" w:rsidRPr="00577417" w14:paraId="57FBFE99" w14:textId="626B1329" w:rsidTr="00EE02F9">
        <w:trPr>
          <w:trHeight w:val="282"/>
        </w:trPr>
        <w:tc>
          <w:tcPr>
            <w:tcW w:w="2058" w:type="dxa"/>
            <w:tcBorders>
              <w:top w:val="nil"/>
              <w:left w:val="nil"/>
              <w:bottom w:val="nil"/>
              <w:right w:val="single" w:sz="4" w:space="0" w:color="auto"/>
            </w:tcBorders>
            <w:shd w:val="clear" w:color="auto" w:fill="auto"/>
            <w:noWrap/>
            <w:vAlign w:val="center"/>
            <w:hideMark/>
          </w:tcPr>
          <w:p w14:paraId="3EC67FF8" w14:textId="77777777" w:rsidR="00577417" w:rsidRPr="00577417" w:rsidRDefault="00577417" w:rsidP="00577417">
            <w:pPr>
              <w:spacing w:after="0" w:line="240" w:lineRule="auto"/>
              <w:ind w:firstLineChars="100" w:firstLine="160"/>
              <w:rPr>
                <w:rFonts w:cs="Arial"/>
                <w:color w:val="000000"/>
                <w:sz w:val="16"/>
                <w:szCs w:val="16"/>
              </w:rPr>
            </w:pPr>
            <w:r w:rsidRPr="00577417">
              <w:rPr>
                <w:rFonts w:cs="Arial"/>
                <w:color w:val="000000"/>
                <w:sz w:val="16"/>
                <w:szCs w:val="16"/>
              </w:rPr>
              <w:t>Moravskoslezský kraj</w:t>
            </w:r>
          </w:p>
        </w:tc>
        <w:tc>
          <w:tcPr>
            <w:tcW w:w="685" w:type="dxa"/>
            <w:tcBorders>
              <w:top w:val="nil"/>
              <w:left w:val="nil"/>
              <w:bottom w:val="nil"/>
              <w:right w:val="nil"/>
            </w:tcBorders>
            <w:shd w:val="clear" w:color="auto" w:fill="auto"/>
            <w:noWrap/>
            <w:vAlign w:val="center"/>
            <w:hideMark/>
          </w:tcPr>
          <w:p w14:paraId="7E2E3EB8"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4,0</w:t>
            </w:r>
          </w:p>
        </w:tc>
        <w:tc>
          <w:tcPr>
            <w:tcW w:w="685" w:type="dxa"/>
            <w:tcBorders>
              <w:top w:val="nil"/>
              <w:left w:val="nil"/>
              <w:bottom w:val="nil"/>
              <w:right w:val="nil"/>
            </w:tcBorders>
            <w:shd w:val="clear" w:color="auto" w:fill="auto"/>
            <w:noWrap/>
            <w:vAlign w:val="center"/>
            <w:hideMark/>
          </w:tcPr>
          <w:p w14:paraId="4F29118D"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4,3</w:t>
            </w:r>
          </w:p>
        </w:tc>
        <w:tc>
          <w:tcPr>
            <w:tcW w:w="685" w:type="dxa"/>
            <w:tcBorders>
              <w:top w:val="nil"/>
              <w:left w:val="nil"/>
              <w:bottom w:val="nil"/>
              <w:right w:val="nil"/>
            </w:tcBorders>
            <w:shd w:val="clear" w:color="auto" w:fill="auto"/>
            <w:noWrap/>
            <w:vAlign w:val="center"/>
            <w:hideMark/>
          </w:tcPr>
          <w:p w14:paraId="7593400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4,4</w:t>
            </w:r>
          </w:p>
        </w:tc>
        <w:tc>
          <w:tcPr>
            <w:tcW w:w="685" w:type="dxa"/>
            <w:tcBorders>
              <w:top w:val="nil"/>
              <w:left w:val="nil"/>
              <w:bottom w:val="nil"/>
              <w:right w:val="nil"/>
            </w:tcBorders>
            <w:shd w:val="clear" w:color="auto" w:fill="auto"/>
            <w:noWrap/>
            <w:vAlign w:val="center"/>
            <w:hideMark/>
          </w:tcPr>
          <w:p w14:paraId="2D0C961A"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4,8</w:t>
            </w:r>
          </w:p>
        </w:tc>
        <w:tc>
          <w:tcPr>
            <w:tcW w:w="685" w:type="dxa"/>
            <w:tcBorders>
              <w:top w:val="nil"/>
              <w:left w:val="nil"/>
              <w:bottom w:val="nil"/>
              <w:right w:val="nil"/>
            </w:tcBorders>
            <w:shd w:val="clear" w:color="auto" w:fill="auto"/>
            <w:noWrap/>
            <w:vAlign w:val="center"/>
            <w:hideMark/>
          </w:tcPr>
          <w:p w14:paraId="56E72E9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5,1</w:t>
            </w:r>
          </w:p>
        </w:tc>
        <w:tc>
          <w:tcPr>
            <w:tcW w:w="685" w:type="dxa"/>
            <w:tcBorders>
              <w:top w:val="nil"/>
              <w:left w:val="nil"/>
              <w:bottom w:val="nil"/>
              <w:right w:val="nil"/>
            </w:tcBorders>
            <w:shd w:val="clear" w:color="auto" w:fill="auto"/>
            <w:noWrap/>
            <w:vAlign w:val="center"/>
            <w:hideMark/>
          </w:tcPr>
          <w:p w14:paraId="7DF3848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5,1</w:t>
            </w:r>
          </w:p>
        </w:tc>
        <w:tc>
          <w:tcPr>
            <w:tcW w:w="685" w:type="dxa"/>
            <w:tcBorders>
              <w:top w:val="nil"/>
              <w:left w:val="nil"/>
              <w:bottom w:val="nil"/>
              <w:right w:val="nil"/>
            </w:tcBorders>
            <w:shd w:val="clear" w:color="auto" w:fill="auto"/>
            <w:noWrap/>
            <w:vAlign w:val="center"/>
            <w:hideMark/>
          </w:tcPr>
          <w:p w14:paraId="02307DA0"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5,4</w:t>
            </w:r>
          </w:p>
        </w:tc>
        <w:tc>
          <w:tcPr>
            <w:tcW w:w="685" w:type="dxa"/>
            <w:tcBorders>
              <w:top w:val="nil"/>
              <w:left w:val="nil"/>
              <w:bottom w:val="nil"/>
              <w:right w:val="nil"/>
            </w:tcBorders>
            <w:shd w:val="clear" w:color="auto" w:fill="auto"/>
            <w:noWrap/>
            <w:vAlign w:val="center"/>
            <w:hideMark/>
          </w:tcPr>
          <w:p w14:paraId="19500E5C"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5,8</w:t>
            </w:r>
          </w:p>
        </w:tc>
        <w:tc>
          <w:tcPr>
            <w:tcW w:w="685" w:type="dxa"/>
            <w:tcBorders>
              <w:top w:val="nil"/>
              <w:left w:val="nil"/>
              <w:bottom w:val="nil"/>
              <w:right w:val="nil"/>
            </w:tcBorders>
            <w:shd w:val="clear" w:color="auto" w:fill="auto"/>
            <w:noWrap/>
            <w:vAlign w:val="center"/>
            <w:hideMark/>
          </w:tcPr>
          <w:p w14:paraId="2F43B1D9" w14:textId="7777777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7,0</w:t>
            </w:r>
          </w:p>
        </w:tc>
        <w:tc>
          <w:tcPr>
            <w:tcW w:w="685" w:type="dxa"/>
            <w:vAlign w:val="center"/>
          </w:tcPr>
          <w:p w14:paraId="530A94D1" w14:textId="487CF06D" w:rsidR="00577417" w:rsidRPr="00577417" w:rsidRDefault="00577417" w:rsidP="00577417">
            <w:pPr>
              <w:spacing w:after="0" w:line="240" w:lineRule="auto"/>
              <w:jc w:val="center"/>
            </w:pPr>
            <w:r w:rsidRPr="00577417">
              <w:rPr>
                <w:rFonts w:cs="Arial"/>
                <w:color w:val="000000"/>
                <w:sz w:val="16"/>
                <w:szCs w:val="16"/>
              </w:rPr>
              <w:t>7,0</w:t>
            </w:r>
          </w:p>
        </w:tc>
        <w:tc>
          <w:tcPr>
            <w:tcW w:w="685" w:type="dxa"/>
            <w:vAlign w:val="center"/>
          </w:tcPr>
          <w:p w14:paraId="40CAFA90" w14:textId="44B3114A"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6,6</w:t>
            </w:r>
          </w:p>
        </w:tc>
      </w:tr>
    </w:tbl>
    <w:p w14:paraId="01AA15F8" w14:textId="634EFC21" w:rsidR="004F6383" w:rsidRDefault="004F6383" w:rsidP="002B7CCE">
      <w:pPr>
        <w:spacing w:before="120" w:after="120"/>
        <w:rPr>
          <w:sz w:val="16"/>
        </w:rPr>
      </w:pPr>
      <w:r>
        <w:rPr>
          <w:sz w:val="16"/>
        </w:rPr>
        <w:t>Pozn.: Přerušení v časové řadě.</w:t>
      </w:r>
    </w:p>
    <w:p w14:paraId="79632A44" w14:textId="4AF3AFBF" w:rsidR="002B7CCE" w:rsidRPr="00577417" w:rsidRDefault="002B7CCE" w:rsidP="002B7CCE">
      <w:pPr>
        <w:spacing w:before="120" w:after="120"/>
        <w:rPr>
          <w:sz w:val="16"/>
        </w:rPr>
      </w:pPr>
      <w:r w:rsidRPr="00577417">
        <w:rPr>
          <w:sz w:val="16"/>
        </w:rPr>
        <w:t>Zdroj: ČSÚ</w:t>
      </w:r>
    </w:p>
    <w:p w14:paraId="6C59681D" w14:textId="145F2E89" w:rsidR="002B7CCE" w:rsidRPr="00577417" w:rsidRDefault="002B7CCE" w:rsidP="00A5543F">
      <w:pPr>
        <w:spacing w:before="120" w:after="120"/>
        <w:jc w:val="both"/>
      </w:pPr>
      <w:r w:rsidRPr="00577417">
        <w:t xml:space="preserve">Obdobný ukazatel jako průměrné procento </w:t>
      </w:r>
      <w:r w:rsidR="004F6383">
        <w:t xml:space="preserve">dočasné </w:t>
      </w:r>
      <w:r w:rsidRPr="00577417">
        <w:t>pracovní neschopnosti, avšak v absolutním vyjádření</w:t>
      </w:r>
      <w:r w:rsidR="009F5C39">
        <w:t>,</w:t>
      </w:r>
      <w:r w:rsidRPr="00577417">
        <w:t xml:space="preserve"> představuje </w:t>
      </w:r>
      <w:r w:rsidRPr="00577417">
        <w:rPr>
          <w:b/>
        </w:rPr>
        <w:t>průměrný denní stav dočasně práce neschopných</w:t>
      </w:r>
      <w:r w:rsidRPr="00577417">
        <w:t xml:space="preserve">. Říká, kolik </w:t>
      </w:r>
      <w:proofErr w:type="spellStart"/>
      <w:r w:rsidRPr="00577417">
        <w:t>nemocensky</w:t>
      </w:r>
      <w:proofErr w:type="spellEnd"/>
      <w:r w:rsidRPr="00577417">
        <w:t xml:space="preserve"> pojištěných bylo </w:t>
      </w:r>
      <w:r w:rsidR="004F6383">
        <w:t>v daném</w:t>
      </w:r>
      <w:r w:rsidRPr="00577417">
        <w:t xml:space="preserve"> období v průměru denně nepřítomno v práci z důvodu pracovní neschopnosti pro nemoc a úraz.</w:t>
      </w:r>
    </w:p>
    <w:p w14:paraId="3CFC12A7" w14:textId="1910E66D" w:rsidR="002B7CCE" w:rsidRPr="00577417" w:rsidRDefault="002B7CCE" w:rsidP="00A5543F">
      <w:pPr>
        <w:spacing w:before="120" w:after="120"/>
        <w:jc w:val="both"/>
      </w:pPr>
      <w:r w:rsidRPr="00577417">
        <w:rPr>
          <w:rFonts w:cs="Arial"/>
          <w:color w:val="000000"/>
          <w:szCs w:val="16"/>
        </w:rPr>
        <w:t>V roce 202</w:t>
      </w:r>
      <w:r w:rsidR="00577417" w:rsidRPr="00577417">
        <w:rPr>
          <w:rFonts w:cs="Arial"/>
          <w:color w:val="000000"/>
          <w:szCs w:val="16"/>
        </w:rPr>
        <w:t>2</w:t>
      </w:r>
      <w:r w:rsidRPr="00577417">
        <w:rPr>
          <w:rFonts w:cs="Arial"/>
          <w:color w:val="000000"/>
          <w:szCs w:val="16"/>
        </w:rPr>
        <w:t xml:space="preserve"> kvůli dočasné pracovní neschopnosti způsobené nemocí či úrazem denně chybělo na pracovištích </w:t>
      </w:r>
      <w:r w:rsidR="00577417" w:rsidRPr="00577417">
        <w:rPr>
          <w:rFonts w:cs="Arial"/>
          <w:color w:val="000000"/>
          <w:szCs w:val="16"/>
        </w:rPr>
        <w:t>249 489</w:t>
      </w:r>
      <w:r w:rsidRPr="00577417">
        <w:rPr>
          <w:rFonts w:cs="Arial"/>
          <w:color w:val="000000"/>
          <w:szCs w:val="16"/>
        </w:rPr>
        <w:t xml:space="preserve"> </w:t>
      </w:r>
      <w:proofErr w:type="spellStart"/>
      <w:r w:rsidRPr="00577417">
        <w:rPr>
          <w:rFonts w:cs="Arial"/>
          <w:color w:val="000000"/>
          <w:szCs w:val="16"/>
        </w:rPr>
        <w:t>nemocensky</w:t>
      </w:r>
      <w:proofErr w:type="spellEnd"/>
      <w:r w:rsidRPr="00577417">
        <w:rPr>
          <w:rFonts w:cs="Arial"/>
          <w:color w:val="000000"/>
          <w:szCs w:val="16"/>
        </w:rPr>
        <w:t xml:space="preserve"> pojištěných osob. Oproti roku 202</w:t>
      </w:r>
      <w:r w:rsidR="003A18CD">
        <w:rPr>
          <w:rFonts w:cs="Arial"/>
          <w:color w:val="000000"/>
          <w:szCs w:val="16"/>
        </w:rPr>
        <w:t>1</w:t>
      </w:r>
      <w:r w:rsidRPr="00577417">
        <w:rPr>
          <w:rFonts w:cs="Arial"/>
          <w:color w:val="000000"/>
          <w:szCs w:val="16"/>
        </w:rPr>
        <w:t>, kdy hodnota činila 2</w:t>
      </w:r>
      <w:r w:rsidR="003A18CD">
        <w:rPr>
          <w:rFonts w:cs="Arial"/>
          <w:color w:val="000000"/>
          <w:szCs w:val="16"/>
        </w:rPr>
        <w:t>60 136</w:t>
      </w:r>
      <w:r w:rsidRPr="00577417">
        <w:rPr>
          <w:rFonts w:cs="Arial"/>
          <w:color w:val="000000"/>
          <w:szCs w:val="16"/>
        </w:rPr>
        <w:t xml:space="preserve"> pojištěnců, se jedná o </w:t>
      </w:r>
      <w:r w:rsidR="00577417" w:rsidRPr="00577417">
        <w:rPr>
          <w:rFonts w:cs="Arial"/>
          <w:color w:val="000000"/>
          <w:szCs w:val="16"/>
        </w:rPr>
        <w:t>4</w:t>
      </w:r>
      <w:r w:rsidRPr="00577417">
        <w:rPr>
          <w:rFonts w:cs="Arial"/>
          <w:color w:val="000000"/>
          <w:szCs w:val="16"/>
        </w:rPr>
        <w:t xml:space="preserve">% </w:t>
      </w:r>
      <w:r w:rsidR="00577417" w:rsidRPr="00577417">
        <w:rPr>
          <w:rFonts w:cs="Arial"/>
          <w:color w:val="000000"/>
          <w:szCs w:val="16"/>
        </w:rPr>
        <w:t>pokles (o 10,6</w:t>
      </w:r>
      <w:r w:rsidRPr="00577417">
        <w:rPr>
          <w:rFonts w:cs="Arial"/>
          <w:color w:val="000000"/>
          <w:szCs w:val="16"/>
        </w:rPr>
        <w:t xml:space="preserve"> tis.). </w:t>
      </w:r>
      <w:r w:rsidR="003A18CD">
        <w:rPr>
          <w:rFonts w:cs="Arial"/>
          <w:color w:val="000000"/>
          <w:szCs w:val="16"/>
        </w:rPr>
        <w:t>Naopak v</w:t>
      </w:r>
      <w:r w:rsidRPr="00577417">
        <w:rPr>
          <w:rFonts w:cs="Arial"/>
          <w:color w:val="000000"/>
          <w:szCs w:val="16"/>
        </w:rPr>
        <w:t>e srovnání s rokem 201</w:t>
      </w:r>
      <w:r w:rsidR="00577417" w:rsidRPr="00577417">
        <w:rPr>
          <w:rFonts w:cs="Arial"/>
          <w:color w:val="000000"/>
          <w:szCs w:val="16"/>
        </w:rPr>
        <w:t>2</w:t>
      </w:r>
      <w:r w:rsidRPr="00577417">
        <w:rPr>
          <w:rFonts w:cs="Arial"/>
          <w:color w:val="000000"/>
          <w:szCs w:val="16"/>
        </w:rPr>
        <w:t xml:space="preserve"> přibylo </w:t>
      </w:r>
      <w:r w:rsidR="00577417" w:rsidRPr="00577417">
        <w:rPr>
          <w:rFonts w:cs="Arial"/>
          <w:color w:val="000000"/>
          <w:szCs w:val="16"/>
        </w:rPr>
        <w:t>95</w:t>
      </w:r>
      <w:r w:rsidRPr="00577417">
        <w:rPr>
          <w:rFonts w:cs="Arial"/>
          <w:color w:val="000000"/>
          <w:szCs w:val="16"/>
        </w:rPr>
        <w:t xml:space="preserve"> tis. (tj. </w:t>
      </w:r>
      <w:r w:rsidR="00577417" w:rsidRPr="00577417">
        <w:rPr>
          <w:rFonts w:cs="Arial"/>
          <w:color w:val="000000"/>
          <w:szCs w:val="16"/>
        </w:rPr>
        <w:t>62</w:t>
      </w:r>
      <w:r w:rsidRPr="00577417">
        <w:rPr>
          <w:rFonts w:cs="Arial"/>
          <w:color w:val="000000"/>
          <w:szCs w:val="16"/>
        </w:rPr>
        <w:t xml:space="preserve"> %) dočasně práce neschopných denně. Na tomto nárůstu se podílely především neschopenky zapříčiněné nemocí (+</w:t>
      </w:r>
      <w:r w:rsidR="00577417" w:rsidRPr="00577417">
        <w:rPr>
          <w:rFonts w:cs="Arial"/>
          <w:color w:val="000000"/>
          <w:szCs w:val="16"/>
        </w:rPr>
        <w:t>87</w:t>
      </w:r>
      <w:r w:rsidRPr="00577417">
        <w:rPr>
          <w:rFonts w:cs="Arial"/>
          <w:color w:val="000000"/>
          <w:szCs w:val="16"/>
        </w:rPr>
        <w:t xml:space="preserve"> tis.), </w:t>
      </w:r>
      <w:r w:rsidR="00577417" w:rsidRPr="00577417">
        <w:rPr>
          <w:rFonts w:cs="Arial"/>
          <w:color w:val="000000"/>
          <w:szCs w:val="16"/>
        </w:rPr>
        <w:t xml:space="preserve">téměř o polovinu však </w:t>
      </w:r>
      <w:r w:rsidRPr="00577417">
        <w:rPr>
          <w:rFonts w:cs="Arial"/>
          <w:color w:val="000000"/>
          <w:szCs w:val="16"/>
        </w:rPr>
        <w:t>vzrostl</w:t>
      </w:r>
      <w:r w:rsidR="00577417" w:rsidRPr="00577417">
        <w:rPr>
          <w:rFonts w:cs="Arial"/>
          <w:color w:val="000000"/>
          <w:szCs w:val="16"/>
        </w:rPr>
        <w:t xml:space="preserve"> </w:t>
      </w:r>
      <w:r w:rsidRPr="00577417">
        <w:rPr>
          <w:rFonts w:cs="Arial"/>
          <w:color w:val="000000"/>
          <w:szCs w:val="16"/>
        </w:rPr>
        <w:t xml:space="preserve">i </w:t>
      </w:r>
      <w:r w:rsidR="00E07811" w:rsidRPr="00577417">
        <w:rPr>
          <w:rFonts w:cs="Arial"/>
          <w:color w:val="000000"/>
          <w:szCs w:val="16"/>
        </w:rPr>
        <w:t xml:space="preserve">denní </w:t>
      </w:r>
      <w:r w:rsidRPr="00577417">
        <w:rPr>
          <w:rFonts w:cs="Arial"/>
          <w:color w:val="000000"/>
          <w:szCs w:val="16"/>
        </w:rPr>
        <w:t>počet</w:t>
      </w:r>
      <w:r w:rsidR="0068631B" w:rsidRPr="00577417">
        <w:rPr>
          <w:rFonts w:cs="Arial"/>
          <w:color w:val="000000"/>
          <w:szCs w:val="16"/>
        </w:rPr>
        <w:t xml:space="preserve"> práce neschopných</w:t>
      </w:r>
      <w:r w:rsidR="00577417" w:rsidRPr="00577417">
        <w:rPr>
          <w:rFonts w:cs="Arial"/>
          <w:color w:val="000000"/>
          <w:szCs w:val="16"/>
        </w:rPr>
        <w:t xml:space="preserve"> osob s mimopracovními úrazy (+8</w:t>
      </w:r>
      <w:r w:rsidR="004F6383">
        <w:rPr>
          <w:rFonts w:cs="Arial"/>
          <w:color w:val="000000"/>
          <w:szCs w:val="16"/>
        </w:rPr>
        <w:t xml:space="preserve"> tis.).</w:t>
      </w:r>
      <w:r w:rsidR="004F6383" w:rsidRPr="004F6383">
        <w:rPr>
          <w:noProof/>
        </w:rPr>
        <w:t xml:space="preserve"> </w:t>
      </w:r>
    </w:p>
    <w:p w14:paraId="2D645CB9" w14:textId="25C1B6B0" w:rsidR="002B7CCE" w:rsidRPr="00577417" w:rsidRDefault="002B7CCE" w:rsidP="00A5543F">
      <w:pPr>
        <w:pStyle w:val="Textkomente"/>
        <w:spacing w:line="288" w:lineRule="auto"/>
        <w:jc w:val="both"/>
        <w:rPr>
          <w:rFonts w:cs="Arial"/>
          <w:color w:val="000000"/>
          <w:szCs w:val="16"/>
        </w:rPr>
      </w:pPr>
      <w:r w:rsidRPr="00577417">
        <w:rPr>
          <w:rFonts w:cs="Arial"/>
          <w:color w:val="000000"/>
          <w:szCs w:val="16"/>
        </w:rPr>
        <w:t>Pro nemoc bylo v roce 202</w:t>
      </w:r>
      <w:r w:rsidR="00577417" w:rsidRPr="00577417">
        <w:rPr>
          <w:rFonts w:cs="Arial"/>
          <w:color w:val="000000"/>
          <w:szCs w:val="16"/>
        </w:rPr>
        <w:t>2</w:t>
      </w:r>
      <w:r w:rsidRPr="00577417">
        <w:rPr>
          <w:rFonts w:cs="Arial"/>
          <w:color w:val="000000"/>
          <w:szCs w:val="16"/>
        </w:rPr>
        <w:t xml:space="preserve"> průměrně denně v neschopnosti </w:t>
      </w:r>
      <w:r w:rsidR="00577417" w:rsidRPr="00577417">
        <w:rPr>
          <w:rFonts w:cs="Arial"/>
          <w:color w:val="000000"/>
          <w:szCs w:val="16"/>
        </w:rPr>
        <w:t>216 958</w:t>
      </w:r>
      <w:r w:rsidRPr="00577417">
        <w:rPr>
          <w:rFonts w:cs="Arial"/>
          <w:color w:val="000000"/>
          <w:szCs w:val="16"/>
        </w:rPr>
        <w:t xml:space="preserve"> pojištěnců, v důsledku pracovního úrazu </w:t>
      </w:r>
      <w:r w:rsidR="00577417" w:rsidRPr="00577417">
        <w:rPr>
          <w:rFonts w:cs="Arial"/>
          <w:color w:val="000000"/>
          <w:szCs w:val="16"/>
        </w:rPr>
        <w:t>6 887</w:t>
      </w:r>
      <w:r w:rsidRPr="00577417">
        <w:rPr>
          <w:rFonts w:cs="Arial"/>
          <w:color w:val="000000"/>
          <w:szCs w:val="16"/>
        </w:rPr>
        <w:t xml:space="preserve"> osob a následkem ostatních úrazů </w:t>
      </w:r>
      <w:r w:rsidR="00577417" w:rsidRPr="00577417">
        <w:rPr>
          <w:rFonts w:cs="Arial"/>
          <w:color w:val="000000"/>
          <w:szCs w:val="16"/>
        </w:rPr>
        <w:t>25 644</w:t>
      </w:r>
      <w:r w:rsidRPr="00577417">
        <w:rPr>
          <w:rFonts w:cs="Arial"/>
          <w:color w:val="000000"/>
          <w:szCs w:val="16"/>
        </w:rPr>
        <w:t xml:space="preserve"> </w:t>
      </w:r>
      <w:proofErr w:type="spellStart"/>
      <w:r w:rsidRPr="00577417">
        <w:rPr>
          <w:rFonts w:cs="Arial"/>
          <w:color w:val="000000"/>
          <w:szCs w:val="16"/>
        </w:rPr>
        <w:t>nemocensky</w:t>
      </w:r>
      <w:proofErr w:type="spellEnd"/>
      <w:r w:rsidRPr="00577417">
        <w:rPr>
          <w:rFonts w:cs="Arial"/>
          <w:color w:val="000000"/>
          <w:szCs w:val="16"/>
        </w:rPr>
        <w:t xml:space="preserve"> pojištěných. </w:t>
      </w:r>
      <w:r w:rsidR="004F6383">
        <w:t xml:space="preserve">Ve 2. pol. 2022 denně chybělo na pracovištích </w:t>
      </w:r>
      <w:r w:rsidR="004F6383" w:rsidRPr="005B093C">
        <w:t xml:space="preserve">221 068 </w:t>
      </w:r>
      <w:proofErr w:type="spellStart"/>
      <w:r w:rsidR="004F6383" w:rsidRPr="005B093C">
        <w:t>nemocensky</w:t>
      </w:r>
      <w:proofErr w:type="spellEnd"/>
      <w:r w:rsidR="004F6383" w:rsidRPr="005B093C">
        <w:t xml:space="preserve"> pojištěných osob</w:t>
      </w:r>
      <w:r w:rsidR="004F6383" w:rsidRPr="0064739B">
        <w:t xml:space="preserve">, </w:t>
      </w:r>
      <w:r w:rsidR="004F6383">
        <w:t>tedy</w:t>
      </w:r>
      <w:r w:rsidR="004F6383" w:rsidRPr="0064739B">
        <w:t xml:space="preserve"> ve srovnání s 2</w:t>
      </w:r>
      <w:r w:rsidR="004F6383">
        <w:t xml:space="preserve">. pol. roku 2019 </w:t>
      </w:r>
      <w:r w:rsidR="004F6383" w:rsidRPr="0064739B">
        <w:t xml:space="preserve">přibližně </w:t>
      </w:r>
      <w:r w:rsidR="004F6383">
        <w:t xml:space="preserve">o </w:t>
      </w:r>
      <w:r w:rsidR="004F6383" w:rsidRPr="0064739B">
        <w:t xml:space="preserve">6 tisíc (3 %) </w:t>
      </w:r>
      <w:r w:rsidR="00635F8C">
        <w:t>osob</w:t>
      </w:r>
      <w:r w:rsidR="004F6383" w:rsidRPr="0064739B">
        <w:t xml:space="preserve"> více.</w:t>
      </w:r>
    </w:p>
    <w:p w14:paraId="7E45E6B1" w14:textId="112F71E6" w:rsidR="008924EC" w:rsidRPr="00577417" w:rsidRDefault="008924EC" w:rsidP="008924EC">
      <w:pPr>
        <w:spacing w:after="0" w:line="240" w:lineRule="auto"/>
        <w:rPr>
          <w:rFonts w:cs="Arial"/>
          <w:b/>
          <w:bCs/>
          <w:color w:val="000000"/>
          <w:spacing w:val="-2"/>
          <w:szCs w:val="20"/>
        </w:rPr>
      </w:pPr>
      <w:r w:rsidRPr="00577417">
        <w:rPr>
          <w:rFonts w:cs="Arial"/>
          <w:b/>
          <w:bCs/>
          <w:color w:val="000000"/>
          <w:spacing w:val="-2"/>
          <w:szCs w:val="20"/>
        </w:rPr>
        <w:t>Tab. 2.10: Průměrný denní stav dočasně práce neschopných</w:t>
      </w:r>
      <w:r w:rsidR="00E50F69" w:rsidRPr="00577417">
        <w:rPr>
          <w:rFonts w:cs="Arial"/>
          <w:b/>
          <w:bCs/>
          <w:color w:val="000000"/>
          <w:spacing w:val="-2"/>
          <w:szCs w:val="20"/>
        </w:rPr>
        <w:t xml:space="preserve"> podle příčiny a pohlaví</w:t>
      </w:r>
      <w:r w:rsidRPr="00577417">
        <w:rPr>
          <w:rFonts w:cs="Arial"/>
          <w:b/>
          <w:bCs/>
          <w:color w:val="000000"/>
          <w:spacing w:val="-2"/>
          <w:szCs w:val="20"/>
        </w:rPr>
        <w:t>, 201</w:t>
      </w:r>
      <w:r w:rsidR="00577417" w:rsidRPr="00577417">
        <w:rPr>
          <w:rFonts w:cs="Arial"/>
          <w:b/>
          <w:bCs/>
          <w:color w:val="000000"/>
          <w:spacing w:val="-2"/>
          <w:szCs w:val="20"/>
        </w:rPr>
        <w:t>2</w:t>
      </w:r>
      <w:r w:rsidRPr="00577417">
        <w:rPr>
          <w:rFonts w:cs="Arial"/>
          <w:b/>
          <w:bCs/>
          <w:color w:val="000000"/>
          <w:spacing w:val="-2"/>
          <w:szCs w:val="20"/>
        </w:rPr>
        <w:t>–202</w:t>
      </w:r>
      <w:r w:rsidR="00577417" w:rsidRPr="00577417">
        <w:rPr>
          <w:rFonts w:cs="Arial"/>
          <w:b/>
          <w:bCs/>
          <w:color w:val="000000"/>
          <w:spacing w:val="-2"/>
          <w:szCs w:val="20"/>
        </w:rPr>
        <w:t>2</w:t>
      </w:r>
      <w:r w:rsidRPr="00577417">
        <w:rPr>
          <w:rFonts w:cs="Arial"/>
          <w:b/>
          <w:bCs/>
          <w:color w:val="000000"/>
          <w:spacing w:val="-2"/>
          <w:szCs w:val="20"/>
        </w:rPr>
        <w:t xml:space="preserve"> (v tis.)</w:t>
      </w:r>
    </w:p>
    <w:tbl>
      <w:tblPr>
        <w:tblW w:w="9594" w:type="dxa"/>
        <w:tblCellMar>
          <w:left w:w="70" w:type="dxa"/>
          <w:right w:w="70" w:type="dxa"/>
        </w:tblCellMar>
        <w:tblLook w:val="04A0" w:firstRow="1" w:lastRow="0" w:firstColumn="1" w:lastColumn="0" w:noHBand="0" w:noVBand="1"/>
      </w:tblPr>
      <w:tblGrid>
        <w:gridCol w:w="737"/>
        <w:gridCol w:w="737"/>
        <w:gridCol w:w="736"/>
        <w:gridCol w:w="736"/>
        <w:gridCol w:w="737"/>
        <w:gridCol w:w="736"/>
        <w:gridCol w:w="736"/>
        <w:gridCol w:w="754"/>
        <w:gridCol w:w="737"/>
        <w:gridCol w:w="737"/>
        <w:gridCol w:w="737"/>
        <w:gridCol w:w="737"/>
        <w:gridCol w:w="737"/>
      </w:tblGrid>
      <w:tr w:rsidR="008924EC" w:rsidRPr="00577417" w14:paraId="7CFFE04B" w14:textId="77777777" w:rsidTr="004C01F9">
        <w:trPr>
          <w:trHeight w:val="300"/>
        </w:trPr>
        <w:tc>
          <w:tcPr>
            <w:tcW w:w="737" w:type="dxa"/>
            <w:vMerge w:val="restart"/>
            <w:tcBorders>
              <w:top w:val="single" w:sz="4" w:space="0" w:color="auto"/>
              <w:left w:val="nil"/>
              <w:bottom w:val="single" w:sz="4" w:space="0" w:color="000000"/>
              <w:right w:val="nil"/>
            </w:tcBorders>
            <w:shd w:val="clear" w:color="000000" w:fill="F5DADD"/>
            <w:vAlign w:val="center"/>
            <w:hideMark/>
          </w:tcPr>
          <w:p w14:paraId="5AB00B1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Rok</w:t>
            </w:r>
          </w:p>
        </w:tc>
        <w:tc>
          <w:tcPr>
            <w:tcW w:w="737" w:type="dxa"/>
            <w:vMerge w:val="restart"/>
            <w:tcBorders>
              <w:top w:val="single" w:sz="4" w:space="0" w:color="auto"/>
              <w:left w:val="single" w:sz="4" w:space="0" w:color="auto"/>
              <w:bottom w:val="single" w:sz="4" w:space="0" w:color="000000"/>
              <w:right w:val="nil"/>
            </w:tcBorders>
            <w:shd w:val="clear" w:color="000000" w:fill="F2DBDB"/>
            <w:vAlign w:val="center"/>
            <w:hideMark/>
          </w:tcPr>
          <w:p w14:paraId="2EA53AE8" w14:textId="77777777" w:rsidR="008924EC" w:rsidRPr="00577417" w:rsidRDefault="008924EC" w:rsidP="004C01F9">
            <w:pPr>
              <w:spacing w:after="0" w:line="240" w:lineRule="auto"/>
              <w:jc w:val="center"/>
              <w:rPr>
                <w:rFonts w:cs="Arial"/>
                <w:b/>
                <w:bCs/>
                <w:color w:val="000000"/>
                <w:sz w:val="16"/>
                <w:szCs w:val="16"/>
              </w:rPr>
            </w:pPr>
            <w:r w:rsidRPr="00577417">
              <w:rPr>
                <w:rFonts w:cs="Arial"/>
                <w:b/>
                <w:bCs/>
                <w:color w:val="000000"/>
                <w:sz w:val="16"/>
                <w:szCs w:val="16"/>
              </w:rPr>
              <w:t>Celkem</w:t>
            </w:r>
          </w:p>
        </w:tc>
        <w:tc>
          <w:tcPr>
            <w:tcW w:w="1472"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13D1A4CF"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podle pohlaví</w:t>
            </w:r>
          </w:p>
        </w:tc>
        <w:tc>
          <w:tcPr>
            <w:tcW w:w="737" w:type="dxa"/>
            <w:vMerge w:val="restart"/>
            <w:tcBorders>
              <w:top w:val="single" w:sz="4" w:space="0" w:color="auto"/>
              <w:left w:val="nil"/>
              <w:right w:val="nil"/>
            </w:tcBorders>
            <w:shd w:val="clear" w:color="000000" w:fill="F2DBDB"/>
            <w:vAlign w:val="center"/>
            <w:hideMark/>
          </w:tcPr>
          <w:p w14:paraId="6CAC5A7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Pro nemoc</w:t>
            </w:r>
          </w:p>
        </w:tc>
        <w:tc>
          <w:tcPr>
            <w:tcW w:w="1472"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2B1742B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podle pohlaví</w:t>
            </w:r>
          </w:p>
        </w:tc>
        <w:tc>
          <w:tcPr>
            <w:tcW w:w="754" w:type="dxa"/>
            <w:vMerge w:val="restart"/>
            <w:tcBorders>
              <w:top w:val="single" w:sz="4" w:space="0" w:color="auto"/>
              <w:left w:val="single" w:sz="4" w:space="0" w:color="auto"/>
              <w:right w:val="nil"/>
            </w:tcBorders>
            <w:shd w:val="clear" w:color="000000" w:fill="F2DBDB"/>
            <w:vAlign w:val="center"/>
            <w:hideMark/>
          </w:tcPr>
          <w:p w14:paraId="366795B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Pro pracovní úrazy</w:t>
            </w:r>
          </w:p>
        </w:tc>
        <w:tc>
          <w:tcPr>
            <w:tcW w:w="1474"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3EE8480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podle pohlaví</w:t>
            </w:r>
          </w:p>
        </w:tc>
        <w:tc>
          <w:tcPr>
            <w:tcW w:w="737" w:type="dxa"/>
            <w:vMerge w:val="restart"/>
            <w:tcBorders>
              <w:top w:val="single" w:sz="4" w:space="0" w:color="auto"/>
              <w:left w:val="nil"/>
              <w:right w:val="nil"/>
            </w:tcBorders>
            <w:shd w:val="clear" w:color="000000" w:fill="F2DBDB"/>
            <w:vAlign w:val="center"/>
            <w:hideMark/>
          </w:tcPr>
          <w:p w14:paraId="7020229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Pro ostatní úrazy</w:t>
            </w:r>
          </w:p>
        </w:tc>
        <w:tc>
          <w:tcPr>
            <w:tcW w:w="1474" w:type="dxa"/>
            <w:gridSpan w:val="2"/>
            <w:tcBorders>
              <w:top w:val="single" w:sz="4" w:space="0" w:color="auto"/>
              <w:left w:val="single" w:sz="4" w:space="0" w:color="auto"/>
              <w:bottom w:val="single" w:sz="4" w:space="0" w:color="auto"/>
            </w:tcBorders>
            <w:shd w:val="clear" w:color="000000" w:fill="F2DBDB"/>
            <w:vAlign w:val="center"/>
            <w:hideMark/>
          </w:tcPr>
          <w:p w14:paraId="1BDCB45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podle pohlaví</w:t>
            </w:r>
          </w:p>
        </w:tc>
      </w:tr>
      <w:tr w:rsidR="008924EC" w:rsidRPr="00577417" w14:paraId="10CF7025" w14:textId="77777777" w:rsidTr="004C01F9">
        <w:trPr>
          <w:trHeight w:val="390"/>
        </w:trPr>
        <w:tc>
          <w:tcPr>
            <w:tcW w:w="737" w:type="dxa"/>
            <w:vMerge/>
            <w:tcBorders>
              <w:top w:val="single" w:sz="4" w:space="0" w:color="auto"/>
              <w:left w:val="nil"/>
              <w:bottom w:val="single" w:sz="4" w:space="0" w:color="000000"/>
              <w:right w:val="nil"/>
            </w:tcBorders>
            <w:vAlign w:val="center"/>
            <w:hideMark/>
          </w:tcPr>
          <w:p w14:paraId="7F4CAA42" w14:textId="77777777" w:rsidR="008924EC" w:rsidRPr="00577417" w:rsidRDefault="008924EC" w:rsidP="004C01F9">
            <w:pPr>
              <w:spacing w:after="0" w:line="240" w:lineRule="auto"/>
              <w:rPr>
                <w:rFonts w:cs="Arial"/>
                <w:color w:val="000000"/>
                <w:sz w:val="16"/>
                <w:szCs w:val="16"/>
              </w:rPr>
            </w:pPr>
          </w:p>
        </w:tc>
        <w:tc>
          <w:tcPr>
            <w:tcW w:w="737" w:type="dxa"/>
            <w:vMerge/>
            <w:tcBorders>
              <w:top w:val="single" w:sz="4" w:space="0" w:color="auto"/>
              <w:left w:val="single" w:sz="4" w:space="0" w:color="auto"/>
              <w:bottom w:val="single" w:sz="4" w:space="0" w:color="000000"/>
              <w:right w:val="nil"/>
            </w:tcBorders>
            <w:vAlign w:val="center"/>
            <w:hideMark/>
          </w:tcPr>
          <w:p w14:paraId="3B2CA07C" w14:textId="77777777" w:rsidR="008924EC" w:rsidRPr="00577417" w:rsidRDefault="008924EC" w:rsidP="004C01F9">
            <w:pPr>
              <w:spacing w:after="0" w:line="240" w:lineRule="auto"/>
              <w:rPr>
                <w:rFonts w:cs="Arial"/>
                <w:b/>
                <w:bCs/>
                <w:color w:val="000000"/>
                <w:sz w:val="16"/>
                <w:szCs w:val="16"/>
              </w:rPr>
            </w:pPr>
          </w:p>
        </w:tc>
        <w:tc>
          <w:tcPr>
            <w:tcW w:w="736" w:type="dxa"/>
            <w:tcBorders>
              <w:top w:val="nil"/>
              <w:left w:val="single" w:sz="4" w:space="0" w:color="auto"/>
              <w:bottom w:val="single" w:sz="4" w:space="0" w:color="auto"/>
              <w:right w:val="single" w:sz="4" w:space="0" w:color="auto"/>
            </w:tcBorders>
            <w:shd w:val="clear" w:color="000000" w:fill="F2DBDB"/>
            <w:vAlign w:val="center"/>
            <w:hideMark/>
          </w:tcPr>
          <w:p w14:paraId="3A158E4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muži</w:t>
            </w:r>
          </w:p>
        </w:tc>
        <w:tc>
          <w:tcPr>
            <w:tcW w:w="736" w:type="dxa"/>
            <w:tcBorders>
              <w:top w:val="nil"/>
              <w:left w:val="nil"/>
              <w:bottom w:val="single" w:sz="4" w:space="0" w:color="auto"/>
              <w:right w:val="single" w:sz="4" w:space="0" w:color="auto"/>
            </w:tcBorders>
            <w:shd w:val="clear" w:color="000000" w:fill="F2DBDB"/>
            <w:vAlign w:val="center"/>
            <w:hideMark/>
          </w:tcPr>
          <w:p w14:paraId="68006D2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ženy</w:t>
            </w:r>
          </w:p>
        </w:tc>
        <w:tc>
          <w:tcPr>
            <w:tcW w:w="737" w:type="dxa"/>
            <w:vMerge/>
            <w:tcBorders>
              <w:left w:val="nil"/>
              <w:bottom w:val="single" w:sz="4" w:space="0" w:color="000000"/>
              <w:right w:val="nil"/>
            </w:tcBorders>
            <w:vAlign w:val="center"/>
            <w:hideMark/>
          </w:tcPr>
          <w:p w14:paraId="736904FA" w14:textId="77777777" w:rsidR="008924EC" w:rsidRPr="00577417" w:rsidRDefault="008924EC" w:rsidP="004C01F9">
            <w:pPr>
              <w:spacing w:after="0" w:line="240" w:lineRule="auto"/>
              <w:rPr>
                <w:rFonts w:cs="Arial"/>
                <w:color w:val="000000"/>
                <w:sz w:val="16"/>
                <w:szCs w:val="16"/>
              </w:rPr>
            </w:pPr>
          </w:p>
        </w:tc>
        <w:tc>
          <w:tcPr>
            <w:tcW w:w="736" w:type="dxa"/>
            <w:tcBorders>
              <w:top w:val="nil"/>
              <w:left w:val="single" w:sz="4" w:space="0" w:color="auto"/>
              <w:bottom w:val="single" w:sz="4" w:space="0" w:color="auto"/>
              <w:right w:val="single" w:sz="4" w:space="0" w:color="auto"/>
            </w:tcBorders>
            <w:shd w:val="clear" w:color="000000" w:fill="F2DBDB"/>
            <w:vAlign w:val="center"/>
            <w:hideMark/>
          </w:tcPr>
          <w:p w14:paraId="1EF0DC6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muži</w:t>
            </w:r>
          </w:p>
        </w:tc>
        <w:tc>
          <w:tcPr>
            <w:tcW w:w="736" w:type="dxa"/>
            <w:tcBorders>
              <w:top w:val="nil"/>
              <w:left w:val="nil"/>
              <w:bottom w:val="single" w:sz="4" w:space="0" w:color="auto"/>
              <w:right w:val="single" w:sz="4" w:space="0" w:color="auto"/>
            </w:tcBorders>
            <w:shd w:val="clear" w:color="000000" w:fill="F2DBDB"/>
            <w:vAlign w:val="center"/>
            <w:hideMark/>
          </w:tcPr>
          <w:p w14:paraId="1944901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ženy</w:t>
            </w:r>
          </w:p>
        </w:tc>
        <w:tc>
          <w:tcPr>
            <w:tcW w:w="754" w:type="dxa"/>
            <w:vMerge/>
            <w:tcBorders>
              <w:left w:val="single" w:sz="4" w:space="0" w:color="auto"/>
              <w:bottom w:val="single" w:sz="4" w:space="0" w:color="000000"/>
              <w:right w:val="nil"/>
            </w:tcBorders>
            <w:vAlign w:val="center"/>
            <w:hideMark/>
          </w:tcPr>
          <w:p w14:paraId="7657D9E7" w14:textId="77777777" w:rsidR="008924EC" w:rsidRPr="00577417" w:rsidRDefault="008924EC" w:rsidP="004C01F9">
            <w:pPr>
              <w:spacing w:after="0" w:line="240" w:lineRule="auto"/>
              <w:rPr>
                <w:rFonts w:cs="Arial"/>
                <w:color w:val="000000"/>
                <w:sz w:val="16"/>
                <w:szCs w:val="16"/>
              </w:rPr>
            </w:pPr>
          </w:p>
        </w:tc>
        <w:tc>
          <w:tcPr>
            <w:tcW w:w="737" w:type="dxa"/>
            <w:tcBorders>
              <w:top w:val="nil"/>
              <w:left w:val="single" w:sz="4" w:space="0" w:color="auto"/>
              <w:bottom w:val="single" w:sz="4" w:space="0" w:color="auto"/>
              <w:right w:val="single" w:sz="4" w:space="0" w:color="auto"/>
            </w:tcBorders>
            <w:shd w:val="clear" w:color="000000" w:fill="F2DBDB"/>
            <w:vAlign w:val="center"/>
            <w:hideMark/>
          </w:tcPr>
          <w:p w14:paraId="234F6B2E"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muži</w:t>
            </w:r>
          </w:p>
        </w:tc>
        <w:tc>
          <w:tcPr>
            <w:tcW w:w="737" w:type="dxa"/>
            <w:tcBorders>
              <w:top w:val="nil"/>
              <w:left w:val="nil"/>
              <w:bottom w:val="single" w:sz="4" w:space="0" w:color="auto"/>
              <w:right w:val="single" w:sz="4" w:space="0" w:color="auto"/>
            </w:tcBorders>
            <w:shd w:val="clear" w:color="000000" w:fill="F2DBDB"/>
            <w:vAlign w:val="center"/>
            <w:hideMark/>
          </w:tcPr>
          <w:p w14:paraId="38CF8BB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ženy</w:t>
            </w:r>
          </w:p>
        </w:tc>
        <w:tc>
          <w:tcPr>
            <w:tcW w:w="737" w:type="dxa"/>
            <w:vMerge/>
            <w:tcBorders>
              <w:left w:val="nil"/>
              <w:bottom w:val="single" w:sz="4" w:space="0" w:color="000000"/>
              <w:right w:val="nil"/>
            </w:tcBorders>
            <w:vAlign w:val="center"/>
            <w:hideMark/>
          </w:tcPr>
          <w:p w14:paraId="0D2FDAAD" w14:textId="77777777" w:rsidR="008924EC" w:rsidRPr="00577417" w:rsidRDefault="008924EC" w:rsidP="004C01F9">
            <w:pPr>
              <w:spacing w:after="0" w:line="240" w:lineRule="auto"/>
              <w:rPr>
                <w:rFonts w:cs="Arial"/>
                <w:color w:val="000000"/>
                <w:sz w:val="16"/>
                <w:szCs w:val="16"/>
              </w:rPr>
            </w:pPr>
          </w:p>
        </w:tc>
        <w:tc>
          <w:tcPr>
            <w:tcW w:w="737" w:type="dxa"/>
            <w:tcBorders>
              <w:top w:val="nil"/>
              <w:left w:val="single" w:sz="4" w:space="0" w:color="auto"/>
              <w:bottom w:val="single" w:sz="4" w:space="0" w:color="auto"/>
              <w:right w:val="single" w:sz="4" w:space="0" w:color="auto"/>
            </w:tcBorders>
            <w:shd w:val="clear" w:color="000000" w:fill="F2DBDB"/>
            <w:vAlign w:val="center"/>
            <w:hideMark/>
          </w:tcPr>
          <w:p w14:paraId="7FE4E79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muži</w:t>
            </w:r>
          </w:p>
        </w:tc>
        <w:tc>
          <w:tcPr>
            <w:tcW w:w="737" w:type="dxa"/>
            <w:tcBorders>
              <w:top w:val="nil"/>
              <w:left w:val="nil"/>
              <w:bottom w:val="single" w:sz="4" w:space="0" w:color="auto"/>
              <w:right w:val="nil"/>
            </w:tcBorders>
            <w:shd w:val="clear" w:color="000000" w:fill="F2DBDB"/>
            <w:vAlign w:val="center"/>
            <w:hideMark/>
          </w:tcPr>
          <w:p w14:paraId="0B95E71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ženy</w:t>
            </w:r>
          </w:p>
        </w:tc>
      </w:tr>
      <w:tr w:rsidR="008924EC" w:rsidRPr="00577417" w14:paraId="56095C8D" w14:textId="77777777" w:rsidTr="004C01F9">
        <w:trPr>
          <w:trHeight w:val="300"/>
        </w:trPr>
        <w:tc>
          <w:tcPr>
            <w:tcW w:w="737" w:type="dxa"/>
            <w:tcBorders>
              <w:top w:val="nil"/>
              <w:left w:val="nil"/>
              <w:bottom w:val="nil"/>
              <w:right w:val="nil"/>
            </w:tcBorders>
            <w:shd w:val="clear" w:color="auto" w:fill="auto"/>
            <w:vAlign w:val="center"/>
            <w:hideMark/>
          </w:tcPr>
          <w:p w14:paraId="2343E18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2012</w:t>
            </w:r>
          </w:p>
        </w:tc>
        <w:tc>
          <w:tcPr>
            <w:tcW w:w="737" w:type="dxa"/>
            <w:tcBorders>
              <w:top w:val="nil"/>
              <w:left w:val="single" w:sz="4" w:space="0" w:color="auto"/>
              <w:bottom w:val="nil"/>
              <w:right w:val="nil"/>
            </w:tcBorders>
            <w:shd w:val="clear" w:color="auto" w:fill="auto"/>
            <w:vAlign w:val="center"/>
            <w:hideMark/>
          </w:tcPr>
          <w:p w14:paraId="7E2EA0E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154,4</w:t>
            </w:r>
          </w:p>
        </w:tc>
        <w:tc>
          <w:tcPr>
            <w:tcW w:w="736" w:type="dxa"/>
            <w:tcBorders>
              <w:top w:val="nil"/>
              <w:left w:val="nil"/>
              <w:bottom w:val="nil"/>
              <w:right w:val="nil"/>
            </w:tcBorders>
            <w:shd w:val="clear" w:color="auto" w:fill="auto"/>
            <w:vAlign w:val="center"/>
            <w:hideMark/>
          </w:tcPr>
          <w:p w14:paraId="5DE06B2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71,6</w:t>
            </w:r>
          </w:p>
        </w:tc>
        <w:tc>
          <w:tcPr>
            <w:tcW w:w="736" w:type="dxa"/>
            <w:tcBorders>
              <w:top w:val="nil"/>
              <w:left w:val="nil"/>
              <w:bottom w:val="nil"/>
              <w:right w:val="single" w:sz="4" w:space="0" w:color="auto"/>
            </w:tcBorders>
            <w:shd w:val="clear" w:color="auto" w:fill="auto"/>
            <w:vAlign w:val="center"/>
            <w:hideMark/>
          </w:tcPr>
          <w:p w14:paraId="057AB25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82,8</w:t>
            </w:r>
          </w:p>
        </w:tc>
        <w:tc>
          <w:tcPr>
            <w:tcW w:w="737" w:type="dxa"/>
            <w:tcBorders>
              <w:top w:val="nil"/>
              <w:left w:val="nil"/>
              <w:bottom w:val="nil"/>
              <w:right w:val="nil"/>
            </w:tcBorders>
            <w:shd w:val="clear" w:color="auto" w:fill="auto"/>
            <w:vAlign w:val="center"/>
            <w:hideMark/>
          </w:tcPr>
          <w:p w14:paraId="4F17CBC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130,3</w:t>
            </w:r>
          </w:p>
        </w:tc>
        <w:tc>
          <w:tcPr>
            <w:tcW w:w="736" w:type="dxa"/>
            <w:tcBorders>
              <w:top w:val="nil"/>
              <w:left w:val="nil"/>
              <w:bottom w:val="nil"/>
              <w:right w:val="nil"/>
            </w:tcBorders>
            <w:shd w:val="clear" w:color="auto" w:fill="auto"/>
            <w:vAlign w:val="center"/>
            <w:hideMark/>
          </w:tcPr>
          <w:p w14:paraId="5EF08E64"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55,6</w:t>
            </w:r>
          </w:p>
        </w:tc>
        <w:tc>
          <w:tcPr>
            <w:tcW w:w="736" w:type="dxa"/>
            <w:tcBorders>
              <w:top w:val="nil"/>
              <w:left w:val="nil"/>
              <w:bottom w:val="nil"/>
              <w:right w:val="nil"/>
            </w:tcBorders>
            <w:shd w:val="clear" w:color="auto" w:fill="auto"/>
            <w:vAlign w:val="center"/>
            <w:hideMark/>
          </w:tcPr>
          <w:p w14:paraId="4D938604"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74,7</w:t>
            </w:r>
          </w:p>
        </w:tc>
        <w:tc>
          <w:tcPr>
            <w:tcW w:w="754" w:type="dxa"/>
            <w:tcBorders>
              <w:top w:val="nil"/>
              <w:left w:val="single" w:sz="4" w:space="0" w:color="auto"/>
              <w:bottom w:val="nil"/>
              <w:right w:val="nil"/>
            </w:tcBorders>
            <w:shd w:val="clear" w:color="auto" w:fill="auto"/>
            <w:vAlign w:val="center"/>
            <w:hideMark/>
          </w:tcPr>
          <w:p w14:paraId="2F8932A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6,6</w:t>
            </w:r>
          </w:p>
        </w:tc>
        <w:tc>
          <w:tcPr>
            <w:tcW w:w="737" w:type="dxa"/>
            <w:tcBorders>
              <w:top w:val="nil"/>
              <w:left w:val="nil"/>
              <w:bottom w:val="nil"/>
              <w:right w:val="nil"/>
            </w:tcBorders>
            <w:shd w:val="clear" w:color="auto" w:fill="auto"/>
            <w:vAlign w:val="center"/>
            <w:hideMark/>
          </w:tcPr>
          <w:p w14:paraId="3D69EDE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4,7</w:t>
            </w:r>
          </w:p>
        </w:tc>
        <w:tc>
          <w:tcPr>
            <w:tcW w:w="737" w:type="dxa"/>
            <w:tcBorders>
              <w:top w:val="nil"/>
              <w:left w:val="nil"/>
              <w:bottom w:val="nil"/>
              <w:right w:val="single" w:sz="4" w:space="0" w:color="auto"/>
            </w:tcBorders>
            <w:shd w:val="clear" w:color="auto" w:fill="auto"/>
            <w:vAlign w:val="center"/>
            <w:hideMark/>
          </w:tcPr>
          <w:p w14:paraId="23D90665"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1,9</w:t>
            </w:r>
          </w:p>
        </w:tc>
        <w:tc>
          <w:tcPr>
            <w:tcW w:w="737" w:type="dxa"/>
            <w:tcBorders>
              <w:top w:val="nil"/>
              <w:left w:val="nil"/>
              <w:bottom w:val="nil"/>
              <w:right w:val="nil"/>
            </w:tcBorders>
            <w:shd w:val="clear" w:color="auto" w:fill="auto"/>
            <w:vAlign w:val="center"/>
            <w:hideMark/>
          </w:tcPr>
          <w:p w14:paraId="57D7291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17,5</w:t>
            </w:r>
          </w:p>
        </w:tc>
        <w:tc>
          <w:tcPr>
            <w:tcW w:w="737" w:type="dxa"/>
            <w:tcBorders>
              <w:top w:val="nil"/>
              <w:left w:val="nil"/>
              <w:bottom w:val="nil"/>
              <w:right w:val="nil"/>
            </w:tcBorders>
            <w:shd w:val="clear" w:color="auto" w:fill="auto"/>
            <w:vAlign w:val="center"/>
            <w:hideMark/>
          </w:tcPr>
          <w:p w14:paraId="7450D78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11,3</w:t>
            </w:r>
          </w:p>
        </w:tc>
        <w:tc>
          <w:tcPr>
            <w:tcW w:w="737" w:type="dxa"/>
            <w:tcBorders>
              <w:top w:val="nil"/>
              <w:left w:val="nil"/>
              <w:bottom w:val="nil"/>
              <w:right w:val="nil"/>
            </w:tcBorders>
            <w:shd w:val="clear" w:color="auto" w:fill="auto"/>
            <w:vAlign w:val="center"/>
            <w:hideMark/>
          </w:tcPr>
          <w:p w14:paraId="5C697DB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6,2</w:t>
            </w:r>
          </w:p>
        </w:tc>
      </w:tr>
      <w:tr w:rsidR="008924EC" w:rsidRPr="00577417" w14:paraId="09660A30" w14:textId="77777777" w:rsidTr="004C01F9">
        <w:trPr>
          <w:trHeight w:val="300"/>
        </w:trPr>
        <w:tc>
          <w:tcPr>
            <w:tcW w:w="737" w:type="dxa"/>
            <w:tcBorders>
              <w:top w:val="nil"/>
              <w:left w:val="nil"/>
              <w:bottom w:val="nil"/>
              <w:right w:val="nil"/>
            </w:tcBorders>
            <w:shd w:val="clear" w:color="auto" w:fill="auto"/>
            <w:vAlign w:val="center"/>
            <w:hideMark/>
          </w:tcPr>
          <w:p w14:paraId="4030837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2013</w:t>
            </w:r>
          </w:p>
        </w:tc>
        <w:tc>
          <w:tcPr>
            <w:tcW w:w="737" w:type="dxa"/>
            <w:tcBorders>
              <w:top w:val="nil"/>
              <w:left w:val="single" w:sz="4" w:space="0" w:color="auto"/>
              <w:bottom w:val="nil"/>
              <w:right w:val="nil"/>
            </w:tcBorders>
            <w:shd w:val="clear" w:color="auto" w:fill="auto"/>
            <w:vAlign w:val="center"/>
            <w:hideMark/>
          </w:tcPr>
          <w:p w14:paraId="2030117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160,5</w:t>
            </w:r>
          </w:p>
        </w:tc>
        <w:tc>
          <w:tcPr>
            <w:tcW w:w="736" w:type="dxa"/>
            <w:tcBorders>
              <w:top w:val="nil"/>
              <w:left w:val="nil"/>
              <w:bottom w:val="nil"/>
              <w:right w:val="nil"/>
            </w:tcBorders>
            <w:shd w:val="clear" w:color="auto" w:fill="auto"/>
            <w:vAlign w:val="center"/>
            <w:hideMark/>
          </w:tcPr>
          <w:p w14:paraId="6F1B0CFF"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74,0</w:t>
            </w:r>
          </w:p>
        </w:tc>
        <w:tc>
          <w:tcPr>
            <w:tcW w:w="736" w:type="dxa"/>
            <w:tcBorders>
              <w:top w:val="nil"/>
              <w:left w:val="nil"/>
              <w:bottom w:val="nil"/>
              <w:right w:val="single" w:sz="4" w:space="0" w:color="auto"/>
            </w:tcBorders>
            <w:shd w:val="clear" w:color="auto" w:fill="auto"/>
            <w:vAlign w:val="center"/>
            <w:hideMark/>
          </w:tcPr>
          <w:p w14:paraId="7BCE7BC2"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86,5</w:t>
            </w:r>
          </w:p>
        </w:tc>
        <w:tc>
          <w:tcPr>
            <w:tcW w:w="737" w:type="dxa"/>
            <w:tcBorders>
              <w:top w:val="nil"/>
              <w:left w:val="nil"/>
              <w:bottom w:val="nil"/>
              <w:right w:val="nil"/>
            </w:tcBorders>
            <w:shd w:val="clear" w:color="auto" w:fill="auto"/>
            <w:vAlign w:val="center"/>
            <w:hideMark/>
          </w:tcPr>
          <w:p w14:paraId="3B6EBBAF"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135,9</w:t>
            </w:r>
          </w:p>
        </w:tc>
        <w:tc>
          <w:tcPr>
            <w:tcW w:w="736" w:type="dxa"/>
            <w:tcBorders>
              <w:top w:val="nil"/>
              <w:left w:val="nil"/>
              <w:bottom w:val="nil"/>
              <w:right w:val="nil"/>
            </w:tcBorders>
            <w:shd w:val="clear" w:color="auto" w:fill="auto"/>
            <w:vAlign w:val="center"/>
            <w:hideMark/>
          </w:tcPr>
          <w:p w14:paraId="22230C4E"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58,0</w:t>
            </w:r>
          </w:p>
        </w:tc>
        <w:tc>
          <w:tcPr>
            <w:tcW w:w="736" w:type="dxa"/>
            <w:tcBorders>
              <w:top w:val="nil"/>
              <w:left w:val="nil"/>
              <w:bottom w:val="nil"/>
              <w:right w:val="nil"/>
            </w:tcBorders>
            <w:shd w:val="clear" w:color="auto" w:fill="auto"/>
            <w:vAlign w:val="center"/>
            <w:hideMark/>
          </w:tcPr>
          <w:p w14:paraId="359BDD1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77,9</w:t>
            </w:r>
          </w:p>
        </w:tc>
        <w:tc>
          <w:tcPr>
            <w:tcW w:w="754" w:type="dxa"/>
            <w:tcBorders>
              <w:top w:val="nil"/>
              <w:left w:val="single" w:sz="4" w:space="0" w:color="auto"/>
              <w:bottom w:val="nil"/>
              <w:right w:val="nil"/>
            </w:tcBorders>
            <w:shd w:val="clear" w:color="auto" w:fill="auto"/>
            <w:vAlign w:val="center"/>
            <w:hideMark/>
          </w:tcPr>
          <w:p w14:paraId="377E4DA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6,5</w:t>
            </w:r>
          </w:p>
        </w:tc>
        <w:tc>
          <w:tcPr>
            <w:tcW w:w="737" w:type="dxa"/>
            <w:tcBorders>
              <w:top w:val="nil"/>
              <w:left w:val="nil"/>
              <w:bottom w:val="nil"/>
              <w:right w:val="nil"/>
            </w:tcBorders>
            <w:shd w:val="clear" w:color="auto" w:fill="auto"/>
            <w:vAlign w:val="center"/>
            <w:hideMark/>
          </w:tcPr>
          <w:p w14:paraId="0376727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4,6</w:t>
            </w:r>
          </w:p>
        </w:tc>
        <w:tc>
          <w:tcPr>
            <w:tcW w:w="737" w:type="dxa"/>
            <w:tcBorders>
              <w:top w:val="nil"/>
              <w:left w:val="nil"/>
              <w:bottom w:val="nil"/>
              <w:right w:val="single" w:sz="4" w:space="0" w:color="auto"/>
            </w:tcBorders>
            <w:shd w:val="clear" w:color="auto" w:fill="auto"/>
            <w:vAlign w:val="center"/>
            <w:hideMark/>
          </w:tcPr>
          <w:p w14:paraId="7210F9F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1,9</w:t>
            </w:r>
          </w:p>
        </w:tc>
        <w:tc>
          <w:tcPr>
            <w:tcW w:w="737" w:type="dxa"/>
            <w:tcBorders>
              <w:top w:val="nil"/>
              <w:left w:val="nil"/>
              <w:bottom w:val="nil"/>
              <w:right w:val="nil"/>
            </w:tcBorders>
            <w:shd w:val="clear" w:color="auto" w:fill="auto"/>
            <w:vAlign w:val="center"/>
            <w:hideMark/>
          </w:tcPr>
          <w:p w14:paraId="105188C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18,1</w:t>
            </w:r>
          </w:p>
        </w:tc>
        <w:tc>
          <w:tcPr>
            <w:tcW w:w="737" w:type="dxa"/>
            <w:tcBorders>
              <w:top w:val="nil"/>
              <w:left w:val="nil"/>
              <w:bottom w:val="nil"/>
              <w:right w:val="nil"/>
            </w:tcBorders>
            <w:shd w:val="clear" w:color="auto" w:fill="auto"/>
            <w:vAlign w:val="center"/>
            <w:hideMark/>
          </w:tcPr>
          <w:p w14:paraId="22F9792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11,4</w:t>
            </w:r>
          </w:p>
        </w:tc>
        <w:tc>
          <w:tcPr>
            <w:tcW w:w="737" w:type="dxa"/>
            <w:tcBorders>
              <w:top w:val="nil"/>
              <w:left w:val="nil"/>
              <w:bottom w:val="nil"/>
              <w:right w:val="nil"/>
            </w:tcBorders>
            <w:shd w:val="clear" w:color="auto" w:fill="auto"/>
            <w:vAlign w:val="center"/>
            <w:hideMark/>
          </w:tcPr>
          <w:p w14:paraId="57A8FFB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6,7</w:t>
            </w:r>
          </w:p>
        </w:tc>
      </w:tr>
      <w:tr w:rsidR="008924EC" w:rsidRPr="00577417" w14:paraId="16A73F60" w14:textId="77777777" w:rsidTr="004C01F9">
        <w:trPr>
          <w:trHeight w:val="300"/>
        </w:trPr>
        <w:tc>
          <w:tcPr>
            <w:tcW w:w="737" w:type="dxa"/>
            <w:tcBorders>
              <w:top w:val="nil"/>
              <w:left w:val="nil"/>
              <w:bottom w:val="nil"/>
              <w:right w:val="nil"/>
            </w:tcBorders>
            <w:shd w:val="clear" w:color="auto" w:fill="auto"/>
            <w:vAlign w:val="center"/>
            <w:hideMark/>
          </w:tcPr>
          <w:p w14:paraId="2AA1819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2014</w:t>
            </w:r>
          </w:p>
        </w:tc>
        <w:tc>
          <w:tcPr>
            <w:tcW w:w="737" w:type="dxa"/>
            <w:tcBorders>
              <w:top w:val="nil"/>
              <w:left w:val="single" w:sz="4" w:space="0" w:color="auto"/>
              <w:bottom w:val="nil"/>
              <w:right w:val="nil"/>
            </w:tcBorders>
            <w:shd w:val="clear" w:color="auto" w:fill="auto"/>
            <w:vAlign w:val="center"/>
            <w:hideMark/>
          </w:tcPr>
          <w:p w14:paraId="10F579D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165,0</w:t>
            </w:r>
          </w:p>
        </w:tc>
        <w:tc>
          <w:tcPr>
            <w:tcW w:w="736" w:type="dxa"/>
            <w:tcBorders>
              <w:top w:val="nil"/>
              <w:left w:val="nil"/>
              <w:bottom w:val="nil"/>
              <w:right w:val="nil"/>
            </w:tcBorders>
            <w:shd w:val="clear" w:color="auto" w:fill="auto"/>
            <w:vAlign w:val="center"/>
            <w:hideMark/>
          </w:tcPr>
          <w:p w14:paraId="3450DE5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75,1</w:t>
            </w:r>
          </w:p>
        </w:tc>
        <w:tc>
          <w:tcPr>
            <w:tcW w:w="736" w:type="dxa"/>
            <w:tcBorders>
              <w:top w:val="nil"/>
              <w:left w:val="nil"/>
              <w:bottom w:val="nil"/>
              <w:right w:val="single" w:sz="4" w:space="0" w:color="auto"/>
            </w:tcBorders>
            <w:shd w:val="clear" w:color="auto" w:fill="auto"/>
            <w:vAlign w:val="center"/>
            <w:hideMark/>
          </w:tcPr>
          <w:p w14:paraId="1D6F6FC7"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89,9</w:t>
            </w:r>
          </w:p>
        </w:tc>
        <w:tc>
          <w:tcPr>
            <w:tcW w:w="737" w:type="dxa"/>
            <w:tcBorders>
              <w:top w:val="nil"/>
              <w:left w:val="nil"/>
              <w:bottom w:val="nil"/>
              <w:right w:val="nil"/>
            </w:tcBorders>
            <w:shd w:val="clear" w:color="auto" w:fill="auto"/>
            <w:vAlign w:val="center"/>
            <w:hideMark/>
          </w:tcPr>
          <w:p w14:paraId="571FDE8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139,9</w:t>
            </w:r>
          </w:p>
        </w:tc>
        <w:tc>
          <w:tcPr>
            <w:tcW w:w="736" w:type="dxa"/>
            <w:tcBorders>
              <w:top w:val="nil"/>
              <w:left w:val="nil"/>
              <w:bottom w:val="nil"/>
              <w:right w:val="nil"/>
            </w:tcBorders>
            <w:shd w:val="clear" w:color="auto" w:fill="auto"/>
            <w:vAlign w:val="center"/>
            <w:hideMark/>
          </w:tcPr>
          <w:p w14:paraId="7CA92547"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58,7</w:t>
            </w:r>
          </w:p>
        </w:tc>
        <w:tc>
          <w:tcPr>
            <w:tcW w:w="736" w:type="dxa"/>
            <w:tcBorders>
              <w:top w:val="nil"/>
              <w:left w:val="nil"/>
              <w:bottom w:val="nil"/>
              <w:right w:val="nil"/>
            </w:tcBorders>
            <w:shd w:val="clear" w:color="auto" w:fill="auto"/>
            <w:vAlign w:val="center"/>
            <w:hideMark/>
          </w:tcPr>
          <w:p w14:paraId="00080A2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81,2</w:t>
            </w:r>
          </w:p>
        </w:tc>
        <w:tc>
          <w:tcPr>
            <w:tcW w:w="754" w:type="dxa"/>
            <w:tcBorders>
              <w:top w:val="nil"/>
              <w:left w:val="single" w:sz="4" w:space="0" w:color="auto"/>
              <w:bottom w:val="nil"/>
              <w:right w:val="nil"/>
            </w:tcBorders>
            <w:shd w:val="clear" w:color="auto" w:fill="auto"/>
            <w:vAlign w:val="center"/>
            <w:hideMark/>
          </w:tcPr>
          <w:p w14:paraId="4F797F3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6,7</w:t>
            </w:r>
          </w:p>
        </w:tc>
        <w:tc>
          <w:tcPr>
            <w:tcW w:w="737" w:type="dxa"/>
            <w:tcBorders>
              <w:top w:val="nil"/>
              <w:left w:val="nil"/>
              <w:bottom w:val="nil"/>
              <w:right w:val="nil"/>
            </w:tcBorders>
            <w:shd w:val="clear" w:color="auto" w:fill="auto"/>
            <w:vAlign w:val="center"/>
            <w:hideMark/>
          </w:tcPr>
          <w:p w14:paraId="031211B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4,7</w:t>
            </w:r>
          </w:p>
        </w:tc>
        <w:tc>
          <w:tcPr>
            <w:tcW w:w="737" w:type="dxa"/>
            <w:tcBorders>
              <w:top w:val="nil"/>
              <w:left w:val="nil"/>
              <w:bottom w:val="nil"/>
              <w:right w:val="single" w:sz="4" w:space="0" w:color="auto"/>
            </w:tcBorders>
            <w:shd w:val="clear" w:color="auto" w:fill="auto"/>
            <w:vAlign w:val="center"/>
            <w:hideMark/>
          </w:tcPr>
          <w:p w14:paraId="673D509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w:t>
            </w:r>
          </w:p>
        </w:tc>
        <w:tc>
          <w:tcPr>
            <w:tcW w:w="737" w:type="dxa"/>
            <w:tcBorders>
              <w:top w:val="nil"/>
              <w:left w:val="nil"/>
              <w:bottom w:val="nil"/>
              <w:right w:val="nil"/>
            </w:tcBorders>
            <w:shd w:val="clear" w:color="auto" w:fill="auto"/>
            <w:vAlign w:val="center"/>
            <w:hideMark/>
          </w:tcPr>
          <w:p w14:paraId="3649D84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18,4</w:t>
            </w:r>
          </w:p>
        </w:tc>
        <w:tc>
          <w:tcPr>
            <w:tcW w:w="737" w:type="dxa"/>
            <w:tcBorders>
              <w:top w:val="nil"/>
              <w:left w:val="nil"/>
              <w:bottom w:val="nil"/>
              <w:right w:val="nil"/>
            </w:tcBorders>
            <w:shd w:val="clear" w:color="auto" w:fill="auto"/>
            <w:vAlign w:val="center"/>
            <w:hideMark/>
          </w:tcPr>
          <w:p w14:paraId="49F9D17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11,7</w:t>
            </w:r>
          </w:p>
        </w:tc>
        <w:tc>
          <w:tcPr>
            <w:tcW w:w="737" w:type="dxa"/>
            <w:tcBorders>
              <w:top w:val="nil"/>
              <w:left w:val="nil"/>
              <w:bottom w:val="nil"/>
              <w:right w:val="nil"/>
            </w:tcBorders>
            <w:shd w:val="clear" w:color="auto" w:fill="auto"/>
            <w:vAlign w:val="center"/>
            <w:hideMark/>
          </w:tcPr>
          <w:p w14:paraId="0FE671C5"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6,7</w:t>
            </w:r>
          </w:p>
        </w:tc>
      </w:tr>
      <w:tr w:rsidR="008924EC" w:rsidRPr="00577417" w14:paraId="32880669" w14:textId="77777777" w:rsidTr="004C01F9">
        <w:trPr>
          <w:trHeight w:val="300"/>
        </w:trPr>
        <w:tc>
          <w:tcPr>
            <w:tcW w:w="737" w:type="dxa"/>
            <w:tcBorders>
              <w:top w:val="nil"/>
              <w:left w:val="nil"/>
              <w:bottom w:val="nil"/>
              <w:right w:val="nil"/>
            </w:tcBorders>
            <w:shd w:val="clear" w:color="auto" w:fill="auto"/>
            <w:vAlign w:val="center"/>
            <w:hideMark/>
          </w:tcPr>
          <w:p w14:paraId="2937112E"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2015</w:t>
            </w:r>
          </w:p>
        </w:tc>
        <w:tc>
          <w:tcPr>
            <w:tcW w:w="737" w:type="dxa"/>
            <w:tcBorders>
              <w:top w:val="nil"/>
              <w:left w:val="single" w:sz="4" w:space="0" w:color="auto"/>
              <w:bottom w:val="nil"/>
              <w:right w:val="nil"/>
            </w:tcBorders>
            <w:shd w:val="clear" w:color="auto" w:fill="auto"/>
            <w:vAlign w:val="center"/>
            <w:hideMark/>
          </w:tcPr>
          <w:p w14:paraId="409ADA3E"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183,1</w:t>
            </w:r>
          </w:p>
        </w:tc>
        <w:tc>
          <w:tcPr>
            <w:tcW w:w="736" w:type="dxa"/>
            <w:tcBorders>
              <w:top w:val="nil"/>
              <w:left w:val="nil"/>
              <w:bottom w:val="nil"/>
              <w:right w:val="nil"/>
            </w:tcBorders>
            <w:shd w:val="clear" w:color="auto" w:fill="auto"/>
            <w:vAlign w:val="center"/>
            <w:hideMark/>
          </w:tcPr>
          <w:p w14:paraId="0FB34FC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83,5</w:t>
            </w:r>
          </w:p>
        </w:tc>
        <w:tc>
          <w:tcPr>
            <w:tcW w:w="736" w:type="dxa"/>
            <w:tcBorders>
              <w:top w:val="nil"/>
              <w:left w:val="nil"/>
              <w:bottom w:val="nil"/>
              <w:right w:val="single" w:sz="4" w:space="0" w:color="auto"/>
            </w:tcBorders>
            <w:shd w:val="clear" w:color="auto" w:fill="auto"/>
            <w:vAlign w:val="center"/>
            <w:hideMark/>
          </w:tcPr>
          <w:p w14:paraId="6D080AD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99,6</w:t>
            </w:r>
          </w:p>
        </w:tc>
        <w:tc>
          <w:tcPr>
            <w:tcW w:w="737" w:type="dxa"/>
            <w:tcBorders>
              <w:top w:val="nil"/>
              <w:left w:val="nil"/>
              <w:bottom w:val="nil"/>
              <w:right w:val="nil"/>
            </w:tcBorders>
            <w:shd w:val="clear" w:color="auto" w:fill="auto"/>
            <w:vAlign w:val="center"/>
            <w:hideMark/>
          </w:tcPr>
          <w:p w14:paraId="68949E8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156,2</w:t>
            </w:r>
          </w:p>
        </w:tc>
        <w:tc>
          <w:tcPr>
            <w:tcW w:w="736" w:type="dxa"/>
            <w:tcBorders>
              <w:top w:val="nil"/>
              <w:left w:val="nil"/>
              <w:bottom w:val="nil"/>
              <w:right w:val="nil"/>
            </w:tcBorders>
            <w:shd w:val="clear" w:color="auto" w:fill="auto"/>
            <w:vAlign w:val="center"/>
            <w:hideMark/>
          </w:tcPr>
          <w:p w14:paraId="289201A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66,2</w:t>
            </w:r>
          </w:p>
        </w:tc>
        <w:tc>
          <w:tcPr>
            <w:tcW w:w="736" w:type="dxa"/>
            <w:tcBorders>
              <w:top w:val="nil"/>
              <w:left w:val="nil"/>
              <w:bottom w:val="nil"/>
              <w:right w:val="nil"/>
            </w:tcBorders>
            <w:shd w:val="clear" w:color="auto" w:fill="auto"/>
            <w:vAlign w:val="center"/>
            <w:hideMark/>
          </w:tcPr>
          <w:p w14:paraId="04561307"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90,0</w:t>
            </w:r>
          </w:p>
        </w:tc>
        <w:tc>
          <w:tcPr>
            <w:tcW w:w="754" w:type="dxa"/>
            <w:tcBorders>
              <w:top w:val="nil"/>
              <w:left w:val="single" w:sz="4" w:space="0" w:color="auto"/>
              <w:bottom w:val="nil"/>
              <w:right w:val="nil"/>
            </w:tcBorders>
            <w:shd w:val="clear" w:color="auto" w:fill="auto"/>
            <w:vAlign w:val="center"/>
            <w:hideMark/>
          </w:tcPr>
          <w:p w14:paraId="75249F3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7,0</w:t>
            </w:r>
          </w:p>
        </w:tc>
        <w:tc>
          <w:tcPr>
            <w:tcW w:w="737" w:type="dxa"/>
            <w:tcBorders>
              <w:top w:val="nil"/>
              <w:left w:val="nil"/>
              <w:bottom w:val="nil"/>
              <w:right w:val="nil"/>
            </w:tcBorders>
            <w:shd w:val="clear" w:color="auto" w:fill="auto"/>
            <w:vAlign w:val="center"/>
            <w:hideMark/>
          </w:tcPr>
          <w:p w14:paraId="18FD49F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4,8</w:t>
            </w:r>
          </w:p>
        </w:tc>
        <w:tc>
          <w:tcPr>
            <w:tcW w:w="737" w:type="dxa"/>
            <w:tcBorders>
              <w:top w:val="nil"/>
              <w:left w:val="nil"/>
              <w:bottom w:val="nil"/>
              <w:right w:val="single" w:sz="4" w:space="0" w:color="auto"/>
            </w:tcBorders>
            <w:shd w:val="clear" w:color="auto" w:fill="auto"/>
            <w:vAlign w:val="center"/>
            <w:hideMark/>
          </w:tcPr>
          <w:p w14:paraId="480A5C52"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2,2</w:t>
            </w:r>
          </w:p>
        </w:tc>
        <w:tc>
          <w:tcPr>
            <w:tcW w:w="737" w:type="dxa"/>
            <w:tcBorders>
              <w:top w:val="nil"/>
              <w:left w:val="nil"/>
              <w:bottom w:val="nil"/>
              <w:right w:val="nil"/>
            </w:tcBorders>
            <w:shd w:val="clear" w:color="auto" w:fill="auto"/>
            <w:vAlign w:val="center"/>
            <w:hideMark/>
          </w:tcPr>
          <w:p w14:paraId="5084915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19,9</w:t>
            </w:r>
          </w:p>
        </w:tc>
        <w:tc>
          <w:tcPr>
            <w:tcW w:w="737" w:type="dxa"/>
            <w:tcBorders>
              <w:top w:val="nil"/>
              <w:left w:val="nil"/>
              <w:bottom w:val="nil"/>
              <w:right w:val="nil"/>
            </w:tcBorders>
            <w:shd w:val="clear" w:color="auto" w:fill="auto"/>
            <w:vAlign w:val="center"/>
            <w:hideMark/>
          </w:tcPr>
          <w:p w14:paraId="08C9023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12,5</w:t>
            </w:r>
          </w:p>
        </w:tc>
        <w:tc>
          <w:tcPr>
            <w:tcW w:w="737" w:type="dxa"/>
            <w:tcBorders>
              <w:top w:val="nil"/>
              <w:left w:val="nil"/>
              <w:bottom w:val="nil"/>
              <w:right w:val="nil"/>
            </w:tcBorders>
            <w:shd w:val="clear" w:color="auto" w:fill="auto"/>
            <w:vAlign w:val="center"/>
            <w:hideMark/>
          </w:tcPr>
          <w:p w14:paraId="2265B2C5"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7,4</w:t>
            </w:r>
          </w:p>
        </w:tc>
      </w:tr>
      <w:tr w:rsidR="008924EC" w:rsidRPr="00577417" w14:paraId="72AA8233" w14:textId="77777777" w:rsidTr="004C01F9">
        <w:trPr>
          <w:trHeight w:val="300"/>
        </w:trPr>
        <w:tc>
          <w:tcPr>
            <w:tcW w:w="737" w:type="dxa"/>
            <w:tcBorders>
              <w:top w:val="nil"/>
              <w:left w:val="nil"/>
              <w:bottom w:val="nil"/>
              <w:right w:val="nil"/>
            </w:tcBorders>
            <w:shd w:val="clear" w:color="auto" w:fill="auto"/>
            <w:vAlign w:val="center"/>
            <w:hideMark/>
          </w:tcPr>
          <w:p w14:paraId="276AB1A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2016</w:t>
            </w:r>
          </w:p>
        </w:tc>
        <w:tc>
          <w:tcPr>
            <w:tcW w:w="737" w:type="dxa"/>
            <w:tcBorders>
              <w:top w:val="nil"/>
              <w:left w:val="single" w:sz="4" w:space="0" w:color="auto"/>
              <w:bottom w:val="nil"/>
              <w:right w:val="nil"/>
            </w:tcBorders>
            <w:shd w:val="clear" w:color="auto" w:fill="auto"/>
            <w:vAlign w:val="center"/>
            <w:hideMark/>
          </w:tcPr>
          <w:p w14:paraId="432D2BE7"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191,9</w:t>
            </w:r>
          </w:p>
        </w:tc>
        <w:tc>
          <w:tcPr>
            <w:tcW w:w="736" w:type="dxa"/>
            <w:tcBorders>
              <w:top w:val="nil"/>
              <w:left w:val="nil"/>
              <w:bottom w:val="nil"/>
              <w:right w:val="nil"/>
            </w:tcBorders>
            <w:shd w:val="clear" w:color="auto" w:fill="auto"/>
            <w:vAlign w:val="center"/>
            <w:hideMark/>
          </w:tcPr>
          <w:p w14:paraId="36FA228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87,1</w:t>
            </w:r>
          </w:p>
        </w:tc>
        <w:tc>
          <w:tcPr>
            <w:tcW w:w="736" w:type="dxa"/>
            <w:tcBorders>
              <w:top w:val="nil"/>
              <w:left w:val="nil"/>
              <w:bottom w:val="nil"/>
              <w:right w:val="single" w:sz="4" w:space="0" w:color="auto"/>
            </w:tcBorders>
            <w:shd w:val="clear" w:color="auto" w:fill="auto"/>
            <w:vAlign w:val="center"/>
            <w:hideMark/>
          </w:tcPr>
          <w:p w14:paraId="350B2DD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104,8</w:t>
            </w:r>
          </w:p>
        </w:tc>
        <w:tc>
          <w:tcPr>
            <w:tcW w:w="737" w:type="dxa"/>
            <w:tcBorders>
              <w:top w:val="nil"/>
              <w:left w:val="nil"/>
              <w:bottom w:val="nil"/>
              <w:right w:val="nil"/>
            </w:tcBorders>
            <w:shd w:val="clear" w:color="auto" w:fill="auto"/>
            <w:vAlign w:val="center"/>
            <w:hideMark/>
          </w:tcPr>
          <w:p w14:paraId="08EA960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164,2</w:t>
            </w:r>
          </w:p>
        </w:tc>
        <w:tc>
          <w:tcPr>
            <w:tcW w:w="736" w:type="dxa"/>
            <w:tcBorders>
              <w:top w:val="nil"/>
              <w:left w:val="nil"/>
              <w:bottom w:val="nil"/>
              <w:right w:val="nil"/>
            </w:tcBorders>
            <w:shd w:val="clear" w:color="auto" w:fill="auto"/>
            <w:vAlign w:val="center"/>
            <w:hideMark/>
          </w:tcPr>
          <w:p w14:paraId="2A8A6D3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69,4</w:t>
            </w:r>
          </w:p>
        </w:tc>
        <w:tc>
          <w:tcPr>
            <w:tcW w:w="736" w:type="dxa"/>
            <w:tcBorders>
              <w:top w:val="nil"/>
              <w:left w:val="nil"/>
              <w:bottom w:val="nil"/>
              <w:right w:val="nil"/>
            </w:tcBorders>
            <w:shd w:val="clear" w:color="auto" w:fill="auto"/>
            <w:vAlign w:val="center"/>
            <w:hideMark/>
          </w:tcPr>
          <w:p w14:paraId="1B8D0604"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94,8</w:t>
            </w:r>
          </w:p>
        </w:tc>
        <w:tc>
          <w:tcPr>
            <w:tcW w:w="754" w:type="dxa"/>
            <w:tcBorders>
              <w:top w:val="nil"/>
              <w:left w:val="single" w:sz="4" w:space="0" w:color="auto"/>
              <w:bottom w:val="nil"/>
              <w:right w:val="nil"/>
            </w:tcBorders>
            <w:shd w:val="clear" w:color="auto" w:fill="auto"/>
            <w:vAlign w:val="center"/>
            <w:hideMark/>
          </w:tcPr>
          <w:p w14:paraId="0C2C86E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7,0</w:t>
            </w:r>
          </w:p>
        </w:tc>
        <w:tc>
          <w:tcPr>
            <w:tcW w:w="737" w:type="dxa"/>
            <w:tcBorders>
              <w:top w:val="nil"/>
              <w:left w:val="nil"/>
              <w:bottom w:val="nil"/>
              <w:right w:val="nil"/>
            </w:tcBorders>
            <w:shd w:val="clear" w:color="auto" w:fill="auto"/>
            <w:vAlign w:val="center"/>
            <w:hideMark/>
          </w:tcPr>
          <w:p w14:paraId="2340B97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4,8</w:t>
            </w:r>
          </w:p>
        </w:tc>
        <w:tc>
          <w:tcPr>
            <w:tcW w:w="737" w:type="dxa"/>
            <w:tcBorders>
              <w:top w:val="nil"/>
              <w:left w:val="nil"/>
              <w:bottom w:val="nil"/>
              <w:right w:val="single" w:sz="4" w:space="0" w:color="auto"/>
            </w:tcBorders>
            <w:shd w:val="clear" w:color="auto" w:fill="auto"/>
            <w:vAlign w:val="center"/>
            <w:hideMark/>
          </w:tcPr>
          <w:p w14:paraId="0516F64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2,2</w:t>
            </w:r>
          </w:p>
        </w:tc>
        <w:tc>
          <w:tcPr>
            <w:tcW w:w="737" w:type="dxa"/>
            <w:tcBorders>
              <w:top w:val="nil"/>
              <w:left w:val="nil"/>
              <w:bottom w:val="nil"/>
              <w:right w:val="nil"/>
            </w:tcBorders>
            <w:shd w:val="clear" w:color="auto" w:fill="auto"/>
            <w:vAlign w:val="center"/>
            <w:hideMark/>
          </w:tcPr>
          <w:p w14:paraId="5CF1B2B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20,7</w:t>
            </w:r>
          </w:p>
        </w:tc>
        <w:tc>
          <w:tcPr>
            <w:tcW w:w="737" w:type="dxa"/>
            <w:tcBorders>
              <w:top w:val="nil"/>
              <w:left w:val="nil"/>
              <w:bottom w:val="nil"/>
              <w:right w:val="nil"/>
            </w:tcBorders>
            <w:shd w:val="clear" w:color="auto" w:fill="auto"/>
            <w:vAlign w:val="center"/>
            <w:hideMark/>
          </w:tcPr>
          <w:p w14:paraId="3F61080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12,9</w:t>
            </w:r>
          </w:p>
        </w:tc>
        <w:tc>
          <w:tcPr>
            <w:tcW w:w="737" w:type="dxa"/>
            <w:tcBorders>
              <w:top w:val="nil"/>
              <w:left w:val="nil"/>
              <w:bottom w:val="nil"/>
              <w:right w:val="nil"/>
            </w:tcBorders>
            <w:shd w:val="clear" w:color="auto" w:fill="auto"/>
            <w:vAlign w:val="center"/>
            <w:hideMark/>
          </w:tcPr>
          <w:p w14:paraId="087E5C6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7,8</w:t>
            </w:r>
          </w:p>
        </w:tc>
      </w:tr>
      <w:tr w:rsidR="008924EC" w:rsidRPr="00577417" w14:paraId="2058BB8E" w14:textId="77777777" w:rsidTr="004C01F9">
        <w:trPr>
          <w:trHeight w:val="300"/>
        </w:trPr>
        <w:tc>
          <w:tcPr>
            <w:tcW w:w="737" w:type="dxa"/>
            <w:tcBorders>
              <w:top w:val="nil"/>
              <w:left w:val="nil"/>
              <w:bottom w:val="nil"/>
              <w:right w:val="nil"/>
            </w:tcBorders>
            <w:shd w:val="clear" w:color="auto" w:fill="auto"/>
            <w:vAlign w:val="center"/>
            <w:hideMark/>
          </w:tcPr>
          <w:p w14:paraId="1251C8A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2017</w:t>
            </w:r>
          </w:p>
        </w:tc>
        <w:tc>
          <w:tcPr>
            <w:tcW w:w="737" w:type="dxa"/>
            <w:tcBorders>
              <w:top w:val="nil"/>
              <w:left w:val="single" w:sz="4" w:space="0" w:color="auto"/>
              <w:bottom w:val="nil"/>
              <w:right w:val="nil"/>
            </w:tcBorders>
            <w:shd w:val="clear" w:color="auto" w:fill="auto"/>
            <w:vAlign w:val="center"/>
            <w:hideMark/>
          </w:tcPr>
          <w:p w14:paraId="668A83C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199,1</w:t>
            </w:r>
          </w:p>
        </w:tc>
        <w:tc>
          <w:tcPr>
            <w:tcW w:w="736" w:type="dxa"/>
            <w:tcBorders>
              <w:top w:val="nil"/>
              <w:left w:val="nil"/>
              <w:bottom w:val="nil"/>
              <w:right w:val="nil"/>
            </w:tcBorders>
            <w:shd w:val="clear" w:color="auto" w:fill="auto"/>
            <w:vAlign w:val="center"/>
            <w:hideMark/>
          </w:tcPr>
          <w:p w14:paraId="6AED76F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90,6</w:t>
            </w:r>
          </w:p>
        </w:tc>
        <w:tc>
          <w:tcPr>
            <w:tcW w:w="736" w:type="dxa"/>
            <w:tcBorders>
              <w:top w:val="nil"/>
              <w:left w:val="nil"/>
              <w:bottom w:val="nil"/>
              <w:right w:val="single" w:sz="4" w:space="0" w:color="auto"/>
            </w:tcBorders>
            <w:shd w:val="clear" w:color="auto" w:fill="auto"/>
            <w:vAlign w:val="center"/>
            <w:hideMark/>
          </w:tcPr>
          <w:p w14:paraId="32F9417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108,5</w:t>
            </w:r>
          </w:p>
        </w:tc>
        <w:tc>
          <w:tcPr>
            <w:tcW w:w="737" w:type="dxa"/>
            <w:tcBorders>
              <w:top w:val="nil"/>
              <w:left w:val="nil"/>
              <w:bottom w:val="nil"/>
              <w:right w:val="nil"/>
            </w:tcBorders>
            <w:shd w:val="clear" w:color="auto" w:fill="auto"/>
            <w:vAlign w:val="center"/>
            <w:hideMark/>
          </w:tcPr>
          <w:p w14:paraId="1F503497"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170,2</w:t>
            </w:r>
          </w:p>
        </w:tc>
        <w:tc>
          <w:tcPr>
            <w:tcW w:w="736" w:type="dxa"/>
            <w:tcBorders>
              <w:top w:val="nil"/>
              <w:left w:val="nil"/>
              <w:bottom w:val="nil"/>
              <w:right w:val="nil"/>
            </w:tcBorders>
            <w:shd w:val="clear" w:color="auto" w:fill="auto"/>
            <w:vAlign w:val="center"/>
            <w:hideMark/>
          </w:tcPr>
          <w:p w14:paraId="62FE429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72,5</w:t>
            </w:r>
          </w:p>
        </w:tc>
        <w:tc>
          <w:tcPr>
            <w:tcW w:w="736" w:type="dxa"/>
            <w:tcBorders>
              <w:top w:val="nil"/>
              <w:left w:val="nil"/>
              <w:bottom w:val="nil"/>
              <w:right w:val="nil"/>
            </w:tcBorders>
            <w:shd w:val="clear" w:color="auto" w:fill="auto"/>
            <w:vAlign w:val="center"/>
            <w:hideMark/>
          </w:tcPr>
          <w:p w14:paraId="4F4DB4D5"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97,7</w:t>
            </w:r>
          </w:p>
        </w:tc>
        <w:tc>
          <w:tcPr>
            <w:tcW w:w="754" w:type="dxa"/>
            <w:tcBorders>
              <w:top w:val="nil"/>
              <w:left w:val="single" w:sz="4" w:space="0" w:color="auto"/>
              <w:bottom w:val="nil"/>
              <w:right w:val="nil"/>
            </w:tcBorders>
            <w:shd w:val="clear" w:color="auto" w:fill="auto"/>
            <w:vAlign w:val="center"/>
            <w:hideMark/>
          </w:tcPr>
          <w:p w14:paraId="731F33A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7,1</w:t>
            </w:r>
          </w:p>
        </w:tc>
        <w:tc>
          <w:tcPr>
            <w:tcW w:w="737" w:type="dxa"/>
            <w:tcBorders>
              <w:top w:val="nil"/>
              <w:left w:val="nil"/>
              <w:bottom w:val="nil"/>
              <w:right w:val="nil"/>
            </w:tcBorders>
            <w:shd w:val="clear" w:color="auto" w:fill="auto"/>
            <w:vAlign w:val="center"/>
            <w:hideMark/>
          </w:tcPr>
          <w:p w14:paraId="0F0CA90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4,8</w:t>
            </w:r>
          </w:p>
        </w:tc>
        <w:tc>
          <w:tcPr>
            <w:tcW w:w="737" w:type="dxa"/>
            <w:tcBorders>
              <w:top w:val="nil"/>
              <w:left w:val="nil"/>
              <w:bottom w:val="nil"/>
              <w:right w:val="single" w:sz="4" w:space="0" w:color="auto"/>
            </w:tcBorders>
            <w:shd w:val="clear" w:color="auto" w:fill="auto"/>
            <w:vAlign w:val="center"/>
            <w:hideMark/>
          </w:tcPr>
          <w:p w14:paraId="73BDC0B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2,3</w:t>
            </w:r>
          </w:p>
        </w:tc>
        <w:tc>
          <w:tcPr>
            <w:tcW w:w="737" w:type="dxa"/>
            <w:tcBorders>
              <w:top w:val="nil"/>
              <w:left w:val="nil"/>
              <w:bottom w:val="nil"/>
              <w:right w:val="nil"/>
            </w:tcBorders>
            <w:shd w:val="clear" w:color="auto" w:fill="auto"/>
            <w:vAlign w:val="center"/>
            <w:hideMark/>
          </w:tcPr>
          <w:p w14:paraId="519735C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21,8</w:t>
            </w:r>
          </w:p>
        </w:tc>
        <w:tc>
          <w:tcPr>
            <w:tcW w:w="737" w:type="dxa"/>
            <w:tcBorders>
              <w:top w:val="nil"/>
              <w:left w:val="nil"/>
              <w:bottom w:val="nil"/>
              <w:right w:val="nil"/>
            </w:tcBorders>
            <w:shd w:val="clear" w:color="auto" w:fill="auto"/>
            <w:vAlign w:val="center"/>
            <w:hideMark/>
          </w:tcPr>
          <w:p w14:paraId="30F5D79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13,3</w:t>
            </w:r>
          </w:p>
        </w:tc>
        <w:tc>
          <w:tcPr>
            <w:tcW w:w="737" w:type="dxa"/>
            <w:tcBorders>
              <w:top w:val="nil"/>
              <w:left w:val="nil"/>
              <w:bottom w:val="nil"/>
              <w:right w:val="nil"/>
            </w:tcBorders>
            <w:shd w:val="clear" w:color="auto" w:fill="auto"/>
            <w:vAlign w:val="center"/>
            <w:hideMark/>
          </w:tcPr>
          <w:p w14:paraId="625CE20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8,5</w:t>
            </w:r>
          </w:p>
        </w:tc>
      </w:tr>
      <w:tr w:rsidR="008924EC" w:rsidRPr="00577417" w14:paraId="72358333" w14:textId="77777777" w:rsidTr="004C01F9">
        <w:trPr>
          <w:trHeight w:val="300"/>
        </w:trPr>
        <w:tc>
          <w:tcPr>
            <w:tcW w:w="737" w:type="dxa"/>
            <w:tcBorders>
              <w:top w:val="nil"/>
              <w:left w:val="nil"/>
              <w:bottom w:val="nil"/>
              <w:right w:val="nil"/>
            </w:tcBorders>
            <w:shd w:val="clear" w:color="auto" w:fill="auto"/>
            <w:vAlign w:val="center"/>
            <w:hideMark/>
          </w:tcPr>
          <w:p w14:paraId="071FFE3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2018</w:t>
            </w:r>
          </w:p>
        </w:tc>
        <w:tc>
          <w:tcPr>
            <w:tcW w:w="737" w:type="dxa"/>
            <w:tcBorders>
              <w:top w:val="nil"/>
              <w:left w:val="single" w:sz="4" w:space="0" w:color="auto"/>
              <w:bottom w:val="nil"/>
              <w:right w:val="nil"/>
            </w:tcBorders>
            <w:shd w:val="clear" w:color="auto" w:fill="auto"/>
            <w:vAlign w:val="center"/>
            <w:hideMark/>
          </w:tcPr>
          <w:p w14:paraId="716876B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211,4</w:t>
            </w:r>
          </w:p>
        </w:tc>
        <w:tc>
          <w:tcPr>
            <w:tcW w:w="736" w:type="dxa"/>
            <w:tcBorders>
              <w:top w:val="nil"/>
              <w:left w:val="nil"/>
              <w:bottom w:val="nil"/>
              <w:right w:val="nil"/>
            </w:tcBorders>
            <w:shd w:val="clear" w:color="auto" w:fill="auto"/>
            <w:vAlign w:val="center"/>
            <w:hideMark/>
          </w:tcPr>
          <w:p w14:paraId="4F9E680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96,5</w:t>
            </w:r>
          </w:p>
        </w:tc>
        <w:tc>
          <w:tcPr>
            <w:tcW w:w="736" w:type="dxa"/>
            <w:tcBorders>
              <w:top w:val="nil"/>
              <w:left w:val="nil"/>
              <w:bottom w:val="nil"/>
              <w:right w:val="single" w:sz="4" w:space="0" w:color="auto"/>
            </w:tcBorders>
            <w:shd w:val="clear" w:color="auto" w:fill="auto"/>
            <w:vAlign w:val="center"/>
            <w:hideMark/>
          </w:tcPr>
          <w:p w14:paraId="0B09949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114,9</w:t>
            </w:r>
          </w:p>
        </w:tc>
        <w:tc>
          <w:tcPr>
            <w:tcW w:w="737" w:type="dxa"/>
            <w:tcBorders>
              <w:top w:val="nil"/>
              <w:left w:val="nil"/>
              <w:bottom w:val="nil"/>
              <w:right w:val="nil"/>
            </w:tcBorders>
            <w:shd w:val="clear" w:color="auto" w:fill="auto"/>
            <w:vAlign w:val="center"/>
            <w:hideMark/>
          </w:tcPr>
          <w:p w14:paraId="0996E3C4"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181,4</w:t>
            </w:r>
          </w:p>
        </w:tc>
        <w:tc>
          <w:tcPr>
            <w:tcW w:w="736" w:type="dxa"/>
            <w:tcBorders>
              <w:top w:val="nil"/>
              <w:left w:val="nil"/>
              <w:bottom w:val="nil"/>
              <w:right w:val="nil"/>
            </w:tcBorders>
            <w:shd w:val="clear" w:color="auto" w:fill="auto"/>
            <w:vAlign w:val="center"/>
            <w:hideMark/>
          </w:tcPr>
          <w:p w14:paraId="7CAC876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77,8</w:t>
            </w:r>
          </w:p>
        </w:tc>
        <w:tc>
          <w:tcPr>
            <w:tcW w:w="736" w:type="dxa"/>
            <w:tcBorders>
              <w:top w:val="nil"/>
              <w:left w:val="nil"/>
              <w:bottom w:val="nil"/>
              <w:right w:val="nil"/>
            </w:tcBorders>
            <w:shd w:val="clear" w:color="auto" w:fill="auto"/>
            <w:vAlign w:val="center"/>
            <w:hideMark/>
          </w:tcPr>
          <w:p w14:paraId="01D46DC4"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103,7</w:t>
            </w:r>
          </w:p>
        </w:tc>
        <w:tc>
          <w:tcPr>
            <w:tcW w:w="754" w:type="dxa"/>
            <w:tcBorders>
              <w:top w:val="nil"/>
              <w:left w:val="single" w:sz="4" w:space="0" w:color="auto"/>
              <w:bottom w:val="nil"/>
              <w:right w:val="nil"/>
            </w:tcBorders>
            <w:shd w:val="clear" w:color="auto" w:fill="auto"/>
            <w:vAlign w:val="center"/>
            <w:hideMark/>
          </w:tcPr>
          <w:p w14:paraId="4D83B3C5"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7,0</w:t>
            </w:r>
          </w:p>
        </w:tc>
        <w:tc>
          <w:tcPr>
            <w:tcW w:w="737" w:type="dxa"/>
            <w:tcBorders>
              <w:top w:val="nil"/>
              <w:left w:val="nil"/>
              <w:bottom w:val="nil"/>
              <w:right w:val="nil"/>
            </w:tcBorders>
            <w:shd w:val="clear" w:color="auto" w:fill="auto"/>
            <w:vAlign w:val="center"/>
            <w:hideMark/>
          </w:tcPr>
          <w:p w14:paraId="509475E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4,8</w:t>
            </w:r>
          </w:p>
        </w:tc>
        <w:tc>
          <w:tcPr>
            <w:tcW w:w="737" w:type="dxa"/>
            <w:tcBorders>
              <w:top w:val="nil"/>
              <w:left w:val="nil"/>
              <w:bottom w:val="nil"/>
              <w:right w:val="single" w:sz="4" w:space="0" w:color="auto"/>
            </w:tcBorders>
            <w:shd w:val="clear" w:color="auto" w:fill="auto"/>
            <w:vAlign w:val="center"/>
            <w:hideMark/>
          </w:tcPr>
          <w:p w14:paraId="6A7C91AF"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2,3</w:t>
            </w:r>
          </w:p>
        </w:tc>
        <w:tc>
          <w:tcPr>
            <w:tcW w:w="737" w:type="dxa"/>
            <w:tcBorders>
              <w:top w:val="nil"/>
              <w:left w:val="nil"/>
              <w:bottom w:val="nil"/>
              <w:right w:val="nil"/>
            </w:tcBorders>
            <w:shd w:val="clear" w:color="auto" w:fill="auto"/>
            <w:vAlign w:val="center"/>
            <w:hideMark/>
          </w:tcPr>
          <w:p w14:paraId="47EDD432"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22,9</w:t>
            </w:r>
          </w:p>
        </w:tc>
        <w:tc>
          <w:tcPr>
            <w:tcW w:w="737" w:type="dxa"/>
            <w:tcBorders>
              <w:top w:val="nil"/>
              <w:left w:val="nil"/>
              <w:bottom w:val="nil"/>
              <w:right w:val="nil"/>
            </w:tcBorders>
            <w:shd w:val="clear" w:color="auto" w:fill="auto"/>
            <w:vAlign w:val="center"/>
            <w:hideMark/>
          </w:tcPr>
          <w:p w14:paraId="09F2520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14,0</w:t>
            </w:r>
          </w:p>
        </w:tc>
        <w:tc>
          <w:tcPr>
            <w:tcW w:w="737" w:type="dxa"/>
            <w:tcBorders>
              <w:top w:val="nil"/>
              <w:left w:val="nil"/>
              <w:bottom w:val="nil"/>
              <w:right w:val="nil"/>
            </w:tcBorders>
            <w:shd w:val="clear" w:color="auto" w:fill="auto"/>
            <w:vAlign w:val="center"/>
            <w:hideMark/>
          </w:tcPr>
          <w:p w14:paraId="3042153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8,9</w:t>
            </w:r>
          </w:p>
        </w:tc>
      </w:tr>
      <w:tr w:rsidR="008924EC" w:rsidRPr="00577417" w14:paraId="4CF65ED0" w14:textId="77777777" w:rsidTr="004C01F9">
        <w:trPr>
          <w:trHeight w:val="300"/>
        </w:trPr>
        <w:tc>
          <w:tcPr>
            <w:tcW w:w="737" w:type="dxa"/>
            <w:tcBorders>
              <w:top w:val="nil"/>
              <w:left w:val="nil"/>
              <w:bottom w:val="nil"/>
              <w:right w:val="nil"/>
            </w:tcBorders>
            <w:shd w:val="clear" w:color="auto" w:fill="auto"/>
            <w:vAlign w:val="center"/>
            <w:hideMark/>
          </w:tcPr>
          <w:p w14:paraId="09F724A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2019</w:t>
            </w:r>
          </w:p>
        </w:tc>
        <w:tc>
          <w:tcPr>
            <w:tcW w:w="737" w:type="dxa"/>
            <w:tcBorders>
              <w:top w:val="nil"/>
              <w:left w:val="single" w:sz="4" w:space="0" w:color="auto"/>
              <w:bottom w:val="nil"/>
              <w:right w:val="nil"/>
            </w:tcBorders>
            <w:shd w:val="clear" w:color="auto" w:fill="auto"/>
            <w:vAlign w:val="center"/>
            <w:hideMark/>
          </w:tcPr>
          <w:p w14:paraId="6945EE8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222,5</w:t>
            </w:r>
          </w:p>
        </w:tc>
        <w:tc>
          <w:tcPr>
            <w:tcW w:w="736" w:type="dxa"/>
            <w:tcBorders>
              <w:top w:val="nil"/>
              <w:left w:val="nil"/>
              <w:bottom w:val="nil"/>
              <w:right w:val="nil"/>
            </w:tcBorders>
            <w:shd w:val="clear" w:color="auto" w:fill="auto"/>
            <w:vAlign w:val="center"/>
            <w:hideMark/>
          </w:tcPr>
          <w:p w14:paraId="3ADBFB3F"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101,5</w:t>
            </w:r>
          </w:p>
        </w:tc>
        <w:tc>
          <w:tcPr>
            <w:tcW w:w="736" w:type="dxa"/>
            <w:tcBorders>
              <w:top w:val="nil"/>
              <w:left w:val="nil"/>
              <w:bottom w:val="nil"/>
              <w:right w:val="single" w:sz="4" w:space="0" w:color="auto"/>
            </w:tcBorders>
            <w:shd w:val="clear" w:color="auto" w:fill="auto"/>
            <w:vAlign w:val="center"/>
            <w:hideMark/>
          </w:tcPr>
          <w:p w14:paraId="244269B1"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121,0</w:t>
            </w:r>
          </w:p>
        </w:tc>
        <w:tc>
          <w:tcPr>
            <w:tcW w:w="737" w:type="dxa"/>
            <w:tcBorders>
              <w:top w:val="nil"/>
              <w:left w:val="nil"/>
              <w:bottom w:val="nil"/>
              <w:right w:val="nil"/>
            </w:tcBorders>
            <w:shd w:val="clear" w:color="auto" w:fill="auto"/>
            <w:vAlign w:val="center"/>
            <w:hideMark/>
          </w:tcPr>
          <w:p w14:paraId="22DD81E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191,5</w:t>
            </w:r>
          </w:p>
        </w:tc>
        <w:tc>
          <w:tcPr>
            <w:tcW w:w="736" w:type="dxa"/>
            <w:tcBorders>
              <w:top w:val="nil"/>
              <w:left w:val="nil"/>
              <w:bottom w:val="nil"/>
              <w:right w:val="nil"/>
            </w:tcBorders>
            <w:shd w:val="clear" w:color="auto" w:fill="auto"/>
            <w:vAlign w:val="center"/>
            <w:hideMark/>
          </w:tcPr>
          <w:p w14:paraId="26CDED5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82,2</w:t>
            </w:r>
          </w:p>
        </w:tc>
        <w:tc>
          <w:tcPr>
            <w:tcW w:w="736" w:type="dxa"/>
            <w:tcBorders>
              <w:top w:val="nil"/>
              <w:left w:val="nil"/>
              <w:bottom w:val="nil"/>
              <w:right w:val="nil"/>
            </w:tcBorders>
            <w:shd w:val="clear" w:color="auto" w:fill="auto"/>
            <w:vAlign w:val="center"/>
            <w:hideMark/>
          </w:tcPr>
          <w:p w14:paraId="4515E0D7"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109,3</w:t>
            </w:r>
          </w:p>
        </w:tc>
        <w:tc>
          <w:tcPr>
            <w:tcW w:w="754" w:type="dxa"/>
            <w:tcBorders>
              <w:top w:val="nil"/>
              <w:left w:val="single" w:sz="4" w:space="0" w:color="auto"/>
              <w:bottom w:val="nil"/>
              <w:right w:val="nil"/>
            </w:tcBorders>
            <w:shd w:val="clear" w:color="auto" w:fill="auto"/>
            <w:vAlign w:val="center"/>
            <w:hideMark/>
          </w:tcPr>
          <w:p w14:paraId="735F7C95"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6,9</w:t>
            </w:r>
          </w:p>
        </w:tc>
        <w:tc>
          <w:tcPr>
            <w:tcW w:w="737" w:type="dxa"/>
            <w:tcBorders>
              <w:top w:val="nil"/>
              <w:left w:val="nil"/>
              <w:bottom w:val="nil"/>
              <w:right w:val="nil"/>
            </w:tcBorders>
            <w:shd w:val="clear" w:color="auto" w:fill="auto"/>
            <w:vAlign w:val="center"/>
            <w:hideMark/>
          </w:tcPr>
          <w:p w14:paraId="313B503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4,7</w:t>
            </w:r>
          </w:p>
        </w:tc>
        <w:tc>
          <w:tcPr>
            <w:tcW w:w="737" w:type="dxa"/>
            <w:tcBorders>
              <w:top w:val="nil"/>
              <w:left w:val="nil"/>
              <w:bottom w:val="nil"/>
              <w:right w:val="single" w:sz="4" w:space="0" w:color="auto"/>
            </w:tcBorders>
            <w:shd w:val="clear" w:color="auto" w:fill="auto"/>
            <w:vAlign w:val="center"/>
            <w:hideMark/>
          </w:tcPr>
          <w:p w14:paraId="4B816A5B"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2,3</w:t>
            </w:r>
          </w:p>
        </w:tc>
        <w:tc>
          <w:tcPr>
            <w:tcW w:w="737" w:type="dxa"/>
            <w:tcBorders>
              <w:top w:val="nil"/>
              <w:left w:val="nil"/>
              <w:bottom w:val="nil"/>
              <w:right w:val="nil"/>
            </w:tcBorders>
            <w:shd w:val="clear" w:color="auto" w:fill="auto"/>
            <w:vAlign w:val="center"/>
            <w:hideMark/>
          </w:tcPr>
          <w:p w14:paraId="3EDA021F"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24,0</w:t>
            </w:r>
          </w:p>
        </w:tc>
        <w:tc>
          <w:tcPr>
            <w:tcW w:w="737" w:type="dxa"/>
            <w:tcBorders>
              <w:top w:val="nil"/>
              <w:left w:val="nil"/>
              <w:bottom w:val="nil"/>
              <w:right w:val="nil"/>
            </w:tcBorders>
            <w:shd w:val="clear" w:color="auto" w:fill="auto"/>
            <w:vAlign w:val="center"/>
            <w:hideMark/>
          </w:tcPr>
          <w:p w14:paraId="4C9029AA"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14,6</w:t>
            </w:r>
          </w:p>
        </w:tc>
        <w:tc>
          <w:tcPr>
            <w:tcW w:w="737" w:type="dxa"/>
            <w:tcBorders>
              <w:top w:val="nil"/>
              <w:left w:val="nil"/>
              <w:bottom w:val="nil"/>
              <w:right w:val="nil"/>
            </w:tcBorders>
            <w:shd w:val="clear" w:color="auto" w:fill="auto"/>
            <w:vAlign w:val="center"/>
            <w:hideMark/>
          </w:tcPr>
          <w:p w14:paraId="519B46C2"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9,4</w:t>
            </w:r>
          </w:p>
        </w:tc>
      </w:tr>
      <w:tr w:rsidR="008924EC" w:rsidRPr="00577417" w14:paraId="4DDCE717" w14:textId="77777777" w:rsidTr="004C01F9">
        <w:trPr>
          <w:trHeight w:val="300"/>
        </w:trPr>
        <w:tc>
          <w:tcPr>
            <w:tcW w:w="737" w:type="dxa"/>
            <w:tcBorders>
              <w:top w:val="nil"/>
              <w:left w:val="nil"/>
              <w:bottom w:val="nil"/>
              <w:right w:val="single" w:sz="4" w:space="0" w:color="auto"/>
            </w:tcBorders>
            <w:shd w:val="clear" w:color="auto" w:fill="auto"/>
            <w:vAlign w:val="center"/>
            <w:hideMark/>
          </w:tcPr>
          <w:p w14:paraId="22A01F57"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2020</w:t>
            </w:r>
          </w:p>
        </w:tc>
        <w:tc>
          <w:tcPr>
            <w:tcW w:w="737" w:type="dxa"/>
            <w:tcBorders>
              <w:top w:val="nil"/>
              <w:left w:val="nil"/>
              <w:bottom w:val="nil"/>
              <w:right w:val="nil"/>
            </w:tcBorders>
            <w:shd w:val="clear" w:color="auto" w:fill="auto"/>
            <w:vAlign w:val="center"/>
            <w:hideMark/>
          </w:tcPr>
          <w:p w14:paraId="73DF14E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257,5</w:t>
            </w:r>
          </w:p>
        </w:tc>
        <w:tc>
          <w:tcPr>
            <w:tcW w:w="736" w:type="dxa"/>
            <w:tcBorders>
              <w:top w:val="nil"/>
              <w:left w:val="nil"/>
              <w:bottom w:val="nil"/>
              <w:right w:val="nil"/>
            </w:tcBorders>
            <w:shd w:val="clear" w:color="auto" w:fill="auto"/>
            <w:vAlign w:val="center"/>
            <w:hideMark/>
          </w:tcPr>
          <w:p w14:paraId="50321359"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118,1</w:t>
            </w:r>
          </w:p>
        </w:tc>
        <w:tc>
          <w:tcPr>
            <w:tcW w:w="736" w:type="dxa"/>
            <w:tcBorders>
              <w:top w:val="nil"/>
              <w:left w:val="nil"/>
              <w:bottom w:val="nil"/>
              <w:right w:val="single" w:sz="4" w:space="0" w:color="auto"/>
            </w:tcBorders>
            <w:shd w:val="clear" w:color="auto" w:fill="auto"/>
            <w:vAlign w:val="center"/>
            <w:hideMark/>
          </w:tcPr>
          <w:p w14:paraId="2C1D1BF8"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139,4</w:t>
            </w:r>
          </w:p>
        </w:tc>
        <w:tc>
          <w:tcPr>
            <w:tcW w:w="737" w:type="dxa"/>
            <w:tcBorders>
              <w:top w:val="nil"/>
              <w:left w:val="nil"/>
              <w:bottom w:val="nil"/>
              <w:right w:val="nil"/>
            </w:tcBorders>
            <w:shd w:val="clear" w:color="auto" w:fill="auto"/>
            <w:vAlign w:val="center"/>
            <w:hideMark/>
          </w:tcPr>
          <w:p w14:paraId="73C6BC6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224,8</w:t>
            </w:r>
          </w:p>
        </w:tc>
        <w:tc>
          <w:tcPr>
            <w:tcW w:w="736" w:type="dxa"/>
            <w:tcBorders>
              <w:top w:val="nil"/>
              <w:left w:val="nil"/>
              <w:bottom w:val="nil"/>
              <w:right w:val="nil"/>
            </w:tcBorders>
            <w:shd w:val="clear" w:color="auto" w:fill="auto"/>
            <w:vAlign w:val="center"/>
            <w:hideMark/>
          </w:tcPr>
          <w:p w14:paraId="2A35B36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98,0</w:t>
            </w:r>
          </w:p>
        </w:tc>
        <w:tc>
          <w:tcPr>
            <w:tcW w:w="736" w:type="dxa"/>
            <w:tcBorders>
              <w:top w:val="nil"/>
              <w:left w:val="nil"/>
              <w:bottom w:val="nil"/>
              <w:right w:val="nil"/>
            </w:tcBorders>
            <w:shd w:val="clear" w:color="auto" w:fill="auto"/>
            <w:vAlign w:val="center"/>
            <w:hideMark/>
          </w:tcPr>
          <w:p w14:paraId="69311C82"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126,9</w:t>
            </w:r>
          </w:p>
        </w:tc>
        <w:tc>
          <w:tcPr>
            <w:tcW w:w="754" w:type="dxa"/>
            <w:tcBorders>
              <w:top w:val="nil"/>
              <w:left w:val="single" w:sz="4" w:space="0" w:color="auto"/>
              <w:bottom w:val="nil"/>
              <w:right w:val="nil"/>
            </w:tcBorders>
            <w:shd w:val="clear" w:color="auto" w:fill="auto"/>
            <w:vAlign w:val="center"/>
            <w:hideMark/>
          </w:tcPr>
          <w:p w14:paraId="1C1FA51C"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7,1</w:t>
            </w:r>
          </w:p>
        </w:tc>
        <w:tc>
          <w:tcPr>
            <w:tcW w:w="737" w:type="dxa"/>
            <w:tcBorders>
              <w:top w:val="nil"/>
              <w:left w:val="nil"/>
              <w:bottom w:val="nil"/>
              <w:right w:val="nil"/>
            </w:tcBorders>
            <w:shd w:val="clear" w:color="auto" w:fill="auto"/>
            <w:vAlign w:val="center"/>
            <w:hideMark/>
          </w:tcPr>
          <w:p w14:paraId="050DDCA5"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4,8</w:t>
            </w:r>
          </w:p>
        </w:tc>
        <w:tc>
          <w:tcPr>
            <w:tcW w:w="737" w:type="dxa"/>
            <w:tcBorders>
              <w:top w:val="nil"/>
              <w:left w:val="nil"/>
              <w:bottom w:val="nil"/>
              <w:right w:val="single" w:sz="4" w:space="0" w:color="auto"/>
            </w:tcBorders>
            <w:shd w:val="clear" w:color="auto" w:fill="auto"/>
            <w:vAlign w:val="center"/>
            <w:hideMark/>
          </w:tcPr>
          <w:p w14:paraId="7FD665A0"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2,2</w:t>
            </w:r>
          </w:p>
        </w:tc>
        <w:tc>
          <w:tcPr>
            <w:tcW w:w="737" w:type="dxa"/>
            <w:tcBorders>
              <w:top w:val="nil"/>
              <w:left w:val="nil"/>
              <w:bottom w:val="nil"/>
              <w:right w:val="nil"/>
            </w:tcBorders>
            <w:shd w:val="clear" w:color="auto" w:fill="auto"/>
            <w:vAlign w:val="center"/>
            <w:hideMark/>
          </w:tcPr>
          <w:p w14:paraId="5F05BA76"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25,6</w:t>
            </w:r>
          </w:p>
        </w:tc>
        <w:tc>
          <w:tcPr>
            <w:tcW w:w="737" w:type="dxa"/>
            <w:tcBorders>
              <w:top w:val="nil"/>
              <w:left w:val="nil"/>
              <w:bottom w:val="nil"/>
              <w:right w:val="nil"/>
            </w:tcBorders>
            <w:shd w:val="clear" w:color="auto" w:fill="auto"/>
            <w:vAlign w:val="center"/>
            <w:hideMark/>
          </w:tcPr>
          <w:p w14:paraId="79CF2D23"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15,3</w:t>
            </w:r>
          </w:p>
        </w:tc>
        <w:tc>
          <w:tcPr>
            <w:tcW w:w="737" w:type="dxa"/>
            <w:tcBorders>
              <w:top w:val="nil"/>
              <w:left w:val="nil"/>
              <w:bottom w:val="nil"/>
              <w:right w:val="nil"/>
            </w:tcBorders>
            <w:shd w:val="clear" w:color="auto" w:fill="auto"/>
            <w:vAlign w:val="center"/>
            <w:hideMark/>
          </w:tcPr>
          <w:p w14:paraId="1C03839D" w14:textId="77777777" w:rsidR="008924EC" w:rsidRPr="00577417" w:rsidRDefault="008924EC" w:rsidP="004C01F9">
            <w:pPr>
              <w:spacing w:after="0" w:line="240" w:lineRule="auto"/>
              <w:jc w:val="center"/>
              <w:rPr>
                <w:rFonts w:cs="Arial"/>
                <w:color w:val="000000"/>
                <w:sz w:val="16"/>
                <w:szCs w:val="16"/>
              </w:rPr>
            </w:pPr>
            <w:r w:rsidRPr="00577417">
              <w:rPr>
                <w:rFonts w:cs="Arial"/>
                <w:color w:val="000000"/>
                <w:sz w:val="16"/>
                <w:szCs w:val="16"/>
              </w:rPr>
              <w:t>10,3</w:t>
            </w:r>
          </w:p>
        </w:tc>
      </w:tr>
      <w:tr w:rsidR="008924EC" w:rsidRPr="00577417" w14:paraId="38F6A55C" w14:textId="77777777" w:rsidTr="008924EC">
        <w:trPr>
          <w:trHeight w:val="300"/>
        </w:trPr>
        <w:tc>
          <w:tcPr>
            <w:tcW w:w="737" w:type="dxa"/>
            <w:tcBorders>
              <w:top w:val="nil"/>
              <w:left w:val="nil"/>
              <w:bottom w:val="nil"/>
              <w:right w:val="single" w:sz="4" w:space="0" w:color="auto"/>
            </w:tcBorders>
            <w:shd w:val="clear" w:color="auto" w:fill="auto"/>
            <w:vAlign w:val="center"/>
            <w:hideMark/>
          </w:tcPr>
          <w:p w14:paraId="2E9A3B04"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2021</w:t>
            </w:r>
          </w:p>
        </w:tc>
        <w:tc>
          <w:tcPr>
            <w:tcW w:w="737" w:type="dxa"/>
            <w:tcBorders>
              <w:top w:val="nil"/>
              <w:left w:val="nil"/>
              <w:bottom w:val="nil"/>
              <w:right w:val="nil"/>
            </w:tcBorders>
            <w:shd w:val="clear" w:color="auto" w:fill="auto"/>
            <w:vAlign w:val="center"/>
            <w:hideMark/>
          </w:tcPr>
          <w:p w14:paraId="6DD6E43D"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260,1</w:t>
            </w:r>
          </w:p>
        </w:tc>
        <w:tc>
          <w:tcPr>
            <w:tcW w:w="736" w:type="dxa"/>
            <w:tcBorders>
              <w:top w:val="nil"/>
              <w:left w:val="nil"/>
              <w:bottom w:val="nil"/>
              <w:right w:val="nil"/>
            </w:tcBorders>
            <w:shd w:val="clear" w:color="auto" w:fill="auto"/>
            <w:vAlign w:val="center"/>
            <w:hideMark/>
          </w:tcPr>
          <w:p w14:paraId="67FEE58E"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121,2</w:t>
            </w:r>
          </w:p>
        </w:tc>
        <w:tc>
          <w:tcPr>
            <w:tcW w:w="736" w:type="dxa"/>
            <w:tcBorders>
              <w:top w:val="nil"/>
              <w:left w:val="nil"/>
              <w:bottom w:val="nil"/>
              <w:right w:val="single" w:sz="4" w:space="0" w:color="auto"/>
            </w:tcBorders>
            <w:shd w:val="clear" w:color="auto" w:fill="auto"/>
            <w:vAlign w:val="center"/>
            <w:hideMark/>
          </w:tcPr>
          <w:p w14:paraId="38B959EB"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138,9</w:t>
            </w:r>
          </w:p>
        </w:tc>
        <w:tc>
          <w:tcPr>
            <w:tcW w:w="737" w:type="dxa"/>
            <w:tcBorders>
              <w:top w:val="nil"/>
              <w:left w:val="nil"/>
              <w:bottom w:val="nil"/>
              <w:right w:val="nil"/>
            </w:tcBorders>
            <w:shd w:val="clear" w:color="auto" w:fill="auto"/>
            <w:vAlign w:val="center"/>
            <w:hideMark/>
          </w:tcPr>
          <w:p w14:paraId="39BB6456"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228,4</w:t>
            </w:r>
          </w:p>
        </w:tc>
        <w:tc>
          <w:tcPr>
            <w:tcW w:w="736" w:type="dxa"/>
            <w:tcBorders>
              <w:top w:val="nil"/>
              <w:left w:val="nil"/>
              <w:bottom w:val="nil"/>
              <w:right w:val="nil"/>
            </w:tcBorders>
            <w:shd w:val="clear" w:color="auto" w:fill="auto"/>
            <w:vAlign w:val="center"/>
            <w:hideMark/>
          </w:tcPr>
          <w:p w14:paraId="65051A85"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101,9</w:t>
            </w:r>
          </w:p>
        </w:tc>
        <w:tc>
          <w:tcPr>
            <w:tcW w:w="736" w:type="dxa"/>
            <w:tcBorders>
              <w:top w:val="nil"/>
              <w:left w:val="nil"/>
              <w:bottom w:val="nil"/>
              <w:right w:val="nil"/>
            </w:tcBorders>
            <w:shd w:val="clear" w:color="auto" w:fill="auto"/>
            <w:vAlign w:val="center"/>
            <w:hideMark/>
          </w:tcPr>
          <w:p w14:paraId="0FD75402"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126,4</w:t>
            </w:r>
          </w:p>
        </w:tc>
        <w:tc>
          <w:tcPr>
            <w:tcW w:w="754" w:type="dxa"/>
            <w:tcBorders>
              <w:top w:val="nil"/>
              <w:left w:val="single" w:sz="4" w:space="0" w:color="auto"/>
              <w:bottom w:val="nil"/>
              <w:right w:val="nil"/>
            </w:tcBorders>
            <w:shd w:val="clear" w:color="auto" w:fill="auto"/>
            <w:vAlign w:val="center"/>
            <w:hideMark/>
          </w:tcPr>
          <w:p w14:paraId="52BE9596"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7,1</w:t>
            </w:r>
          </w:p>
        </w:tc>
        <w:tc>
          <w:tcPr>
            <w:tcW w:w="737" w:type="dxa"/>
            <w:tcBorders>
              <w:top w:val="nil"/>
              <w:left w:val="nil"/>
              <w:bottom w:val="nil"/>
              <w:right w:val="nil"/>
            </w:tcBorders>
            <w:shd w:val="clear" w:color="auto" w:fill="auto"/>
            <w:vAlign w:val="center"/>
            <w:hideMark/>
          </w:tcPr>
          <w:p w14:paraId="747D728E"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4,9</w:t>
            </w:r>
          </w:p>
        </w:tc>
        <w:tc>
          <w:tcPr>
            <w:tcW w:w="737" w:type="dxa"/>
            <w:tcBorders>
              <w:top w:val="nil"/>
              <w:left w:val="nil"/>
              <w:bottom w:val="nil"/>
              <w:right w:val="single" w:sz="4" w:space="0" w:color="auto"/>
            </w:tcBorders>
            <w:shd w:val="clear" w:color="auto" w:fill="auto"/>
            <w:vAlign w:val="center"/>
            <w:hideMark/>
          </w:tcPr>
          <w:p w14:paraId="0BA0B457"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2,2</w:t>
            </w:r>
          </w:p>
        </w:tc>
        <w:tc>
          <w:tcPr>
            <w:tcW w:w="737" w:type="dxa"/>
            <w:tcBorders>
              <w:top w:val="nil"/>
              <w:left w:val="nil"/>
              <w:bottom w:val="nil"/>
              <w:right w:val="nil"/>
            </w:tcBorders>
            <w:shd w:val="clear" w:color="auto" w:fill="auto"/>
            <w:vAlign w:val="center"/>
            <w:hideMark/>
          </w:tcPr>
          <w:p w14:paraId="2F331FBC"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24,6</w:t>
            </w:r>
          </w:p>
        </w:tc>
        <w:tc>
          <w:tcPr>
            <w:tcW w:w="737" w:type="dxa"/>
            <w:tcBorders>
              <w:top w:val="nil"/>
              <w:left w:val="nil"/>
              <w:bottom w:val="nil"/>
              <w:right w:val="nil"/>
            </w:tcBorders>
            <w:shd w:val="clear" w:color="auto" w:fill="auto"/>
            <w:vAlign w:val="center"/>
            <w:hideMark/>
          </w:tcPr>
          <w:p w14:paraId="575536A1"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14,4</w:t>
            </w:r>
          </w:p>
        </w:tc>
        <w:tc>
          <w:tcPr>
            <w:tcW w:w="737" w:type="dxa"/>
            <w:tcBorders>
              <w:top w:val="nil"/>
              <w:left w:val="nil"/>
              <w:bottom w:val="nil"/>
              <w:right w:val="nil"/>
            </w:tcBorders>
            <w:shd w:val="clear" w:color="auto" w:fill="auto"/>
            <w:vAlign w:val="center"/>
            <w:hideMark/>
          </w:tcPr>
          <w:p w14:paraId="7B1D9554" w14:textId="77777777" w:rsidR="008924EC" w:rsidRPr="00577417" w:rsidRDefault="008924EC" w:rsidP="008924EC">
            <w:pPr>
              <w:spacing w:after="0" w:line="240" w:lineRule="auto"/>
              <w:jc w:val="center"/>
              <w:rPr>
                <w:rFonts w:cs="Arial"/>
                <w:color w:val="000000"/>
                <w:sz w:val="16"/>
                <w:szCs w:val="16"/>
              </w:rPr>
            </w:pPr>
            <w:r w:rsidRPr="00577417">
              <w:rPr>
                <w:rFonts w:cs="Arial"/>
                <w:color w:val="000000"/>
                <w:sz w:val="16"/>
                <w:szCs w:val="16"/>
              </w:rPr>
              <w:t>10,2</w:t>
            </w:r>
          </w:p>
        </w:tc>
      </w:tr>
      <w:tr w:rsidR="00577417" w:rsidRPr="00577417" w14:paraId="6597F5A1" w14:textId="77777777" w:rsidTr="00577417">
        <w:trPr>
          <w:trHeight w:val="300"/>
        </w:trPr>
        <w:tc>
          <w:tcPr>
            <w:tcW w:w="737" w:type="dxa"/>
            <w:tcBorders>
              <w:top w:val="nil"/>
              <w:left w:val="nil"/>
              <w:bottom w:val="nil"/>
              <w:right w:val="single" w:sz="4" w:space="0" w:color="auto"/>
            </w:tcBorders>
            <w:shd w:val="clear" w:color="auto" w:fill="auto"/>
            <w:vAlign w:val="center"/>
          </w:tcPr>
          <w:p w14:paraId="4054AD68" w14:textId="643138A1" w:rsidR="00577417" w:rsidRPr="00577417" w:rsidRDefault="004F6383" w:rsidP="00577417">
            <w:pPr>
              <w:spacing w:after="0" w:line="240" w:lineRule="auto"/>
              <w:jc w:val="center"/>
              <w:rPr>
                <w:rFonts w:cs="Arial"/>
                <w:color w:val="000000"/>
                <w:sz w:val="16"/>
                <w:szCs w:val="16"/>
              </w:rPr>
            </w:pPr>
            <w:r>
              <w:rPr>
                <w:noProof/>
              </w:rPr>
              <mc:AlternateContent>
                <mc:Choice Requires="wps">
                  <w:drawing>
                    <wp:anchor distT="0" distB="0" distL="114300" distR="114300" simplePos="0" relativeHeight="251709952" behindDoc="0" locked="0" layoutInCell="1" allowOverlap="1" wp14:anchorId="7EF1D046" wp14:editId="09AEA58E">
                      <wp:simplePos x="0" y="0"/>
                      <wp:positionH relativeFrom="column">
                        <wp:posOffset>-2540</wp:posOffset>
                      </wp:positionH>
                      <wp:positionV relativeFrom="paragraph">
                        <wp:posOffset>-30480</wp:posOffset>
                      </wp:positionV>
                      <wp:extent cx="3239770" cy="0"/>
                      <wp:effectExtent l="38100" t="38100" r="74930" b="95250"/>
                      <wp:wrapNone/>
                      <wp:docPr id="72" name="Přímá spojnice 3"/>
                      <wp:cNvGraphicFramePr/>
                      <a:graphic xmlns:a="http://schemas.openxmlformats.org/drawingml/2006/main">
                        <a:graphicData uri="http://schemas.microsoft.com/office/word/2010/wordprocessingShape">
                          <wps:wsp>
                            <wps:cNvCnPr/>
                            <wps:spPr>
                              <a:xfrm>
                                <a:off x="0" y="0"/>
                                <a:ext cx="3239770" cy="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659E196" id="Přímá spojnice 3" o:spid="_x0000_s1026" style="position:absolute;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pt,-2.4pt" to="254.9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" strokecolor="#c00000" strokeweight=".5pt">
                      <v:stroke dashstyle="dash"/>
                      <v:shadow on="t" color="black" opacity="24903f" origin=",.5" offset="0,.55556mm"/>
                    </v:line>
                  </w:pict>
                </mc:Fallback>
              </mc:AlternateContent>
            </w:r>
            <w:r w:rsidR="00577417" w:rsidRPr="00577417">
              <w:rPr>
                <w:rFonts w:cs="Arial"/>
                <w:color w:val="000000"/>
                <w:sz w:val="16"/>
                <w:szCs w:val="16"/>
              </w:rPr>
              <w:t>2022</w:t>
            </w:r>
          </w:p>
        </w:tc>
        <w:tc>
          <w:tcPr>
            <w:tcW w:w="737" w:type="dxa"/>
            <w:tcBorders>
              <w:top w:val="nil"/>
              <w:left w:val="nil"/>
              <w:bottom w:val="nil"/>
              <w:right w:val="nil"/>
            </w:tcBorders>
            <w:shd w:val="clear" w:color="auto" w:fill="auto"/>
            <w:vAlign w:val="center"/>
          </w:tcPr>
          <w:p w14:paraId="0B8D3A3D" w14:textId="7DAB39B8"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249,5</w:t>
            </w:r>
          </w:p>
        </w:tc>
        <w:tc>
          <w:tcPr>
            <w:tcW w:w="736" w:type="dxa"/>
            <w:tcBorders>
              <w:top w:val="nil"/>
              <w:left w:val="nil"/>
              <w:bottom w:val="nil"/>
              <w:right w:val="nil"/>
            </w:tcBorders>
            <w:shd w:val="clear" w:color="auto" w:fill="auto"/>
            <w:vAlign w:val="center"/>
          </w:tcPr>
          <w:p w14:paraId="43FFE644" w14:textId="2CD24BDE"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113,4</w:t>
            </w:r>
          </w:p>
        </w:tc>
        <w:tc>
          <w:tcPr>
            <w:tcW w:w="736" w:type="dxa"/>
            <w:tcBorders>
              <w:top w:val="nil"/>
              <w:left w:val="nil"/>
              <w:bottom w:val="nil"/>
              <w:right w:val="single" w:sz="4" w:space="0" w:color="auto"/>
            </w:tcBorders>
            <w:shd w:val="clear" w:color="auto" w:fill="auto"/>
            <w:vAlign w:val="center"/>
          </w:tcPr>
          <w:p w14:paraId="4B3189B5" w14:textId="1AB55F9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136,1</w:t>
            </w:r>
          </w:p>
        </w:tc>
        <w:tc>
          <w:tcPr>
            <w:tcW w:w="737" w:type="dxa"/>
            <w:tcBorders>
              <w:top w:val="nil"/>
              <w:left w:val="nil"/>
              <w:bottom w:val="nil"/>
              <w:right w:val="nil"/>
            </w:tcBorders>
            <w:shd w:val="clear" w:color="auto" w:fill="auto"/>
            <w:vAlign w:val="center"/>
          </w:tcPr>
          <w:p w14:paraId="467CB7C6" w14:textId="3B20D276"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217,0</w:t>
            </w:r>
          </w:p>
        </w:tc>
        <w:tc>
          <w:tcPr>
            <w:tcW w:w="736" w:type="dxa"/>
            <w:tcBorders>
              <w:top w:val="nil"/>
              <w:left w:val="nil"/>
              <w:bottom w:val="nil"/>
              <w:right w:val="nil"/>
            </w:tcBorders>
            <w:shd w:val="clear" w:color="auto" w:fill="auto"/>
            <w:vAlign w:val="center"/>
          </w:tcPr>
          <w:p w14:paraId="39A30AA9" w14:textId="7536D1F4"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93,7</w:t>
            </w:r>
          </w:p>
        </w:tc>
        <w:tc>
          <w:tcPr>
            <w:tcW w:w="736" w:type="dxa"/>
            <w:tcBorders>
              <w:top w:val="nil"/>
              <w:left w:val="nil"/>
              <w:bottom w:val="nil"/>
              <w:right w:val="nil"/>
            </w:tcBorders>
            <w:shd w:val="clear" w:color="auto" w:fill="auto"/>
            <w:vAlign w:val="center"/>
          </w:tcPr>
          <w:p w14:paraId="3EDCC62B" w14:textId="53217CB8"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123,2</w:t>
            </w:r>
          </w:p>
        </w:tc>
        <w:tc>
          <w:tcPr>
            <w:tcW w:w="754" w:type="dxa"/>
            <w:tcBorders>
              <w:top w:val="nil"/>
              <w:left w:val="single" w:sz="4" w:space="0" w:color="auto"/>
              <w:bottom w:val="nil"/>
              <w:right w:val="nil"/>
            </w:tcBorders>
            <w:shd w:val="clear" w:color="auto" w:fill="auto"/>
            <w:vAlign w:val="center"/>
          </w:tcPr>
          <w:p w14:paraId="36AB321E" w14:textId="46BA7B15"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6,9</w:t>
            </w:r>
          </w:p>
        </w:tc>
        <w:tc>
          <w:tcPr>
            <w:tcW w:w="737" w:type="dxa"/>
            <w:tcBorders>
              <w:top w:val="nil"/>
              <w:left w:val="nil"/>
              <w:bottom w:val="nil"/>
              <w:right w:val="nil"/>
            </w:tcBorders>
            <w:shd w:val="clear" w:color="auto" w:fill="auto"/>
            <w:vAlign w:val="center"/>
          </w:tcPr>
          <w:p w14:paraId="60AE8236" w14:textId="7B109F1B"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4,6</w:t>
            </w:r>
          </w:p>
        </w:tc>
        <w:tc>
          <w:tcPr>
            <w:tcW w:w="737" w:type="dxa"/>
            <w:tcBorders>
              <w:top w:val="nil"/>
              <w:left w:val="nil"/>
              <w:bottom w:val="nil"/>
              <w:right w:val="single" w:sz="4" w:space="0" w:color="auto"/>
            </w:tcBorders>
            <w:shd w:val="clear" w:color="auto" w:fill="auto"/>
            <w:vAlign w:val="center"/>
          </w:tcPr>
          <w:p w14:paraId="21C63F3D" w14:textId="47B4BDC7"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2,3</w:t>
            </w:r>
          </w:p>
        </w:tc>
        <w:tc>
          <w:tcPr>
            <w:tcW w:w="737" w:type="dxa"/>
            <w:tcBorders>
              <w:top w:val="nil"/>
              <w:left w:val="nil"/>
              <w:bottom w:val="nil"/>
              <w:right w:val="nil"/>
            </w:tcBorders>
            <w:shd w:val="clear" w:color="auto" w:fill="auto"/>
            <w:vAlign w:val="center"/>
          </w:tcPr>
          <w:p w14:paraId="4D74D709" w14:textId="7BE15594"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25,6</w:t>
            </w:r>
          </w:p>
        </w:tc>
        <w:tc>
          <w:tcPr>
            <w:tcW w:w="737" w:type="dxa"/>
            <w:tcBorders>
              <w:top w:val="nil"/>
              <w:left w:val="nil"/>
              <w:bottom w:val="nil"/>
              <w:right w:val="nil"/>
            </w:tcBorders>
            <w:shd w:val="clear" w:color="auto" w:fill="auto"/>
            <w:vAlign w:val="center"/>
          </w:tcPr>
          <w:p w14:paraId="166A3FE0" w14:textId="0E9D0A40"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15,0</w:t>
            </w:r>
          </w:p>
        </w:tc>
        <w:tc>
          <w:tcPr>
            <w:tcW w:w="737" w:type="dxa"/>
            <w:tcBorders>
              <w:top w:val="nil"/>
              <w:left w:val="nil"/>
              <w:bottom w:val="nil"/>
              <w:right w:val="nil"/>
            </w:tcBorders>
            <w:shd w:val="clear" w:color="auto" w:fill="auto"/>
            <w:vAlign w:val="center"/>
          </w:tcPr>
          <w:p w14:paraId="0521326B" w14:textId="399EF9EA" w:rsidR="00577417" w:rsidRPr="00577417" w:rsidRDefault="00577417" w:rsidP="00577417">
            <w:pPr>
              <w:spacing w:after="0" w:line="240" w:lineRule="auto"/>
              <w:jc w:val="center"/>
              <w:rPr>
                <w:rFonts w:cs="Arial"/>
                <w:color w:val="000000"/>
                <w:sz w:val="16"/>
                <w:szCs w:val="16"/>
              </w:rPr>
            </w:pPr>
            <w:r w:rsidRPr="00577417">
              <w:rPr>
                <w:rFonts w:cs="Arial"/>
                <w:color w:val="000000"/>
                <w:sz w:val="16"/>
                <w:szCs w:val="16"/>
              </w:rPr>
              <w:t>10,6</w:t>
            </w:r>
          </w:p>
        </w:tc>
      </w:tr>
    </w:tbl>
    <w:p w14:paraId="5A9F7B2E" w14:textId="4B77221B" w:rsidR="004F6383" w:rsidRDefault="004F6383" w:rsidP="008924EC">
      <w:pPr>
        <w:spacing w:before="120" w:after="120"/>
        <w:rPr>
          <w:sz w:val="16"/>
        </w:rPr>
      </w:pPr>
      <w:r>
        <w:rPr>
          <w:sz w:val="16"/>
        </w:rPr>
        <w:t>Pozn.: Přerušení v časové řadě.</w:t>
      </w:r>
    </w:p>
    <w:p w14:paraId="69329F59" w14:textId="6FF9BB9D" w:rsidR="008924EC" w:rsidRPr="00577417" w:rsidRDefault="008924EC" w:rsidP="008924EC">
      <w:pPr>
        <w:spacing w:before="120" w:after="120"/>
        <w:rPr>
          <w:sz w:val="16"/>
        </w:rPr>
      </w:pPr>
      <w:r w:rsidRPr="00577417">
        <w:rPr>
          <w:sz w:val="16"/>
        </w:rPr>
        <w:t>Zdroj: ČSÚ</w:t>
      </w:r>
    </w:p>
    <w:p w14:paraId="56180CDF" w14:textId="77777777" w:rsidR="00BC2532" w:rsidRPr="00C42FD6" w:rsidRDefault="004C01F9" w:rsidP="00C42FD6">
      <w:pPr>
        <w:pStyle w:val="Nadpis3"/>
      </w:pPr>
      <w:bookmarkStart w:id="18" w:name="_Toc136412153"/>
      <w:r w:rsidRPr="00E9405E">
        <w:lastRenderedPageBreak/>
        <w:t>4.3 Ukončené případy dočasné pracovní neschopnosti</w:t>
      </w:r>
      <w:bookmarkEnd w:id="18"/>
    </w:p>
    <w:p w14:paraId="73B2A44B" w14:textId="77777777" w:rsidR="004C01F9" w:rsidRPr="00EE02F9" w:rsidRDefault="004C01F9" w:rsidP="00C42FD6">
      <w:pPr>
        <w:spacing w:after="120"/>
        <w:jc w:val="both"/>
      </w:pPr>
      <w:r w:rsidRPr="00EE02F9">
        <w:t xml:space="preserve">Zatímco doposud se analýza týkala </w:t>
      </w:r>
      <w:r w:rsidRPr="00EE02F9">
        <w:rPr>
          <w:b/>
        </w:rPr>
        <w:t>nově hlášených případů</w:t>
      </w:r>
      <w:r w:rsidRPr="00EE02F9">
        <w:t xml:space="preserve"> dočasné pracovní neschopnosti (kapitola 4.2), které ČSÚ zpracovává z evidence ČSSZ, jiný pohled nabízí data o </w:t>
      </w:r>
      <w:r w:rsidRPr="00EE02F9">
        <w:rPr>
          <w:b/>
        </w:rPr>
        <w:t>ukončených případech pracovní neschopnosti</w:t>
      </w:r>
      <w:r w:rsidRPr="00EE02F9">
        <w:t xml:space="preserve"> přímo publikovaná ČSSZ. Rozdíly v počtech nově hlášených a ukončených případů dočasné pracovní neschopnosti jsou dány odlišnou metodikou sběru dat. Trendy vývoje těchto ukazatelů jsou však konzistentní.</w:t>
      </w:r>
    </w:p>
    <w:p w14:paraId="2755D6EC" w14:textId="00CE35B8" w:rsidR="004C01F9" w:rsidRPr="00EE02F9" w:rsidRDefault="004C01F9" w:rsidP="004C01F9">
      <w:pPr>
        <w:spacing w:before="120" w:after="120"/>
        <w:jc w:val="both"/>
      </w:pPr>
      <w:r w:rsidRPr="00EE02F9">
        <w:t xml:space="preserve">Na rozdíl od statistik nově hlášených případů, ČSSZ publikuje údaje z hlediska </w:t>
      </w:r>
      <w:r w:rsidRPr="00EE02F9">
        <w:rPr>
          <w:b/>
        </w:rPr>
        <w:t>případů ukončených ve sledovaném roce</w:t>
      </w:r>
      <w:r w:rsidRPr="00EE02F9">
        <w:t xml:space="preserve">. Případy vzniklé na konci roku přesahující do roku dalšího jsou evidovány až ve zpracování dat roku následujícího. Pro dokreslení pohledu na statistiku nemocnosti byla vybraná data z tohoto zdroje využita v této kapitole. Data o ukončených případech jsou k dispozici v třídění z pohledu pojištěnce, nikoliv zaměstnavatele, jak tomu bylo u nově hlášených případů. ČSSZ třídí data např. podle věku dočasně práce </w:t>
      </w:r>
      <w:r w:rsidRPr="00E9405E">
        <w:t>neschopných, krajů</w:t>
      </w:r>
      <w:r w:rsidR="00E9405E" w:rsidRPr="00E9405E">
        <w:t xml:space="preserve"> místní příslušnosti lékaře</w:t>
      </w:r>
      <w:r w:rsidRPr="00E9405E">
        <w:t xml:space="preserve"> či skupin diagnóz.</w:t>
      </w:r>
    </w:p>
    <w:p w14:paraId="2322D103" w14:textId="3A95CB92" w:rsidR="004C01F9" w:rsidRPr="00EE02F9" w:rsidRDefault="004C01F9" w:rsidP="004C01F9">
      <w:pPr>
        <w:pStyle w:val="Box1"/>
        <w:spacing w:before="120" w:after="120"/>
        <w:ind w:left="0"/>
        <w:contextualSpacing w:val="0"/>
        <w:jc w:val="both"/>
        <w:rPr>
          <w:i/>
        </w:rPr>
      </w:pPr>
      <w:r w:rsidRPr="00EE02F9">
        <w:rPr>
          <w:b/>
          <w:i/>
        </w:rPr>
        <w:t xml:space="preserve">Ukončené případy pracovní neschopnosti </w:t>
      </w:r>
      <w:r w:rsidRPr="00EE02F9">
        <w:rPr>
          <w:i/>
        </w:rPr>
        <w:t xml:space="preserve">– zahrnují veškerá onemocnění a úrazy, které zapříčinily alespoň jednodenní pracovní neschopnost u </w:t>
      </w:r>
      <w:proofErr w:type="spellStart"/>
      <w:r w:rsidRPr="00EE02F9">
        <w:rPr>
          <w:i/>
        </w:rPr>
        <w:t>nemocensky</w:t>
      </w:r>
      <w:proofErr w:type="spellEnd"/>
      <w:r w:rsidRPr="00EE02F9">
        <w:rPr>
          <w:i/>
        </w:rPr>
        <w:t xml:space="preserve"> pojištěných os</w:t>
      </w:r>
      <w:r w:rsidR="00946D07">
        <w:rPr>
          <w:i/>
        </w:rPr>
        <w:t>ob ukončenou v daném roce</w:t>
      </w:r>
      <w:r w:rsidRPr="00EE02F9">
        <w:rPr>
          <w:i/>
        </w:rPr>
        <w:t>. Nezahrnuje tedy onemocnění a úrazy, u nichž pracovní neschopnost přesahovala do dalšího roku/období, ani ty případy, kdy nebylo vystaveno „Rozhodnutí o dočasné pracovní neschopnosti“.</w:t>
      </w:r>
    </w:p>
    <w:p w14:paraId="09B91930" w14:textId="7B778633" w:rsidR="004C01F9" w:rsidRPr="00EE02F9" w:rsidRDefault="004C01F9" w:rsidP="004C01F9">
      <w:pPr>
        <w:spacing w:before="120" w:after="120"/>
        <w:jc w:val="both"/>
      </w:pPr>
      <w:r w:rsidRPr="00EE02F9">
        <w:t>ČSSZ za rok 202</w:t>
      </w:r>
      <w:r w:rsidR="00EE02F9" w:rsidRPr="00EE02F9">
        <w:t>2</w:t>
      </w:r>
      <w:r w:rsidRPr="00EE02F9">
        <w:t xml:space="preserve"> evidovala </w:t>
      </w:r>
      <w:r w:rsidR="00EE02F9" w:rsidRPr="00EE02F9">
        <w:t>3 438</w:t>
      </w:r>
      <w:r w:rsidRPr="00EE02F9">
        <w:t xml:space="preserve"> tis. ukončených případů dočasné pracovní neschopnosti, což je </w:t>
      </w:r>
      <w:r w:rsidR="00EE02F9" w:rsidRPr="00EE02F9">
        <w:t xml:space="preserve">meziročně o čtvrtinu více a o 88 % více </w:t>
      </w:r>
      <w:r w:rsidRPr="00EE02F9">
        <w:t>než v roce 2019 (tedy před vypuknutím pandemie).</w:t>
      </w:r>
    </w:p>
    <w:p w14:paraId="1D0809A7" w14:textId="507435CB" w:rsidR="004C01F9" w:rsidRPr="00EE02F9" w:rsidRDefault="004C01F9" w:rsidP="00E50F69">
      <w:pPr>
        <w:spacing w:after="0"/>
        <w:rPr>
          <w:b/>
        </w:rPr>
      </w:pPr>
      <w:r w:rsidRPr="00EE02F9">
        <w:rPr>
          <w:b/>
        </w:rPr>
        <w:t>Tab. 3.1: Ukončené případy dočasné pracovní nes</w:t>
      </w:r>
      <w:r w:rsidR="00D50EF1" w:rsidRPr="00EE02F9">
        <w:rPr>
          <w:b/>
        </w:rPr>
        <w:t>chopnosti podle krajů ČR, 2019</w:t>
      </w:r>
      <w:r w:rsidR="00EE02F9" w:rsidRPr="00EE02F9">
        <w:rPr>
          <w:b/>
        </w:rPr>
        <w:t>, 2021, 2022</w:t>
      </w:r>
    </w:p>
    <w:tbl>
      <w:tblPr>
        <w:tblW w:w="9633" w:type="dxa"/>
        <w:tblCellMar>
          <w:left w:w="70" w:type="dxa"/>
          <w:right w:w="70" w:type="dxa"/>
        </w:tblCellMar>
        <w:tblLook w:val="04A0" w:firstRow="1" w:lastRow="0" w:firstColumn="1" w:lastColumn="0" w:noHBand="0" w:noVBand="1"/>
      </w:tblPr>
      <w:tblGrid>
        <w:gridCol w:w="1980"/>
        <w:gridCol w:w="850"/>
        <w:gridCol w:w="850"/>
        <w:gridCol w:w="851"/>
        <w:gridCol w:w="850"/>
        <w:gridCol w:w="850"/>
        <w:gridCol w:w="851"/>
        <w:gridCol w:w="850"/>
        <w:gridCol w:w="850"/>
        <w:gridCol w:w="851"/>
      </w:tblGrid>
      <w:tr w:rsidR="00D50EF1" w:rsidRPr="00EE02F9" w14:paraId="30E8AEA3" w14:textId="77777777" w:rsidTr="00D50EF1">
        <w:trPr>
          <w:trHeight w:val="615"/>
        </w:trPr>
        <w:tc>
          <w:tcPr>
            <w:tcW w:w="1980" w:type="dxa"/>
            <w:vMerge w:val="restart"/>
            <w:tcBorders>
              <w:top w:val="single" w:sz="4" w:space="0" w:color="auto"/>
              <w:left w:val="nil"/>
              <w:bottom w:val="single" w:sz="4" w:space="0" w:color="000000"/>
              <w:right w:val="single" w:sz="4" w:space="0" w:color="auto"/>
            </w:tcBorders>
            <w:shd w:val="clear" w:color="000000" w:fill="F2DCDB"/>
            <w:vAlign w:val="center"/>
            <w:hideMark/>
          </w:tcPr>
          <w:p w14:paraId="7DAA36EF" w14:textId="2DDCE937" w:rsidR="00D50EF1" w:rsidRPr="00EE02F9" w:rsidRDefault="00D50EF1" w:rsidP="00D50EF1">
            <w:pPr>
              <w:spacing w:after="0" w:line="240" w:lineRule="auto"/>
              <w:jc w:val="center"/>
              <w:rPr>
                <w:rFonts w:cs="Arial"/>
                <w:color w:val="000000"/>
                <w:sz w:val="16"/>
                <w:szCs w:val="16"/>
              </w:rPr>
            </w:pPr>
            <w:r w:rsidRPr="00EE02F9">
              <w:rPr>
                <w:rFonts w:cs="Arial"/>
                <w:color w:val="000000"/>
                <w:sz w:val="16"/>
                <w:szCs w:val="16"/>
              </w:rPr>
              <w:t>Kraj ČR</w:t>
            </w:r>
          </w:p>
        </w:tc>
        <w:tc>
          <w:tcPr>
            <w:tcW w:w="2551" w:type="dxa"/>
            <w:gridSpan w:val="3"/>
            <w:tcBorders>
              <w:top w:val="single" w:sz="4" w:space="0" w:color="auto"/>
              <w:left w:val="nil"/>
              <w:bottom w:val="single" w:sz="4" w:space="0" w:color="auto"/>
              <w:right w:val="single" w:sz="4" w:space="0" w:color="000000"/>
            </w:tcBorders>
            <w:shd w:val="clear" w:color="000000" w:fill="F2DCDB"/>
            <w:vAlign w:val="center"/>
            <w:hideMark/>
          </w:tcPr>
          <w:p w14:paraId="060A599A" w14:textId="77777777" w:rsidR="00D50EF1" w:rsidRPr="00EE02F9" w:rsidRDefault="00D50EF1" w:rsidP="00D50EF1">
            <w:pPr>
              <w:spacing w:after="0" w:line="240" w:lineRule="auto"/>
              <w:jc w:val="center"/>
              <w:rPr>
                <w:rFonts w:cs="Arial"/>
                <w:color w:val="000000"/>
                <w:sz w:val="16"/>
                <w:szCs w:val="16"/>
              </w:rPr>
            </w:pPr>
            <w:r w:rsidRPr="00EE02F9">
              <w:rPr>
                <w:rFonts w:cs="Arial"/>
                <w:color w:val="000000"/>
                <w:sz w:val="16"/>
                <w:szCs w:val="16"/>
              </w:rPr>
              <w:t>Počet ukončených případů DPN (tis.)</w:t>
            </w:r>
          </w:p>
        </w:tc>
        <w:tc>
          <w:tcPr>
            <w:tcW w:w="2551" w:type="dxa"/>
            <w:gridSpan w:val="3"/>
            <w:tcBorders>
              <w:top w:val="single" w:sz="4" w:space="0" w:color="auto"/>
              <w:left w:val="nil"/>
              <w:bottom w:val="single" w:sz="4" w:space="0" w:color="auto"/>
              <w:right w:val="single" w:sz="4" w:space="0" w:color="000000"/>
            </w:tcBorders>
            <w:shd w:val="clear" w:color="000000" w:fill="F2DCDB"/>
            <w:vAlign w:val="center"/>
            <w:hideMark/>
          </w:tcPr>
          <w:p w14:paraId="561C1647" w14:textId="77777777" w:rsidR="00D50EF1" w:rsidRPr="00EE02F9" w:rsidRDefault="00D50EF1" w:rsidP="00D50EF1">
            <w:pPr>
              <w:spacing w:after="0" w:line="240" w:lineRule="auto"/>
              <w:jc w:val="center"/>
              <w:rPr>
                <w:rFonts w:cs="Arial"/>
                <w:color w:val="000000"/>
                <w:sz w:val="16"/>
                <w:szCs w:val="16"/>
              </w:rPr>
            </w:pPr>
            <w:r w:rsidRPr="00EE02F9">
              <w:rPr>
                <w:rFonts w:cs="Arial"/>
                <w:color w:val="000000"/>
                <w:sz w:val="16"/>
                <w:szCs w:val="16"/>
              </w:rPr>
              <w:t>Počet prostonaných dnů (tis.)</w:t>
            </w:r>
          </w:p>
        </w:tc>
        <w:tc>
          <w:tcPr>
            <w:tcW w:w="2551" w:type="dxa"/>
            <w:gridSpan w:val="3"/>
            <w:tcBorders>
              <w:top w:val="single" w:sz="4" w:space="0" w:color="auto"/>
              <w:left w:val="nil"/>
              <w:bottom w:val="single" w:sz="4" w:space="0" w:color="auto"/>
              <w:right w:val="nil"/>
            </w:tcBorders>
            <w:shd w:val="clear" w:color="000000" w:fill="F2DCDB"/>
            <w:vAlign w:val="center"/>
            <w:hideMark/>
          </w:tcPr>
          <w:p w14:paraId="0E8F7784" w14:textId="58C9050E" w:rsidR="00D50EF1" w:rsidRPr="00EE02F9" w:rsidRDefault="00D50EF1" w:rsidP="00D50EF1">
            <w:pPr>
              <w:spacing w:after="0" w:line="240" w:lineRule="auto"/>
              <w:jc w:val="center"/>
              <w:rPr>
                <w:rFonts w:cs="Arial"/>
                <w:color w:val="000000"/>
                <w:sz w:val="16"/>
                <w:szCs w:val="16"/>
              </w:rPr>
            </w:pPr>
            <w:r w:rsidRPr="00EE02F9">
              <w:rPr>
                <w:rFonts w:cs="Arial"/>
                <w:color w:val="000000"/>
                <w:sz w:val="16"/>
                <w:szCs w:val="16"/>
              </w:rPr>
              <w:t>Prů</w:t>
            </w:r>
            <w:r w:rsidR="00E50F69" w:rsidRPr="00EE02F9">
              <w:rPr>
                <w:rFonts w:cs="Arial"/>
                <w:color w:val="000000"/>
                <w:sz w:val="16"/>
                <w:szCs w:val="16"/>
              </w:rPr>
              <w:t xml:space="preserve">měrná délka trvání případu DPN </w:t>
            </w:r>
            <w:r w:rsidRPr="00EE02F9">
              <w:rPr>
                <w:rFonts w:cs="Arial"/>
                <w:color w:val="000000"/>
                <w:sz w:val="16"/>
                <w:szCs w:val="16"/>
              </w:rPr>
              <w:t>ve dnech</w:t>
            </w:r>
          </w:p>
        </w:tc>
      </w:tr>
      <w:tr w:rsidR="00EE02F9" w:rsidRPr="00EE02F9" w14:paraId="3EB303FB" w14:textId="77777777" w:rsidTr="00EE02F9">
        <w:trPr>
          <w:trHeight w:val="390"/>
        </w:trPr>
        <w:tc>
          <w:tcPr>
            <w:tcW w:w="1980" w:type="dxa"/>
            <w:vMerge/>
            <w:tcBorders>
              <w:top w:val="single" w:sz="4" w:space="0" w:color="auto"/>
              <w:left w:val="nil"/>
              <w:bottom w:val="single" w:sz="4" w:space="0" w:color="000000"/>
              <w:right w:val="single" w:sz="4" w:space="0" w:color="auto"/>
            </w:tcBorders>
            <w:vAlign w:val="center"/>
            <w:hideMark/>
          </w:tcPr>
          <w:p w14:paraId="69807915" w14:textId="77777777" w:rsidR="00EE02F9" w:rsidRPr="00EE02F9" w:rsidRDefault="00EE02F9" w:rsidP="00EE02F9">
            <w:pPr>
              <w:spacing w:after="0" w:line="240" w:lineRule="auto"/>
              <w:rPr>
                <w:rFonts w:cs="Arial"/>
                <w:color w:val="000000"/>
                <w:sz w:val="16"/>
                <w:szCs w:val="16"/>
              </w:rPr>
            </w:pPr>
          </w:p>
        </w:tc>
        <w:tc>
          <w:tcPr>
            <w:tcW w:w="850" w:type="dxa"/>
            <w:tcBorders>
              <w:top w:val="nil"/>
              <w:left w:val="nil"/>
              <w:bottom w:val="single" w:sz="4" w:space="0" w:color="auto"/>
              <w:right w:val="single" w:sz="4" w:space="0" w:color="auto"/>
            </w:tcBorders>
            <w:shd w:val="clear" w:color="000000" w:fill="F2DCDB"/>
            <w:vAlign w:val="center"/>
            <w:hideMark/>
          </w:tcPr>
          <w:p w14:paraId="00B1FA9E" w14:textId="77777777"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2019</w:t>
            </w:r>
          </w:p>
        </w:tc>
        <w:tc>
          <w:tcPr>
            <w:tcW w:w="850" w:type="dxa"/>
            <w:tcBorders>
              <w:top w:val="nil"/>
              <w:left w:val="nil"/>
              <w:bottom w:val="single" w:sz="4" w:space="0" w:color="auto"/>
              <w:right w:val="single" w:sz="4" w:space="0" w:color="auto"/>
            </w:tcBorders>
            <w:shd w:val="clear" w:color="000000" w:fill="F2DCDB"/>
            <w:vAlign w:val="center"/>
            <w:hideMark/>
          </w:tcPr>
          <w:p w14:paraId="46E826A9" w14:textId="43263484"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2021</w:t>
            </w:r>
          </w:p>
        </w:tc>
        <w:tc>
          <w:tcPr>
            <w:tcW w:w="851" w:type="dxa"/>
            <w:tcBorders>
              <w:top w:val="nil"/>
              <w:left w:val="nil"/>
              <w:bottom w:val="single" w:sz="4" w:space="0" w:color="auto"/>
              <w:right w:val="single" w:sz="4" w:space="0" w:color="auto"/>
            </w:tcBorders>
            <w:shd w:val="clear" w:color="000000" w:fill="F2DCDB"/>
            <w:vAlign w:val="center"/>
          </w:tcPr>
          <w:p w14:paraId="53200221" w14:textId="2332F592"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2022</w:t>
            </w:r>
          </w:p>
        </w:tc>
        <w:tc>
          <w:tcPr>
            <w:tcW w:w="850" w:type="dxa"/>
            <w:tcBorders>
              <w:top w:val="nil"/>
              <w:left w:val="nil"/>
              <w:bottom w:val="single" w:sz="4" w:space="0" w:color="auto"/>
              <w:right w:val="single" w:sz="4" w:space="0" w:color="auto"/>
            </w:tcBorders>
            <w:shd w:val="clear" w:color="000000" w:fill="F2DCDB"/>
            <w:vAlign w:val="center"/>
            <w:hideMark/>
          </w:tcPr>
          <w:p w14:paraId="0DFE7E0A" w14:textId="77777777"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2019</w:t>
            </w:r>
          </w:p>
        </w:tc>
        <w:tc>
          <w:tcPr>
            <w:tcW w:w="850" w:type="dxa"/>
            <w:tcBorders>
              <w:top w:val="nil"/>
              <w:left w:val="nil"/>
              <w:bottom w:val="single" w:sz="4" w:space="0" w:color="auto"/>
              <w:right w:val="single" w:sz="4" w:space="0" w:color="auto"/>
            </w:tcBorders>
            <w:shd w:val="clear" w:color="000000" w:fill="F2DCDB"/>
            <w:vAlign w:val="center"/>
            <w:hideMark/>
          </w:tcPr>
          <w:p w14:paraId="7735F522" w14:textId="21FD977E"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2021</w:t>
            </w:r>
          </w:p>
        </w:tc>
        <w:tc>
          <w:tcPr>
            <w:tcW w:w="851" w:type="dxa"/>
            <w:tcBorders>
              <w:top w:val="nil"/>
              <w:left w:val="nil"/>
              <w:bottom w:val="single" w:sz="4" w:space="0" w:color="auto"/>
              <w:right w:val="single" w:sz="4" w:space="0" w:color="auto"/>
            </w:tcBorders>
            <w:shd w:val="clear" w:color="000000" w:fill="F2DCDB"/>
            <w:vAlign w:val="center"/>
          </w:tcPr>
          <w:p w14:paraId="6C0A1FB2" w14:textId="27C3543A"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2022</w:t>
            </w:r>
          </w:p>
        </w:tc>
        <w:tc>
          <w:tcPr>
            <w:tcW w:w="850" w:type="dxa"/>
            <w:tcBorders>
              <w:top w:val="nil"/>
              <w:left w:val="nil"/>
              <w:bottom w:val="single" w:sz="4" w:space="0" w:color="auto"/>
              <w:right w:val="single" w:sz="4" w:space="0" w:color="auto"/>
            </w:tcBorders>
            <w:shd w:val="clear" w:color="000000" w:fill="F2DCDB"/>
            <w:vAlign w:val="center"/>
            <w:hideMark/>
          </w:tcPr>
          <w:p w14:paraId="5B6EE3BA" w14:textId="77777777"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2019</w:t>
            </w:r>
          </w:p>
        </w:tc>
        <w:tc>
          <w:tcPr>
            <w:tcW w:w="850" w:type="dxa"/>
            <w:tcBorders>
              <w:top w:val="nil"/>
              <w:left w:val="nil"/>
              <w:bottom w:val="single" w:sz="4" w:space="0" w:color="auto"/>
              <w:right w:val="nil"/>
            </w:tcBorders>
            <w:shd w:val="clear" w:color="000000" w:fill="F2DCDB"/>
            <w:vAlign w:val="center"/>
            <w:hideMark/>
          </w:tcPr>
          <w:p w14:paraId="48233E59" w14:textId="464E848A"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2021</w:t>
            </w:r>
          </w:p>
        </w:tc>
        <w:tc>
          <w:tcPr>
            <w:tcW w:w="851" w:type="dxa"/>
            <w:tcBorders>
              <w:top w:val="nil"/>
              <w:left w:val="single" w:sz="4" w:space="0" w:color="auto"/>
              <w:bottom w:val="single" w:sz="4" w:space="0" w:color="auto"/>
              <w:right w:val="nil"/>
            </w:tcBorders>
            <w:shd w:val="clear" w:color="000000" w:fill="F2DCDB"/>
            <w:vAlign w:val="center"/>
          </w:tcPr>
          <w:p w14:paraId="0B1BA5C4" w14:textId="30CDEC7F" w:rsidR="00EE02F9" w:rsidRPr="00EE02F9" w:rsidRDefault="00EE02F9" w:rsidP="00EE02F9">
            <w:pPr>
              <w:spacing w:after="0" w:line="240" w:lineRule="auto"/>
              <w:jc w:val="center"/>
              <w:rPr>
                <w:rFonts w:cs="Arial"/>
                <w:color w:val="000000"/>
                <w:sz w:val="16"/>
                <w:szCs w:val="16"/>
              </w:rPr>
            </w:pPr>
            <w:r w:rsidRPr="00EE02F9">
              <w:rPr>
                <w:rFonts w:cs="Arial"/>
                <w:color w:val="000000"/>
                <w:sz w:val="16"/>
                <w:szCs w:val="16"/>
              </w:rPr>
              <w:t>2022</w:t>
            </w:r>
          </w:p>
        </w:tc>
      </w:tr>
      <w:tr w:rsidR="00EE02F9" w:rsidRPr="00EE02F9" w14:paraId="17377071" w14:textId="77777777" w:rsidTr="00EE02F9">
        <w:trPr>
          <w:trHeight w:val="300"/>
        </w:trPr>
        <w:tc>
          <w:tcPr>
            <w:tcW w:w="1980" w:type="dxa"/>
            <w:tcBorders>
              <w:top w:val="single" w:sz="4" w:space="0" w:color="000000"/>
              <w:bottom w:val="nil"/>
              <w:right w:val="single" w:sz="4" w:space="0" w:color="auto"/>
            </w:tcBorders>
            <w:shd w:val="clear" w:color="auto" w:fill="auto"/>
            <w:noWrap/>
            <w:vAlign w:val="center"/>
            <w:hideMark/>
          </w:tcPr>
          <w:p w14:paraId="74AC7B5D" w14:textId="77777777" w:rsidR="00EE02F9" w:rsidRPr="00EE02F9" w:rsidRDefault="00EE02F9" w:rsidP="00EE02F9">
            <w:pPr>
              <w:spacing w:after="0" w:line="240" w:lineRule="auto"/>
              <w:rPr>
                <w:rFonts w:cs="Arial"/>
                <w:b/>
                <w:bCs/>
                <w:color w:val="000000"/>
                <w:sz w:val="16"/>
                <w:szCs w:val="16"/>
              </w:rPr>
            </w:pPr>
            <w:r w:rsidRPr="00EE02F9">
              <w:rPr>
                <w:rFonts w:cs="Arial"/>
                <w:b/>
                <w:bCs/>
                <w:color w:val="000000"/>
                <w:sz w:val="16"/>
                <w:szCs w:val="16"/>
              </w:rPr>
              <w:t>ČR celkem</w:t>
            </w:r>
          </w:p>
        </w:tc>
        <w:tc>
          <w:tcPr>
            <w:tcW w:w="850" w:type="dxa"/>
            <w:tcBorders>
              <w:top w:val="nil"/>
              <w:left w:val="single" w:sz="4" w:space="0" w:color="auto"/>
              <w:bottom w:val="nil"/>
              <w:right w:val="single" w:sz="4" w:space="0" w:color="auto"/>
            </w:tcBorders>
            <w:shd w:val="clear" w:color="auto" w:fill="auto"/>
            <w:noWrap/>
            <w:vAlign w:val="center"/>
            <w:hideMark/>
          </w:tcPr>
          <w:p w14:paraId="18058E0E" w14:textId="77777777"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1 832,4</w:t>
            </w:r>
          </w:p>
        </w:tc>
        <w:tc>
          <w:tcPr>
            <w:tcW w:w="850" w:type="dxa"/>
            <w:tcBorders>
              <w:top w:val="nil"/>
              <w:left w:val="nil"/>
              <w:bottom w:val="nil"/>
              <w:right w:val="nil"/>
            </w:tcBorders>
            <w:shd w:val="clear" w:color="auto" w:fill="auto"/>
            <w:noWrap/>
            <w:vAlign w:val="center"/>
            <w:hideMark/>
          </w:tcPr>
          <w:p w14:paraId="28277EE3" w14:textId="09231957"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2 718,0</w:t>
            </w:r>
          </w:p>
        </w:tc>
        <w:tc>
          <w:tcPr>
            <w:tcW w:w="851" w:type="dxa"/>
            <w:tcBorders>
              <w:top w:val="nil"/>
              <w:left w:val="single" w:sz="4" w:space="0" w:color="auto"/>
              <w:bottom w:val="nil"/>
              <w:right w:val="single" w:sz="4" w:space="0" w:color="auto"/>
            </w:tcBorders>
            <w:shd w:val="clear" w:color="auto" w:fill="auto"/>
            <w:noWrap/>
            <w:vAlign w:val="center"/>
          </w:tcPr>
          <w:p w14:paraId="0E3B8F1A" w14:textId="0E1492AD"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3 437,9</w:t>
            </w:r>
          </w:p>
        </w:tc>
        <w:tc>
          <w:tcPr>
            <w:tcW w:w="850" w:type="dxa"/>
            <w:tcBorders>
              <w:top w:val="nil"/>
              <w:left w:val="nil"/>
              <w:bottom w:val="nil"/>
              <w:right w:val="single" w:sz="4" w:space="0" w:color="auto"/>
            </w:tcBorders>
            <w:shd w:val="clear" w:color="auto" w:fill="auto"/>
            <w:noWrap/>
            <w:vAlign w:val="center"/>
            <w:hideMark/>
          </w:tcPr>
          <w:p w14:paraId="1DED9A9C" w14:textId="77777777"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75 058,7</w:t>
            </w:r>
          </w:p>
        </w:tc>
        <w:tc>
          <w:tcPr>
            <w:tcW w:w="850" w:type="dxa"/>
            <w:tcBorders>
              <w:top w:val="nil"/>
              <w:left w:val="nil"/>
              <w:bottom w:val="nil"/>
              <w:right w:val="single" w:sz="4" w:space="0" w:color="auto"/>
            </w:tcBorders>
            <w:shd w:val="clear" w:color="auto" w:fill="auto"/>
            <w:noWrap/>
            <w:vAlign w:val="center"/>
            <w:hideMark/>
          </w:tcPr>
          <w:p w14:paraId="3F51150F" w14:textId="36F95C49"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93 699,2</w:t>
            </w:r>
          </w:p>
        </w:tc>
        <w:tc>
          <w:tcPr>
            <w:tcW w:w="851" w:type="dxa"/>
            <w:tcBorders>
              <w:top w:val="nil"/>
              <w:left w:val="nil"/>
              <w:bottom w:val="nil"/>
              <w:right w:val="single" w:sz="4" w:space="0" w:color="auto"/>
            </w:tcBorders>
            <w:shd w:val="clear" w:color="auto" w:fill="auto"/>
            <w:noWrap/>
            <w:vAlign w:val="center"/>
          </w:tcPr>
          <w:p w14:paraId="24A1B7BE" w14:textId="0B82F67C"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91 027,0</w:t>
            </w:r>
          </w:p>
        </w:tc>
        <w:tc>
          <w:tcPr>
            <w:tcW w:w="850" w:type="dxa"/>
            <w:tcBorders>
              <w:top w:val="nil"/>
              <w:left w:val="nil"/>
              <w:bottom w:val="nil"/>
              <w:right w:val="single" w:sz="4" w:space="0" w:color="auto"/>
            </w:tcBorders>
            <w:shd w:val="clear" w:color="auto" w:fill="auto"/>
            <w:noWrap/>
            <w:vAlign w:val="center"/>
            <w:hideMark/>
          </w:tcPr>
          <w:p w14:paraId="6B12BEF3" w14:textId="77777777"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41,0</w:t>
            </w:r>
          </w:p>
        </w:tc>
        <w:tc>
          <w:tcPr>
            <w:tcW w:w="850" w:type="dxa"/>
            <w:tcBorders>
              <w:top w:val="nil"/>
              <w:left w:val="nil"/>
              <w:bottom w:val="nil"/>
              <w:right w:val="nil"/>
            </w:tcBorders>
            <w:shd w:val="clear" w:color="auto" w:fill="auto"/>
            <w:noWrap/>
            <w:vAlign w:val="center"/>
            <w:hideMark/>
          </w:tcPr>
          <w:p w14:paraId="493462B1" w14:textId="166FDD8C"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34,5</w:t>
            </w:r>
          </w:p>
        </w:tc>
        <w:tc>
          <w:tcPr>
            <w:tcW w:w="851" w:type="dxa"/>
            <w:tcBorders>
              <w:top w:val="nil"/>
              <w:left w:val="single" w:sz="4" w:space="0" w:color="auto"/>
              <w:bottom w:val="nil"/>
              <w:right w:val="nil"/>
            </w:tcBorders>
            <w:shd w:val="clear" w:color="auto" w:fill="auto"/>
            <w:noWrap/>
            <w:vAlign w:val="center"/>
          </w:tcPr>
          <w:p w14:paraId="79BB0839" w14:textId="3AACFA77" w:rsidR="00EE02F9" w:rsidRPr="00EE02F9" w:rsidRDefault="00EE02F9" w:rsidP="00EE02F9">
            <w:pPr>
              <w:spacing w:after="0" w:line="240" w:lineRule="auto"/>
              <w:jc w:val="right"/>
              <w:rPr>
                <w:rFonts w:cs="Arial"/>
                <w:b/>
                <w:bCs/>
                <w:color w:val="000000"/>
                <w:sz w:val="16"/>
                <w:szCs w:val="16"/>
              </w:rPr>
            </w:pPr>
            <w:r w:rsidRPr="00EE02F9">
              <w:rPr>
                <w:rFonts w:cs="Arial"/>
                <w:b/>
                <w:bCs/>
                <w:color w:val="000000"/>
                <w:sz w:val="16"/>
                <w:szCs w:val="16"/>
              </w:rPr>
              <w:t>26,5</w:t>
            </w:r>
          </w:p>
        </w:tc>
      </w:tr>
      <w:tr w:rsidR="00EE02F9" w:rsidRPr="00EE02F9" w14:paraId="12B30072"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44E14ABC"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Hl. m. Praha</w:t>
            </w:r>
          </w:p>
        </w:tc>
        <w:tc>
          <w:tcPr>
            <w:tcW w:w="850" w:type="dxa"/>
            <w:tcBorders>
              <w:top w:val="nil"/>
              <w:left w:val="nil"/>
              <w:bottom w:val="nil"/>
              <w:right w:val="single" w:sz="4" w:space="0" w:color="auto"/>
            </w:tcBorders>
            <w:shd w:val="clear" w:color="auto" w:fill="auto"/>
            <w:noWrap/>
            <w:vAlign w:val="center"/>
            <w:hideMark/>
          </w:tcPr>
          <w:p w14:paraId="11FCE42B" w14:textId="2F4AFA34"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198,1</w:t>
            </w:r>
          </w:p>
        </w:tc>
        <w:tc>
          <w:tcPr>
            <w:tcW w:w="850" w:type="dxa"/>
            <w:tcBorders>
              <w:top w:val="nil"/>
              <w:left w:val="nil"/>
              <w:bottom w:val="nil"/>
              <w:right w:val="nil"/>
            </w:tcBorders>
            <w:shd w:val="clear" w:color="auto" w:fill="auto"/>
            <w:noWrap/>
            <w:vAlign w:val="center"/>
            <w:hideMark/>
          </w:tcPr>
          <w:p w14:paraId="2DC9FF3E" w14:textId="2520FA4C"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294,8</w:t>
            </w:r>
          </w:p>
        </w:tc>
        <w:tc>
          <w:tcPr>
            <w:tcW w:w="851" w:type="dxa"/>
            <w:tcBorders>
              <w:top w:val="nil"/>
              <w:left w:val="single" w:sz="4" w:space="0" w:color="auto"/>
              <w:bottom w:val="nil"/>
              <w:right w:val="single" w:sz="4" w:space="0" w:color="auto"/>
            </w:tcBorders>
            <w:shd w:val="clear" w:color="auto" w:fill="auto"/>
            <w:noWrap/>
            <w:vAlign w:val="center"/>
          </w:tcPr>
          <w:p w14:paraId="3951BB26" w14:textId="215C604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446,0</w:t>
            </w:r>
          </w:p>
        </w:tc>
        <w:tc>
          <w:tcPr>
            <w:tcW w:w="850" w:type="dxa"/>
            <w:tcBorders>
              <w:top w:val="nil"/>
              <w:left w:val="nil"/>
              <w:bottom w:val="nil"/>
              <w:right w:val="single" w:sz="4" w:space="0" w:color="auto"/>
            </w:tcBorders>
            <w:shd w:val="clear" w:color="auto" w:fill="auto"/>
            <w:noWrap/>
            <w:vAlign w:val="center"/>
            <w:hideMark/>
          </w:tcPr>
          <w:p w14:paraId="0F85818A"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6 161,0</w:t>
            </w:r>
          </w:p>
        </w:tc>
        <w:tc>
          <w:tcPr>
            <w:tcW w:w="850" w:type="dxa"/>
            <w:tcBorders>
              <w:top w:val="nil"/>
              <w:left w:val="nil"/>
              <w:bottom w:val="nil"/>
              <w:right w:val="single" w:sz="4" w:space="0" w:color="auto"/>
            </w:tcBorders>
            <w:shd w:val="clear" w:color="auto" w:fill="auto"/>
            <w:noWrap/>
            <w:vAlign w:val="center"/>
            <w:hideMark/>
          </w:tcPr>
          <w:p w14:paraId="0FC751B8" w14:textId="602E4794"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8 637,3</w:t>
            </w:r>
          </w:p>
        </w:tc>
        <w:tc>
          <w:tcPr>
            <w:tcW w:w="851" w:type="dxa"/>
            <w:tcBorders>
              <w:top w:val="nil"/>
              <w:left w:val="nil"/>
              <w:bottom w:val="nil"/>
              <w:right w:val="single" w:sz="4" w:space="0" w:color="auto"/>
            </w:tcBorders>
            <w:shd w:val="clear" w:color="auto" w:fill="auto"/>
            <w:noWrap/>
            <w:vAlign w:val="center"/>
          </w:tcPr>
          <w:p w14:paraId="6C96B75D" w14:textId="3A36BC7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8 948,3</w:t>
            </w:r>
          </w:p>
        </w:tc>
        <w:tc>
          <w:tcPr>
            <w:tcW w:w="850" w:type="dxa"/>
            <w:tcBorders>
              <w:top w:val="nil"/>
              <w:left w:val="nil"/>
              <w:bottom w:val="nil"/>
              <w:right w:val="single" w:sz="4" w:space="0" w:color="auto"/>
            </w:tcBorders>
            <w:shd w:val="clear" w:color="auto" w:fill="auto"/>
            <w:noWrap/>
            <w:vAlign w:val="center"/>
            <w:hideMark/>
          </w:tcPr>
          <w:p w14:paraId="6D055B7A"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31,1</w:t>
            </w:r>
          </w:p>
        </w:tc>
        <w:tc>
          <w:tcPr>
            <w:tcW w:w="850" w:type="dxa"/>
            <w:tcBorders>
              <w:top w:val="nil"/>
              <w:left w:val="nil"/>
              <w:bottom w:val="nil"/>
              <w:right w:val="nil"/>
            </w:tcBorders>
            <w:shd w:val="clear" w:color="auto" w:fill="auto"/>
            <w:noWrap/>
            <w:vAlign w:val="center"/>
            <w:hideMark/>
          </w:tcPr>
          <w:p w14:paraId="0193385B" w14:textId="0EE21C00"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29,3</w:t>
            </w:r>
          </w:p>
        </w:tc>
        <w:tc>
          <w:tcPr>
            <w:tcW w:w="851" w:type="dxa"/>
            <w:tcBorders>
              <w:top w:val="nil"/>
              <w:left w:val="single" w:sz="4" w:space="0" w:color="auto"/>
              <w:bottom w:val="nil"/>
              <w:right w:val="nil"/>
            </w:tcBorders>
            <w:shd w:val="clear" w:color="auto" w:fill="auto"/>
            <w:noWrap/>
            <w:vAlign w:val="center"/>
          </w:tcPr>
          <w:p w14:paraId="07E5B73B" w14:textId="191188A4"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20,1</w:t>
            </w:r>
          </w:p>
        </w:tc>
      </w:tr>
      <w:tr w:rsidR="00EE02F9" w:rsidRPr="00EE02F9" w14:paraId="50BB2A14"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7824C241"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Středočeský kraj</w:t>
            </w:r>
          </w:p>
        </w:tc>
        <w:tc>
          <w:tcPr>
            <w:tcW w:w="850" w:type="dxa"/>
            <w:tcBorders>
              <w:top w:val="nil"/>
              <w:left w:val="nil"/>
              <w:bottom w:val="nil"/>
              <w:right w:val="single" w:sz="4" w:space="0" w:color="auto"/>
            </w:tcBorders>
            <w:shd w:val="clear" w:color="auto" w:fill="auto"/>
            <w:noWrap/>
            <w:vAlign w:val="center"/>
            <w:hideMark/>
          </w:tcPr>
          <w:p w14:paraId="353D3FF2"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219,5</w:t>
            </w:r>
          </w:p>
        </w:tc>
        <w:tc>
          <w:tcPr>
            <w:tcW w:w="850" w:type="dxa"/>
            <w:tcBorders>
              <w:top w:val="nil"/>
              <w:left w:val="nil"/>
              <w:bottom w:val="nil"/>
              <w:right w:val="nil"/>
            </w:tcBorders>
            <w:shd w:val="clear" w:color="auto" w:fill="auto"/>
            <w:noWrap/>
            <w:vAlign w:val="center"/>
            <w:hideMark/>
          </w:tcPr>
          <w:p w14:paraId="09CB009B" w14:textId="1C5BFAFC"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304,4</w:t>
            </w:r>
          </w:p>
        </w:tc>
        <w:tc>
          <w:tcPr>
            <w:tcW w:w="851" w:type="dxa"/>
            <w:tcBorders>
              <w:top w:val="nil"/>
              <w:left w:val="single" w:sz="4" w:space="0" w:color="auto"/>
              <w:bottom w:val="nil"/>
              <w:right w:val="single" w:sz="4" w:space="0" w:color="auto"/>
            </w:tcBorders>
            <w:shd w:val="clear" w:color="auto" w:fill="auto"/>
            <w:noWrap/>
            <w:vAlign w:val="center"/>
          </w:tcPr>
          <w:p w14:paraId="4BE2FE0B" w14:textId="639679EF"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363,0</w:t>
            </w:r>
          </w:p>
        </w:tc>
        <w:tc>
          <w:tcPr>
            <w:tcW w:w="850" w:type="dxa"/>
            <w:tcBorders>
              <w:top w:val="nil"/>
              <w:left w:val="nil"/>
              <w:bottom w:val="nil"/>
              <w:right w:val="single" w:sz="4" w:space="0" w:color="auto"/>
            </w:tcBorders>
            <w:shd w:val="clear" w:color="auto" w:fill="auto"/>
            <w:noWrap/>
            <w:vAlign w:val="center"/>
            <w:hideMark/>
          </w:tcPr>
          <w:p w14:paraId="5E38CDA0" w14:textId="186BE5C2"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8 152,9</w:t>
            </w:r>
          </w:p>
        </w:tc>
        <w:tc>
          <w:tcPr>
            <w:tcW w:w="850" w:type="dxa"/>
            <w:tcBorders>
              <w:top w:val="nil"/>
              <w:left w:val="nil"/>
              <w:bottom w:val="nil"/>
              <w:right w:val="single" w:sz="4" w:space="0" w:color="auto"/>
            </w:tcBorders>
            <w:shd w:val="clear" w:color="auto" w:fill="auto"/>
            <w:noWrap/>
            <w:vAlign w:val="center"/>
            <w:hideMark/>
          </w:tcPr>
          <w:p w14:paraId="443566F7" w14:textId="51C514B0"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9 633,1</w:t>
            </w:r>
          </w:p>
        </w:tc>
        <w:tc>
          <w:tcPr>
            <w:tcW w:w="851" w:type="dxa"/>
            <w:tcBorders>
              <w:top w:val="nil"/>
              <w:left w:val="nil"/>
              <w:bottom w:val="nil"/>
              <w:right w:val="single" w:sz="4" w:space="0" w:color="auto"/>
            </w:tcBorders>
            <w:shd w:val="clear" w:color="auto" w:fill="auto"/>
            <w:noWrap/>
            <w:vAlign w:val="center"/>
          </w:tcPr>
          <w:p w14:paraId="4FBBE487" w14:textId="6675F76E"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9 123,5</w:t>
            </w:r>
          </w:p>
        </w:tc>
        <w:tc>
          <w:tcPr>
            <w:tcW w:w="850" w:type="dxa"/>
            <w:tcBorders>
              <w:top w:val="nil"/>
              <w:left w:val="nil"/>
              <w:bottom w:val="nil"/>
              <w:right w:val="single" w:sz="4" w:space="0" w:color="auto"/>
            </w:tcBorders>
            <w:shd w:val="clear" w:color="auto" w:fill="auto"/>
            <w:noWrap/>
            <w:vAlign w:val="center"/>
            <w:hideMark/>
          </w:tcPr>
          <w:p w14:paraId="763ADDDD"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37,2</w:t>
            </w:r>
          </w:p>
        </w:tc>
        <w:tc>
          <w:tcPr>
            <w:tcW w:w="850" w:type="dxa"/>
            <w:tcBorders>
              <w:top w:val="nil"/>
              <w:left w:val="nil"/>
              <w:bottom w:val="nil"/>
              <w:right w:val="nil"/>
            </w:tcBorders>
            <w:shd w:val="clear" w:color="auto" w:fill="auto"/>
            <w:noWrap/>
            <w:vAlign w:val="center"/>
            <w:hideMark/>
          </w:tcPr>
          <w:p w14:paraId="4B5E6AC9" w14:textId="12B1ECE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31,6</w:t>
            </w:r>
          </w:p>
        </w:tc>
        <w:tc>
          <w:tcPr>
            <w:tcW w:w="851" w:type="dxa"/>
            <w:tcBorders>
              <w:top w:val="nil"/>
              <w:left w:val="single" w:sz="4" w:space="0" w:color="auto"/>
              <w:bottom w:val="nil"/>
              <w:right w:val="nil"/>
            </w:tcBorders>
            <w:shd w:val="clear" w:color="auto" w:fill="auto"/>
            <w:noWrap/>
            <w:vAlign w:val="center"/>
          </w:tcPr>
          <w:p w14:paraId="00337279" w14:textId="51BC1BDE"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25,1</w:t>
            </w:r>
          </w:p>
        </w:tc>
      </w:tr>
      <w:tr w:rsidR="00EE02F9" w:rsidRPr="00EE02F9" w14:paraId="1032B309"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374A1BDB"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Jihočeský kraj</w:t>
            </w:r>
          </w:p>
        </w:tc>
        <w:tc>
          <w:tcPr>
            <w:tcW w:w="850" w:type="dxa"/>
            <w:tcBorders>
              <w:top w:val="nil"/>
              <w:left w:val="nil"/>
              <w:bottom w:val="nil"/>
              <w:right w:val="single" w:sz="4" w:space="0" w:color="auto"/>
            </w:tcBorders>
            <w:shd w:val="clear" w:color="auto" w:fill="auto"/>
            <w:noWrap/>
            <w:vAlign w:val="center"/>
            <w:hideMark/>
          </w:tcPr>
          <w:p w14:paraId="311B7993"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117,3</w:t>
            </w:r>
          </w:p>
        </w:tc>
        <w:tc>
          <w:tcPr>
            <w:tcW w:w="850" w:type="dxa"/>
            <w:tcBorders>
              <w:top w:val="nil"/>
              <w:left w:val="nil"/>
              <w:bottom w:val="nil"/>
              <w:right w:val="nil"/>
            </w:tcBorders>
            <w:shd w:val="clear" w:color="auto" w:fill="auto"/>
            <w:noWrap/>
            <w:vAlign w:val="center"/>
            <w:hideMark/>
          </w:tcPr>
          <w:p w14:paraId="0613CE27" w14:textId="45B8E59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170,3</w:t>
            </w:r>
          </w:p>
        </w:tc>
        <w:tc>
          <w:tcPr>
            <w:tcW w:w="851" w:type="dxa"/>
            <w:tcBorders>
              <w:top w:val="nil"/>
              <w:left w:val="single" w:sz="4" w:space="0" w:color="auto"/>
              <w:bottom w:val="nil"/>
              <w:right w:val="single" w:sz="4" w:space="0" w:color="auto"/>
            </w:tcBorders>
            <w:shd w:val="clear" w:color="auto" w:fill="auto"/>
            <w:noWrap/>
            <w:vAlign w:val="center"/>
          </w:tcPr>
          <w:p w14:paraId="40D8682A" w14:textId="20EFECC4"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209,3</w:t>
            </w:r>
          </w:p>
        </w:tc>
        <w:tc>
          <w:tcPr>
            <w:tcW w:w="850" w:type="dxa"/>
            <w:tcBorders>
              <w:top w:val="nil"/>
              <w:left w:val="nil"/>
              <w:bottom w:val="nil"/>
              <w:right w:val="single" w:sz="4" w:space="0" w:color="auto"/>
            </w:tcBorders>
            <w:shd w:val="clear" w:color="auto" w:fill="auto"/>
            <w:noWrap/>
            <w:vAlign w:val="center"/>
            <w:hideMark/>
          </w:tcPr>
          <w:p w14:paraId="4920DD5D" w14:textId="269FFA1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5 060,8</w:t>
            </w:r>
          </w:p>
        </w:tc>
        <w:tc>
          <w:tcPr>
            <w:tcW w:w="850" w:type="dxa"/>
            <w:tcBorders>
              <w:top w:val="nil"/>
              <w:left w:val="nil"/>
              <w:bottom w:val="nil"/>
              <w:right w:val="single" w:sz="4" w:space="0" w:color="auto"/>
            </w:tcBorders>
            <w:shd w:val="clear" w:color="auto" w:fill="auto"/>
            <w:noWrap/>
            <w:vAlign w:val="center"/>
            <w:hideMark/>
          </w:tcPr>
          <w:p w14:paraId="0CD904EA" w14:textId="4AAA5A36"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6 069,7</w:t>
            </w:r>
          </w:p>
        </w:tc>
        <w:tc>
          <w:tcPr>
            <w:tcW w:w="851" w:type="dxa"/>
            <w:tcBorders>
              <w:top w:val="nil"/>
              <w:left w:val="nil"/>
              <w:bottom w:val="nil"/>
              <w:right w:val="single" w:sz="4" w:space="0" w:color="auto"/>
            </w:tcBorders>
            <w:shd w:val="clear" w:color="auto" w:fill="auto"/>
            <w:noWrap/>
            <w:vAlign w:val="center"/>
          </w:tcPr>
          <w:p w14:paraId="7C9E4D76" w14:textId="07E4A0A0"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5 828,2</w:t>
            </w:r>
          </w:p>
        </w:tc>
        <w:tc>
          <w:tcPr>
            <w:tcW w:w="850" w:type="dxa"/>
            <w:tcBorders>
              <w:top w:val="nil"/>
              <w:left w:val="nil"/>
              <w:bottom w:val="nil"/>
              <w:right w:val="single" w:sz="4" w:space="0" w:color="auto"/>
            </w:tcBorders>
            <w:shd w:val="clear" w:color="auto" w:fill="auto"/>
            <w:noWrap/>
            <w:vAlign w:val="center"/>
            <w:hideMark/>
          </w:tcPr>
          <w:p w14:paraId="600E9A81" w14:textId="40BFAD25"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43,2</w:t>
            </w:r>
          </w:p>
        </w:tc>
        <w:tc>
          <w:tcPr>
            <w:tcW w:w="850" w:type="dxa"/>
            <w:tcBorders>
              <w:top w:val="nil"/>
              <w:left w:val="nil"/>
              <w:bottom w:val="nil"/>
              <w:right w:val="nil"/>
            </w:tcBorders>
            <w:shd w:val="clear" w:color="auto" w:fill="auto"/>
            <w:noWrap/>
            <w:vAlign w:val="center"/>
            <w:hideMark/>
          </w:tcPr>
          <w:p w14:paraId="2B4A43C5" w14:textId="6EE4E42F"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35,6</w:t>
            </w:r>
          </w:p>
        </w:tc>
        <w:tc>
          <w:tcPr>
            <w:tcW w:w="851" w:type="dxa"/>
            <w:tcBorders>
              <w:top w:val="nil"/>
              <w:left w:val="single" w:sz="4" w:space="0" w:color="auto"/>
              <w:bottom w:val="nil"/>
              <w:right w:val="nil"/>
            </w:tcBorders>
            <w:shd w:val="clear" w:color="auto" w:fill="auto"/>
            <w:noWrap/>
            <w:vAlign w:val="center"/>
          </w:tcPr>
          <w:p w14:paraId="5B16AE89" w14:textId="5C2FE261"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27,8</w:t>
            </w:r>
          </w:p>
        </w:tc>
      </w:tr>
      <w:tr w:rsidR="00EE02F9" w:rsidRPr="00EE02F9" w14:paraId="45CF5305"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040B1E04"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Plzeňský kraj</w:t>
            </w:r>
          </w:p>
        </w:tc>
        <w:tc>
          <w:tcPr>
            <w:tcW w:w="850" w:type="dxa"/>
            <w:tcBorders>
              <w:top w:val="nil"/>
              <w:left w:val="nil"/>
              <w:bottom w:val="nil"/>
              <w:right w:val="single" w:sz="4" w:space="0" w:color="auto"/>
            </w:tcBorders>
            <w:shd w:val="clear" w:color="auto" w:fill="auto"/>
            <w:noWrap/>
            <w:vAlign w:val="center"/>
            <w:hideMark/>
          </w:tcPr>
          <w:p w14:paraId="398B2657"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120,2</w:t>
            </w:r>
          </w:p>
        </w:tc>
        <w:tc>
          <w:tcPr>
            <w:tcW w:w="850" w:type="dxa"/>
            <w:tcBorders>
              <w:top w:val="nil"/>
              <w:left w:val="nil"/>
              <w:bottom w:val="nil"/>
              <w:right w:val="nil"/>
            </w:tcBorders>
            <w:shd w:val="clear" w:color="auto" w:fill="auto"/>
            <w:noWrap/>
            <w:vAlign w:val="center"/>
            <w:hideMark/>
          </w:tcPr>
          <w:p w14:paraId="2A4ABBDC" w14:textId="554D3A81"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170,3</w:t>
            </w:r>
          </w:p>
        </w:tc>
        <w:tc>
          <w:tcPr>
            <w:tcW w:w="851" w:type="dxa"/>
            <w:tcBorders>
              <w:top w:val="nil"/>
              <w:left w:val="single" w:sz="4" w:space="0" w:color="auto"/>
              <w:bottom w:val="nil"/>
              <w:right w:val="single" w:sz="4" w:space="0" w:color="auto"/>
            </w:tcBorders>
            <w:shd w:val="clear" w:color="auto" w:fill="auto"/>
            <w:noWrap/>
            <w:vAlign w:val="center"/>
          </w:tcPr>
          <w:p w14:paraId="1015C21D" w14:textId="2D5211AB"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210,5</w:t>
            </w:r>
          </w:p>
        </w:tc>
        <w:tc>
          <w:tcPr>
            <w:tcW w:w="850" w:type="dxa"/>
            <w:tcBorders>
              <w:top w:val="nil"/>
              <w:left w:val="nil"/>
              <w:bottom w:val="nil"/>
              <w:right w:val="single" w:sz="4" w:space="0" w:color="auto"/>
            </w:tcBorders>
            <w:shd w:val="clear" w:color="auto" w:fill="auto"/>
            <w:noWrap/>
            <w:vAlign w:val="center"/>
            <w:hideMark/>
          </w:tcPr>
          <w:p w14:paraId="2DC4882F" w14:textId="020546E6"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4 645,1</w:t>
            </w:r>
          </w:p>
        </w:tc>
        <w:tc>
          <w:tcPr>
            <w:tcW w:w="850" w:type="dxa"/>
            <w:tcBorders>
              <w:top w:val="nil"/>
              <w:left w:val="nil"/>
              <w:bottom w:val="nil"/>
              <w:right w:val="single" w:sz="4" w:space="0" w:color="auto"/>
            </w:tcBorders>
            <w:shd w:val="clear" w:color="auto" w:fill="auto"/>
            <w:noWrap/>
            <w:vAlign w:val="center"/>
            <w:hideMark/>
          </w:tcPr>
          <w:p w14:paraId="67A94F02" w14:textId="0233472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5 713,5</w:t>
            </w:r>
          </w:p>
        </w:tc>
        <w:tc>
          <w:tcPr>
            <w:tcW w:w="851" w:type="dxa"/>
            <w:tcBorders>
              <w:top w:val="nil"/>
              <w:left w:val="nil"/>
              <w:bottom w:val="nil"/>
              <w:right w:val="single" w:sz="4" w:space="0" w:color="auto"/>
            </w:tcBorders>
            <w:shd w:val="clear" w:color="auto" w:fill="auto"/>
            <w:noWrap/>
            <w:vAlign w:val="center"/>
          </w:tcPr>
          <w:p w14:paraId="6548FB0E" w14:textId="785E3EE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5 434,8</w:t>
            </w:r>
          </w:p>
        </w:tc>
        <w:tc>
          <w:tcPr>
            <w:tcW w:w="850" w:type="dxa"/>
            <w:tcBorders>
              <w:top w:val="nil"/>
              <w:left w:val="nil"/>
              <w:bottom w:val="nil"/>
              <w:right w:val="single" w:sz="4" w:space="0" w:color="auto"/>
            </w:tcBorders>
            <w:shd w:val="clear" w:color="auto" w:fill="auto"/>
            <w:noWrap/>
            <w:vAlign w:val="center"/>
            <w:hideMark/>
          </w:tcPr>
          <w:p w14:paraId="3BD4478A" w14:textId="4BE8598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38,6</w:t>
            </w:r>
          </w:p>
        </w:tc>
        <w:tc>
          <w:tcPr>
            <w:tcW w:w="850" w:type="dxa"/>
            <w:tcBorders>
              <w:top w:val="nil"/>
              <w:left w:val="nil"/>
              <w:bottom w:val="nil"/>
              <w:right w:val="nil"/>
            </w:tcBorders>
            <w:shd w:val="clear" w:color="auto" w:fill="auto"/>
            <w:noWrap/>
            <w:vAlign w:val="center"/>
            <w:hideMark/>
          </w:tcPr>
          <w:p w14:paraId="59C951D9" w14:textId="6AD8BA25"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33,5</w:t>
            </w:r>
          </w:p>
        </w:tc>
        <w:tc>
          <w:tcPr>
            <w:tcW w:w="851" w:type="dxa"/>
            <w:tcBorders>
              <w:top w:val="nil"/>
              <w:left w:val="single" w:sz="4" w:space="0" w:color="auto"/>
              <w:bottom w:val="nil"/>
              <w:right w:val="nil"/>
            </w:tcBorders>
            <w:shd w:val="clear" w:color="auto" w:fill="auto"/>
            <w:noWrap/>
            <w:vAlign w:val="center"/>
          </w:tcPr>
          <w:p w14:paraId="1B55CE12" w14:textId="74129D2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25,8</w:t>
            </w:r>
          </w:p>
        </w:tc>
      </w:tr>
      <w:tr w:rsidR="00EE02F9" w:rsidRPr="00EE02F9" w14:paraId="349FD055"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3DB0AF6C"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Karlovarský kraj</w:t>
            </w:r>
          </w:p>
        </w:tc>
        <w:tc>
          <w:tcPr>
            <w:tcW w:w="850" w:type="dxa"/>
            <w:tcBorders>
              <w:top w:val="nil"/>
              <w:left w:val="nil"/>
              <w:bottom w:val="nil"/>
              <w:right w:val="single" w:sz="4" w:space="0" w:color="auto"/>
            </w:tcBorders>
            <w:shd w:val="clear" w:color="auto" w:fill="auto"/>
            <w:noWrap/>
            <w:vAlign w:val="center"/>
            <w:hideMark/>
          </w:tcPr>
          <w:p w14:paraId="3E469C73"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49,4</w:t>
            </w:r>
          </w:p>
        </w:tc>
        <w:tc>
          <w:tcPr>
            <w:tcW w:w="850" w:type="dxa"/>
            <w:tcBorders>
              <w:top w:val="nil"/>
              <w:left w:val="nil"/>
              <w:bottom w:val="nil"/>
              <w:right w:val="nil"/>
            </w:tcBorders>
            <w:shd w:val="clear" w:color="auto" w:fill="auto"/>
            <w:noWrap/>
            <w:vAlign w:val="center"/>
            <w:hideMark/>
          </w:tcPr>
          <w:p w14:paraId="35ECB5EE" w14:textId="287C615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65,2</w:t>
            </w:r>
          </w:p>
        </w:tc>
        <w:tc>
          <w:tcPr>
            <w:tcW w:w="851" w:type="dxa"/>
            <w:tcBorders>
              <w:top w:val="nil"/>
              <w:left w:val="single" w:sz="4" w:space="0" w:color="auto"/>
              <w:bottom w:val="nil"/>
              <w:right w:val="single" w:sz="4" w:space="0" w:color="auto"/>
            </w:tcBorders>
            <w:shd w:val="clear" w:color="auto" w:fill="auto"/>
            <w:noWrap/>
            <w:vAlign w:val="center"/>
          </w:tcPr>
          <w:p w14:paraId="550C303F" w14:textId="612D6A51"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80,4</w:t>
            </w:r>
          </w:p>
        </w:tc>
        <w:tc>
          <w:tcPr>
            <w:tcW w:w="850" w:type="dxa"/>
            <w:tcBorders>
              <w:top w:val="nil"/>
              <w:left w:val="nil"/>
              <w:bottom w:val="nil"/>
              <w:right w:val="single" w:sz="4" w:space="0" w:color="auto"/>
            </w:tcBorders>
            <w:shd w:val="clear" w:color="auto" w:fill="auto"/>
            <w:noWrap/>
            <w:vAlign w:val="center"/>
            <w:hideMark/>
          </w:tcPr>
          <w:p w14:paraId="4FA3B0FC" w14:textId="5F5600D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1 891,6</w:t>
            </w:r>
          </w:p>
        </w:tc>
        <w:tc>
          <w:tcPr>
            <w:tcW w:w="850" w:type="dxa"/>
            <w:tcBorders>
              <w:top w:val="nil"/>
              <w:left w:val="nil"/>
              <w:bottom w:val="nil"/>
              <w:right w:val="single" w:sz="4" w:space="0" w:color="auto"/>
            </w:tcBorders>
            <w:shd w:val="clear" w:color="auto" w:fill="auto"/>
            <w:noWrap/>
            <w:vAlign w:val="center"/>
            <w:hideMark/>
          </w:tcPr>
          <w:p w14:paraId="55C9940E" w14:textId="3606A09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2 258,1</w:t>
            </w:r>
          </w:p>
        </w:tc>
        <w:tc>
          <w:tcPr>
            <w:tcW w:w="851" w:type="dxa"/>
            <w:tcBorders>
              <w:top w:val="nil"/>
              <w:left w:val="nil"/>
              <w:bottom w:val="nil"/>
              <w:right w:val="single" w:sz="4" w:space="0" w:color="auto"/>
            </w:tcBorders>
            <w:shd w:val="clear" w:color="auto" w:fill="auto"/>
            <w:noWrap/>
            <w:vAlign w:val="center"/>
          </w:tcPr>
          <w:p w14:paraId="3141B521" w14:textId="5DC8AB49"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2 178,4</w:t>
            </w:r>
          </w:p>
        </w:tc>
        <w:tc>
          <w:tcPr>
            <w:tcW w:w="850" w:type="dxa"/>
            <w:tcBorders>
              <w:top w:val="nil"/>
              <w:left w:val="nil"/>
              <w:bottom w:val="nil"/>
              <w:right w:val="single" w:sz="4" w:space="0" w:color="auto"/>
            </w:tcBorders>
            <w:shd w:val="clear" w:color="auto" w:fill="auto"/>
            <w:noWrap/>
            <w:vAlign w:val="center"/>
            <w:hideMark/>
          </w:tcPr>
          <w:p w14:paraId="40CE76E0"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38,3</w:t>
            </w:r>
          </w:p>
        </w:tc>
        <w:tc>
          <w:tcPr>
            <w:tcW w:w="850" w:type="dxa"/>
            <w:tcBorders>
              <w:top w:val="nil"/>
              <w:left w:val="nil"/>
              <w:bottom w:val="nil"/>
              <w:right w:val="nil"/>
            </w:tcBorders>
            <w:shd w:val="clear" w:color="auto" w:fill="auto"/>
            <w:noWrap/>
            <w:vAlign w:val="center"/>
            <w:hideMark/>
          </w:tcPr>
          <w:p w14:paraId="4BB33894" w14:textId="6BBF4DCF"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34,6</w:t>
            </w:r>
          </w:p>
        </w:tc>
        <w:tc>
          <w:tcPr>
            <w:tcW w:w="851" w:type="dxa"/>
            <w:tcBorders>
              <w:top w:val="nil"/>
              <w:left w:val="single" w:sz="4" w:space="0" w:color="auto"/>
              <w:bottom w:val="nil"/>
              <w:right w:val="nil"/>
            </w:tcBorders>
            <w:shd w:val="clear" w:color="auto" w:fill="auto"/>
            <w:noWrap/>
            <w:vAlign w:val="center"/>
          </w:tcPr>
          <w:p w14:paraId="358E715D" w14:textId="32D3E2A6" w:rsidR="00EE02F9" w:rsidRPr="00EE02F9" w:rsidRDefault="005A75BA" w:rsidP="00EE02F9">
            <w:pPr>
              <w:spacing w:after="0" w:line="240" w:lineRule="auto"/>
              <w:jc w:val="right"/>
              <w:rPr>
                <w:rFonts w:cs="Arial"/>
                <w:color w:val="000000"/>
                <w:sz w:val="16"/>
                <w:szCs w:val="16"/>
              </w:rPr>
            </w:pPr>
            <w:r>
              <w:rPr>
                <w:noProof/>
              </w:rPr>
              <mc:AlternateContent>
                <mc:Choice Requires="wps">
                  <w:drawing>
                    <wp:anchor distT="0" distB="0" distL="114300" distR="114300" simplePos="0" relativeHeight="251722240" behindDoc="0" locked="0" layoutInCell="1" allowOverlap="1" wp14:anchorId="100AFDCF" wp14:editId="5CCEE494">
                      <wp:simplePos x="0" y="0"/>
                      <wp:positionH relativeFrom="column">
                        <wp:posOffset>12700</wp:posOffset>
                      </wp:positionH>
                      <wp:positionV relativeFrom="paragraph">
                        <wp:posOffset>-1187450</wp:posOffset>
                      </wp:positionV>
                      <wp:extent cx="0" cy="3095625"/>
                      <wp:effectExtent l="38100" t="19050" r="57150" b="85725"/>
                      <wp:wrapNone/>
                      <wp:docPr id="34" name="Přímá spojnice 3"/>
                      <wp:cNvGraphicFramePr/>
                      <a:graphic xmlns:a="http://schemas.openxmlformats.org/drawingml/2006/main">
                        <a:graphicData uri="http://schemas.microsoft.com/office/word/2010/wordprocessingShape">
                          <wps:wsp>
                            <wps:cNvCnPr/>
                            <wps:spPr>
                              <a:xfrm>
                                <a:off x="0" y="0"/>
                                <a:ext cx="0" cy="3095625"/>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1B0C0E" id="Přímá spojnice 3" o:spid="_x0000_s1026" style="position:absolute;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pt,-93.5pt" to="1pt,15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" strokecolor="#c00000" strokeweight=".5pt">
                      <v:stroke dashstyle="dash"/>
                      <v:shadow on="t" color="black" opacity="24903f" origin=",.5" offset="0,.55556mm"/>
                    </v:line>
                  </w:pict>
                </mc:Fallback>
              </mc:AlternateContent>
            </w:r>
            <w:r w:rsidR="00EE02F9" w:rsidRPr="00EE02F9">
              <w:rPr>
                <w:rFonts w:cs="Arial"/>
                <w:color w:val="000000"/>
                <w:sz w:val="16"/>
                <w:szCs w:val="16"/>
              </w:rPr>
              <w:t>27,1</w:t>
            </w:r>
          </w:p>
        </w:tc>
      </w:tr>
      <w:tr w:rsidR="00EE02F9" w:rsidRPr="00EE02F9" w14:paraId="1501EFA0"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720814A8" w14:textId="13C05BD5"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Ústecký kraj</w:t>
            </w:r>
          </w:p>
        </w:tc>
        <w:tc>
          <w:tcPr>
            <w:tcW w:w="850" w:type="dxa"/>
            <w:tcBorders>
              <w:top w:val="nil"/>
              <w:left w:val="nil"/>
              <w:bottom w:val="nil"/>
              <w:right w:val="single" w:sz="4" w:space="0" w:color="auto"/>
            </w:tcBorders>
            <w:shd w:val="clear" w:color="auto" w:fill="auto"/>
            <w:noWrap/>
            <w:vAlign w:val="center"/>
            <w:hideMark/>
          </w:tcPr>
          <w:p w14:paraId="3B0D71AF" w14:textId="005077B0"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146,6</w:t>
            </w:r>
          </w:p>
        </w:tc>
        <w:tc>
          <w:tcPr>
            <w:tcW w:w="850" w:type="dxa"/>
            <w:tcBorders>
              <w:top w:val="nil"/>
              <w:left w:val="nil"/>
              <w:bottom w:val="nil"/>
              <w:right w:val="nil"/>
            </w:tcBorders>
            <w:shd w:val="clear" w:color="auto" w:fill="auto"/>
            <w:noWrap/>
            <w:vAlign w:val="center"/>
            <w:hideMark/>
          </w:tcPr>
          <w:p w14:paraId="0DCF1BC5" w14:textId="223087EF"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211,4</w:t>
            </w:r>
          </w:p>
        </w:tc>
        <w:tc>
          <w:tcPr>
            <w:tcW w:w="851" w:type="dxa"/>
            <w:tcBorders>
              <w:top w:val="nil"/>
              <w:left w:val="single" w:sz="4" w:space="0" w:color="auto"/>
              <w:bottom w:val="nil"/>
              <w:right w:val="single" w:sz="4" w:space="0" w:color="auto"/>
            </w:tcBorders>
            <w:shd w:val="clear" w:color="auto" w:fill="auto"/>
            <w:noWrap/>
            <w:vAlign w:val="center"/>
          </w:tcPr>
          <w:p w14:paraId="5D691C32" w14:textId="6858B43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262,9</w:t>
            </w:r>
          </w:p>
        </w:tc>
        <w:tc>
          <w:tcPr>
            <w:tcW w:w="850" w:type="dxa"/>
            <w:tcBorders>
              <w:top w:val="nil"/>
              <w:left w:val="nil"/>
              <w:bottom w:val="nil"/>
              <w:right w:val="single" w:sz="4" w:space="0" w:color="auto"/>
            </w:tcBorders>
            <w:shd w:val="clear" w:color="auto" w:fill="auto"/>
            <w:noWrap/>
            <w:vAlign w:val="center"/>
            <w:hideMark/>
          </w:tcPr>
          <w:p w14:paraId="246B9CE2"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5 862,2</w:t>
            </w:r>
          </w:p>
        </w:tc>
        <w:tc>
          <w:tcPr>
            <w:tcW w:w="850" w:type="dxa"/>
            <w:tcBorders>
              <w:top w:val="nil"/>
              <w:left w:val="nil"/>
              <w:bottom w:val="nil"/>
              <w:right w:val="single" w:sz="4" w:space="0" w:color="auto"/>
            </w:tcBorders>
            <w:shd w:val="clear" w:color="auto" w:fill="auto"/>
            <w:noWrap/>
            <w:vAlign w:val="center"/>
            <w:hideMark/>
          </w:tcPr>
          <w:p w14:paraId="4F6E4119" w14:textId="22E29902"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7 058,8</w:t>
            </w:r>
          </w:p>
        </w:tc>
        <w:tc>
          <w:tcPr>
            <w:tcW w:w="851" w:type="dxa"/>
            <w:tcBorders>
              <w:top w:val="nil"/>
              <w:left w:val="nil"/>
              <w:bottom w:val="nil"/>
              <w:right w:val="single" w:sz="4" w:space="0" w:color="auto"/>
            </w:tcBorders>
            <w:shd w:val="clear" w:color="auto" w:fill="auto"/>
            <w:noWrap/>
            <w:vAlign w:val="center"/>
          </w:tcPr>
          <w:p w14:paraId="53C4425C" w14:textId="765FFA9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6 829,8</w:t>
            </w:r>
          </w:p>
        </w:tc>
        <w:tc>
          <w:tcPr>
            <w:tcW w:w="850" w:type="dxa"/>
            <w:tcBorders>
              <w:top w:val="nil"/>
              <w:left w:val="nil"/>
              <w:bottom w:val="nil"/>
              <w:right w:val="single" w:sz="4" w:space="0" w:color="auto"/>
            </w:tcBorders>
            <w:shd w:val="clear" w:color="auto" w:fill="auto"/>
            <w:noWrap/>
            <w:vAlign w:val="center"/>
            <w:hideMark/>
          </w:tcPr>
          <w:p w14:paraId="2B329AF1"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40,0</w:t>
            </w:r>
          </w:p>
        </w:tc>
        <w:tc>
          <w:tcPr>
            <w:tcW w:w="850" w:type="dxa"/>
            <w:tcBorders>
              <w:top w:val="nil"/>
              <w:left w:val="nil"/>
              <w:bottom w:val="nil"/>
              <w:right w:val="nil"/>
            </w:tcBorders>
            <w:shd w:val="clear" w:color="auto" w:fill="auto"/>
            <w:noWrap/>
            <w:vAlign w:val="center"/>
            <w:hideMark/>
          </w:tcPr>
          <w:p w14:paraId="4F6EC905" w14:textId="3B54D702"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33,4</w:t>
            </w:r>
          </w:p>
        </w:tc>
        <w:tc>
          <w:tcPr>
            <w:tcW w:w="851" w:type="dxa"/>
            <w:tcBorders>
              <w:top w:val="nil"/>
              <w:left w:val="single" w:sz="4" w:space="0" w:color="auto"/>
              <w:bottom w:val="nil"/>
              <w:right w:val="nil"/>
            </w:tcBorders>
            <w:shd w:val="clear" w:color="auto" w:fill="auto"/>
            <w:noWrap/>
            <w:vAlign w:val="center"/>
          </w:tcPr>
          <w:p w14:paraId="6822AADE" w14:textId="49EE1038"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26,0</w:t>
            </w:r>
          </w:p>
        </w:tc>
      </w:tr>
      <w:tr w:rsidR="00EE02F9" w:rsidRPr="00EE02F9" w14:paraId="3A206682"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065292F6" w14:textId="7FDB06AB"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Liberecký kraj</w:t>
            </w:r>
          </w:p>
        </w:tc>
        <w:tc>
          <w:tcPr>
            <w:tcW w:w="850" w:type="dxa"/>
            <w:tcBorders>
              <w:top w:val="nil"/>
              <w:left w:val="nil"/>
              <w:bottom w:val="nil"/>
              <w:right w:val="single" w:sz="4" w:space="0" w:color="auto"/>
            </w:tcBorders>
            <w:shd w:val="clear" w:color="auto" w:fill="auto"/>
            <w:noWrap/>
            <w:vAlign w:val="center"/>
            <w:hideMark/>
          </w:tcPr>
          <w:p w14:paraId="28DCA5EF"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89,8</w:t>
            </w:r>
          </w:p>
        </w:tc>
        <w:tc>
          <w:tcPr>
            <w:tcW w:w="850" w:type="dxa"/>
            <w:tcBorders>
              <w:top w:val="nil"/>
              <w:left w:val="nil"/>
              <w:bottom w:val="nil"/>
              <w:right w:val="nil"/>
            </w:tcBorders>
            <w:shd w:val="clear" w:color="auto" w:fill="auto"/>
            <w:noWrap/>
            <w:vAlign w:val="center"/>
            <w:hideMark/>
          </w:tcPr>
          <w:p w14:paraId="33D68F00" w14:textId="7A63188C"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131,3</w:t>
            </w:r>
          </w:p>
        </w:tc>
        <w:tc>
          <w:tcPr>
            <w:tcW w:w="851" w:type="dxa"/>
            <w:tcBorders>
              <w:top w:val="nil"/>
              <w:left w:val="single" w:sz="4" w:space="0" w:color="auto"/>
              <w:bottom w:val="nil"/>
              <w:right w:val="single" w:sz="4" w:space="0" w:color="auto"/>
            </w:tcBorders>
            <w:shd w:val="clear" w:color="auto" w:fill="auto"/>
            <w:noWrap/>
            <w:vAlign w:val="center"/>
          </w:tcPr>
          <w:p w14:paraId="4938D049" w14:textId="5FE90EE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163,6</w:t>
            </w:r>
          </w:p>
        </w:tc>
        <w:tc>
          <w:tcPr>
            <w:tcW w:w="850" w:type="dxa"/>
            <w:tcBorders>
              <w:top w:val="nil"/>
              <w:left w:val="nil"/>
              <w:bottom w:val="nil"/>
              <w:right w:val="single" w:sz="4" w:space="0" w:color="auto"/>
            </w:tcBorders>
            <w:shd w:val="clear" w:color="auto" w:fill="auto"/>
            <w:noWrap/>
            <w:vAlign w:val="center"/>
            <w:hideMark/>
          </w:tcPr>
          <w:p w14:paraId="239B5FD5"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3 438,9</w:t>
            </w:r>
          </w:p>
        </w:tc>
        <w:tc>
          <w:tcPr>
            <w:tcW w:w="850" w:type="dxa"/>
            <w:tcBorders>
              <w:top w:val="nil"/>
              <w:left w:val="nil"/>
              <w:bottom w:val="nil"/>
              <w:right w:val="single" w:sz="4" w:space="0" w:color="auto"/>
            </w:tcBorders>
            <w:shd w:val="clear" w:color="auto" w:fill="auto"/>
            <w:noWrap/>
            <w:vAlign w:val="center"/>
            <w:hideMark/>
          </w:tcPr>
          <w:p w14:paraId="1AB823A8" w14:textId="330B994C"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4 298,9</w:t>
            </w:r>
          </w:p>
        </w:tc>
        <w:tc>
          <w:tcPr>
            <w:tcW w:w="851" w:type="dxa"/>
            <w:tcBorders>
              <w:top w:val="nil"/>
              <w:left w:val="nil"/>
              <w:bottom w:val="nil"/>
              <w:right w:val="single" w:sz="4" w:space="0" w:color="auto"/>
            </w:tcBorders>
            <w:shd w:val="clear" w:color="auto" w:fill="auto"/>
            <w:noWrap/>
            <w:vAlign w:val="center"/>
          </w:tcPr>
          <w:p w14:paraId="253C9D21" w14:textId="5B1D6259"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4 153,6</w:t>
            </w:r>
          </w:p>
        </w:tc>
        <w:tc>
          <w:tcPr>
            <w:tcW w:w="850" w:type="dxa"/>
            <w:tcBorders>
              <w:top w:val="nil"/>
              <w:left w:val="nil"/>
              <w:bottom w:val="nil"/>
              <w:right w:val="single" w:sz="4" w:space="0" w:color="auto"/>
            </w:tcBorders>
            <w:shd w:val="clear" w:color="auto" w:fill="auto"/>
            <w:noWrap/>
            <w:vAlign w:val="center"/>
            <w:hideMark/>
          </w:tcPr>
          <w:p w14:paraId="2164BE33"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38,3</w:t>
            </w:r>
          </w:p>
        </w:tc>
        <w:tc>
          <w:tcPr>
            <w:tcW w:w="850" w:type="dxa"/>
            <w:tcBorders>
              <w:top w:val="nil"/>
              <w:left w:val="nil"/>
              <w:bottom w:val="nil"/>
              <w:right w:val="nil"/>
            </w:tcBorders>
            <w:shd w:val="clear" w:color="auto" w:fill="auto"/>
            <w:noWrap/>
            <w:vAlign w:val="center"/>
            <w:hideMark/>
          </w:tcPr>
          <w:p w14:paraId="30E181BF" w14:textId="052FBA7B"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32,7</w:t>
            </w:r>
          </w:p>
        </w:tc>
        <w:tc>
          <w:tcPr>
            <w:tcW w:w="851" w:type="dxa"/>
            <w:tcBorders>
              <w:top w:val="nil"/>
              <w:left w:val="single" w:sz="4" w:space="0" w:color="auto"/>
              <w:bottom w:val="nil"/>
              <w:right w:val="nil"/>
            </w:tcBorders>
            <w:shd w:val="clear" w:color="auto" w:fill="auto"/>
            <w:noWrap/>
            <w:vAlign w:val="center"/>
          </w:tcPr>
          <w:p w14:paraId="563B4058" w14:textId="4CF1129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25,4</w:t>
            </w:r>
          </w:p>
        </w:tc>
      </w:tr>
      <w:tr w:rsidR="00EE02F9" w:rsidRPr="00EE02F9" w14:paraId="5EFA27B6"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08094A58"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Královéhradecký kraj</w:t>
            </w:r>
          </w:p>
        </w:tc>
        <w:tc>
          <w:tcPr>
            <w:tcW w:w="850" w:type="dxa"/>
            <w:tcBorders>
              <w:top w:val="nil"/>
              <w:left w:val="nil"/>
              <w:bottom w:val="nil"/>
              <w:right w:val="single" w:sz="4" w:space="0" w:color="auto"/>
            </w:tcBorders>
            <w:shd w:val="clear" w:color="auto" w:fill="auto"/>
            <w:noWrap/>
            <w:vAlign w:val="center"/>
            <w:hideMark/>
          </w:tcPr>
          <w:p w14:paraId="6775BF86" w14:textId="3D6483C2"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100,2</w:t>
            </w:r>
          </w:p>
        </w:tc>
        <w:tc>
          <w:tcPr>
            <w:tcW w:w="850" w:type="dxa"/>
            <w:tcBorders>
              <w:top w:val="nil"/>
              <w:left w:val="nil"/>
              <w:bottom w:val="nil"/>
              <w:right w:val="nil"/>
            </w:tcBorders>
            <w:shd w:val="clear" w:color="auto" w:fill="auto"/>
            <w:noWrap/>
            <w:vAlign w:val="center"/>
            <w:hideMark/>
          </w:tcPr>
          <w:p w14:paraId="2B41624E" w14:textId="272A016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158,9</w:t>
            </w:r>
          </w:p>
        </w:tc>
        <w:tc>
          <w:tcPr>
            <w:tcW w:w="851" w:type="dxa"/>
            <w:tcBorders>
              <w:top w:val="nil"/>
              <w:left w:val="single" w:sz="4" w:space="0" w:color="auto"/>
              <w:bottom w:val="nil"/>
              <w:right w:val="single" w:sz="4" w:space="0" w:color="auto"/>
            </w:tcBorders>
            <w:shd w:val="clear" w:color="auto" w:fill="auto"/>
            <w:noWrap/>
            <w:vAlign w:val="center"/>
          </w:tcPr>
          <w:p w14:paraId="06651006" w14:textId="0AEE73F1"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198,1</w:t>
            </w:r>
          </w:p>
        </w:tc>
        <w:tc>
          <w:tcPr>
            <w:tcW w:w="850" w:type="dxa"/>
            <w:tcBorders>
              <w:top w:val="nil"/>
              <w:left w:val="nil"/>
              <w:bottom w:val="nil"/>
              <w:right w:val="single" w:sz="4" w:space="0" w:color="auto"/>
            </w:tcBorders>
            <w:shd w:val="clear" w:color="auto" w:fill="auto"/>
            <w:noWrap/>
            <w:vAlign w:val="center"/>
            <w:hideMark/>
          </w:tcPr>
          <w:p w14:paraId="6E2466CE"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3 924,4</w:t>
            </w:r>
          </w:p>
        </w:tc>
        <w:tc>
          <w:tcPr>
            <w:tcW w:w="850" w:type="dxa"/>
            <w:tcBorders>
              <w:top w:val="nil"/>
              <w:left w:val="nil"/>
              <w:bottom w:val="nil"/>
              <w:right w:val="single" w:sz="4" w:space="0" w:color="auto"/>
            </w:tcBorders>
            <w:shd w:val="clear" w:color="auto" w:fill="auto"/>
            <w:noWrap/>
            <w:vAlign w:val="center"/>
            <w:hideMark/>
          </w:tcPr>
          <w:p w14:paraId="0588E89F" w14:textId="53D71C4E"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5 234,9</w:t>
            </w:r>
          </w:p>
        </w:tc>
        <w:tc>
          <w:tcPr>
            <w:tcW w:w="851" w:type="dxa"/>
            <w:tcBorders>
              <w:top w:val="nil"/>
              <w:left w:val="nil"/>
              <w:bottom w:val="nil"/>
              <w:right w:val="single" w:sz="4" w:space="0" w:color="auto"/>
            </w:tcBorders>
            <w:shd w:val="clear" w:color="auto" w:fill="auto"/>
            <w:noWrap/>
            <w:vAlign w:val="center"/>
          </w:tcPr>
          <w:p w14:paraId="7050D1EF" w14:textId="1152D4F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4 986,1</w:t>
            </w:r>
          </w:p>
        </w:tc>
        <w:tc>
          <w:tcPr>
            <w:tcW w:w="850" w:type="dxa"/>
            <w:tcBorders>
              <w:top w:val="nil"/>
              <w:left w:val="nil"/>
              <w:bottom w:val="nil"/>
              <w:right w:val="single" w:sz="4" w:space="0" w:color="auto"/>
            </w:tcBorders>
            <w:shd w:val="clear" w:color="auto" w:fill="auto"/>
            <w:noWrap/>
            <w:vAlign w:val="center"/>
            <w:hideMark/>
          </w:tcPr>
          <w:p w14:paraId="6792A42D"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39,2</w:t>
            </w:r>
          </w:p>
        </w:tc>
        <w:tc>
          <w:tcPr>
            <w:tcW w:w="850" w:type="dxa"/>
            <w:tcBorders>
              <w:top w:val="nil"/>
              <w:left w:val="nil"/>
              <w:bottom w:val="nil"/>
              <w:right w:val="nil"/>
            </w:tcBorders>
            <w:shd w:val="clear" w:color="auto" w:fill="auto"/>
            <w:noWrap/>
            <w:vAlign w:val="center"/>
            <w:hideMark/>
          </w:tcPr>
          <w:p w14:paraId="7FB130FB" w14:textId="271FD2C1"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32,9</w:t>
            </w:r>
          </w:p>
        </w:tc>
        <w:tc>
          <w:tcPr>
            <w:tcW w:w="851" w:type="dxa"/>
            <w:tcBorders>
              <w:top w:val="nil"/>
              <w:left w:val="single" w:sz="4" w:space="0" w:color="auto"/>
              <w:bottom w:val="nil"/>
              <w:right w:val="nil"/>
            </w:tcBorders>
            <w:shd w:val="clear" w:color="auto" w:fill="auto"/>
            <w:noWrap/>
            <w:vAlign w:val="center"/>
          </w:tcPr>
          <w:p w14:paraId="4BB0F6D5" w14:textId="57638B1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25,2</w:t>
            </w:r>
          </w:p>
        </w:tc>
      </w:tr>
      <w:tr w:rsidR="00EE02F9" w:rsidRPr="00EE02F9" w14:paraId="3AA44D91"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3DD26542"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Pardubický kraj</w:t>
            </w:r>
          </w:p>
        </w:tc>
        <w:tc>
          <w:tcPr>
            <w:tcW w:w="850" w:type="dxa"/>
            <w:tcBorders>
              <w:top w:val="nil"/>
              <w:left w:val="nil"/>
              <w:bottom w:val="nil"/>
              <w:right w:val="single" w:sz="4" w:space="0" w:color="auto"/>
            </w:tcBorders>
            <w:shd w:val="clear" w:color="auto" w:fill="auto"/>
            <w:noWrap/>
            <w:vAlign w:val="center"/>
            <w:hideMark/>
          </w:tcPr>
          <w:p w14:paraId="4B835D48"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94,1</w:t>
            </w:r>
          </w:p>
        </w:tc>
        <w:tc>
          <w:tcPr>
            <w:tcW w:w="850" w:type="dxa"/>
            <w:tcBorders>
              <w:top w:val="nil"/>
              <w:left w:val="nil"/>
              <w:bottom w:val="nil"/>
              <w:right w:val="nil"/>
            </w:tcBorders>
            <w:shd w:val="clear" w:color="auto" w:fill="auto"/>
            <w:noWrap/>
            <w:vAlign w:val="center"/>
            <w:hideMark/>
          </w:tcPr>
          <w:p w14:paraId="099E77DD" w14:textId="4716C826"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147,7</w:t>
            </w:r>
          </w:p>
        </w:tc>
        <w:tc>
          <w:tcPr>
            <w:tcW w:w="851" w:type="dxa"/>
            <w:tcBorders>
              <w:top w:val="nil"/>
              <w:left w:val="single" w:sz="4" w:space="0" w:color="auto"/>
              <w:bottom w:val="nil"/>
              <w:right w:val="single" w:sz="4" w:space="0" w:color="auto"/>
            </w:tcBorders>
            <w:shd w:val="clear" w:color="auto" w:fill="auto"/>
            <w:noWrap/>
            <w:vAlign w:val="center"/>
          </w:tcPr>
          <w:p w14:paraId="1F69118F" w14:textId="78E28FDB"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179,4</w:t>
            </w:r>
          </w:p>
        </w:tc>
        <w:tc>
          <w:tcPr>
            <w:tcW w:w="850" w:type="dxa"/>
            <w:tcBorders>
              <w:top w:val="nil"/>
              <w:left w:val="nil"/>
              <w:bottom w:val="nil"/>
              <w:right w:val="single" w:sz="4" w:space="0" w:color="auto"/>
            </w:tcBorders>
            <w:shd w:val="clear" w:color="auto" w:fill="auto"/>
            <w:noWrap/>
            <w:vAlign w:val="center"/>
            <w:hideMark/>
          </w:tcPr>
          <w:p w14:paraId="1CD35E3D"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3 797,2</w:t>
            </w:r>
          </w:p>
        </w:tc>
        <w:tc>
          <w:tcPr>
            <w:tcW w:w="850" w:type="dxa"/>
            <w:tcBorders>
              <w:top w:val="nil"/>
              <w:left w:val="nil"/>
              <w:bottom w:val="nil"/>
              <w:right w:val="single" w:sz="4" w:space="0" w:color="auto"/>
            </w:tcBorders>
            <w:shd w:val="clear" w:color="auto" w:fill="auto"/>
            <w:noWrap/>
            <w:vAlign w:val="center"/>
            <w:hideMark/>
          </w:tcPr>
          <w:p w14:paraId="73D301FB" w14:textId="2282E60F"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4 774,0</w:t>
            </w:r>
          </w:p>
        </w:tc>
        <w:tc>
          <w:tcPr>
            <w:tcW w:w="851" w:type="dxa"/>
            <w:tcBorders>
              <w:top w:val="nil"/>
              <w:left w:val="nil"/>
              <w:bottom w:val="nil"/>
              <w:right w:val="single" w:sz="4" w:space="0" w:color="auto"/>
            </w:tcBorders>
            <w:shd w:val="clear" w:color="auto" w:fill="auto"/>
            <w:noWrap/>
            <w:vAlign w:val="center"/>
          </w:tcPr>
          <w:p w14:paraId="00FFE064" w14:textId="5CCAB79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4 625,0</w:t>
            </w:r>
          </w:p>
        </w:tc>
        <w:tc>
          <w:tcPr>
            <w:tcW w:w="850" w:type="dxa"/>
            <w:tcBorders>
              <w:top w:val="nil"/>
              <w:left w:val="nil"/>
              <w:bottom w:val="nil"/>
              <w:right w:val="single" w:sz="4" w:space="0" w:color="auto"/>
            </w:tcBorders>
            <w:shd w:val="clear" w:color="auto" w:fill="auto"/>
            <w:noWrap/>
            <w:vAlign w:val="center"/>
            <w:hideMark/>
          </w:tcPr>
          <w:p w14:paraId="73500683"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40,3</w:t>
            </w:r>
          </w:p>
        </w:tc>
        <w:tc>
          <w:tcPr>
            <w:tcW w:w="850" w:type="dxa"/>
            <w:tcBorders>
              <w:top w:val="nil"/>
              <w:left w:val="nil"/>
              <w:bottom w:val="nil"/>
              <w:right w:val="nil"/>
            </w:tcBorders>
            <w:shd w:val="clear" w:color="auto" w:fill="auto"/>
            <w:noWrap/>
            <w:vAlign w:val="center"/>
            <w:hideMark/>
          </w:tcPr>
          <w:p w14:paraId="6016B38B" w14:textId="0B52327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32,3</w:t>
            </w:r>
          </w:p>
        </w:tc>
        <w:tc>
          <w:tcPr>
            <w:tcW w:w="851" w:type="dxa"/>
            <w:tcBorders>
              <w:top w:val="nil"/>
              <w:left w:val="single" w:sz="4" w:space="0" w:color="auto"/>
              <w:bottom w:val="nil"/>
              <w:right w:val="nil"/>
            </w:tcBorders>
            <w:shd w:val="clear" w:color="auto" w:fill="auto"/>
            <w:noWrap/>
            <w:vAlign w:val="center"/>
          </w:tcPr>
          <w:p w14:paraId="61F2CCB6" w14:textId="20DCCA54"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25,8</w:t>
            </w:r>
          </w:p>
        </w:tc>
      </w:tr>
      <w:tr w:rsidR="00EE02F9" w:rsidRPr="00EE02F9" w14:paraId="50369619"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4C407949" w14:textId="0CA98C8B"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Kraj Vysočina</w:t>
            </w:r>
          </w:p>
        </w:tc>
        <w:tc>
          <w:tcPr>
            <w:tcW w:w="850" w:type="dxa"/>
            <w:tcBorders>
              <w:top w:val="nil"/>
              <w:left w:val="nil"/>
              <w:bottom w:val="nil"/>
              <w:right w:val="single" w:sz="4" w:space="0" w:color="auto"/>
            </w:tcBorders>
            <w:shd w:val="clear" w:color="auto" w:fill="auto"/>
            <w:noWrap/>
            <w:vAlign w:val="center"/>
            <w:hideMark/>
          </w:tcPr>
          <w:p w14:paraId="6079B58B"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92,4</w:t>
            </w:r>
          </w:p>
        </w:tc>
        <w:tc>
          <w:tcPr>
            <w:tcW w:w="850" w:type="dxa"/>
            <w:tcBorders>
              <w:top w:val="nil"/>
              <w:left w:val="nil"/>
              <w:bottom w:val="nil"/>
              <w:right w:val="nil"/>
            </w:tcBorders>
            <w:shd w:val="clear" w:color="auto" w:fill="auto"/>
            <w:noWrap/>
            <w:vAlign w:val="center"/>
            <w:hideMark/>
          </w:tcPr>
          <w:p w14:paraId="38366F09" w14:textId="0E0BDBB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127,2</w:t>
            </w:r>
          </w:p>
        </w:tc>
        <w:tc>
          <w:tcPr>
            <w:tcW w:w="851" w:type="dxa"/>
            <w:tcBorders>
              <w:top w:val="nil"/>
              <w:left w:val="single" w:sz="4" w:space="0" w:color="auto"/>
              <w:bottom w:val="nil"/>
              <w:right w:val="single" w:sz="4" w:space="0" w:color="auto"/>
            </w:tcBorders>
            <w:shd w:val="clear" w:color="auto" w:fill="auto"/>
            <w:noWrap/>
            <w:vAlign w:val="center"/>
          </w:tcPr>
          <w:p w14:paraId="1B4E886F" w14:textId="26B5C450"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164,2</w:t>
            </w:r>
          </w:p>
        </w:tc>
        <w:tc>
          <w:tcPr>
            <w:tcW w:w="850" w:type="dxa"/>
            <w:tcBorders>
              <w:top w:val="nil"/>
              <w:left w:val="nil"/>
              <w:bottom w:val="nil"/>
              <w:right w:val="single" w:sz="4" w:space="0" w:color="auto"/>
            </w:tcBorders>
            <w:shd w:val="clear" w:color="auto" w:fill="auto"/>
            <w:noWrap/>
            <w:vAlign w:val="center"/>
            <w:hideMark/>
          </w:tcPr>
          <w:p w14:paraId="2ED4CDD6"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4 095,4</w:t>
            </w:r>
          </w:p>
        </w:tc>
        <w:tc>
          <w:tcPr>
            <w:tcW w:w="850" w:type="dxa"/>
            <w:tcBorders>
              <w:top w:val="nil"/>
              <w:left w:val="nil"/>
              <w:bottom w:val="nil"/>
              <w:right w:val="single" w:sz="4" w:space="0" w:color="auto"/>
            </w:tcBorders>
            <w:shd w:val="clear" w:color="auto" w:fill="auto"/>
            <w:noWrap/>
            <w:vAlign w:val="center"/>
            <w:hideMark/>
          </w:tcPr>
          <w:p w14:paraId="34E95778" w14:textId="02B3A102"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4 682,8</w:t>
            </w:r>
          </w:p>
        </w:tc>
        <w:tc>
          <w:tcPr>
            <w:tcW w:w="851" w:type="dxa"/>
            <w:tcBorders>
              <w:top w:val="nil"/>
              <w:left w:val="nil"/>
              <w:bottom w:val="nil"/>
              <w:right w:val="single" w:sz="4" w:space="0" w:color="auto"/>
            </w:tcBorders>
            <w:shd w:val="clear" w:color="auto" w:fill="auto"/>
            <w:noWrap/>
            <w:vAlign w:val="center"/>
          </w:tcPr>
          <w:p w14:paraId="76CD706E" w14:textId="498755A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4 631,7</w:t>
            </w:r>
          </w:p>
        </w:tc>
        <w:tc>
          <w:tcPr>
            <w:tcW w:w="850" w:type="dxa"/>
            <w:tcBorders>
              <w:top w:val="nil"/>
              <w:left w:val="nil"/>
              <w:bottom w:val="nil"/>
              <w:right w:val="single" w:sz="4" w:space="0" w:color="auto"/>
            </w:tcBorders>
            <w:shd w:val="clear" w:color="auto" w:fill="auto"/>
            <w:noWrap/>
            <w:vAlign w:val="center"/>
            <w:hideMark/>
          </w:tcPr>
          <w:p w14:paraId="425F23FF"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44,3</w:t>
            </w:r>
          </w:p>
        </w:tc>
        <w:tc>
          <w:tcPr>
            <w:tcW w:w="850" w:type="dxa"/>
            <w:tcBorders>
              <w:top w:val="nil"/>
              <w:left w:val="nil"/>
              <w:bottom w:val="nil"/>
              <w:right w:val="nil"/>
            </w:tcBorders>
            <w:shd w:val="clear" w:color="auto" w:fill="auto"/>
            <w:noWrap/>
            <w:vAlign w:val="center"/>
            <w:hideMark/>
          </w:tcPr>
          <w:p w14:paraId="56F4C72D" w14:textId="7F38FB74"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36,8</w:t>
            </w:r>
          </w:p>
        </w:tc>
        <w:tc>
          <w:tcPr>
            <w:tcW w:w="851" w:type="dxa"/>
            <w:tcBorders>
              <w:top w:val="nil"/>
              <w:left w:val="single" w:sz="4" w:space="0" w:color="auto"/>
              <w:bottom w:val="nil"/>
              <w:right w:val="nil"/>
            </w:tcBorders>
            <w:shd w:val="clear" w:color="auto" w:fill="auto"/>
            <w:noWrap/>
            <w:vAlign w:val="center"/>
          </w:tcPr>
          <w:p w14:paraId="0789E583" w14:textId="514AB67B"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28,2</w:t>
            </w:r>
          </w:p>
        </w:tc>
      </w:tr>
      <w:tr w:rsidR="00EE02F9" w:rsidRPr="00EE02F9" w14:paraId="59F7E0B4"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5929302C"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Jihomoravský kraj</w:t>
            </w:r>
          </w:p>
        </w:tc>
        <w:tc>
          <w:tcPr>
            <w:tcW w:w="850" w:type="dxa"/>
            <w:tcBorders>
              <w:top w:val="nil"/>
              <w:left w:val="nil"/>
              <w:bottom w:val="nil"/>
              <w:right w:val="single" w:sz="4" w:space="0" w:color="auto"/>
            </w:tcBorders>
            <w:shd w:val="clear" w:color="auto" w:fill="auto"/>
            <w:noWrap/>
            <w:vAlign w:val="center"/>
            <w:hideMark/>
          </w:tcPr>
          <w:p w14:paraId="1C29E1D3"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189,7</w:t>
            </w:r>
          </w:p>
        </w:tc>
        <w:tc>
          <w:tcPr>
            <w:tcW w:w="850" w:type="dxa"/>
            <w:tcBorders>
              <w:top w:val="nil"/>
              <w:left w:val="nil"/>
              <w:bottom w:val="nil"/>
              <w:right w:val="nil"/>
            </w:tcBorders>
            <w:shd w:val="clear" w:color="auto" w:fill="auto"/>
            <w:noWrap/>
            <w:vAlign w:val="center"/>
            <w:hideMark/>
          </w:tcPr>
          <w:p w14:paraId="0DC92D54" w14:textId="2B7699B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295,3</w:t>
            </w:r>
          </w:p>
        </w:tc>
        <w:tc>
          <w:tcPr>
            <w:tcW w:w="851" w:type="dxa"/>
            <w:tcBorders>
              <w:top w:val="nil"/>
              <w:left w:val="single" w:sz="4" w:space="0" w:color="auto"/>
              <w:bottom w:val="nil"/>
              <w:right w:val="single" w:sz="4" w:space="0" w:color="auto"/>
            </w:tcBorders>
            <w:shd w:val="clear" w:color="auto" w:fill="auto"/>
            <w:noWrap/>
            <w:vAlign w:val="center"/>
          </w:tcPr>
          <w:p w14:paraId="79DCA28A" w14:textId="2638FF5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379,7</w:t>
            </w:r>
          </w:p>
        </w:tc>
        <w:tc>
          <w:tcPr>
            <w:tcW w:w="850" w:type="dxa"/>
            <w:tcBorders>
              <w:top w:val="nil"/>
              <w:left w:val="nil"/>
              <w:bottom w:val="nil"/>
              <w:right w:val="single" w:sz="4" w:space="0" w:color="auto"/>
            </w:tcBorders>
            <w:shd w:val="clear" w:color="auto" w:fill="auto"/>
            <w:noWrap/>
            <w:vAlign w:val="center"/>
            <w:hideMark/>
          </w:tcPr>
          <w:p w14:paraId="20547CB9"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8 165,9</w:t>
            </w:r>
          </w:p>
        </w:tc>
        <w:tc>
          <w:tcPr>
            <w:tcW w:w="850" w:type="dxa"/>
            <w:tcBorders>
              <w:top w:val="nil"/>
              <w:left w:val="nil"/>
              <w:bottom w:val="nil"/>
              <w:right w:val="single" w:sz="4" w:space="0" w:color="auto"/>
            </w:tcBorders>
            <w:shd w:val="clear" w:color="auto" w:fill="auto"/>
            <w:noWrap/>
            <w:vAlign w:val="center"/>
            <w:hideMark/>
          </w:tcPr>
          <w:p w14:paraId="644190F5" w14:textId="399FBAF6"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10 611,7</w:t>
            </w:r>
          </w:p>
        </w:tc>
        <w:tc>
          <w:tcPr>
            <w:tcW w:w="851" w:type="dxa"/>
            <w:tcBorders>
              <w:top w:val="nil"/>
              <w:left w:val="nil"/>
              <w:bottom w:val="nil"/>
              <w:right w:val="single" w:sz="4" w:space="0" w:color="auto"/>
            </w:tcBorders>
            <w:shd w:val="clear" w:color="auto" w:fill="auto"/>
            <w:noWrap/>
            <w:vAlign w:val="center"/>
          </w:tcPr>
          <w:p w14:paraId="4262F958" w14:textId="67EEABA8"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10 438,0</w:t>
            </w:r>
          </w:p>
        </w:tc>
        <w:tc>
          <w:tcPr>
            <w:tcW w:w="850" w:type="dxa"/>
            <w:tcBorders>
              <w:top w:val="nil"/>
              <w:left w:val="nil"/>
              <w:bottom w:val="nil"/>
              <w:right w:val="single" w:sz="4" w:space="0" w:color="auto"/>
            </w:tcBorders>
            <w:shd w:val="clear" w:color="auto" w:fill="auto"/>
            <w:noWrap/>
            <w:vAlign w:val="center"/>
            <w:hideMark/>
          </w:tcPr>
          <w:p w14:paraId="6A0485D9"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43,1</w:t>
            </w:r>
          </w:p>
        </w:tc>
        <w:tc>
          <w:tcPr>
            <w:tcW w:w="850" w:type="dxa"/>
            <w:tcBorders>
              <w:top w:val="nil"/>
              <w:left w:val="nil"/>
              <w:bottom w:val="nil"/>
              <w:right w:val="nil"/>
            </w:tcBorders>
            <w:shd w:val="clear" w:color="auto" w:fill="auto"/>
            <w:noWrap/>
            <w:vAlign w:val="center"/>
            <w:hideMark/>
          </w:tcPr>
          <w:p w14:paraId="4A8FD0B7" w14:textId="4597C4F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35,9</w:t>
            </w:r>
          </w:p>
        </w:tc>
        <w:tc>
          <w:tcPr>
            <w:tcW w:w="851" w:type="dxa"/>
            <w:tcBorders>
              <w:top w:val="nil"/>
              <w:left w:val="single" w:sz="4" w:space="0" w:color="auto"/>
              <w:bottom w:val="nil"/>
              <w:right w:val="nil"/>
            </w:tcBorders>
            <w:shd w:val="clear" w:color="auto" w:fill="auto"/>
            <w:noWrap/>
            <w:vAlign w:val="center"/>
          </w:tcPr>
          <w:p w14:paraId="0A46D221" w14:textId="3193AAC0"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27,5</w:t>
            </w:r>
          </w:p>
        </w:tc>
      </w:tr>
      <w:tr w:rsidR="00EE02F9" w:rsidRPr="00EE02F9" w14:paraId="5FA85140"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15743362"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Olomoucký kraj</w:t>
            </w:r>
          </w:p>
        </w:tc>
        <w:tc>
          <w:tcPr>
            <w:tcW w:w="850" w:type="dxa"/>
            <w:tcBorders>
              <w:top w:val="nil"/>
              <w:left w:val="nil"/>
              <w:bottom w:val="nil"/>
              <w:right w:val="single" w:sz="4" w:space="0" w:color="auto"/>
            </w:tcBorders>
            <w:shd w:val="clear" w:color="auto" w:fill="auto"/>
            <w:noWrap/>
            <w:vAlign w:val="center"/>
            <w:hideMark/>
          </w:tcPr>
          <w:p w14:paraId="25E3EFD9"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107,9</w:t>
            </w:r>
          </w:p>
        </w:tc>
        <w:tc>
          <w:tcPr>
            <w:tcW w:w="850" w:type="dxa"/>
            <w:tcBorders>
              <w:top w:val="nil"/>
              <w:left w:val="nil"/>
              <w:bottom w:val="nil"/>
              <w:right w:val="nil"/>
            </w:tcBorders>
            <w:shd w:val="clear" w:color="auto" w:fill="auto"/>
            <w:noWrap/>
            <w:vAlign w:val="center"/>
            <w:hideMark/>
          </w:tcPr>
          <w:p w14:paraId="347528FB" w14:textId="45AB1312"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176,4</w:t>
            </w:r>
          </w:p>
        </w:tc>
        <w:tc>
          <w:tcPr>
            <w:tcW w:w="851" w:type="dxa"/>
            <w:tcBorders>
              <w:top w:val="nil"/>
              <w:left w:val="single" w:sz="4" w:space="0" w:color="auto"/>
              <w:bottom w:val="nil"/>
              <w:right w:val="single" w:sz="4" w:space="0" w:color="auto"/>
            </w:tcBorders>
            <w:shd w:val="clear" w:color="auto" w:fill="auto"/>
            <w:noWrap/>
            <w:vAlign w:val="center"/>
          </w:tcPr>
          <w:p w14:paraId="0DB1F429" w14:textId="73A96581"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213,1</w:t>
            </w:r>
          </w:p>
        </w:tc>
        <w:tc>
          <w:tcPr>
            <w:tcW w:w="850" w:type="dxa"/>
            <w:tcBorders>
              <w:top w:val="nil"/>
              <w:left w:val="nil"/>
              <w:bottom w:val="nil"/>
              <w:right w:val="single" w:sz="4" w:space="0" w:color="auto"/>
            </w:tcBorders>
            <w:shd w:val="clear" w:color="auto" w:fill="auto"/>
            <w:noWrap/>
            <w:vAlign w:val="center"/>
            <w:hideMark/>
          </w:tcPr>
          <w:p w14:paraId="7EF08D9A"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4 656,8</w:t>
            </w:r>
          </w:p>
        </w:tc>
        <w:tc>
          <w:tcPr>
            <w:tcW w:w="850" w:type="dxa"/>
            <w:tcBorders>
              <w:top w:val="nil"/>
              <w:left w:val="nil"/>
              <w:bottom w:val="nil"/>
              <w:right w:val="single" w:sz="4" w:space="0" w:color="auto"/>
            </w:tcBorders>
            <w:shd w:val="clear" w:color="auto" w:fill="auto"/>
            <w:noWrap/>
            <w:vAlign w:val="center"/>
            <w:hideMark/>
          </w:tcPr>
          <w:p w14:paraId="6D753C70" w14:textId="4CC4768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6 276,3</w:t>
            </w:r>
          </w:p>
        </w:tc>
        <w:tc>
          <w:tcPr>
            <w:tcW w:w="851" w:type="dxa"/>
            <w:tcBorders>
              <w:top w:val="nil"/>
              <w:left w:val="nil"/>
              <w:bottom w:val="nil"/>
              <w:right w:val="single" w:sz="4" w:space="0" w:color="auto"/>
            </w:tcBorders>
            <w:shd w:val="clear" w:color="auto" w:fill="auto"/>
            <w:noWrap/>
            <w:vAlign w:val="center"/>
          </w:tcPr>
          <w:p w14:paraId="459C7951" w14:textId="67F215B0" w:rsidR="00EE02F9" w:rsidRPr="00EE02F9" w:rsidRDefault="006C1C86" w:rsidP="00EE02F9">
            <w:pPr>
              <w:spacing w:after="0" w:line="240" w:lineRule="auto"/>
              <w:jc w:val="right"/>
              <w:rPr>
                <w:rFonts w:cs="Arial"/>
                <w:color w:val="000000"/>
                <w:sz w:val="16"/>
                <w:szCs w:val="16"/>
              </w:rPr>
            </w:pPr>
            <w:r>
              <w:rPr>
                <w:noProof/>
              </w:rPr>
              <mc:AlternateContent>
                <mc:Choice Requires="wps">
                  <w:drawing>
                    <wp:anchor distT="0" distB="0" distL="114300" distR="114300" simplePos="0" relativeHeight="251720192" behindDoc="0" locked="0" layoutInCell="1" allowOverlap="1" wp14:anchorId="7361ACBA" wp14:editId="7FB5EF78">
                      <wp:simplePos x="0" y="0"/>
                      <wp:positionH relativeFrom="column">
                        <wp:posOffset>6985</wp:posOffset>
                      </wp:positionH>
                      <wp:positionV relativeFrom="paragraph">
                        <wp:posOffset>-2533650</wp:posOffset>
                      </wp:positionV>
                      <wp:extent cx="0" cy="3095625"/>
                      <wp:effectExtent l="38100" t="19050" r="57150" b="85725"/>
                      <wp:wrapNone/>
                      <wp:docPr id="27" name="Přímá spojnice 3"/>
                      <wp:cNvGraphicFramePr/>
                      <a:graphic xmlns:a="http://schemas.openxmlformats.org/drawingml/2006/main">
                        <a:graphicData uri="http://schemas.microsoft.com/office/word/2010/wordprocessingShape">
                          <wps:wsp>
                            <wps:cNvCnPr/>
                            <wps:spPr>
                              <a:xfrm>
                                <a:off x="0" y="0"/>
                                <a:ext cx="0" cy="3095625"/>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6643AA9" id="Přímá spojnice 3" o:spid="_x0000_s1026" style="position:absolute;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199.5pt" to=".55pt,4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" strokecolor="#c00000" strokeweight=".5pt">
                      <v:stroke dashstyle="dash"/>
                      <v:shadow on="t" color="black" opacity="24903f" origin=",.5" offset="0,.55556mm"/>
                    </v:line>
                  </w:pict>
                </mc:Fallback>
              </mc:AlternateContent>
            </w:r>
            <w:r w:rsidR="00EE02F9" w:rsidRPr="00EE02F9">
              <w:rPr>
                <w:rFonts w:cs="Arial"/>
                <w:color w:val="000000"/>
                <w:sz w:val="16"/>
                <w:szCs w:val="16"/>
              </w:rPr>
              <w:t>6 033,7</w:t>
            </w:r>
          </w:p>
        </w:tc>
        <w:tc>
          <w:tcPr>
            <w:tcW w:w="850" w:type="dxa"/>
            <w:tcBorders>
              <w:top w:val="nil"/>
              <w:left w:val="nil"/>
              <w:bottom w:val="nil"/>
              <w:right w:val="single" w:sz="4" w:space="0" w:color="auto"/>
            </w:tcBorders>
            <w:shd w:val="clear" w:color="auto" w:fill="auto"/>
            <w:noWrap/>
            <w:vAlign w:val="center"/>
            <w:hideMark/>
          </w:tcPr>
          <w:p w14:paraId="1EE6F02B" w14:textId="24B72FC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43,2</w:t>
            </w:r>
          </w:p>
        </w:tc>
        <w:tc>
          <w:tcPr>
            <w:tcW w:w="850" w:type="dxa"/>
            <w:tcBorders>
              <w:top w:val="nil"/>
              <w:left w:val="nil"/>
              <w:bottom w:val="nil"/>
              <w:right w:val="nil"/>
            </w:tcBorders>
            <w:shd w:val="clear" w:color="auto" w:fill="auto"/>
            <w:noWrap/>
            <w:vAlign w:val="center"/>
            <w:hideMark/>
          </w:tcPr>
          <w:p w14:paraId="1C987000" w14:textId="2511692E"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35,6</w:t>
            </w:r>
          </w:p>
        </w:tc>
        <w:tc>
          <w:tcPr>
            <w:tcW w:w="851" w:type="dxa"/>
            <w:tcBorders>
              <w:top w:val="nil"/>
              <w:left w:val="single" w:sz="4" w:space="0" w:color="auto"/>
              <w:bottom w:val="nil"/>
              <w:right w:val="nil"/>
            </w:tcBorders>
            <w:shd w:val="clear" w:color="auto" w:fill="auto"/>
            <w:noWrap/>
            <w:vAlign w:val="center"/>
          </w:tcPr>
          <w:p w14:paraId="1F0D6354" w14:textId="5867C439"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28,3</w:t>
            </w:r>
          </w:p>
        </w:tc>
      </w:tr>
      <w:tr w:rsidR="00EE02F9" w:rsidRPr="00EE02F9" w14:paraId="1EAAEC94"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5741E5E1" w14:textId="77777777"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Zlínský kraj</w:t>
            </w:r>
          </w:p>
        </w:tc>
        <w:tc>
          <w:tcPr>
            <w:tcW w:w="850" w:type="dxa"/>
            <w:tcBorders>
              <w:top w:val="nil"/>
              <w:left w:val="nil"/>
              <w:bottom w:val="nil"/>
              <w:right w:val="single" w:sz="4" w:space="0" w:color="auto"/>
            </w:tcBorders>
            <w:shd w:val="clear" w:color="auto" w:fill="auto"/>
            <w:noWrap/>
            <w:vAlign w:val="center"/>
            <w:hideMark/>
          </w:tcPr>
          <w:p w14:paraId="161CDC95"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101,0</w:t>
            </w:r>
          </w:p>
        </w:tc>
        <w:tc>
          <w:tcPr>
            <w:tcW w:w="850" w:type="dxa"/>
            <w:tcBorders>
              <w:top w:val="nil"/>
              <w:left w:val="nil"/>
              <w:bottom w:val="nil"/>
              <w:right w:val="nil"/>
            </w:tcBorders>
            <w:shd w:val="clear" w:color="auto" w:fill="auto"/>
            <w:noWrap/>
            <w:vAlign w:val="center"/>
            <w:hideMark/>
          </w:tcPr>
          <w:p w14:paraId="6C46EC8F" w14:textId="6A443488"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150,2</w:t>
            </w:r>
          </w:p>
        </w:tc>
        <w:tc>
          <w:tcPr>
            <w:tcW w:w="851" w:type="dxa"/>
            <w:tcBorders>
              <w:top w:val="nil"/>
              <w:left w:val="single" w:sz="4" w:space="0" w:color="auto"/>
              <w:bottom w:val="nil"/>
              <w:right w:val="single" w:sz="4" w:space="0" w:color="auto"/>
            </w:tcBorders>
            <w:shd w:val="clear" w:color="auto" w:fill="auto"/>
            <w:noWrap/>
            <w:vAlign w:val="center"/>
          </w:tcPr>
          <w:p w14:paraId="77EE1F22" w14:textId="48BAEFF5" w:rsidR="00EE02F9" w:rsidRPr="00EE02F9" w:rsidRDefault="006C1C86" w:rsidP="00EE02F9">
            <w:pPr>
              <w:spacing w:after="0" w:line="240" w:lineRule="auto"/>
              <w:jc w:val="right"/>
              <w:rPr>
                <w:rFonts w:cs="Arial"/>
                <w:color w:val="000000"/>
                <w:sz w:val="16"/>
                <w:szCs w:val="16"/>
              </w:rPr>
            </w:pPr>
            <w:r>
              <w:rPr>
                <w:noProof/>
              </w:rPr>
              <mc:AlternateContent>
                <mc:Choice Requires="wps">
                  <w:drawing>
                    <wp:anchor distT="0" distB="0" distL="114300" distR="114300" simplePos="0" relativeHeight="251718144" behindDoc="0" locked="0" layoutInCell="1" allowOverlap="1" wp14:anchorId="5F3D78DC" wp14:editId="70C555E4">
                      <wp:simplePos x="0" y="0"/>
                      <wp:positionH relativeFrom="column">
                        <wp:posOffset>0</wp:posOffset>
                      </wp:positionH>
                      <wp:positionV relativeFrom="paragraph">
                        <wp:posOffset>-2724150</wp:posOffset>
                      </wp:positionV>
                      <wp:extent cx="0" cy="3095625"/>
                      <wp:effectExtent l="38100" t="19050" r="57150" b="85725"/>
                      <wp:wrapNone/>
                      <wp:docPr id="24" name="Přímá spojnice 3"/>
                      <wp:cNvGraphicFramePr/>
                      <a:graphic xmlns:a="http://schemas.openxmlformats.org/drawingml/2006/main">
                        <a:graphicData uri="http://schemas.microsoft.com/office/word/2010/wordprocessingShape">
                          <wps:wsp>
                            <wps:cNvCnPr/>
                            <wps:spPr>
                              <a:xfrm>
                                <a:off x="0" y="0"/>
                                <a:ext cx="0" cy="3095625"/>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07ED1F9" id="Přímá spojnice 3" o:spid="_x0000_s1026" style="position:absolute;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214.5pt" to="0,2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" strokecolor="#c00000" strokeweight=".5pt">
                      <v:stroke dashstyle="dash"/>
                      <v:shadow on="t" color="black" opacity="24903f" origin=",.5" offset="0,.55556mm"/>
                    </v:line>
                  </w:pict>
                </mc:Fallback>
              </mc:AlternateContent>
            </w:r>
            <w:r w:rsidR="00EE02F9" w:rsidRPr="00EE02F9">
              <w:rPr>
                <w:rFonts w:cs="Arial"/>
                <w:color w:val="000000"/>
                <w:sz w:val="16"/>
                <w:szCs w:val="16"/>
              </w:rPr>
              <w:t>191,4</w:t>
            </w:r>
          </w:p>
        </w:tc>
        <w:tc>
          <w:tcPr>
            <w:tcW w:w="850" w:type="dxa"/>
            <w:tcBorders>
              <w:top w:val="nil"/>
              <w:left w:val="nil"/>
              <w:bottom w:val="nil"/>
              <w:right w:val="single" w:sz="4" w:space="0" w:color="auto"/>
            </w:tcBorders>
            <w:shd w:val="clear" w:color="auto" w:fill="auto"/>
            <w:noWrap/>
            <w:vAlign w:val="center"/>
            <w:hideMark/>
          </w:tcPr>
          <w:p w14:paraId="052D5EDB" w14:textId="505EF7A4"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4 964,4</w:t>
            </w:r>
          </w:p>
        </w:tc>
        <w:tc>
          <w:tcPr>
            <w:tcW w:w="850" w:type="dxa"/>
            <w:tcBorders>
              <w:top w:val="nil"/>
              <w:left w:val="nil"/>
              <w:bottom w:val="nil"/>
              <w:right w:val="single" w:sz="4" w:space="0" w:color="auto"/>
            </w:tcBorders>
            <w:shd w:val="clear" w:color="auto" w:fill="auto"/>
            <w:noWrap/>
            <w:vAlign w:val="center"/>
            <w:hideMark/>
          </w:tcPr>
          <w:p w14:paraId="389CA2A5" w14:textId="220B9685"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6 044,3</w:t>
            </w:r>
          </w:p>
        </w:tc>
        <w:tc>
          <w:tcPr>
            <w:tcW w:w="851" w:type="dxa"/>
            <w:tcBorders>
              <w:top w:val="nil"/>
              <w:left w:val="nil"/>
              <w:bottom w:val="nil"/>
              <w:right w:val="single" w:sz="4" w:space="0" w:color="auto"/>
            </w:tcBorders>
            <w:shd w:val="clear" w:color="auto" w:fill="auto"/>
            <w:noWrap/>
            <w:vAlign w:val="center"/>
          </w:tcPr>
          <w:p w14:paraId="6C18586C" w14:textId="3E33CD69"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5 776,9</w:t>
            </w:r>
          </w:p>
        </w:tc>
        <w:tc>
          <w:tcPr>
            <w:tcW w:w="850" w:type="dxa"/>
            <w:tcBorders>
              <w:top w:val="nil"/>
              <w:left w:val="nil"/>
              <w:bottom w:val="nil"/>
              <w:right w:val="single" w:sz="4" w:space="0" w:color="auto"/>
            </w:tcBorders>
            <w:shd w:val="clear" w:color="auto" w:fill="auto"/>
            <w:noWrap/>
            <w:vAlign w:val="center"/>
            <w:hideMark/>
          </w:tcPr>
          <w:p w14:paraId="7D05282F" w14:textId="49C6B718"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49,1</w:t>
            </w:r>
          </w:p>
        </w:tc>
        <w:tc>
          <w:tcPr>
            <w:tcW w:w="850" w:type="dxa"/>
            <w:tcBorders>
              <w:top w:val="nil"/>
              <w:left w:val="nil"/>
              <w:bottom w:val="nil"/>
              <w:right w:val="nil"/>
            </w:tcBorders>
            <w:shd w:val="clear" w:color="auto" w:fill="auto"/>
            <w:noWrap/>
            <w:vAlign w:val="center"/>
            <w:hideMark/>
          </w:tcPr>
          <w:p w14:paraId="49E38424" w14:textId="09D64C3A"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40,2</w:t>
            </w:r>
          </w:p>
        </w:tc>
        <w:tc>
          <w:tcPr>
            <w:tcW w:w="851" w:type="dxa"/>
            <w:tcBorders>
              <w:top w:val="nil"/>
              <w:left w:val="single" w:sz="4" w:space="0" w:color="auto"/>
              <w:bottom w:val="nil"/>
              <w:right w:val="nil"/>
            </w:tcBorders>
            <w:shd w:val="clear" w:color="auto" w:fill="auto"/>
            <w:noWrap/>
            <w:vAlign w:val="center"/>
          </w:tcPr>
          <w:p w14:paraId="385136AA" w14:textId="2D7EDA6D"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30,2</w:t>
            </w:r>
          </w:p>
        </w:tc>
      </w:tr>
      <w:tr w:rsidR="00EE02F9" w:rsidRPr="00EE02F9" w14:paraId="62F99EDC" w14:textId="77777777" w:rsidTr="00EE02F9">
        <w:trPr>
          <w:trHeight w:val="300"/>
        </w:trPr>
        <w:tc>
          <w:tcPr>
            <w:tcW w:w="1980" w:type="dxa"/>
            <w:tcBorders>
              <w:top w:val="nil"/>
              <w:bottom w:val="nil"/>
              <w:right w:val="single" w:sz="4" w:space="0" w:color="auto"/>
            </w:tcBorders>
            <w:shd w:val="clear" w:color="auto" w:fill="auto"/>
            <w:noWrap/>
            <w:vAlign w:val="center"/>
            <w:hideMark/>
          </w:tcPr>
          <w:p w14:paraId="1E42B4EC" w14:textId="75FC7231" w:rsidR="00EE02F9" w:rsidRPr="00EE02F9" w:rsidRDefault="00EE02F9" w:rsidP="00EE02F9">
            <w:pPr>
              <w:spacing w:after="0" w:line="240" w:lineRule="auto"/>
              <w:ind w:firstLineChars="100" w:firstLine="160"/>
              <w:rPr>
                <w:rFonts w:cs="Arial"/>
                <w:color w:val="000000"/>
                <w:sz w:val="16"/>
                <w:szCs w:val="16"/>
              </w:rPr>
            </w:pPr>
            <w:r w:rsidRPr="00EE02F9">
              <w:rPr>
                <w:rFonts w:cs="Arial"/>
                <w:color w:val="000000"/>
                <w:sz w:val="16"/>
                <w:szCs w:val="16"/>
              </w:rPr>
              <w:t>Moravskoslezský kraj</w:t>
            </w:r>
          </w:p>
        </w:tc>
        <w:tc>
          <w:tcPr>
            <w:tcW w:w="850" w:type="dxa"/>
            <w:tcBorders>
              <w:top w:val="nil"/>
              <w:left w:val="nil"/>
              <w:bottom w:val="nil"/>
              <w:right w:val="single" w:sz="4" w:space="0" w:color="auto"/>
            </w:tcBorders>
            <w:shd w:val="clear" w:color="auto" w:fill="auto"/>
            <w:noWrap/>
            <w:vAlign w:val="center"/>
            <w:hideMark/>
          </w:tcPr>
          <w:p w14:paraId="00237C55" w14:textId="7777777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206,2</w:t>
            </w:r>
          </w:p>
        </w:tc>
        <w:tc>
          <w:tcPr>
            <w:tcW w:w="850" w:type="dxa"/>
            <w:tcBorders>
              <w:top w:val="nil"/>
              <w:left w:val="nil"/>
              <w:bottom w:val="nil"/>
              <w:right w:val="nil"/>
            </w:tcBorders>
            <w:shd w:val="clear" w:color="auto" w:fill="auto"/>
            <w:noWrap/>
            <w:vAlign w:val="center"/>
            <w:hideMark/>
          </w:tcPr>
          <w:p w14:paraId="6C657E00" w14:textId="7D7C274B"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314,5</w:t>
            </w:r>
          </w:p>
        </w:tc>
        <w:tc>
          <w:tcPr>
            <w:tcW w:w="851" w:type="dxa"/>
            <w:tcBorders>
              <w:top w:val="nil"/>
              <w:left w:val="single" w:sz="4" w:space="0" w:color="auto"/>
              <w:bottom w:val="nil"/>
              <w:right w:val="single" w:sz="4" w:space="0" w:color="auto"/>
            </w:tcBorders>
            <w:shd w:val="clear" w:color="auto" w:fill="auto"/>
            <w:noWrap/>
            <w:vAlign w:val="center"/>
          </w:tcPr>
          <w:p w14:paraId="0C9FBDE4" w14:textId="330318D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376,2</w:t>
            </w:r>
          </w:p>
        </w:tc>
        <w:tc>
          <w:tcPr>
            <w:tcW w:w="850" w:type="dxa"/>
            <w:tcBorders>
              <w:top w:val="nil"/>
              <w:left w:val="nil"/>
              <w:bottom w:val="nil"/>
              <w:right w:val="single" w:sz="4" w:space="0" w:color="auto"/>
            </w:tcBorders>
            <w:shd w:val="clear" w:color="auto" w:fill="auto"/>
            <w:noWrap/>
            <w:vAlign w:val="center"/>
            <w:hideMark/>
          </w:tcPr>
          <w:p w14:paraId="6744874D" w14:textId="041F1925"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10 242,1</w:t>
            </w:r>
          </w:p>
        </w:tc>
        <w:tc>
          <w:tcPr>
            <w:tcW w:w="850" w:type="dxa"/>
            <w:tcBorders>
              <w:top w:val="nil"/>
              <w:left w:val="nil"/>
              <w:bottom w:val="nil"/>
              <w:right w:val="single" w:sz="4" w:space="0" w:color="auto"/>
            </w:tcBorders>
            <w:shd w:val="clear" w:color="auto" w:fill="auto"/>
            <w:noWrap/>
            <w:vAlign w:val="center"/>
            <w:hideMark/>
          </w:tcPr>
          <w:p w14:paraId="4B078D02" w14:textId="6B67696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12 405,9</w:t>
            </w:r>
          </w:p>
        </w:tc>
        <w:tc>
          <w:tcPr>
            <w:tcW w:w="851" w:type="dxa"/>
            <w:tcBorders>
              <w:top w:val="nil"/>
              <w:left w:val="nil"/>
              <w:bottom w:val="nil"/>
              <w:right w:val="single" w:sz="4" w:space="0" w:color="auto"/>
            </w:tcBorders>
            <w:shd w:val="clear" w:color="auto" w:fill="auto"/>
            <w:noWrap/>
            <w:vAlign w:val="center"/>
          </w:tcPr>
          <w:p w14:paraId="7BB95F1D" w14:textId="2ACBF5D3"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12 039,1</w:t>
            </w:r>
          </w:p>
        </w:tc>
        <w:tc>
          <w:tcPr>
            <w:tcW w:w="850" w:type="dxa"/>
            <w:tcBorders>
              <w:top w:val="nil"/>
              <w:left w:val="nil"/>
              <w:bottom w:val="nil"/>
              <w:right w:val="single" w:sz="4" w:space="0" w:color="auto"/>
            </w:tcBorders>
            <w:shd w:val="clear" w:color="auto" w:fill="auto"/>
            <w:noWrap/>
            <w:vAlign w:val="center"/>
            <w:hideMark/>
          </w:tcPr>
          <w:p w14:paraId="1182D020" w14:textId="3E065752"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49,7</w:t>
            </w:r>
          </w:p>
        </w:tc>
        <w:tc>
          <w:tcPr>
            <w:tcW w:w="850" w:type="dxa"/>
            <w:tcBorders>
              <w:top w:val="nil"/>
              <w:left w:val="nil"/>
              <w:bottom w:val="nil"/>
              <w:right w:val="nil"/>
            </w:tcBorders>
            <w:shd w:val="clear" w:color="auto" w:fill="auto"/>
            <w:noWrap/>
            <w:vAlign w:val="center"/>
            <w:hideMark/>
          </w:tcPr>
          <w:p w14:paraId="62772760" w14:textId="4230EBA0"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39,5</w:t>
            </w:r>
          </w:p>
        </w:tc>
        <w:tc>
          <w:tcPr>
            <w:tcW w:w="851" w:type="dxa"/>
            <w:tcBorders>
              <w:top w:val="nil"/>
              <w:left w:val="single" w:sz="4" w:space="0" w:color="auto"/>
              <w:bottom w:val="nil"/>
              <w:right w:val="nil"/>
            </w:tcBorders>
            <w:shd w:val="clear" w:color="auto" w:fill="auto"/>
            <w:noWrap/>
            <w:vAlign w:val="center"/>
          </w:tcPr>
          <w:p w14:paraId="102E8038" w14:textId="63997CC7" w:rsidR="00EE02F9" w:rsidRPr="00EE02F9" w:rsidRDefault="00EE02F9" w:rsidP="00EE02F9">
            <w:pPr>
              <w:spacing w:after="0" w:line="240" w:lineRule="auto"/>
              <w:jc w:val="right"/>
              <w:rPr>
                <w:rFonts w:cs="Arial"/>
                <w:color w:val="000000"/>
                <w:sz w:val="16"/>
                <w:szCs w:val="16"/>
              </w:rPr>
            </w:pPr>
            <w:r w:rsidRPr="00EE02F9">
              <w:rPr>
                <w:rFonts w:cs="Arial"/>
                <w:color w:val="000000"/>
                <w:sz w:val="16"/>
                <w:szCs w:val="16"/>
              </w:rPr>
              <w:t>32,0</w:t>
            </w:r>
          </w:p>
        </w:tc>
      </w:tr>
    </w:tbl>
    <w:p w14:paraId="554DB2D1" w14:textId="6C427EB2" w:rsidR="005A75BA" w:rsidRDefault="005A75BA" w:rsidP="004C01F9">
      <w:pPr>
        <w:spacing w:before="120"/>
        <w:rPr>
          <w:sz w:val="16"/>
        </w:rPr>
      </w:pPr>
      <w:r>
        <w:rPr>
          <w:sz w:val="16"/>
        </w:rPr>
        <w:t>Pozn.: Přerušení v časové řadě.</w:t>
      </w:r>
    </w:p>
    <w:p w14:paraId="1EA079CA" w14:textId="587D2DAA" w:rsidR="004C01F9" w:rsidRPr="00EE02F9" w:rsidRDefault="004C01F9" w:rsidP="004C01F9">
      <w:pPr>
        <w:spacing w:before="120"/>
        <w:rPr>
          <w:sz w:val="16"/>
        </w:rPr>
      </w:pPr>
      <w:r w:rsidRPr="00EE02F9">
        <w:rPr>
          <w:sz w:val="16"/>
        </w:rPr>
        <w:t>Zdroj: ČSSZ</w:t>
      </w:r>
    </w:p>
    <w:p w14:paraId="28F90B0F" w14:textId="027B6EF0" w:rsidR="004229D4" w:rsidRPr="00166BEB" w:rsidRDefault="004C01F9" w:rsidP="005A75BA">
      <w:pPr>
        <w:jc w:val="both"/>
        <w:rPr>
          <w:b/>
          <w:highlight w:val="yellow"/>
        </w:rPr>
      </w:pPr>
      <w:r w:rsidRPr="00B61F35">
        <w:t xml:space="preserve">Celková </w:t>
      </w:r>
      <w:r w:rsidRPr="00B61F35">
        <w:rPr>
          <w:b/>
        </w:rPr>
        <w:t>prostonaná doba</w:t>
      </w:r>
      <w:r w:rsidRPr="00B61F35">
        <w:t xml:space="preserve"> v roce 202</w:t>
      </w:r>
      <w:r w:rsidR="00EE02F9" w:rsidRPr="00B61F35">
        <w:t>2</w:t>
      </w:r>
      <w:r w:rsidRPr="00B61F35">
        <w:t xml:space="preserve"> činila 9</w:t>
      </w:r>
      <w:r w:rsidR="00EE02F9" w:rsidRPr="00B61F35">
        <w:t>1 027</w:t>
      </w:r>
      <w:r w:rsidRPr="00B61F35">
        <w:t xml:space="preserve"> tis. dnů, což je o </w:t>
      </w:r>
      <w:r w:rsidR="00EE02F9" w:rsidRPr="00B61F35">
        <w:t>2,7</w:t>
      </w:r>
      <w:r w:rsidRPr="00B61F35">
        <w:t xml:space="preserve"> mil. dnů (o </w:t>
      </w:r>
      <w:r w:rsidR="00EE02F9" w:rsidRPr="00B61F35">
        <w:t>3 %</w:t>
      </w:r>
      <w:r w:rsidRPr="00B61F35">
        <w:t xml:space="preserve">) </w:t>
      </w:r>
      <w:r w:rsidR="00EE02F9" w:rsidRPr="00B61F35">
        <w:t>méně než v roce 2021</w:t>
      </w:r>
      <w:r w:rsidRPr="00B61F35">
        <w:t xml:space="preserve">. </w:t>
      </w:r>
      <w:r w:rsidR="00EE02F9" w:rsidRPr="00B61F35">
        <w:t xml:space="preserve">Oproti roku 2019 počet </w:t>
      </w:r>
      <w:r w:rsidRPr="00B61F35">
        <w:t xml:space="preserve">prostonaných dnů </w:t>
      </w:r>
      <w:r w:rsidR="00EE02F9" w:rsidRPr="00B61F35">
        <w:t>vzrostl o 16 mil. (o pětinu).</w:t>
      </w:r>
      <w:r w:rsidRPr="00B61F35">
        <w:t xml:space="preserve"> Jeden případ dočasné p</w:t>
      </w:r>
      <w:r w:rsidR="00EE02F9" w:rsidRPr="00B61F35">
        <w:t>racovní neschopnosti v roce 2022</w:t>
      </w:r>
      <w:r w:rsidRPr="00B61F35">
        <w:t xml:space="preserve"> trval průměrně </w:t>
      </w:r>
      <w:r w:rsidR="00EE02F9" w:rsidRPr="00B61F35">
        <w:t>26</w:t>
      </w:r>
      <w:r w:rsidRPr="00B61F35">
        <w:t xml:space="preserve">,5 dne. V průměru nejdelší pracovní neschopnost si vyžádaly nemoci a úrazy ve Zlínském a Moravskoslezském kraji, a sice </w:t>
      </w:r>
      <w:r w:rsidR="00B61F35" w:rsidRPr="00B61F35">
        <w:t>32, re</w:t>
      </w:r>
      <w:r w:rsidR="003A18CD">
        <w:t>s</w:t>
      </w:r>
      <w:r w:rsidR="00B61F35" w:rsidRPr="00B61F35">
        <w:t>p. 30</w:t>
      </w:r>
      <w:r w:rsidRPr="00B61F35">
        <w:t> dnů na jednu pracovní neschopnost.</w:t>
      </w:r>
      <w:r w:rsidR="004229D4" w:rsidRPr="00166BEB">
        <w:rPr>
          <w:b/>
          <w:highlight w:val="yellow"/>
        </w:rPr>
        <w:br w:type="page"/>
      </w:r>
    </w:p>
    <w:p w14:paraId="752A02B5" w14:textId="25751C7B" w:rsidR="00D7583A" w:rsidRPr="00B61F35" w:rsidRDefault="00D7583A" w:rsidP="00F77360">
      <w:pPr>
        <w:spacing w:after="0"/>
        <w:jc w:val="both"/>
        <w:rPr>
          <w:b/>
        </w:rPr>
      </w:pPr>
      <w:r w:rsidRPr="00B61F35">
        <w:rPr>
          <w:b/>
        </w:rPr>
        <w:lastRenderedPageBreak/>
        <w:t>Tab. 3.2: Ukončené případy dočasné pracovní neschopnosti a průměrná délka jejich trvání podle věkových skupin, 2019</w:t>
      </w:r>
      <w:r w:rsidR="00B61F35" w:rsidRPr="00B61F35">
        <w:rPr>
          <w:b/>
        </w:rPr>
        <w:t>, 2</w:t>
      </w:r>
      <w:r w:rsidR="00D50EF1" w:rsidRPr="00B61F35">
        <w:rPr>
          <w:b/>
        </w:rPr>
        <w:t>021</w:t>
      </w:r>
      <w:r w:rsidR="00B61F35" w:rsidRPr="00B61F35">
        <w:rPr>
          <w:b/>
        </w:rPr>
        <w:t>, 2022</w:t>
      </w:r>
    </w:p>
    <w:tbl>
      <w:tblPr>
        <w:tblW w:w="9723" w:type="dxa"/>
        <w:tblCellMar>
          <w:left w:w="70" w:type="dxa"/>
          <w:right w:w="70" w:type="dxa"/>
        </w:tblCellMar>
        <w:tblLook w:val="04A0" w:firstRow="1" w:lastRow="0" w:firstColumn="1" w:lastColumn="0" w:noHBand="0" w:noVBand="1"/>
      </w:tblPr>
      <w:tblGrid>
        <w:gridCol w:w="1474"/>
        <w:gridCol w:w="1609"/>
        <w:gridCol w:w="1252"/>
        <w:gridCol w:w="1254"/>
        <w:gridCol w:w="1610"/>
        <w:gridCol w:w="1252"/>
        <w:gridCol w:w="1254"/>
        <w:gridCol w:w="18"/>
      </w:tblGrid>
      <w:tr w:rsidR="00CC38CC" w:rsidRPr="00B61F35" w14:paraId="07D731FD" w14:textId="77777777" w:rsidTr="00CC38CC">
        <w:trPr>
          <w:gridAfter w:val="1"/>
          <w:wAfter w:w="18" w:type="dxa"/>
          <w:trHeight w:val="525"/>
        </w:trPr>
        <w:tc>
          <w:tcPr>
            <w:tcW w:w="1474" w:type="dxa"/>
            <w:vMerge w:val="restart"/>
            <w:tcBorders>
              <w:top w:val="single" w:sz="4" w:space="0" w:color="auto"/>
              <w:left w:val="nil"/>
              <w:bottom w:val="single" w:sz="4" w:space="0" w:color="000000"/>
              <w:right w:val="single" w:sz="4" w:space="0" w:color="auto"/>
            </w:tcBorders>
            <w:shd w:val="clear" w:color="000000" w:fill="F5DADD"/>
            <w:vAlign w:val="center"/>
            <w:hideMark/>
          </w:tcPr>
          <w:p w14:paraId="15DABE35"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Věková skupina</w:t>
            </w:r>
          </w:p>
        </w:tc>
        <w:tc>
          <w:tcPr>
            <w:tcW w:w="4115" w:type="dxa"/>
            <w:gridSpan w:val="3"/>
            <w:tcBorders>
              <w:top w:val="single" w:sz="4" w:space="0" w:color="auto"/>
              <w:left w:val="nil"/>
              <w:bottom w:val="single" w:sz="4" w:space="0" w:color="auto"/>
              <w:right w:val="single" w:sz="4" w:space="0" w:color="000000"/>
            </w:tcBorders>
            <w:shd w:val="clear" w:color="000000" w:fill="F2DBDB"/>
            <w:vAlign w:val="center"/>
            <w:hideMark/>
          </w:tcPr>
          <w:p w14:paraId="03BFB214" w14:textId="35F29A12"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Ukončené případy DPN</w:t>
            </w:r>
            <w:r w:rsidR="00EB2F9C">
              <w:rPr>
                <w:rFonts w:cs="Arial"/>
                <w:color w:val="000000"/>
                <w:sz w:val="16"/>
                <w:szCs w:val="16"/>
              </w:rPr>
              <w:t xml:space="preserve"> (tis.)</w:t>
            </w:r>
          </w:p>
        </w:tc>
        <w:tc>
          <w:tcPr>
            <w:tcW w:w="4116" w:type="dxa"/>
            <w:gridSpan w:val="3"/>
            <w:tcBorders>
              <w:top w:val="single" w:sz="4" w:space="0" w:color="auto"/>
              <w:left w:val="nil"/>
              <w:bottom w:val="single" w:sz="4" w:space="0" w:color="auto"/>
              <w:right w:val="nil"/>
            </w:tcBorders>
            <w:shd w:val="clear" w:color="000000" w:fill="F2DBDB"/>
            <w:vAlign w:val="center"/>
            <w:hideMark/>
          </w:tcPr>
          <w:p w14:paraId="6C1F4CEE"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Průměrná délka trvání 1 ukončeného případu DPN ve dnech</w:t>
            </w:r>
          </w:p>
        </w:tc>
      </w:tr>
      <w:tr w:rsidR="00CC38CC" w:rsidRPr="00B61F35" w14:paraId="1D9C2720" w14:textId="77777777" w:rsidTr="00CC38CC">
        <w:trPr>
          <w:gridAfter w:val="1"/>
          <w:wAfter w:w="18" w:type="dxa"/>
          <w:trHeight w:val="300"/>
        </w:trPr>
        <w:tc>
          <w:tcPr>
            <w:tcW w:w="1474" w:type="dxa"/>
            <w:vMerge/>
            <w:tcBorders>
              <w:top w:val="single" w:sz="4" w:space="0" w:color="auto"/>
              <w:left w:val="nil"/>
              <w:bottom w:val="single" w:sz="4" w:space="0" w:color="000000"/>
              <w:right w:val="single" w:sz="4" w:space="0" w:color="auto"/>
            </w:tcBorders>
            <w:vAlign w:val="center"/>
            <w:hideMark/>
          </w:tcPr>
          <w:p w14:paraId="65A55D32" w14:textId="77777777" w:rsidR="00CC38CC" w:rsidRPr="00B61F35" w:rsidRDefault="00CC38CC" w:rsidP="00D50EF1">
            <w:pPr>
              <w:spacing w:after="0" w:line="240" w:lineRule="auto"/>
              <w:rPr>
                <w:rFonts w:cs="Arial"/>
                <w:color w:val="000000"/>
                <w:sz w:val="16"/>
                <w:szCs w:val="16"/>
              </w:rPr>
            </w:pPr>
          </w:p>
        </w:tc>
        <w:tc>
          <w:tcPr>
            <w:tcW w:w="1609" w:type="dxa"/>
            <w:vMerge w:val="restart"/>
            <w:tcBorders>
              <w:top w:val="nil"/>
              <w:left w:val="single" w:sz="4" w:space="0" w:color="auto"/>
              <w:right w:val="nil"/>
            </w:tcBorders>
            <w:shd w:val="clear" w:color="000000" w:fill="F2DBDB"/>
            <w:vAlign w:val="center"/>
            <w:hideMark/>
          </w:tcPr>
          <w:p w14:paraId="13F54067" w14:textId="77777777" w:rsidR="00CC38CC" w:rsidRPr="00B61F35" w:rsidRDefault="00CC38CC" w:rsidP="00D50EF1">
            <w:pPr>
              <w:spacing w:after="0" w:line="240" w:lineRule="auto"/>
              <w:jc w:val="center"/>
              <w:rPr>
                <w:rFonts w:cs="Arial"/>
                <w:b/>
                <w:bCs/>
                <w:color w:val="000000"/>
                <w:sz w:val="16"/>
                <w:szCs w:val="16"/>
              </w:rPr>
            </w:pPr>
            <w:r w:rsidRPr="00B61F35">
              <w:rPr>
                <w:rFonts w:cs="Arial"/>
                <w:b/>
                <w:bCs/>
                <w:color w:val="000000"/>
                <w:sz w:val="16"/>
                <w:szCs w:val="16"/>
              </w:rPr>
              <w:t>Celkem</w:t>
            </w:r>
          </w:p>
        </w:tc>
        <w:tc>
          <w:tcPr>
            <w:tcW w:w="2506"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42B45ED9" w14:textId="77777777" w:rsidR="00CC38CC" w:rsidRPr="00B61F35" w:rsidRDefault="00CC38CC" w:rsidP="00D50EF1">
            <w:pPr>
              <w:spacing w:after="0" w:line="240" w:lineRule="auto"/>
              <w:jc w:val="center"/>
              <w:rPr>
                <w:rFonts w:cs="Arial"/>
                <w:color w:val="000000"/>
                <w:sz w:val="16"/>
                <w:szCs w:val="16"/>
              </w:rPr>
            </w:pPr>
            <w:r w:rsidRPr="00B61F35">
              <w:rPr>
                <w:rFonts w:cs="Arial"/>
                <w:color w:val="000000"/>
                <w:sz w:val="16"/>
                <w:szCs w:val="16"/>
              </w:rPr>
              <w:t>podle pohlaví</w:t>
            </w:r>
          </w:p>
        </w:tc>
        <w:tc>
          <w:tcPr>
            <w:tcW w:w="1610" w:type="dxa"/>
            <w:vMerge w:val="restart"/>
            <w:tcBorders>
              <w:top w:val="nil"/>
              <w:left w:val="single" w:sz="4" w:space="0" w:color="auto"/>
              <w:right w:val="nil"/>
            </w:tcBorders>
            <w:shd w:val="clear" w:color="000000" w:fill="F2DBDB"/>
            <w:vAlign w:val="center"/>
            <w:hideMark/>
          </w:tcPr>
          <w:p w14:paraId="1CA783D9" w14:textId="77777777" w:rsidR="00CC38CC" w:rsidRPr="00B61F35" w:rsidRDefault="00CC38CC" w:rsidP="00D50EF1">
            <w:pPr>
              <w:spacing w:after="0" w:line="240" w:lineRule="auto"/>
              <w:jc w:val="center"/>
              <w:rPr>
                <w:rFonts w:cs="Arial"/>
                <w:b/>
                <w:bCs/>
                <w:color w:val="000000"/>
                <w:sz w:val="16"/>
                <w:szCs w:val="16"/>
              </w:rPr>
            </w:pPr>
            <w:r w:rsidRPr="00B61F35">
              <w:rPr>
                <w:rFonts w:cs="Arial"/>
                <w:b/>
                <w:bCs/>
                <w:color w:val="000000"/>
                <w:sz w:val="16"/>
                <w:szCs w:val="16"/>
              </w:rPr>
              <w:t>Celkem</w:t>
            </w:r>
          </w:p>
        </w:tc>
        <w:tc>
          <w:tcPr>
            <w:tcW w:w="2506" w:type="dxa"/>
            <w:gridSpan w:val="2"/>
            <w:tcBorders>
              <w:top w:val="single" w:sz="4" w:space="0" w:color="auto"/>
              <w:left w:val="single" w:sz="4" w:space="0" w:color="auto"/>
              <w:bottom w:val="single" w:sz="4" w:space="0" w:color="auto"/>
            </w:tcBorders>
            <w:shd w:val="clear" w:color="000000" w:fill="F2DBDB"/>
            <w:vAlign w:val="center"/>
            <w:hideMark/>
          </w:tcPr>
          <w:p w14:paraId="6179ED94" w14:textId="77777777" w:rsidR="00CC38CC" w:rsidRPr="00B61F35" w:rsidRDefault="00CC38CC" w:rsidP="00D50EF1">
            <w:pPr>
              <w:spacing w:after="0" w:line="240" w:lineRule="auto"/>
              <w:jc w:val="center"/>
              <w:rPr>
                <w:rFonts w:cs="Arial"/>
                <w:color w:val="000000"/>
                <w:sz w:val="16"/>
                <w:szCs w:val="16"/>
              </w:rPr>
            </w:pPr>
            <w:r w:rsidRPr="00B61F35">
              <w:rPr>
                <w:rFonts w:cs="Arial"/>
                <w:color w:val="000000"/>
                <w:sz w:val="16"/>
                <w:szCs w:val="16"/>
              </w:rPr>
              <w:t>podle pohlaví</w:t>
            </w:r>
          </w:p>
        </w:tc>
      </w:tr>
      <w:tr w:rsidR="00CC38CC" w:rsidRPr="00B61F35" w14:paraId="2B332651" w14:textId="77777777" w:rsidTr="00CC38CC">
        <w:trPr>
          <w:gridAfter w:val="1"/>
          <w:wAfter w:w="18" w:type="dxa"/>
          <w:trHeight w:val="300"/>
        </w:trPr>
        <w:tc>
          <w:tcPr>
            <w:tcW w:w="1474" w:type="dxa"/>
            <w:vMerge/>
            <w:tcBorders>
              <w:top w:val="single" w:sz="4" w:space="0" w:color="auto"/>
              <w:left w:val="nil"/>
              <w:bottom w:val="single" w:sz="4" w:space="0" w:color="000000"/>
              <w:right w:val="single" w:sz="4" w:space="0" w:color="auto"/>
            </w:tcBorders>
            <w:vAlign w:val="center"/>
            <w:hideMark/>
          </w:tcPr>
          <w:p w14:paraId="0A95C0BC" w14:textId="77777777" w:rsidR="00CC38CC" w:rsidRPr="00B61F35" w:rsidRDefault="00CC38CC" w:rsidP="00D50EF1">
            <w:pPr>
              <w:spacing w:after="0" w:line="240" w:lineRule="auto"/>
              <w:rPr>
                <w:rFonts w:cs="Arial"/>
                <w:color w:val="000000"/>
                <w:sz w:val="16"/>
                <w:szCs w:val="16"/>
              </w:rPr>
            </w:pPr>
          </w:p>
        </w:tc>
        <w:tc>
          <w:tcPr>
            <w:tcW w:w="1609" w:type="dxa"/>
            <w:vMerge/>
            <w:tcBorders>
              <w:left w:val="single" w:sz="4" w:space="0" w:color="auto"/>
              <w:bottom w:val="single" w:sz="4" w:space="0" w:color="000000"/>
              <w:right w:val="nil"/>
            </w:tcBorders>
            <w:vAlign w:val="center"/>
            <w:hideMark/>
          </w:tcPr>
          <w:p w14:paraId="2E0F9210" w14:textId="77777777" w:rsidR="00CC38CC" w:rsidRPr="00B61F35" w:rsidRDefault="00CC38CC" w:rsidP="00D50EF1">
            <w:pPr>
              <w:spacing w:after="0" w:line="240" w:lineRule="auto"/>
              <w:rPr>
                <w:rFonts w:cs="Arial"/>
                <w:b/>
                <w:bCs/>
                <w:color w:val="000000"/>
                <w:sz w:val="16"/>
                <w:szCs w:val="16"/>
              </w:rPr>
            </w:pPr>
          </w:p>
        </w:tc>
        <w:tc>
          <w:tcPr>
            <w:tcW w:w="1252" w:type="dxa"/>
            <w:tcBorders>
              <w:top w:val="nil"/>
              <w:left w:val="single" w:sz="4" w:space="0" w:color="auto"/>
              <w:bottom w:val="single" w:sz="4" w:space="0" w:color="auto"/>
              <w:right w:val="single" w:sz="4" w:space="0" w:color="auto"/>
            </w:tcBorders>
            <w:shd w:val="clear" w:color="000000" w:fill="F2DBDB"/>
            <w:vAlign w:val="center"/>
            <w:hideMark/>
          </w:tcPr>
          <w:p w14:paraId="26633845" w14:textId="77777777" w:rsidR="00CC38CC" w:rsidRPr="00B61F35" w:rsidRDefault="00CC38CC" w:rsidP="00D50EF1">
            <w:pPr>
              <w:spacing w:after="0" w:line="240" w:lineRule="auto"/>
              <w:jc w:val="center"/>
              <w:rPr>
                <w:rFonts w:cs="Arial"/>
                <w:color w:val="000000"/>
                <w:sz w:val="16"/>
                <w:szCs w:val="16"/>
              </w:rPr>
            </w:pPr>
            <w:r w:rsidRPr="00B61F35">
              <w:rPr>
                <w:rFonts w:cs="Arial"/>
                <w:color w:val="000000"/>
                <w:sz w:val="16"/>
                <w:szCs w:val="16"/>
              </w:rPr>
              <w:t>muži</w:t>
            </w:r>
          </w:p>
        </w:tc>
        <w:tc>
          <w:tcPr>
            <w:tcW w:w="1254" w:type="dxa"/>
            <w:tcBorders>
              <w:top w:val="nil"/>
              <w:left w:val="nil"/>
              <w:bottom w:val="single" w:sz="4" w:space="0" w:color="auto"/>
              <w:right w:val="single" w:sz="4" w:space="0" w:color="auto"/>
            </w:tcBorders>
            <w:shd w:val="clear" w:color="000000" w:fill="F2DBDB"/>
            <w:vAlign w:val="center"/>
            <w:hideMark/>
          </w:tcPr>
          <w:p w14:paraId="47727B58" w14:textId="77777777" w:rsidR="00CC38CC" w:rsidRPr="00B61F35" w:rsidRDefault="00CC38CC" w:rsidP="00D50EF1">
            <w:pPr>
              <w:spacing w:after="0" w:line="240" w:lineRule="auto"/>
              <w:jc w:val="center"/>
              <w:rPr>
                <w:rFonts w:cs="Arial"/>
                <w:color w:val="000000"/>
                <w:sz w:val="16"/>
                <w:szCs w:val="16"/>
              </w:rPr>
            </w:pPr>
            <w:r w:rsidRPr="00B61F35">
              <w:rPr>
                <w:rFonts w:cs="Arial"/>
                <w:color w:val="000000"/>
                <w:sz w:val="16"/>
                <w:szCs w:val="16"/>
              </w:rPr>
              <w:t>ženy</w:t>
            </w:r>
          </w:p>
        </w:tc>
        <w:tc>
          <w:tcPr>
            <w:tcW w:w="1610" w:type="dxa"/>
            <w:vMerge/>
            <w:tcBorders>
              <w:left w:val="single" w:sz="4" w:space="0" w:color="auto"/>
              <w:bottom w:val="single" w:sz="4" w:space="0" w:color="000000"/>
              <w:right w:val="nil"/>
            </w:tcBorders>
            <w:vAlign w:val="center"/>
            <w:hideMark/>
          </w:tcPr>
          <w:p w14:paraId="0DF2B55D" w14:textId="77777777" w:rsidR="00CC38CC" w:rsidRPr="00B61F35" w:rsidRDefault="00CC38CC" w:rsidP="00D50EF1">
            <w:pPr>
              <w:spacing w:after="0" w:line="240" w:lineRule="auto"/>
              <w:rPr>
                <w:rFonts w:cs="Arial"/>
                <w:b/>
                <w:bCs/>
                <w:color w:val="000000"/>
                <w:sz w:val="16"/>
                <w:szCs w:val="16"/>
              </w:rPr>
            </w:pPr>
          </w:p>
        </w:tc>
        <w:tc>
          <w:tcPr>
            <w:tcW w:w="1252" w:type="dxa"/>
            <w:tcBorders>
              <w:top w:val="nil"/>
              <w:left w:val="single" w:sz="4" w:space="0" w:color="auto"/>
              <w:bottom w:val="single" w:sz="4" w:space="0" w:color="auto"/>
              <w:right w:val="single" w:sz="4" w:space="0" w:color="auto"/>
            </w:tcBorders>
            <w:shd w:val="clear" w:color="000000" w:fill="F2DBDB"/>
            <w:vAlign w:val="center"/>
            <w:hideMark/>
          </w:tcPr>
          <w:p w14:paraId="332474D2" w14:textId="77777777" w:rsidR="00CC38CC" w:rsidRPr="00B61F35" w:rsidRDefault="00CC38CC" w:rsidP="00D50EF1">
            <w:pPr>
              <w:spacing w:after="0" w:line="240" w:lineRule="auto"/>
              <w:jc w:val="center"/>
              <w:rPr>
                <w:rFonts w:cs="Arial"/>
                <w:color w:val="000000"/>
                <w:sz w:val="16"/>
                <w:szCs w:val="16"/>
              </w:rPr>
            </w:pPr>
            <w:r w:rsidRPr="00B61F35">
              <w:rPr>
                <w:rFonts w:cs="Arial"/>
                <w:color w:val="000000"/>
                <w:sz w:val="16"/>
                <w:szCs w:val="16"/>
              </w:rPr>
              <w:t>muži</w:t>
            </w:r>
          </w:p>
        </w:tc>
        <w:tc>
          <w:tcPr>
            <w:tcW w:w="1254" w:type="dxa"/>
            <w:tcBorders>
              <w:top w:val="nil"/>
              <w:left w:val="nil"/>
              <w:bottom w:val="single" w:sz="4" w:space="0" w:color="auto"/>
              <w:right w:val="nil"/>
            </w:tcBorders>
            <w:shd w:val="clear" w:color="000000" w:fill="F2DBDB"/>
            <w:vAlign w:val="center"/>
            <w:hideMark/>
          </w:tcPr>
          <w:p w14:paraId="18A2736F" w14:textId="77777777" w:rsidR="00CC38CC" w:rsidRPr="00B61F35" w:rsidRDefault="00CC38CC" w:rsidP="00D50EF1">
            <w:pPr>
              <w:spacing w:after="0" w:line="240" w:lineRule="auto"/>
              <w:jc w:val="center"/>
              <w:rPr>
                <w:rFonts w:cs="Arial"/>
                <w:color w:val="000000"/>
                <w:sz w:val="16"/>
                <w:szCs w:val="16"/>
              </w:rPr>
            </w:pPr>
            <w:r w:rsidRPr="00B61F35">
              <w:rPr>
                <w:rFonts w:cs="Arial"/>
                <w:color w:val="000000"/>
                <w:sz w:val="16"/>
                <w:szCs w:val="16"/>
              </w:rPr>
              <w:t>ženy</w:t>
            </w:r>
          </w:p>
        </w:tc>
      </w:tr>
      <w:tr w:rsidR="00CC38CC" w:rsidRPr="00B61F35" w14:paraId="187FBD5C" w14:textId="77777777" w:rsidTr="00CC38CC">
        <w:trPr>
          <w:trHeight w:val="300"/>
        </w:trPr>
        <w:tc>
          <w:tcPr>
            <w:tcW w:w="1474" w:type="dxa"/>
            <w:vMerge/>
            <w:tcBorders>
              <w:top w:val="single" w:sz="4" w:space="0" w:color="auto"/>
              <w:left w:val="nil"/>
              <w:bottom w:val="single" w:sz="4" w:space="0" w:color="000000"/>
              <w:right w:val="single" w:sz="4" w:space="0" w:color="auto"/>
            </w:tcBorders>
            <w:vAlign w:val="center"/>
            <w:hideMark/>
          </w:tcPr>
          <w:p w14:paraId="6451C5B8" w14:textId="77777777" w:rsidR="00D50EF1" w:rsidRPr="00B61F35" w:rsidRDefault="00D50EF1" w:rsidP="00D50EF1">
            <w:pPr>
              <w:spacing w:after="0" w:line="240" w:lineRule="auto"/>
              <w:rPr>
                <w:rFonts w:cs="Arial"/>
                <w:color w:val="000000"/>
                <w:sz w:val="16"/>
                <w:szCs w:val="16"/>
              </w:rPr>
            </w:pPr>
          </w:p>
        </w:tc>
        <w:tc>
          <w:tcPr>
            <w:tcW w:w="8249" w:type="dxa"/>
            <w:gridSpan w:val="7"/>
            <w:tcBorders>
              <w:top w:val="single" w:sz="4" w:space="0" w:color="auto"/>
              <w:left w:val="nil"/>
              <w:bottom w:val="single" w:sz="4" w:space="0" w:color="auto"/>
              <w:right w:val="nil"/>
            </w:tcBorders>
            <w:shd w:val="clear" w:color="000000" w:fill="F2DBDB"/>
            <w:vAlign w:val="center"/>
            <w:hideMark/>
          </w:tcPr>
          <w:p w14:paraId="301B0AF2" w14:textId="77777777" w:rsidR="00D50EF1" w:rsidRPr="00B61F35" w:rsidRDefault="00D50EF1" w:rsidP="00D50EF1">
            <w:pPr>
              <w:spacing w:after="0" w:line="240" w:lineRule="auto"/>
              <w:jc w:val="center"/>
              <w:rPr>
                <w:rFonts w:cs="Arial"/>
                <w:b/>
                <w:bCs/>
                <w:color w:val="000000"/>
                <w:sz w:val="16"/>
                <w:szCs w:val="16"/>
              </w:rPr>
            </w:pPr>
            <w:r w:rsidRPr="00B61F35">
              <w:rPr>
                <w:rFonts w:cs="Arial"/>
                <w:b/>
                <w:bCs/>
                <w:color w:val="000000"/>
                <w:sz w:val="16"/>
                <w:szCs w:val="16"/>
              </w:rPr>
              <w:t>2019</w:t>
            </w:r>
          </w:p>
        </w:tc>
      </w:tr>
      <w:tr w:rsidR="00CC38CC" w:rsidRPr="00B61F35" w14:paraId="6CB0958C"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779024EC" w14:textId="77777777" w:rsidR="00D50EF1" w:rsidRPr="00B61F35" w:rsidRDefault="00D50EF1" w:rsidP="00D50EF1">
            <w:pPr>
              <w:spacing w:after="0" w:line="240" w:lineRule="auto"/>
              <w:rPr>
                <w:rFonts w:cs="Arial"/>
                <w:b/>
                <w:bCs/>
                <w:color w:val="000000"/>
                <w:sz w:val="16"/>
                <w:szCs w:val="16"/>
              </w:rPr>
            </w:pPr>
            <w:r w:rsidRPr="00B61F35">
              <w:rPr>
                <w:rFonts w:cs="Arial"/>
                <w:b/>
                <w:bCs/>
                <w:color w:val="000000"/>
                <w:sz w:val="16"/>
                <w:szCs w:val="16"/>
              </w:rPr>
              <w:t>Celkem</w:t>
            </w:r>
          </w:p>
        </w:tc>
        <w:tc>
          <w:tcPr>
            <w:tcW w:w="1609" w:type="dxa"/>
            <w:tcBorders>
              <w:top w:val="nil"/>
              <w:left w:val="nil"/>
              <w:bottom w:val="nil"/>
              <w:right w:val="nil"/>
            </w:tcBorders>
            <w:shd w:val="clear" w:color="auto" w:fill="auto"/>
            <w:vAlign w:val="center"/>
            <w:hideMark/>
          </w:tcPr>
          <w:p w14:paraId="6FE55BE8" w14:textId="77777777" w:rsidR="00D50EF1" w:rsidRPr="00B61F35" w:rsidRDefault="00D50EF1" w:rsidP="00D50EF1">
            <w:pPr>
              <w:spacing w:after="0" w:line="240" w:lineRule="auto"/>
              <w:jc w:val="right"/>
              <w:rPr>
                <w:rFonts w:cs="Arial"/>
                <w:b/>
                <w:bCs/>
                <w:color w:val="000000"/>
                <w:sz w:val="16"/>
                <w:szCs w:val="16"/>
              </w:rPr>
            </w:pPr>
            <w:r w:rsidRPr="00B61F35">
              <w:rPr>
                <w:rFonts w:cs="Arial"/>
                <w:b/>
                <w:bCs/>
                <w:color w:val="000000"/>
                <w:sz w:val="16"/>
                <w:szCs w:val="16"/>
              </w:rPr>
              <w:t>1 832,4</w:t>
            </w:r>
          </w:p>
        </w:tc>
        <w:tc>
          <w:tcPr>
            <w:tcW w:w="1252" w:type="dxa"/>
            <w:tcBorders>
              <w:top w:val="nil"/>
              <w:left w:val="nil"/>
              <w:bottom w:val="nil"/>
              <w:right w:val="nil"/>
            </w:tcBorders>
            <w:shd w:val="clear" w:color="auto" w:fill="auto"/>
            <w:vAlign w:val="center"/>
            <w:hideMark/>
          </w:tcPr>
          <w:p w14:paraId="4D03BBF5" w14:textId="77777777" w:rsidR="00D50EF1" w:rsidRPr="00B61F35" w:rsidRDefault="00D50EF1" w:rsidP="00D50EF1">
            <w:pPr>
              <w:spacing w:after="0" w:line="240" w:lineRule="auto"/>
              <w:jc w:val="right"/>
              <w:rPr>
                <w:rFonts w:cs="Arial"/>
                <w:b/>
                <w:bCs/>
                <w:color w:val="000000"/>
                <w:sz w:val="16"/>
                <w:szCs w:val="16"/>
              </w:rPr>
            </w:pPr>
            <w:r w:rsidRPr="00B61F35">
              <w:rPr>
                <w:rFonts w:cs="Arial"/>
                <w:b/>
                <w:bCs/>
                <w:color w:val="000000"/>
                <w:sz w:val="16"/>
                <w:szCs w:val="16"/>
              </w:rPr>
              <w:t>862,4</w:t>
            </w:r>
          </w:p>
        </w:tc>
        <w:tc>
          <w:tcPr>
            <w:tcW w:w="1254" w:type="dxa"/>
            <w:tcBorders>
              <w:top w:val="nil"/>
              <w:left w:val="nil"/>
              <w:bottom w:val="nil"/>
              <w:right w:val="single" w:sz="4" w:space="0" w:color="auto"/>
            </w:tcBorders>
            <w:shd w:val="clear" w:color="auto" w:fill="auto"/>
            <w:vAlign w:val="center"/>
            <w:hideMark/>
          </w:tcPr>
          <w:p w14:paraId="234E7667" w14:textId="56B9717F" w:rsidR="00D50EF1" w:rsidRPr="00B61F35" w:rsidRDefault="00D50EF1" w:rsidP="00D50EF1">
            <w:pPr>
              <w:spacing w:after="0" w:line="240" w:lineRule="auto"/>
              <w:jc w:val="right"/>
              <w:rPr>
                <w:rFonts w:cs="Arial"/>
                <w:b/>
                <w:bCs/>
                <w:color w:val="000000"/>
                <w:sz w:val="16"/>
                <w:szCs w:val="16"/>
              </w:rPr>
            </w:pPr>
            <w:r w:rsidRPr="00B61F35">
              <w:rPr>
                <w:rFonts w:cs="Arial"/>
                <w:b/>
                <w:bCs/>
                <w:color w:val="000000"/>
                <w:sz w:val="16"/>
                <w:szCs w:val="16"/>
              </w:rPr>
              <w:t>970,1</w:t>
            </w:r>
          </w:p>
        </w:tc>
        <w:tc>
          <w:tcPr>
            <w:tcW w:w="1610" w:type="dxa"/>
            <w:tcBorders>
              <w:top w:val="nil"/>
              <w:left w:val="nil"/>
              <w:bottom w:val="nil"/>
              <w:right w:val="nil"/>
            </w:tcBorders>
            <w:shd w:val="clear" w:color="auto" w:fill="auto"/>
            <w:vAlign w:val="center"/>
            <w:hideMark/>
          </w:tcPr>
          <w:p w14:paraId="14212370" w14:textId="77777777" w:rsidR="00D50EF1" w:rsidRPr="00B61F35" w:rsidRDefault="00D50EF1" w:rsidP="00D50EF1">
            <w:pPr>
              <w:spacing w:after="0" w:line="240" w:lineRule="auto"/>
              <w:jc w:val="center"/>
              <w:rPr>
                <w:rFonts w:cs="Arial"/>
                <w:b/>
                <w:bCs/>
                <w:color w:val="000000"/>
                <w:sz w:val="16"/>
                <w:szCs w:val="16"/>
              </w:rPr>
            </w:pPr>
            <w:r w:rsidRPr="00B61F35">
              <w:rPr>
                <w:rFonts w:cs="Arial"/>
                <w:b/>
                <w:bCs/>
                <w:color w:val="000000"/>
                <w:sz w:val="16"/>
                <w:szCs w:val="16"/>
              </w:rPr>
              <w:t>41,0</w:t>
            </w:r>
          </w:p>
        </w:tc>
        <w:tc>
          <w:tcPr>
            <w:tcW w:w="1252" w:type="dxa"/>
            <w:tcBorders>
              <w:top w:val="nil"/>
              <w:left w:val="nil"/>
              <w:bottom w:val="nil"/>
              <w:right w:val="nil"/>
            </w:tcBorders>
            <w:shd w:val="clear" w:color="auto" w:fill="auto"/>
            <w:vAlign w:val="center"/>
            <w:hideMark/>
          </w:tcPr>
          <w:p w14:paraId="5659473E" w14:textId="77777777" w:rsidR="00D50EF1" w:rsidRPr="00B61F35" w:rsidRDefault="00D50EF1" w:rsidP="00D50EF1">
            <w:pPr>
              <w:spacing w:after="0" w:line="240" w:lineRule="auto"/>
              <w:jc w:val="center"/>
              <w:rPr>
                <w:rFonts w:cs="Arial"/>
                <w:b/>
                <w:bCs/>
                <w:color w:val="000000"/>
                <w:sz w:val="16"/>
                <w:szCs w:val="16"/>
              </w:rPr>
            </w:pPr>
            <w:r w:rsidRPr="00B61F35">
              <w:rPr>
                <w:rFonts w:cs="Arial"/>
                <w:b/>
                <w:bCs/>
                <w:color w:val="000000"/>
                <w:sz w:val="16"/>
                <w:szCs w:val="16"/>
              </w:rPr>
              <w:t>39,1</w:t>
            </w:r>
          </w:p>
        </w:tc>
        <w:tc>
          <w:tcPr>
            <w:tcW w:w="1254" w:type="dxa"/>
            <w:tcBorders>
              <w:top w:val="nil"/>
              <w:left w:val="nil"/>
              <w:bottom w:val="nil"/>
              <w:right w:val="nil"/>
            </w:tcBorders>
            <w:shd w:val="clear" w:color="auto" w:fill="auto"/>
            <w:vAlign w:val="center"/>
            <w:hideMark/>
          </w:tcPr>
          <w:p w14:paraId="3A0F0145" w14:textId="77777777" w:rsidR="00D50EF1" w:rsidRPr="00B61F35" w:rsidRDefault="00D50EF1" w:rsidP="00D50EF1">
            <w:pPr>
              <w:spacing w:after="0" w:line="240" w:lineRule="auto"/>
              <w:jc w:val="center"/>
              <w:rPr>
                <w:rFonts w:cs="Arial"/>
                <w:b/>
                <w:bCs/>
                <w:color w:val="000000"/>
                <w:sz w:val="16"/>
                <w:szCs w:val="16"/>
              </w:rPr>
            </w:pPr>
            <w:r w:rsidRPr="00B61F35">
              <w:rPr>
                <w:rFonts w:cs="Arial"/>
                <w:b/>
                <w:bCs/>
                <w:color w:val="000000"/>
                <w:sz w:val="16"/>
                <w:szCs w:val="16"/>
              </w:rPr>
              <w:t>42,7</w:t>
            </w:r>
          </w:p>
        </w:tc>
      </w:tr>
      <w:tr w:rsidR="00CC38CC" w:rsidRPr="00B61F35" w14:paraId="637B52B5"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4D6601C3" w14:textId="77777777" w:rsidR="00D50EF1" w:rsidRPr="00B61F35" w:rsidRDefault="00D50EF1" w:rsidP="00D50EF1">
            <w:pPr>
              <w:spacing w:after="0" w:line="240" w:lineRule="auto"/>
              <w:ind w:firstLineChars="100" w:firstLine="160"/>
              <w:rPr>
                <w:rFonts w:cs="Arial"/>
                <w:color w:val="000000"/>
                <w:sz w:val="16"/>
                <w:szCs w:val="16"/>
              </w:rPr>
            </w:pPr>
            <w:r w:rsidRPr="00B61F35">
              <w:rPr>
                <w:rFonts w:cs="Arial"/>
                <w:color w:val="000000"/>
                <w:sz w:val="16"/>
                <w:szCs w:val="16"/>
              </w:rPr>
              <w:t>mladší 20 let</w:t>
            </w:r>
          </w:p>
        </w:tc>
        <w:tc>
          <w:tcPr>
            <w:tcW w:w="1609" w:type="dxa"/>
            <w:tcBorders>
              <w:top w:val="nil"/>
              <w:left w:val="nil"/>
              <w:bottom w:val="nil"/>
              <w:right w:val="nil"/>
            </w:tcBorders>
            <w:shd w:val="clear" w:color="auto" w:fill="auto"/>
            <w:vAlign w:val="center"/>
            <w:hideMark/>
          </w:tcPr>
          <w:p w14:paraId="5D5E70E0"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25,1</w:t>
            </w:r>
          </w:p>
        </w:tc>
        <w:tc>
          <w:tcPr>
            <w:tcW w:w="1252" w:type="dxa"/>
            <w:tcBorders>
              <w:top w:val="nil"/>
              <w:left w:val="nil"/>
              <w:bottom w:val="nil"/>
              <w:right w:val="nil"/>
            </w:tcBorders>
            <w:shd w:val="clear" w:color="auto" w:fill="auto"/>
            <w:vAlign w:val="center"/>
            <w:hideMark/>
          </w:tcPr>
          <w:p w14:paraId="0B1D35D1"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13,8</w:t>
            </w:r>
          </w:p>
        </w:tc>
        <w:tc>
          <w:tcPr>
            <w:tcW w:w="1254" w:type="dxa"/>
            <w:tcBorders>
              <w:top w:val="nil"/>
              <w:left w:val="nil"/>
              <w:bottom w:val="nil"/>
              <w:right w:val="single" w:sz="4" w:space="0" w:color="auto"/>
            </w:tcBorders>
            <w:shd w:val="clear" w:color="auto" w:fill="auto"/>
            <w:vAlign w:val="center"/>
            <w:hideMark/>
          </w:tcPr>
          <w:p w14:paraId="7AA650BD"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11,3</w:t>
            </w:r>
          </w:p>
        </w:tc>
        <w:tc>
          <w:tcPr>
            <w:tcW w:w="1610" w:type="dxa"/>
            <w:tcBorders>
              <w:top w:val="nil"/>
              <w:left w:val="nil"/>
              <w:bottom w:val="nil"/>
              <w:right w:val="nil"/>
            </w:tcBorders>
            <w:shd w:val="clear" w:color="auto" w:fill="auto"/>
            <w:vAlign w:val="center"/>
            <w:hideMark/>
          </w:tcPr>
          <w:p w14:paraId="59745D3E"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17,9</w:t>
            </w:r>
          </w:p>
        </w:tc>
        <w:tc>
          <w:tcPr>
            <w:tcW w:w="1252" w:type="dxa"/>
            <w:tcBorders>
              <w:top w:val="nil"/>
              <w:left w:val="nil"/>
              <w:bottom w:val="nil"/>
              <w:right w:val="nil"/>
            </w:tcBorders>
            <w:shd w:val="clear" w:color="auto" w:fill="auto"/>
            <w:vAlign w:val="center"/>
            <w:hideMark/>
          </w:tcPr>
          <w:p w14:paraId="6029F3A8"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15,7</w:t>
            </w:r>
          </w:p>
        </w:tc>
        <w:tc>
          <w:tcPr>
            <w:tcW w:w="1254" w:type="dxa"/>
            <w:tcBorders>
              <w:top w:val="nil"/>
              <w:left w:val="nil"/>
              <w:bottom w:val="nil"/>
              <w:right w:val="nil"/>
            </w:tcBorders>
            <w:shd w:val="clear" w:color="auto" w:fill="auto"/>
            <w:vAlign w:val="center"/>
            <w:hideMark/>
          </w:tcPr>
          <w:p w14:paraId="44754F98"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20,5</w:t>
            </w:r>
          </w:p>
        </w:tc>
      </w:tr>
      <w:tr w:rsidR="00CC38CC" w:rsidRPr="00B61F35" w14:paraId="6136217F"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0D20D774" w14:textId="77777777" w:rsidR="00D50EF1" w:rsidRPr="00B61F35" w:rsidRDefault="00D50EF1" w:rsidP="00D50EF1">
            <w:pPr>
              <w:spacing w:after="0" w:line="240" w:lineRule="auto"/>
              <w:ind w:firstLineChars="100" w:firstLine="160"/>
              <w:rPr>
                <w:rFonts w:cs="Arial"/>
                <w:color w:val="000000"/>
                <w:sz w:val="16"/>
                <w:szCs w:val="16"/>
              </w:rPr>
            </w:pPr>
            <w:r w:rsidRPr="00B61F35">
              <w:rPr>
                <w:rFonts w:cs="Arial"/>
                <w:color w:val="000000"/>
                <w:sz w:val="16"/>
                <w:szCs w:val="16"/>
              </w:rPr>
              <w:t>20–29 let</w:t>
            </w:r>
          </w:p>
        </w:tc>
        <w:tc>
          <w:tcPr>
            <w:tcW w:w="1609" w:type="dxa"/>
            <w:tcBorders>
              <w:top w:val="nil"/>
              <w:left w:val="nil"/>
              <w:bottom w:val="nil"/>
              <w:right w:val="nil"/>
            </w:tcBorders>
            <w:shd w:val="clear" w:color="auto" w:fill="auto"/>
            <w:vAlign w:val="center"/>
            <w:hideMark/>
          </w:tcPr>
          <w:p w14:paraId="3FF62D9F"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398,9</w:t>
            </w:r>
          </w:p>
        </w:tc>
        <w:tc>
          <w:tcPr>
            <w:tcW w:w="1252" w:type="dxa"/>
            <w:tcBorders>
              <w:top w:val="nil"/>
              <w:left w:val="nil"/>
              <w:bottom w:val="nil"/>
              <w:right w:val="nil"/>
            </w:tcBorders>
            <w:shd w:val="clear" w:color="auto" w:fill="auto"/>
            <w:vAlign w:val="center"/>
            <w:hideMark/>
          </w:tcPr>
          <w:p w14:paraId="6240F43E"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210,1</w:t>
            </w:r>
          </w:p>
        </w:tc>
        <w:tc>
          <w:tcPr>
            <w:tcW w:w="1254" w:type="dxa"/>
            <w:tcBorders>
              <w:top w:val="nil"/>
              <w:left w:val="nil"/>
              <w:bottom w:val="nil"/>
              <w:right w:val="single" w:sz="4" w:space="0" w:color="auto"/>
            </w:tcBorders>
            <w:shd w:val="clear" w:color="auto" w:fill="auto"/>
            <w:vAlign w:val="center"/>
            <w:hideMark/>
          </w:tcPr>
          <w:p w14:paraId="70E6D34D"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188,9</w:t>
            </w:r>
          </w:p>
        </w:tc>
        <w:tc>
          <w:tcPr>
            <w:tcW w:w="1610" w:type="dxa"/>
            <w:tcBorders>
              <w:top w:val="nil"/>
              <w:left w:val="nil"/>
              <w:bottom w:val="nil"/>
              <w:right w:val="nil"/>
            </w:tcBorders>
            <w:shd w:val="clear" w:color="auto" w:fill="auto"/>
            <w:vAlign w:val="center"/>
            <w:hideMark/>
          </w:tcPr>
          <w:p w14:paraId="62451693"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25,8</w:t>
            </w:r>
          </w:p>
        </w:tc>
        <w:tc>
          <w:tcPr>
            <w:tcW w:w="1252" w:type="dxa"/>
            <w:tcBorders>
              <w:top w:val="nil"/>
              <w:left w:val="nil"/>
              <w:bottom w:val="nil"/>
              <w:right w:val="nil"/>
            </w:tcBorders>
            <w:shd w:val="clear" w:color="auto" w:fill="auto"/>
            <w:vAlign w:val="center"/>
            <w:hideMark/>
          </w:tcPr>
          <w:p w14:paraId="0F7FEAEF"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20,9</w:t>
            </w:r>
          </w:p>
        </w:tc>
        <w:tc>
          <w:tcPr>
            <w:tcW w:w="1254" w:type="dxa"/>
            <w:tcBorders>
              <w:top w:val="nil"/>
              <w:left w:val="nil"/>
              <w:bottom w:val="nil"/>
              <w:right w:val="nil"/>
            </w:tcBorders>
            <w:shd w:val="clear" w:color="auto" w:fill="auto"/>
            <w:vAlign w:val="center"/>
            <w:hideMark/>
          </w:tcPr>
          <w:p w14:paraId="39648B05"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31,2</w:t>
            </w:r>
          </w:p>
        </w:tc>
      </w:tr>
      <w:tr w:rsidR="00CC38CC" w:rsidRPr="00B61F35" w14:paraId="11C49F06"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74AFE771" w14:textId="77777777" w:rsidR="00D50EF1" w:rsidRPr="00B61F35" w:rsidRDefault="00D50EF1" w:rsidP="00D50EF1">
            <w:pPr>
              <w:spacing w:after="0" w:line="240" w:lineRule="auto"/>
              <w:ind w:firstLineChars="100" w:firstLine="160"/>
              <w:rPr>
                <w:rFonts w:cs="Arial"/>
                <w:color w:val="000000"/>
                <w:sz w:val="16"/>
                <w:szCs w:val="16"/>
              </w:rPr>
            </w:pPr>
            <w:r w:rsidRPr="00B61F35">
              <w:rPr>
                <w:rFonts w:cs="Arial"/>
                <w:color w:val="000000"/>
                <w:sz w:val="16"/>
                <w:szCs w:val="16"/>
              </w:rPr>
              <w:t>30–39 let</w:t>
            </w:r>
          </w:p>
        </w:tc>
        <w:tc>
          <w:tcPr>
            <w:tcW w:w="1609" w:type="dxa"/>
            <w:tcBorders>
              <w:top w:val="nil"/>
              <w:left w:val="nil"/>
              <w:bottom w:val="nil"/>
              <w:right w:val="nil"/>
            </w:tcBorders>
            <w:shd w:val="clear" w:color="auto" w:fill="auto"/>
            <w:vAlign w:val="center"/>
            <w:hideMark/>
          </w:tcPr>
          <w:p w14:paraId="1B4EBFE2"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397,5</w:t>
            </w:r>
          </w:p>
        </w:tc>
        <w:tc>
          <w:tcPr>
            <w:tcW w:w="1252" w:type="dxa"/>
            <w:tcBorders>
              <w:top w:val="nil"/>
              <w:left w:val="nil"/>
              <w:bottom w:val="nil"/>
              <w:right w:val="nil"/>
            </w:tcBorders>
            <w:shd w:val="clear" w:color="auto" w:fill="auto"/>
            <w:vAlign w:val="center"/>
            <w:hideMark/>
          </w:tcPr>
          <w:p w14:paraId="3723EEE2"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200,4</w:t>
            </w:r>
          </w:p>
        </w:tc>
        <w:tc>
          <w:tcPr>
            <w:tcW w:w="1254" w:type="dxa"/>
            <w:tcBorders>
              <w:top w:val="nil"/>
              <w:left w:val="nil"/>
              <w:bottom w:val="nil"/>
              <w:right w:val="single" w:sz="4" w:space="0" w:color="auto"/>
            </w:tcBorders>
            <w:shd w:val="clear" w:color="auto" w:fill="auto"/>
            <w:vAlign w:val="center"/>
            <w:hideMark/>
          </w:tcPr>
          <w:p w14:paraId="78902D43" w14:textId="48ECC26E"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197,2</w:t>
            </w:r>
          </w:p>
        </w:tc>
        <w:tc>
          <w:tcPr>
            <w:tcW w:w="1610" w:type="dxa"/>
            <w:tcBorders>
              <w:top w:val="nil"/>
              <w:left w:val="nil"/>
              <w:bottom w:val="nil"/>
              <w:right w:val="nil"/>
            </w:tcBorders>
            <w:shd w:val="clear" w:color="auto" w:fill="auto"/>
            <w:vAlign w:val="center"/>
            <w:hideMark/>
          </w:tcPr>
          <w:p w14:paraId="4E256963"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33,7</w:t>
            </w:r>
          </w:p>
        </w:tc>
        <w:tc>
          <w:tcPr>
            <w:tcW w:w="1252" w:type="dxa"/>
            <w:tcBorders>
              <w:top w:val="nil"/>
              <w:left w:val="nil"/>
              <w:bottom w:val="nil"/>
              <w:right w:val="nil"/>
            </w:tcBorders>
            <w:shd w:val="clear" w:color="auto" w:fill="auto"/>
            <w:vAlign w:val="center"/>
            <w:hideMark/>
          </w:tcPr>
          <w:p w14:paraId="0C48D329"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28,7</w:t>
            </w:r>
          </w:p>
        </w:tc>
        <w:tc>
          <w:tcPr>
            <w:tcW w:w="1254" w:type="dxa"/>
            <w:tcBorders>
              <w:top w:val="nil"/>
              <w:left w:val="nil"/>
              <w:bottom w:val="nil"/>
              <w:right w:val="nil"/>
            </w:tcBorders>
            <w:shd w:val="clear" w:color="auto" w:fill="auto"/>
            <w:vAlign w:val="center"/>
            <w:hideMark/>
          </w:tcPr>
          <w:p w14:paraId="60D9775A"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38,8</w:t>
            </w:r>
          </w:p>
        </w:tc>
      </w:tr>
      <w:tr w:rsidR="00CC38CC" w:rsidRPr="00B61F35" w14:paraId="49B4C779"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3F156F2A" w14:textId="77777777" w:rsidR="00D50EF1" w:rsidRPr="00B61F35" w:rsidRDefault="00D50EF1" w:rsidP="00D50EF1">
            <w:pPr>
              <w:spacing w:after="0" w:line="240" w:lineRule="auto"/>
              <w:ind w:firstLineChars="100" w:firstLine="160"/>
              <w:rPr>
                <w:rFonts w:cs="Arial"/>
                <w:color w:val="000000"/>
                <w:sz w:val="16"/>
                <w:szCs w:val="16"/>
              </w:rPr>
            </w:pPr>
            <w:r w:rsidRPr="00B61F35">
              <w:rPr>
                <w:rFonts w:cs="Arial"/>
                <w:color w:val="000000"/>
                <w:sz w:val="16"/>
                <w:szCs w:val="16"/>
              </w:rPr>
              <w:t>40–49 let</w:t>
            </w:r>
          </w:p>
        </w:tc>
        <w:tc>
          <w:tcPr>
            <w:tcW w:w="1609" w:type="dxa"/>
            <w:tcBorders>
              <w:top w:val="nil"/>
              <w:left w:val="nil"/>
              <w:bottom w:val="nil"/>
              <w:right w:val="nil"/>
            </w:tcBorders>
            <w:shd w:val="clear" w:color="auto" w:fill="auto"/>
            <w:vAlign w:val="center"/>
            <w:hideMark/>
          </w:tcPr>
          <w:p w14:paraId="34566AC3"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469,8</w:t>
            </w:r>
          </w:p>
        </w:tc>
        <w:tc>
          <w:tcPr>
            <w:tcW w:w="1252" w:type="dxa"/>
            <w:tcBorders>
              <w:top w:val="nil"/>
              <w:left w:val="nil"/>
              <w:bottom w:val="nil"/>
              <w:right w:val="nil"/>
            </w:tcBorders>
            <w:shd w:val="clear" w:color="auto" w:fill="auto"/>
            <w:vAlign w:val="center"/>
            <w:hideMark/>
          </w:tcPr>
          <w:p w14:paraId="724A7FC5"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195,8</w:t>
            </w:r>
          </w:p>
        </w:tc>
        <w:tc>
          <w:tcPr>
            <w:tcW w:w="1254" w:type="dxa"/>
            <w:tcBorders>
              <w:top w:val="nil"/>
              <w:left w:val="nil"/>
              <w:bottom w:val="nil"/>
              <w:right w:val="single" w:sz="4" w:space="0" w:color="auto"/>
            </w:tcBorders>
            <w:shd w:val="clear" w:color="auto" w:fill="auto"/>
            <w:vAlign w:val="center"/>
            <w:hideMark/>
          </w:tcPr>
          <w:p w14:paraId="2F14ACF7"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274,0</w:t>
            </w:r>
          </w:p>
        </w:tc>
        <w:tc>
          <w:tcPr>
            <w:tcW w:w="1610" w:type="dxa"/>
            <w:tcBorders>
              <w:top w:val="nil"/>
              <w:left w:val="nil"/>
              <w:bottom w:val="nil"/>
              <w:right w:val="nil"/>
            </w:tcBorders>
            <w:shd w:val="clear" w:color="auto" w:fill="auto"/>
            <w:vAlign w:val="center"/>
            <w:hideMark/>
          </w:tcPr>
          <w:p w14:paraId="473C5812"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42,2</w:t>
            </w:r>
          </w:p>
        </w:tc>
        <w:tc>
          <w:tcPr>
            <w:tcW w:w="1252" w:type="dxa"/>
            <w:tcBorders>
              <w:top w:val="nil"/>
              <w:left w:val="nil"/>
              <w:bottom w:val="nil"/>
              <w:right w:val="nil"/>
            </w:tcBorders>
            <w:shd w:val="clear" w:color="auto" w:fill="auto"/>
            <w:vAlign w:val="center"/>
            <w:hideMark/>
          </w:tcPr>
          <w:p w14:paraId="710B8A4B"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41,7</w:t>
            </w:r>
          </w:p>
        </w:tc>
        <w:tc>
          <w:tcPr>
            <w:tcW w:w="1254" w:type="dxa"/>
            <w:tcBorders>
              <w:top w:val="nil"/>
              <w:left w:val="nil"/>
              <w:bottom w:val="nil"/>
              <w:right w:val="nil"/>
            </w:tcBorders>
            <w:shd w:val="clear" w:color="auto" w:fill="auto"/>
            <w:vAlign w:val="center"/>
            <w:hideMark/>
          </w:tcPr>
          <w:p w14:paraId="62C564B1"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42,6</w:t>
            </w:r>
          </w:p>
        </w:tc>
      </w:tr>
      <w:tr w:rsidR="00CC38CC" w:rsidRPr="00B61F35" w14:paraId="4E1E571C"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37553962" w14:textId="77777777" w:rsidR="00D50EF1" w:rsidRPr="00B61F35" w:rsidRDefault="00D50EF1" w:rsidP="00D50EF1">
            <w:pPr>
              <w:spacing w:after="0" w:line="240" w:lineRule="auto"/>
              <w:ind w:firstLineChars="100" w:firstLine="160"/>
              <w:rPr>
                <w:rFonts w:cs="Arial"/>
                <w:color w:val="000000"/>
                <w:sz w:val="16"/>
                <w:szCs w:val="16"/>
              </w:rPr>
            </w:pPr>
            <w:r w:rsidRPr="00B61F35">
              <w:rPr>
                <w:rFonts w:cs="Arial"/>
                <w:color w:val="000000"/>
                <w:sz w:val="16"/>
                <w:szCs w:val="16"/>
              </w:rPr>
              <w:t>50–59 let</w:t>
            </w:r>
          </w:p>
        </w:tc>
        <w:tc>
          <w:tcPr>
            <w:tcW w:w="1609" w:type="dxa"/>
            <w:tcBorders>
              <w:top w:val="nil"/>
              <w:left w:val="nil"/>
              <w:bottom w:val="nil"/>
              <w:right w:val="nil"/>
            </w:tcBorders>
            <w:shd w:val="clear" w:color="auto" w:fill="auto"/>
            <w:vAlign w:val="center"/>
            <w:hideMark/>
          </w:tcPr>
          <w:p w14:paraId="5B8748EE"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411,8</w:t>
            </w:r>
          </w:p>
        </w:tc>
        <w:tc>
          <w:tcPr>
            <w:tcW w:w="1252" w:type="dxa"/>
            <w:tcBorders>
              <w:top w:val="nil"/>
              <w:left w:val="nil"/>
              <w:bottom w:val="nil"/>
              <w:right w:val="nil"/>
            </w:tcBorders>
            <w:shd w:val="clear" w:color="auto" w:fill="auto"/>
            <w:vAlign w:val="center"/>
            <w:hideMark/>
          </w:tcPr>
          <w:p w14:paraId="7005B49D"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167,0</w:t>
            </w:r>
          </w:p>
        </w:tc>
        <w:tc>
          <w:tcPr>
            <w:tcW w:w="1254" w:type="dxa"/>
            <w:tcBorders>
              <w:top w:val="nil"/>
              <w:left w:val="nil"/>
              <w:bottom w:val="nil"/>
              <w:right w:val="single" w:sz="4" w:space="0" w:color="auto"/>
            </w:tcBorders>
            <w:shd w:val="clear" w:color="auto" w:fill="auto"/>
            <w:vAlign w:val="center"/>
            <w:hideMark/>
          </w:tcPr>
          <w:p w14:paraId="25EEE94B" w14:textId="4FF98CAB"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244,7</w:t>
            </w:r>
          </w:p>
        </w:tc>
        <w:tc>
          <w:tcPr>
            <w:tcW w:w="1610" w:type="dxa"/>
            <w:tcBorders>
              <w:top w:val="nil"/>
              <w:left w:val="nil"/>
              <w:bottom w:val="nil"/>
              <w:right w:val="nil"/>
            </w:tcBorders>
            <w:shd w:val="clear" w:color="auto" w:fill="auto"/>
            <w:vAlign w:val="center"/>
            <w:hideMark/>
          </w:tcPr>
          <w:p w14:paraId="59789845"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54,5</w:t>
            </w:r>
          </w:p>
        </w:tc>
        <w:tc>
          <w:tcPr>
            <w:tcW w:w="1252" w:type="dxa"/>
            <w:tcBorders>
              <w:top w:val="nil"/>
              <w:left w:val="nil"/>
              <w:bottom w:val="nil"/>
              <w:right w:val="nil"/>
            </w:tcBorders>
            <w:shd w:val="clear" w:color="auto" w:fill="auto"/>
            <w:vAlign w:val="center"/>
            <w:hideMark/>
          </w:tcPr>
          <w:p w14:paraId="0276677C"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56,9</w:t>
            </w:r>
          </w:p>
        </w:tc>
        <w:tc>
          <w:tcPr>
            <w:tcW w:w="1254" w:type="dxa"/>
            <w:tcBorders>
              <w:top w:val="nil"/>
              <w:left w:val="nil"/>
              <w:bottom w:val="nil"/>
              <w:right w:val="nil"/>
            </w:tcBorders>
            <w:shd w:val="clear" w:color="auto" w:fill="auto"/>
            <w:vAlign w:val="center"/>
            <w:hideMark/>
          </w:tcPr>
          <w:p w14:paraId="136CC06A"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52,9</w:t>
            </w:r>
          </w:p>
        </w:tc>
      </w:tr>
      <w:tr w:rsidR="00CC38CC" w:rsidRPr="00B61F35" w14:paraId="49EBA82E"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7D00AB47" w14:textId="77777777" w:rsidR="00D50EF1" w:rsidRPr="00B61F35" w:rsidRDefault="00D50EF1" w:rsidP="00D50EF1">
            <w:pPr>
              <w:spacing w:after="0" w:line="240" w:lineRule="auto"/>
              <w:ind w:firstLineChars="100" w:firstLine="160"/>
              <w:rPr>
                <w:rFonts w:cs="Arial"/>
                <w:color w:val="000000"/>
                <w:sz w:val="16"/>
                <w:szCs w:val="16"/>
              </w:rPr>
            </w:pPr>
            <w:r w:rsidRPr="00B61F35">
              <w:rPr>
                <w:rFonts w:cs="Arial"/>
                <w:color w:val="000000"/>
                <w:sz w:val="16"/>
                <w:szCs w:val="16"/>
              </w:rPr>
              <w:t>60 a více let</w:t>
            </w:r>
          </w:p>
        </w:tc>
        <w:tc>
          <w:tcPr>
            <w:tcW w:w="1609" w:type="dxa"/>
            <w:tcBorders>
              <w:top w:val="nil"/>
              <w:left w:val="nil"/>
              <w:bottom w:val="nil"/>
              <w:right w:val="nil"/>
            </w:tcBorders>
            <w:shd w:val="clear" w:color="auto" w:fill="auto"/>
            <w:vAlign w:val="center"/>
            <w:hideMark/>
          </w:tcPr>
          <w:p w14:paraId="1DB7C864"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129,2</w:t>
            </w:r>
          </w:p>
        </w:tc>
        <w:tc>
          <w:tcPr>
            <w:tcW w:w="1252" w:type="dxa"/>
            <w:tcBorders>
              <w:top w:val="nil"/>
              <w:left w:val="nil"/>
              <w:bottom w:val="nil"/>
              <w:right w:val="nil"/>
            </w:tcBorders>
            <w:shd w:val="clear" w:color="auto" w:fill="auto"/>
            <w:vAlign w:val="center"/>
            <w:hideMark/>
          </w:tcPr>
          <w:p w14:paraId="2E8F7913" w14:textId="77777777"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75,3</w:t>
            </w:r>
          </w:p>
        </w:tc>
        <w:tc>
          <w:tcPr>
            <w:tcW w:w="1254" w:type="dxa"/>
            <w:tcBorders>
              <w:top w:val="nil"/>
              <w:left w:val="nil"/>
              <w:bottom w:val="nil"/>
              <w:right w:val="single" w:sz="4" w:space="0" w:color="auto"/>
            </w:tcBorders>
            <w:shd w:val="clear" w:color="auto" w:fill="auto"/>
            <w:vAlign w:val="center"/>
            <w:hideMark/>
          </w:tcPr>
          <w:p w14:paraId="51249216" w14:textId="52F97325" w:rsidR="00D50EF1" w:rsidRPr="00B61F35" w:rsidRDefault="00D50EF1" w:rsidP="00D50EF1">
            <w:pPr>
              <w:spacing w:after="0" w:line="240" w:lineRule="auto"/>
              <w:jc w:val="right"/>
              <w:rPr>
                <w:rFonts w:cs="Arial"/>
                <w:color w:val="000000"/>
                <w:sz w:val="16"/>
                <w:szCs w:val="16"/>
              </w:rPr>
            </w:pPr>
            <w:r w:rsidRPr="00B61F35">
              <w:rPr>
                <w:rFonts w:cs="Arial"/>
                <w:color w:val="000000"/>
                <w:sz w:val="16"/>
                <w:szCs w:val="16"/>
              </w:rPr>
              <w:t>53,9</w:t>
            </w:r>
          </w:p>
        </w:tc>
        <w:tc>
          <w:tcPr>
            <w:tcW w:w="1610" w:type="dxa"/>
            <w:tcBorders>
              <w:top w:val="nil"/>
              <w:left w:val="nil"/>
              <w:bottom w:val="nil"/>
              <w:right w:val="nil"/>
            </w:tcBorders>
            <w:shd w:val="clear" w:color="auto" w:fill="auto"/>
            <w:vAlign w:val="center"/>
            <w:hideMark/>
          </w:tcPr>
          <w:p w14:paraId="03053B13"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66,9</w:t>
            </w:r>
          </w:p>
        </w:tc>
        <w:tc>
          <w:tcPr>
            <w:tcW w:w="1252" w:type="dxa"/>
            <w:tcBorders>
              <w:top w:val="nil"/>
              <w:left w:val="nil"/>
              <w:bottom w:val="nil"/>
              <w:right w:val="nil"/>
            </w:tcBorders>
            <w:shd w:val="clear" w:color="auto" w:fill="auto"/>
            <w:vAlign w:val="center"/>
            <w:hideMark/>
          </w:tcPr>
          <w:p w14:paraId="7AB7FCA6"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75,2</w:t>
            </w:r>
          </w:p>
        </w:tc>
        <w:tc>
          <w:tcPr>
            <w:tcW w:w="1254" w:type="dxa"/>
            <w:tcBorders>
              <w:top w:val="nil"/>
              <w:left w:val="nil"/>
              <w:bottom w:val="nil"/>
              <w:right w:val="nil"/>
            </w:tcBorders>
            <w:shd w:val="clear" w:color="auto" w:fill="auto"/>
            <w:vAlign w:val="center"/>
            <w:hideMark/>
          </w:tcPr>
          <w:p w14:paraId="7F6467B6"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55,5</w:t>
            </w:r>
          </w:p>
        </w:tc>
      </w:tr>
      <w:tr w:rsidR="00D50EF1" w:rsidRPr="00B61F35" w14:paraId="44CDF35B" w14:textId="77777777" w:rsidTr="00CC38CC">
        <w:trPr>
          <w:trHeight w:val="300"/>
        </w:trPr>
        <w:tc>
          <w:tcPr>
            <w:tcW w:w="1474" w:type="dxa"/>
            <w:tcBorders>
              <w:top w:val="single" w:sz="4" w:space="0" w:color="auto"/>
              <w:left w:val="nil"/>
              <w:bottom w:val="single" w:sz="4" w:space="0" w:color="auto"/>
              <w:right w:val="single" w:sz="4" w:space="0" w:color="auto"/>
            </w:tcBorders>
            <w:shd w:val="clear" w:color="000000" w:fill="F5DADD"/>
            <w:vAlign w:val="center"/>
            <w:hideMark/>
          </w:tcPr>
          <w:p w14:paraId="709FB850"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 </w:t>
            </w:r>
          </w:p>
        </w:tc>
        <w:tc>
          <w:tcPr>
            <w:tcW w:w="8249" w:type="dxa"/>
            <w:gridSpan w:val="7"/>
            <w:tcBorders>
              <w:top w:val="single" w:sz="4" w:space="0" w:color="auto"/>
              <w:left w:val="nil"/>
              <w:bottom w:val="single" w:sz="4" w:space="0" w:color="auto"/>
              <w:right w:val="nil"/>
            </w:tcBorders>
            <w:shd w:val="clear" w:color="000000" w:fill="F2DBDB"/>
            <w:vAlign w:val="center"/>
            <w:hideMark/>
          </w:tcPr>
          <w:p w14:paraId="3A6EB978" w14:textId="4518AA59" w:rsidR="00D50EF1" w:rsidRPr="00B61F35" w:rsidRDefault="00B61F35" w:rsidP="00D50EF1">
            <w:pPr>
              <w:spacing w:after="0" w:line="240" w:lineRule="auto"/>
              <w:jc w:val="center"/>
              <w:rPr>
                <w:rFonts w:cs="Arial"/>
                <w:b/>
                <w:bCs/>
                <w:color w:val="000000"/>
                <w:sz w:val="16"/>
                <w:szCs w:val="16"/>
              </w:rPr>
            </w:pPr>
            <w:r w:rsidRPr="00B61F35">
              <w:rPr>
                <w:rFonts w:cs="Arial"/>
                <w:b/>
                <w:bCs/>
                <w:color w:val="000000"/>
                <w:sz w:val="16"/>
                <w:szCs w:val="16"/>
              </w:rPr>
              <w:t>2021</w:t>
            </w:r>
          </w:p>
        </w:tc>
      </w:tr>
      <w:tr w:rsidR="00B61F35" w:rsidRPr="00B61F35" w14:paraId="518BD2B4"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2BFDBDD4" w14:textId="77777777" w:rsidR="00B61F35" w:rsidRPr="00B61F35" w:rsidRDefault="00B61F35" w:rsidP="00B61F35">
            <w:pPr>
              <w:spacing w:after="0" w:line="240" w:lineRule="auto"/>
              <w:rPr>
                <w:rFonts w:cs="Arial"/>
                <w:b/>
                <w:bCs/>
                <w:color w:val="000000"/>
                <w:sz w:val="16"/>
                <w:szCs w:val="16"/>
              </w:rPr>
            </w:pPr>
            <w:r w:rsidRPr="00B61F35">
              <w:rPr>
                <w:rFonts w:cs="Arial"/>
                <w:b/>
                <w:bCs/>
                <w:color w:val="000000"/>
                <w:sz w:val="16"/>
                <w:szCs w:val="16"/>
              </w:rPr>
              <w:t>Celkem</w:t>
            </w:r>
          </w:p>
        </w:tc>
        <w:tc>
          <w:tcPr>
            <w:tcW w:w="1609" w:type="dxa"/>
            <w:tcBorders>
              <w:top w:val="nil"/>
              <w:left w:val="nil"/>
              <w:bottom w:val="nil"/>
              <w:right w:val="nil"/>
            </w:tcBorders>
            <w:shd w:val="clear" w:color="auto" w:fill="auto"/>
            <w:vAlign w:val="center"/>
            <w:hideMark/>
          </w:tcPr>
          <w:p w14:paraId="40684AB4" w14:textId="28F5FD94" w:rsidR="00B61F35" w:rsidRPr="00B61F35" w:rsidRDefault="00B61F35" w:rsidP="00B61F35">
            <w:pPr>
              <w:spacing w:after="0" w:line="240" w:lineRule="auto"/>
              <w:jc w:val="right"/>
              <w:rPr>
                <w:rFonts w:cs="Arial"/>
                <w:b/>
                <w:bCs/>
                <w:color w:val="000000"/>
                <w:sz w:val="16"/>
                <w:szCs w:val="16"/>
              </w:rPr>
            </w:pPr>
            <w:r w:rsidRPr="00B61F35">
              <w:rPr>
                <w:rFonts w:cs="Arial"/>
                <w:b/>
                <w:bCs/>
                <w:color w:val="000000"/>
                <w:sz w:val="16"/>
                <w:szCs w:val="16"/>
              </w:rPr>
              <w:t>2 718,0</w:t>
            </w:r>
          </w:p>
        </w:tc>
        <w:tc>
          <w:tcPr>
            <w:tcW w:w="1252" w:type="dxa"/>
            <w:tcBorders>
              <w:top w:val="nil"/>
              <w:left w:val="nil"/>
              <w:bottom w:val="nil"/>
              <w:right w:val="nil"/>
            </w:tcBorders>
            <w:shd w:val="clear" w:color="auto" w:fill="auto"/>
            <w:vAlign w:val="center"/>
            <w:hideMark/>
          </w:tcPr>
          <w:p w14:paraId="7C06A950" w14:textId="2F9DF575" w:rsidR="00B61F35" w:rsidRPr="00B61F35" w:rsidRDefault="00B61F35" w:rsidP="00B61F35">
            <w:pPr>
              <w:spacing w:after="0" w:line="240" w:lineRule="auto"/>
              <w:jc w:val="right"/>
              <w:rPr>
                <w:rFonts w:cs="Arial"/>
                <w:b/>
                <w:bCs/>
                <w:color w:val="000000"/>
                <w:sz w:val="16"/>
                <w:szCs w:val="16"/>
              </w:rPr>
            </w:pPr>
            <w:r w:rsidRPr="00B61F35">
              <w:rPr>
                <w:rFonts w:cs="Arial"/>
                <w:b/>
                <w:bCs/>
                <w:color w:val="000000"/>
                <w:sz w:val="16"/>
                <w:szCs w:val="16"/>
              </w:rPr>
              <w:t>1 320,2</w:t>
            </w:r>
          </w:p>
        </w:tc>
        <w:tc>
          <w:tcPr>
            <w:tcW w:w="1254" w:type="dxa"/>
            <w:tcBorders>
              <w:top w:val="nil"/>
              <w:left w:val="nil"/>
              <w:bottom w:val="nil"/>
              <w:right w:val="single" w:sz="4" w:space="0" w:color="auto"/>
            </w:tcBorders>
            <w:shd w:val="clear" w:color="auto" w:fill="auto"/>
            <w:vAlign w:val="center"/>
            <w:hideMark/>
          </w:tcPr>
          <w:p w14:paraId="269A5EAC" w14:textId="263EAE6E" w:rsidR="00B61F35" w:rsidRPr="00B61F35" w:rsidRDefault="00B61F35" w:rsidP="00B61F35">
            <w:pPr>
              <w:spacing w:after="0" w:line="240" w:lineRule="auto"/>
              <w:jc w:val="right"/>
              <w:rPr>
                <w:rFonts w:cs="Arial"/>
                <w:b/>
                <w:bCs/>
                <w:color w:val="000000"/>
                <w:sz w:val="16"/>
                <w:szCs w:val="16"/>
              </w:rPr>
            </w:pPr>
            <w:r w:rsidRPr="00B61F35">
              <w:rPr>
                <w:rFonts w:cs="Arial"/>
                <w:b/>
                <w:bCs/>
                <w:color w:val="000000"/>
                <w:sz w:val="16"/>
                <w:szCs w:val="16"/>
              </w:rPr>
              <w:t>1 397,8</w:t>
            </w:r>
          </w:p>
        </w:tc>
        <w:tc>
          <w:tcPr>
            <w:tcW w:w="1610" w:type="dxa"/>
            <w:tcBorders>
              <w:top w:val="nil"/>
              <w:left w:val="nil"/>
              <w:bottom w:val="nil"/>
              <w:right w:val="nil"/>
            </w:tcBorders>
            <w:shd w:val="clear" w:color="auto" w:fill="auto"/>
            <w:vAlign w:val="center"/>
            <w:hideMark/>
          </w:tcPr>
          <w:p w14:paraId="0B2EA2A9" w14:textId="3AAD5409" w:rsidR="00B61F35" w:rsidRPr="00B61F35" w:rsidRDefault="00B61F35" w:rsidP="00B61F35">
            <w:pPr>
              <w:spacing w:after="0" w:line="240" w:lineRule="auto"/>
              <w:jc w:val="center"/>
              <w:rPr>
                <w:rFonts w:cs="Arial"/>
                <w:b/>
                <w:bCs/>
                <w:color w:val="000000"/>
                <w:sz w:val="16"/>
                <w:szCs w:val="16"/>
              </w:rPr>
            </w:pPr>
            <w:r w:rsidRPr="00B61F35">
              <w:rPr>
                <w:rFonts w:cs="Arial"/>
                <w:b/>
                <w:bCs/>
                <w:color w:val="000000"/>
                <w:sz w:val="16"/>
                <w:szCs w:val="16"/>
              </w:rPr>
              <w:t>34,5</w:t>
            </w:r>
          </w:p>
        </w:tc>
        <w:tc>
          <w:tcPr>
            <w:tcW w:w="1252" w:type="dxa"/>
            <w:tcBorders>
              <w:top w:val="nil"/>
              <w:left w:val="nil"/>
              <w:bottom w:val="nil"/>
              <w:right w:val="nil"/>
            </w:tcBorders>
            <w:shd w:val="clear" w:color="auto" w:fill="auto"/>
            <w:vAlign w:val="center"/>
            <w:hideMark/>
          </w:tcPr>
          <w:p w14:paraId="1722ED63" w14:textId="3C1DCA6D" w:rsidR="00B61F35" w:rsidRPr="00B61F35" w:rsidRDefault="00B61F35" w:rsidP="00B61F35">
            <w:pPr>
              <w:spacing w:after="0" w:line="240" w:lineRule="auto"/>
              <w:jc w:val="center"/>
              <w:rPr>
                <w:rFonts w:cs="Arial"/>
                <w:b/>
                <w:bCs/>
                <w:color w:val="000000"/>
                <w:sz w:val="16"/>
                <w:szCs w:val="16"/>
              </w:rPr>
            </w:pPr>
            <w:r w:rsidRPr="00B61F35">
              <w:rPr>
                <w:rFonts w:cs="Arial"/>
                <w:b/>
                <w:bCs/>
                <w:color w:val="000000"/>
                <w:sz w:val="16"/>
                <w:szCs w:val="16"/>
              </w:rPr>
              <w:t>32,7</w:t>
            </w:r>
          </w:p>
        </w:tc>
        <w:tc>
          <w:tcPr>
            <w:tcW w:w="1254" w:type="dxa"/>
            <w:tcBorders>
              <w:top w:val="nil"/>
              <w:left w:val="nil"/>
              <w:bottom w:val="nil"/>
              <w:right w:val="nil"/>
            </w:tcBorders>
            <w:shd w:val="clear" w:color="auto" w:fill="auto"/>
            <w:vAlign w:val="center"/>
            <w:hideMark/>
          </w:tcPr>
          <w:p w14:paraId="31F9A716" w14:textId="324E1AD1" w:rsidR="00B61F35" w:rsidRPr="00B61F35" w:rsidRDefault="00B61F35" w:rsidP="00B61F35">
            <w:pPr>
              <w:spacing w:after="0" w:line="240" w:lineRule="auto"/>
              <w:jc w:val="center"/>
              <w:rPr>
                <w:rFonts w:cs="Arial"/>
                <w:b/>
                <w:bCs/>
                <w:color w:val="000000"/>
                <w:sz w:val="16"/>
                <w:szCs w:val="16"/>
              </w:rPr>
            </w:pPr>
            <w:r w:rsidRPr="00B61F35">
              <w:rPr>
                <w:rFonts w:cs="Arial"/>
                <w:b/>
                <w:bCs/>
                <w:color w:val="000000"/>
                <w:sz w:val="16"/>
                <w:szCs w:val="16"/>
              </w:rPr>
              <w:t>36,2</w:t>
            </w:r>
          </w:p>
        </w:tc>
      </w:tr>
      <w:tr w:rsidR="00B61F35" w:rsidRPr="00B61F35" w14:paraId="0618C925"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7C1F29D0"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mladší 20 let</w:t>
            </w:r>
          </w:p>
        </w:tc>
        <w:tc>
          <w:tcPr>
            <w:tcW w:w="1609" w:type="dxa"/>
            <w:tcBorders>
              <w:top w:val="nil"/>
              <w:left w:val="nil"/>
              <w:bottom w:val="nil"/>
              <w:right w:val="nil"/>
            </w:tcBorders>
            <w:shd w:val="clear" w:color="auto" w:fill="auto"/>
            <w:vAlign w:val="center"/>
            <w:hideMark/>
          </w:tcPr>
          <w:p w14:paraId="52941C61" w14:textId="14A0F675"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29,3</w:t>
            </w:r>
          </w:p>
        </w:tc>
        <w:tc>
          <w:tcPr>
            <w:tcW w:w="1252" w:type="dxa"/>
            <w:tcBorders>
              <w:top w:val="nil"/>
              <w:left w:val="nil"/>
              <w:bottom w:val="nil"/>
              <w:right w:val="nil"/>
            </w:tcBorders>
            <w:shd w:val="clear" w:color="auto" w:fill="auto"/>
            <w:vAlign w:val="center"/>
            <w:hideMark/>
          </w:tcPr>
          <w:p w14:paraId="17118CFB" w14:textId="0822137E"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16,9</w:t>
            </w:r>
          </w:p>
        </w:tc>
        <w:tc>
          <w:tcPr>
            <w:tcW w:w="1254" w:type="dxa"/>
            <w:tcBorders>
              <w:top w:val="nil"/>
              <w:left w:val="nil"/>
              <w:bottom w:val="nil"/>
              <w:right w:val="single" w:sz="4" w:space="0" w:color="auto"/>
            </w:tcBorders>
            <w:shd w:val="clear" w:color="auto" w:fill="auto"/>
            <w:vAlign w:val="center"/>
            <w:hideMark/>
          </w:tcPr>
          <w:p w14:paraId="175A4790" w14:textId="3A64E017"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12,4</w:t>
            </w:r>
          </w:p>
        </w:tc>
        <w:tc>
          <w:tcPr>
            <w:tcW w:w="1610" w:type="dxa"/>
            <w:tcBorders>
              <w:top w:val="nil"/>
              <w:left w:val="nil"/>
              <w:bottom w:val="nil"/>
              <w:right w:val="nil"/>
            </w:tcBorders>
            <w:shd w:val="clear" w:color="auto" w:fill="auto"/>
            <w:vAlign w:val="center"/>
            <w:hideMark/>
          </w:tcPr>
          <w:p w14:paraId="7D7812A3" w14:textId="0AFD9563"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16,4</w:t>
            </w:r>
          </w:p>
        </w:tc>
        <w:tc>
          <w:tcPr>
            <w:tcW w:w="1252" w:type="dxa"/>
            <w:tcBorders>
              <w:top w:val="nil"/>
              <w:left w:val="nil"/>
              <w:bottom w:val="nil"/>
              <w:right w:val="nil"/>
            </w:tcBorders>
            <w:shd w:val="clear" w:color="auto" w:fill="auto"/>
            <w:vAlign w:val="center"/>
            <w:hideMark/>
          </w:tcPr>
          <w:p w14:paraId="026FE151" w14:textId="101EE53D"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15,1</w:t>
            </w:r>
          </w:p>
        </w:tc>
        <w:tc>
          <w:tcPr>
            <w:tcW w:w="1254" w:type="dxa"/>
            <w:tcBorders>
              <w:top w:val="nil"/>
              <w:left w:val="nil"/>
              <w:bottom w:val="nil"/>
              <w:right w:val="nil"/>
            </w:tcBorders>
            <w:shd w:val="clear" w:color="auto" w:fill="auto"/>
            <w:vAlign w:val="center"/>
            <w:hideMark/>
          </w:tcPr>
          <w:p w14:paraId="19239BB2" w14:textId="052B460B"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18,2</w:t>
            </w:r>
          </w:p>
        </w:tc>
      </w:tr>
      <w:tr w:rsidR="00B61F35" w:rsidRPr="00B61F35" w14:paraId="2F92089E"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7FE953E0"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20–29 let</w:t>
            </w:r>
          </w:p>
        </w:tc>
        <w:tc>
          <w:tcPr>
            <w:tcW w:w="1609" w:type="dxa"/>
            <w:tcBorders>
              <w:top w:val="nil"/>
              <w:left w:val="nil"/>
              <w:bottom w:val="nil"/>
              <w:right w:val="nil"/>
            </w:tcBorders>
            <w:shd w:val="clear" w:color="auto" w:fill="auto"/>
            <w:vAlign w:val="center"/>
            <w:hideMark/>
          </w:tcPr>
          <w:p w14:paraId="3543A47F" w14:textId="4A7E5249"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526,2</w:t>
            </w:r>
          </w:p>
        </w:tc>
        <w:tc>
          <w:tcPr>
            <w:tcW w:w="1252" w:type="dxa"/>
            <w:tcBorders>
              <w:top w:val="nil"/>
              <w:left w:val="nil"/>
              <w:bottom w:val="nil"/>
              <w:right w:val="nil"/>
            </w:tcBorders>
            <w:shd w:val="clear" w:color="auto" w:fill="auto"/>
            <w:vAlign w:val="center"/>
            <w:hideMark/>
          </w:tcPr>
          <w:p w14:paraId="7F0A7A2B" w14:textId="6A450A24"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289,4</w:t>
            </w:r>
          </w:p>
        </w:tc>
        <w:tc>
          <w:tcPr>
            <w:tcW w:w="1254" w:type="dxa"/>
            <w:tcBorders>
              <w:top w:val="nil"/>
              <w:left w:val="nil"/>
              <w:bottom w:val="nil"/>
              <w:right w:val="single" w:sz="4" w:space="0" w:color="auto"/>
            </w:tcBorders>
            <w:shd w:val="clear" w:color="auto" w:fill="auto"/>
            <w:vAlign w:val="center"/>
            <w:hideMark/>
          </w:tcPr>
          <w:p w14:paraId="4FFDC240" w14:textId="07F9C240"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236,8</w:t>
            </w:r>
          </w:p>
        </w:tc>
        <w:tc>
          <w:tcPr>
            <w:tcW w:w="1610" w:type="dxa"/>
            <w:tcBorders>
              <w:top w:val="nil"/>
              <w:left w:val="nil"/>
              <w:bottom w:val="nil"/>
              <w:right w:val="nil"/>
            </w:tcBorders>
            <w:shd w:val="clear" w:color="auto" w:fill="auto"/>
            <w:vAlign w:val="center"/>
            <w:hideMark/>
          </w:tcPr>
          <w:p w14:paraId="5511EA30" w14:textId="2537F4C3"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22,4</w:t>
            </w:r>
          </w:p>
        </w:tc>
        <w:tc>
          <w:tcPr>
            <w:tcW w:w="1252" w:type="dxa"/>
            <w:tcBorders>
              <w:top w:val="nil"/>
              <w:left w:val="nil"/>
              <w:bottom w:val="nil"/>
              <w:right w:val="nil"/>
            </w:tcBorders>
            <w:shd w:val="clear" w:color="auto" w:fill="auto"/>
            <w:vAlign w:val="center"/>
            <w:hideMark/>
          </w:tcPr>
          <w:p w14:paraId="2B522495" w14:textId="4B7BCAE7"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18,9</w:t>
            </w:r>
          </w:p>
        </w:tc>
        <w:tc>
          <w:tcPr>
            <w:tcW w:w="1254" w:type="dxa"/>
            <w:tcBorders>
              <w:top w:val="nil"/>
              <w:left w:val="nil"/>
              <w:bottom w:val="nil"/>
              <w:right w:val="nil"/>
            </w:tcBorders>
            <w:shd w:val="clear" w:color="auto" w:fill="auto"/>
            <w:vAlign w:val="center"/>
            <w:hideMark/>
          </w:tcPr>
          <w:p w14:paraId="09522640" w14:textId="6360506D"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26,7</w:t>
            </w:r>
          </w:p>
        </w:tc>
      </w:tr>
      <w:tr w:rsidR="00B61F35" w:rsidRPr="00B61F35" w14:paraId="4674029C"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1061650D"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30–39 let</w:t>
            </w:r>
          </w:p>
        </w:tc>
        <w:tc>
          <w:tcPr>
            <w:tcW w:w="1609" w:type="dxa"/>
            <w:tcBorders>
              <w:top w:val="nil"/>
              <w:left w:val="nil"/>
              <w:bottom w:val="nil"/>
              <w:right w:val="nil"/>
            </w:tcBorders>
            <w:shd w:val="clear" w:color="auto" w:fill="auto"/>
            <w:vAlign w:val="center"/>
            <w:hideMark/>
          </w:tcPr>
          <w:p w14:paraId="036E5A6D" w14:textId="1D3DA7E5"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576,3</w:t>
            </w:r>
          </w:p>
        </w:tc>
        <w:tc>
          <w:tcPr>
            <w:tcW w:w="1252" w:type="dxa"/>
            <w:tcBorders>
              <w:top w:val="nil"/>
              <w:left w:val="nil"/>
              <w:bottom w:val="nil"/>
              <w:right w:val="nil"/>
            </w:tcBorders>
            <w:shd w:val="clear" w:color="auto" w:fill="auto"/>
            <w:vAlign w:val="center"/>
            <w:hideMark/>
          </w:tcPr>
          <w:p w14:paraId="3B8FABA4" w14:textId="096C05F4"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308,6</w:t>
            </w:r>
          </w:p>
        </w:tc>
        <w:tc>
          <w:tcPr>
            <w:tcW w:w="1254" w:type="dxa"/>
            <w:tcBorders>
              <w:top w:val="nil"/>
              <w:left w:val="nil"/>
              <w:bottom w:val="nil"/>
              <w:right w:val="single" w:sz="4" w:space="0" w:color="auto"/>
            </w:tcBorders>
            <w:shd w:val="clear" w:color="auto" w:fill="auto"/>
            <w:vAlign w:val="center"/>
            <w:hideMark/>
          </w:tcPr>
          <w:p w14:paraId="11B87438" w14:textId="2B456072"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267,7</w:t>
            </w:r>
          </w:p>
        </w:tc>
        <w:tc>
          <w:tcPr>
            <w:tcW w:w="1610" w:type="dxa"/>
            <w:tcBorders>
              <w:top w:val="nil"/>
              <w:left w:val="nil"/>
              <w:bottom w:val="nil"/>
              <w:right w:val="nil"/>
            </w:tcBorders>
            <w:shd w:val="clear" w:color="auto" w:fill="auto"/>
            <w:vAlign w:val="center"/>
            <w:hideMark/>
          </w:tcPr>
          <w:p w14:paraId="6C4F4050" w14:textId="34000DDE"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27,9</w:t>
            </w:r>
          </w:p>
        </w:tc>
        <w:tc>
          <w:tcPr>
            <w:tcW w:w="1252" w:type="dxa"/>
            <w:tcBorders>
              <w:top w:val="nil"/>
              <w:left w:val="nil"/>
              <w:bottom w:val="nil"/>
              <w:right w:val="nil"/>
            </w:tcBorders>
            <w:shd w:val="clear" w:color="auto" w:fill="auto"/>
            <w:vAlign w:val="center"/>
            <w:hideMark/>
          </w:tcPr>
          <w:p w14:paraId="37633134" w14:textId="650E7B89"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24,1</w:t>
            </w:r>
          </w:p>
        </w:tc>
        <w:tc>
          <w:tcPr>
            <w:tcW w:w="1254" w:type="dxa"/>
            <w:tcBorders>
              <w:top w:val="nil"/>
              <w:left w:val="nil"/>
              <w:bottom w:val="nil"/>
              <w:right w:val="nil"/>
            </w:tcBorders>
            <w:shd w:val="clear" w:color="auto" w:fill="auto"/>
            <w:vAlign w:val="center"/>
            <w:hideMark/>
          </w:tcPr>
          <w:p w14:paraId="73636058" w14:textId="3C1C882D"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32,2</w:t>
            </w:r>
          </w:p>
        </w:tc>
      </w:tr>
      <w:tr w:rsidR="00B61F35" w:rsidRPr="00B61F35" w14:paraId="0B37765A"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6B94F136"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40–49 let</w:t>
            </w:r>
          </w:p>
        </w:tc>
        <w:tc>
          <w:tcPr>
            <w:tcW w:w="1609" w:type="dxa"/>
            <w:tcBorders>
              <w:top w:val="nil"/>
              <w:left w:val="nil"/>
              <w:bottom w:val="nil"/>
              <w:right w:val="nil"/>
            </w:tcBorders>
            <w:shd w:val="clear" w:color="auto" w:fill="auto"/>
            <w:vAlign w:val="center"/>
            <w:hideMark/>
          </w:tcPr>
          <w:p w14:paraId="4BF69CF4" w14:textId="11D3A2AB"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763,7</w:t>
            </w:r>
          </w:p>
        </w:tc>
        <w:tc>
          <w:tcPr>
            <w:tcW w:w="1252" w:type="dxa"/>
            <w:tcBorders>
              <w:top w:val="nil"/>
              <w:left w:val="nil"/>
              <w:bottom w:val="nil"/>
              <w:right w:val="nil"/>
            </w:tcBorders>
            <w:shd w:val="clear" w:color="auto" w:fill="auto"/>
            <w:vAlign w:val="center"/>
            <w:hideMark/>
          </w:tcPr>
          <w:p w14:paraId="4EF00BB0" w14:textId="454B4B10"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329,2</w:t>
            </w:r>
          </w:p>
        </w:tc>
        <w:tc>
          <w:tcPr>
            <w:tcW w:w="1254" w:type="dxa"/>
            <w:tcBorders>
              <w:top w:val="nil"/>
              <w:left w:val="nil"/>
              <w:bottom w:val="nil"/>
              <w:right w:val="single" w:sz="4" w:space="0" w:color="auto"/>
            </w:tcBorders>
            <w:shd w:val="clear" w:color="auto" w:fill="auto"/>
            <w:vAlign w:val="center"/>
            <w:hideMark/>
          </w:tcPr>
          <w:p w14:paraId="69FD50FA" w14:textId="537A26E2"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434,5</w:t>
            </w:r>
          </w:p>
        </w:tc>
        <w:tc>
          <w:tcPr>
            <w:tcW w:w="1610" w:type="dxa"/>
            <w:tcBorders>
              <w:top w:val="nil"/>
              <w:left w:val="nil"/>
              <w:bottom w:val="nil"/>
              <w:right w:val="nil"/>
            </w:tcBorders>
            <w:shd w:val="clear" w:color="auto" w:fill="auto"/>
            <w:vAlign w:val="center"/>
            <w:hideMark/>
          </w:tcPr>
          <w:p w14:paraId="36187232" w14:textId="0448EFDA"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33,5</w:t>
            </w:r>
          </w:p>
        </w:tc>
        <w:tc>
          <w:tcPr>
            <w:tcW w:w="1252" w:type="dxa"/>
            <w:tcBorders>
              <w:top w:val="nil"/>
              <w:left w:val="nil"/>
              <w:bottom w:val="nil"/>
              <w:right w:val="nil"/>
            </w:tcBorders>
            <w:shd w:val="clear" w:color="auto" w:fill="auto"/>
            <w:vAlign w:val="center"/>
            <w:hideMark/>
          </w:tcPr>
          <w:p w14:paraId="62E1A6CD" w14:textId="3D076843"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32,9</w:t>
            </w:r>
          </w:p>
        </w:tc>
        <w:tc>
          <w:tcPr>
            <w:tcW w:w="1254" w:type="dxa"/>
            <w:tcBorders>
              <w:top w:val="nil"/>
              <w:left w:val="nil"/>
              <w:bottom w:val="nil"/>
              <w:right w:val="nil"/>
            </w:tcBorders>
            <w:shd w:val="clear" w:color="auto" w:fill="auto"/>
            <w:vAlign w:val="center"/>
            <w:hideMark/>
          </w:tcPr>
          <w:p w14:paraId="05C900FC" w14:textId="505CCED5"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34,0</w:t>
            </w:r>
          </w:p>
        </w:tc>
      </w:tr>
      <w:tr w:rsidR="00B61F35" w:rsidRPr="00B61F35" w14:paraId="082B9B05"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69C41403"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50–59 let</w:t>
            </w:r>
          </w:p>
        </w:tc>
        <w:tc>
          <w:tcPr>
            <w:tcW w:w="1609" w:type="dxa"/>
            <w:tcBorders>
              <w:top w:val="nil"/>
              <w:left w:val="nil"/>
              <w:bottom w:val="nil"/>
              <w:right w:val="nil"/>
            </w:tcBorders>
            <w:shd w:val="clear" w:color="auto" w:fill="auto"/>
            <w:vAlign w:val="center"/>
            <w:hideMark/>
          </w:tcPr>
          <w:p w14:paraId="2240B592" w14:textId="721C9BE3"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633,2</w:t>
            </w:r>
          </w:p>
        </w:tc>
        <w:tc>
          <w:tcPr>
            <w:tcW w:w="1252" w:type="dxa"/>
            <w:tcBorders>
              <w:top w:val="nil"/>
              <w:left w:val="nil"/>
              <w:bottom w:val="nil"/>
              <w:right w:val="nil"/>
            </w:tcBorders>
            <w:shd w:val="clear" w:color="auto" w:fill="auto"/>
            <w:vAlign w:val="center"/>
            <w:hideMark/>
          </w:tcPr>
          <w:p w14:paraId="27826CE5" w14:textId="50BAA43F"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269,2</w:t>
            </w:r>
          </w:p>
        </w:tc>
        <w:tc>
          <w:tcPr>
            <w:tcW w:w="1254" w:type="dxa"/>
            <w:tcBorders>
              <w:top w:val="nil"/>
              <w:left w:val="nil"/>
              <w:bottom w:val="nil"/>
              <w:right w:val="single" w:sz="4" w:space="0" w:color="auto"/>
            </w:tcBorders>
            <w:shd w:val="clear" w:color="auto" w:fill="auto"/>
            <w:vAlign w:val="center"/>
            <w:hideMark/>
          </w:tcPr>
          <w:p w14:paraId="51985246" w14:textId="629C4BD3"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364,0</w:t>
            </w:r>
          </w:p>
        </w:tc>
        <w:tc>
          <w:tcPr>
            <w:tcW w:w="1610" w:type="dxa"/>
            <w:tcBorders>
              <w:top w:val="nil"/>
              <w:left w:val="nil"/>
              <w:bottom w:val="nil"/>
              <w:right w:val="nil"/>
            </w:tcBorders>
            <w:shd w:val="clear" w:color="auto" w:fill="auto"/>
            <w:vAlign w:val="center"/>
            <w:hideMark/>
          </w:tcPr>
          <w:p w14:paraId="5B993366" w14:textId="33BFD5EB"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45,2</w:t>
            </w:r>
          </w:p>
        </w:tc>
        <w:tc>
          <w:tcPr>
            <w:tcW w:w="1252" w:type="dxa"/>
            <w:tcBorders>
              <w:top w:val="nil"/>
              <w:left w:val="nil"/>
              <w:bottom w:val="nil"/>
              <w:right w:val="nil"/>
            </w:tcBorders>
            <w:shd w:val="clear" w:color="auto" w:fill="auto"/>
            <w:vAlign w:val="center"/>
            <w:hideMark/>
          </w:tcPr>
          <w:p w14:paraId="1F55C672" w14:textId="4735FE3A"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45,8</w:t>
            </w:r>
          </w:p>
        </w:tc>
        <w:tc>
          <w:tcPr>
            <w:tcW w:w="1254" w:type="dxa"/>
            <w:tcBorders>
              <w:top w:val="nil"/>
              <w:left w:val="nil"/>
              <w:bottom w:val="nil"/>
              <w:right w:val="nil"/>
            </w:tcBorders>
            <w:shd w:val="clear" w:color="auto" w:fill="auto"/>
            <w:vAlign w:val="center"/>
            <w:hideMark/>
          </w:tcPr>
          <w:p w14:paraId="38AAB697" w14:textId="6A69A356"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44,7</w:t>
            </w:r>
          </w:p>
        </w:tc>
      </w:tr>
      <w:tr w:rsidR="00B61F35" w:rsidRPr="00B61F35" w14:paraId="716DD02D" w14:textId="77777777" w:rsidTr="00CC38CC">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0BE6D255" w14:textId="24DCC92A"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60 a více let</w:t>
            </w:r>
          </w:p>
        </w:tc>
        <w:tc>
          <w:tcPr>
            <w:tcW w:w="1609" w:type="dxa"/>
            <w:tcBorders>
              <w:top w:val="nil"/>
              <w:left w:val="nil"/>
              <w:bottom w:val="nil"/>
              <w:right w:val="nil"/>
            </w:tcBorders>
            <w:shd w:val="clear" w:color="auto" w:fill="auto"/>
            <w:vAlign w:val="center"/>
            <w:hideMark/>
          </w:tcPr>
          <w:p w14:paraId="311FAD3E" w14:textId="6D60940E"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189,3</w:t>
            </w:r>
          </w:p>
        </w:tc>
        <w:tc>
          <w:tcPr>
            <w:tcW w:w="1252" w:type="dxa"/>
            <w:tcBorders>
              <w:top w:val="nil"/>
              <w:left w:val="nil"/>
              <w:bottom w:val="nil"/>
              <w:right w:val="nil"/>
            </w:tcBorders>
            <w:shd w:val="clear" w:color="auto" w:fill="auto"/>
            <w:vAlign w:val="center"/>
            <w:hideMark/>
          </w:tcPr>
          <w:p w14:paraId="2745FD5D" w14:textId="473FB32E"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106,9</w:t>
            </w:r>
          </w:p>
        </w:tc>
        <w:tc>
          <w:tcPr>
            <w:tcW w:w="1254" w:type="dxa"/>
            <w:tcBorders>
              <w:top w:val="nil"/>
              <w:left w:val="nil"/>
              <w:bottom w:val="nil"/>
              <w:right w:val="single" w:sz="4" w:space="0" w:color="auto"/>
            </w:tcBorders>
            <w:shd w:val="clear" w:color="auto" w:fill="auto"/>
            <w:vAlign w:val="center"/>
            <w:hideMark/>
          </w:tcPr>
          <w:p w14:paraId="4315AA75" w14:textId="451E1591" w:rsidR="00B61F35" w:rsidRPr="00B61F35" w:rsidRDefault="005A75BA" w:rsidP="00B61F35">
            <w:pPr>
              <w:spacing w:after="0" w:line="240" w:lineRule="auto"/>
              <w:jc w:val="right"/>
              <w:rPr>
                <w:rFonts w:cs="Arial"/>
                <w:color w:val="000000"/>
                <w:sz w:val="16"/>
                <w:szCs w:val="16"/>
              </w:rPr>
            </w:pPr>
            <w:r>
              <w:rPr>
                <w:noProof/>
              </w:rPr>
              <mc:AlternateContent>
                <mc:Choice Requires="wps">
                  <w:drawing>
                    <wp:anchor distT="0" distB="0" distL="114300" distR="114300" simplePos="0" relativeHeight="251724288" behindDoc="0" locked="0" layoutInCell="1" allowOverlap="1" wp14:anchorId="6050333C" wp14:editId="5472E67D">
                      <wp:simplePos x="0" y="0"/>
                      <wp:positionH relativeFrom="column">
                        <wp:posOffset>-1908810</wp:posOffset>
                      </wp:positionH>
                      <wp:positionV relativeFrom="paragraph">
                        <wp:posOffset>172085</wp:posOffset>
                      </wp:positionV>
                      <wp:extent cx="5292000" cy="0"/>
                      <wp:effectExtent l="38100" t="38100" r="61595" b="95250"/>
                      <wp:wrapNone/>
                      <wp:docPr id="39" name="Přímá spojnice 3"/>
                      <wp:cNvGraphicFramePr/>
                      <a:graphic xmlns:a="http://schemas.openxmlformats.org/drawingml/2006/main">
                        <a:graphicData uri="http://schemas.microsoft.com/office/word/2010/wordprocessingShape">
                          <wps:wsp>
                            <wps:cNvCnPr/>
                            <wps:spPr>
                              <a:xfrm>
                                <a:off x="0" y="0"/>
                                <a:ext cx="5292000" cy="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EA2EF8D" id="Přímá spojnice 3" o:spid="_x0000_s1026" style="position:absolute;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0.3pt,13.55pt" to="266.4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" strokecolor="#c00000" strokeweight=".5pt">
                      <v:stroke dashstyle="dash"/>
                      <v:shadow on="t" color="black" opacity="24903f" origin=",.5" offset="0,.55556mm"/>
                    </v:line>
                  </w:pict>
                </mc:Fallback>
              </mc:AlternateContent>
            </w:r>
            <w:r w:rsidR="00B61F35" w:rsidRPr="00B61F35">
              <w:rPr>
                <w:rFonts w:cs="Arial"/>
                <w:color w:val="000000"/>
                <w:sz w:val="16"/>
                <w:szCs w:val="16"/>
              </w:rPr>
              <w:t>82,5</w:t>
            </w:r>
          </w:p>
        </w:tc>
        <w:tc>
          <w:tcPr>
            <w:tcW w:w="1610" w:type="dxa"/>
            <w:tcBorders>
              <w:top w:val="nil"/>
              <w:left w:val="nil"/>
              <w:bottom w:val="nil"/>
              <w:right w:val="nil"/>
            </w:tcBorders>
            <w:shd w:val="clear" w:color="auto" w:fill="auto"/>
            <w:vAlign w:val="center"/>
            <w:hideMark/>
          </w:tcPr>
          <w:p w14:paraId="313923E5" w14:textId="623F4D95"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58,8</w:t>
            </w:r>
          </w:p>
        </w:tc>
        <w:tc>
          <w:tcPr>
            <w:tcW w:w="1252" w:type="dxa"/>
            <w:tcBorders>
              <w:top w:val="nil"/>
              <w:left w:val="nil"/>
              <w:bottom w:val="single" w:sz="4" w:space="0" w:color="auto"/>
              <w:right w:val="nil"/>
            </w:tcBorders>
            <w:shd w:val="clear" w:color="auto" w:fill="auto"/>
            <w:vAlign w:val="center"/>
            <w:hideMark/>
          </w:tcPr>
          <w:p w14:paraId="7822D66A" w14:textId="6E3D1FC1"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63,7</w:t>
            </w:r>
          </w:p>
        </w:tc>
        <w:tc>
          <w:tcPr>
            <w:tcW w:w="1254" w:type="dxa"/>
            <w:tcBorders>
              <w:top w:val="nil"/>
              <w:left w:val="nil"/>
              <w:bottom w:val="nil"/>
              <w:right w:val="nil"/>
            </w:tcBorders>
            <w:shd w:val="clear" w:color="auto" w:fill="auto"/>
            <w:vAlign w:val="center"/>
            <w:hideMark/>
          </w:tcPr>
          <w:p w14:paraId="6B88929F" w14:textId="7EBDE4E1"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52,5</w:t>
            </w:r>
          </w:p>
        </w:tc>
      </w:tr>
      <w:tr w:rsidR="00D50EF1" w:rsidRPr="00B61F35" w14:paraId="78C02DE0" w14:textId="77777777" w:rsidTr="00CC38CC">
        <w:trPr>
          <w:trHeight w:val="300"/>
        </w:trPr>
        <w:tc>
          <w:tcPr>
            <w:tcW w:w="1474" w:type="dxa"/>
            <w:tcBorders>
              <w:top w:val="single" w:sz="4" w:space="0" w:color="auto"/>
              <w:left w:val="nil"/>
              <w:bottom w:val="single" w:sz="4" w:space="0" w:color="auto"/>
              <w:right w:val="single" w:sz="4" w:space="0" w:color="auto"/>
            </w:tcBorders>
            <w:shd w:val="clear" w:color="000000" w:fill="F5DADD"/>
            <w:vAlign w:val="center"/>
            <w:hideMark/>
          </w:tcPr>
          <w:p w14:paraId="1CD83647" w14:textId="77777777" w:rsidR="00D50EF1" w:rsidRPr="00B61F35" w:rsidRDefault="00D50EF1" w:rsidP="00D50EF1">
            <w:pPr>
              <w:spacing w:after="0" w:line="240" w:lineRule="auto"/>
              <w:jc w:val="center"/>
              <w:rPr>
                <w:rFonts w:cs="Arial"/>
                <w:color w:val="000000"/>
                <w:sz w:val="16"/>
                <w:szCs w:val="16"/>
              </w:rPr>
            </w:pPr>
            <w:r w:rsidRPr="00B61F35">
              <w:rPr>
                <w:rFonts w:cs="Arial"/>
                <w:color w:val="000000"/>
                <w:sz w:val="16"/>
                <w:szCs w:val="16"/>
              </w:rPr>
              <w:t> </w:t>
            </w:r>
          </w:p>
        </w:tc>
        <w:tc>
          <w:tcPr>
            <w:tcW w:w="8249" w:type="dxa"/>
            <w:gridSpan w:val="7"/>
            <w:tcBorders>
              <w:top w:val="single" w:sz="4" w:space="0" w:color="auto"/>
              <w:left w:val="nil"/>
              <w:bottom w:val="single" w:sz="4" w:space="0" w:color="auto"/>
              <w:right w:val="nil"/>
            </w:tcBorders>
            <w:shd w:val="clear" w:color="000000" w:fill="F2DBDB"/>
            <w:vAlign w:val="center"/>
            <w:hideMark/>
          </w:tcPr>
          <w:p w14:paraId="2DA6F2DF" w14:textId="600F98FB" w:rsidR="00D50EF1" w:rsidRPr="00B61F35" w:rsidRDefault="00B61F35" w:rsidP="00D50EF1">
            <w:pPr>
              <w:spacing w:after="0" w:line="240" w:lineRule="auto"/>
              <w:jc w:val="center"/>
              <w:rPr>
                <w:rFonts w:cs="Arial"/>
                <w:b/>
                <w:bCs/>
                <w:color w:val="000000"/>
                <w:sz w:val="16"/>
                <w:szCs w:val="16"/>
              </w:rPr>
            </w:pPr>
            <w:r w:rsidRPr="00B61F35">
              <w:rPr>
                <w:rFonts w:cs="Arial"/>
                <w:b/>
                <w:bCs/>
                <w:color w:val="000000"/>
                <w:sz w:val="16"/>
                <w:szCs w:val="16"/>
              </w:rPr>
              <w:t>2022</w:t>
            </w:r>
          </w:p>
        </w:tc>
      </w:tr>
      <w:tr w:rsidR="00B61F35" w:rsidRPr="00B61F35" w14:paraId="2512CCA3" w14:textId="77777777" w:rsidTr="00B61F35">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7FACD48B" w14:textId="77777777" w:rsidR="00B61F35" w:rsidRPr="00B61F35" w:rsidRDefault="00B61F35" w:rsidP="00B61F35">
            <w:pPr>
              <w:spacing w:after="0" w:line="240" w:lineRule="auto"/>
              <w:rPr>
                <w:rFonts w:cs="Arial"/>
                <w:b/>
                <w:bCs/>
                <w:color w:val="000000"/>
                <w:sz w:val="16"/>
                <w:szCs w:val="16"/>
              </w:rPr>
            </w:pPr>
            <w:r w:rsidRPr="00B61F35">
              <w:rPr>
                <w:rFonts w:cs="Arial"/>
                <w:b/>
                <w:bCs/>
                <w:color w:val="000000"/>
                <w:sz w:val="16"/>
                <w:szCs w:val="16"/>
              </w:rPr>
              <w:t>Celkem</w:t>
            </w:r>
          </w:p>
        </w:tc>
        <w:tc>
          <w:tcPr>
            <w:tcW w:w="1609" w:type="dxa"/>
            <w:tcBorders>
              <w:top w:val="nil"/>
              <w:left w:val="nil"/>
              <w:bottom w:val="nil"/>
              <w:right w:val="nil"/>
            </w:tcBorders>
            <w:shd w:val="clear" w:color="auto" w:fill="auto"/>
            <w:vAlign w:val="center"/>
          </w:tcPr>
          <w:p w14:paraId="2462E789" w14:textId="7E486773" w:rsidR="00B61F35" w:rsidRPr="00B61F35" w:rsidRDefault="00B61F35" w:rsidP="00B61F35">
            <w:pPr>
              <w:spacing w:after="0" w:line="240" w:lineRule="auto"/>
              <w:jc w:val="right"/>
              <w:rPr>
                <w:rFonts w:cs="Arial"/>
                <w:b/>
                <w:bCs/>
                <w:color w:val="000000"/>
                <w:sz w:val="16"/>
                <w:szCs w:val="16"/>
              </w:rPr>
            </w:pPr>
            <w:r w:rsidRPr="00B61F35">
              <w:rPr>
                <w:rFonts w:cs="Arial"/>
                <w:b/>
                <w:bCs/>
                <w:color w:val="000000"/>
                <w:sz w:val="16"/>
                <w:szCs w:val="16"/>
              </w:rPr>
              <w:t>3 437,9</w:t>
            </w:r>
          </w:p>
        </w:tc>
        <w:tc>
          <w:tcPr>
            <w:tcW w:w="1252" w:type="dxa"/>
            <w:tcBorders>
              <w:top w:val="nil"/>
              <w:left w:val="nil"/>
              <w:bottom w:val="nil"/>
              <w:right w:val="nil"/>
            </w:tcBorders>
            <w:shd w:val="clear" w:color="auto" w:fill="auto"/>
            <w:vAlign w:val="center"/>
          </w:tcPr>
          <w:p w14:paraId="0159432C" w14:textId="3AB5A751" w:rsidR="00B61F35" w:rsidRPr="00B61F35" w:rsidRDefault="00B61F35" w:rsidP="00B61F35">
            <w:pPr>
              <w:spacing w:after="0" w:line="240" w:lineRule="auto"/>
              <w:jc w:val="right"/>
              <w:rPr>
                <w:rFonts w:cs="Arial"/>
                <w:b/>
                <w:bCs/>
                <w:color w:val="000000"/>
                <w:sz w:val="16"/>
                <w:szCs w:val="16"/>
              </w:rPr>
            </w:pPr>
            <w:r w:rsidRPr="00B61F35">
              <w:rPr>
                <w:rFonts w:cs="Arial"/>
                <w:b/>
                <w:bCs/>
                <w:color w:val="000000"/>
                <w:sz w:val="16"/>
                <w:szCs w:val="16"/>
              </w:rPr>
              <w:t>1 578,6</w:t>
            </w:r>
          </w:p>
        </w:tc>
        <w:tc>
          <w:tcPr>
            <w:tcW w:w="1254" w:type="dxa"/>
            <w:tcBorders>
              <w:top w:val="nil"/>
              <w:left w:val="nil"/>
              <w:bottom w:val="nil"/>
              <w:right w:val="single" w:sz="4" w:space="0" w:color="auto"/>
            </w:tcBorders>
            <w:shd w:val="clear" w:color="auto" w:fill="auto"/>
            <w:vAlign w:val="center"/>
          </w:tcPr>
          <w:p w14:paraId="58729EA3" w14:textId="65E0AC4F" w:rsidR="00B61F35" w:rsidRPr="00B61F35" w:rsidRDefault="00B61F35" w:rsidP="00B61F35">
            <w:pPr>
              <w:spacing w:after="0" w:line="240" w:lineRule="auto"/>
              <w:jc w:val="right"/>
              <w:rPr>
                <w:rFonts w:cs="Arial"/>
                <w:b/>
                <w:bCs/>
                <w:color w:val="000000"/>
                <w:sz w:val="16"/>
                <w:szCs w:val="16"/>
              </w:rPr>
            </w:pPr>
            <w:r w:rsidRPr="00B61F35">
              <w:rPr>
                <w:rFonts w:cs="Arial"/>
                <w:b/>
                <w:bCs/>
                <w:color w:val="000000"/>
                <w:sz w:val="16"/>
                <w:szCs w:val="16"/>
              </w:rPr>
              <w:t>1 859,3</w:t>
            </w:r>
          </w:p>
        </w:tc>
        <w:tc>
          <w:tcPr>
            <w:tcW w:w="1610" w:type="dxa"/>
            <w:tcBorders>
              <w:top w:val="nil"/>
              <w:left w:val="nil"/>
              <w:bottom w:val="nil"/>
              <w:right w:val="nil"/>
            </w:tcBorders>
            <w:shd w:val="clear" w:color="auto" w:fill="auto"/>
            <w:vAlign w:val="center"/>
          </w:tcPr>
          <w:p w14:paraId="403CC123" w14:textId="773F4363" w:rsidR="00B61F35" w:rsidRPr="00B61F35" w:rsidRDefault="00B61F35" w:rsidP="00B61F35">
            <w:pPr>
              <w:spacing w:after="0" w:line="240" w:lineRule="auto"/>
              <w:jc w:val="center"/>
              <w:rPr>
                <w:rFonts w:cs="Arial"/>
                <w:b/>
                <w:bCs/>
                <w:color w:val="000000"/>
                <w:sz w:val="16"/>
                <w:szCs w:val="16"/>
              </w:rPr>
            </w:pPr>
            <w:r w:rsidRPr="00B61F35">
              <w:rPr>
                <w:rFonts w:cs="Arial"/>
                <w:b/>
                <w:bCs/>
                <w:color w:val="000000"/>
                <w:sz w:val="16"/>
                <w:szCs w:val="16"/>
              </w:rPr>
              <w:t>26,5</w:t>
            </w:r>
          </w:p>
        </w:tc>
        <w:tc>
          <w:tcPr>
            <w:tcW w:w="1252" w:type="dxa"/>
            <w:tcBorders>
              <w:top w:val="nil"/>
              <w:left w:val="nil"/>
              <w:bottom w:val="nil"/>
              <w:right w:val="nil"/>
            </w:tcBorders>
            <w:shd w:val="clear" w:color="auto" w:fill="auto"/>
            <w:vAlign w:val="center"/>
          </w:tcPr>
          <w:p w14:paraId="75CA2C8F" w14:textId="5109345C" w:rsidR="00B61F35" w:rsidRPr="00B61F35" w:rsidRDefault="00B61F35" w:rsidP="00B61F35">
            <w:pPr>
              <w:spacing w:after="0" w:line="240" w:lineRule="auto"/>
              <w:jc w:val="center"/>
              <w:rPr>
                <w:rFonts w:cs="Arial"/>
                <w:b/>
                <w:bCs/>
                <w:color w:val="000000"/>
                <w:sz w:val="16"/>
                <w:szCs w:val="16"/>
              </w:rPr>
            </w:pPr>
            <w:r w:rsidRPr="00B61F35">
              <w:rPr>
                <w:rFonts w:cs="Arial"/>
                <w:b/>
                <w:bCs/>
                <w:color w:val="000000"/>
                <w:sz w:val="16"/>
                <w:szCs w:val="16"/>
              </w:rPr>
              <w:t>26,0</w:t>
            </w:r>
          </w:p>
        </w:tc>
        <w:tc>
          <w:tcPr>
            <w:tcW w:w="1254" w:type="dxa"/>
            <w:tcBorders>
              <w:top w:val="nil"/>
              <w:left w:val="nil"/>
              <w:bottom w:val="nil"/>
              <w:right w:val="nil"/>
            </w:tcBorders>
            <w:shd w:val="clear" w:color="auto" w:fill="auto"/>
            <w:vAlign w:val="center"/>
          </w:tcPr>
          <w:p w14:paraId="681C69C6" w14:textId="692A8FF3" w:rsidR="00B61F35" w:rsidRPr="00B61F35" w:rsidRDefault="00B61F35" w:rsidP="00B61F35">
            <w:pPr>
              <w:spacing w:after="0" w:line="240" w:lineRule="auto"/>
              <w:jc w:val="center"/>
              <w:rPr>
                <w:rFonts w:cs="Arial"/>
                <w:b/>
                <w:bCs/>
                <w:color w:val="000000"/>
                <w:sz w:val="16"/>
                <w:szCs w:val="16"/>
              </w:rPr>
            </w:pPr>
            <w:r w:rsidRPr="00B61F35">
              <w:rPr>
                <w:rFonts w:cs="Arial"/>
                <w:b/>
                <w:bCs/>
                <w:color w:val="000000"/>
                <w:sz w:val="16"/>
                <w:szCs w:val="16"/>
              </w:rPr>
              <w:t>26,8</w:t>
            </w:r>
          </w:p>
        </w:tc>
      </w:tr>
      <w:tr w:rsidR="00B61F35" w:rsidRPr="00B61F35" w14:paraId="3FAD6F37" w14:textId="77777777" w:rsidTr="00B61F35">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5D415EC8"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mladší 20 let</w:t>
            </w:r>
          </w:p>
        </w:tc>
        <w:tc>
          <w:tcPr>
            <w:tcW w:w="1609" w:type="dxa"/>
            <w:tcBorders>
              <w:top w:val="nil"/>
              <w:left w:val="nil"/>
              <w:bottom w:val="nil"/>
              <w:right w:val="nil"/>
            </w:tcBorders>
            <w:shd w:val="clear" w:color="auto" w:fill="auto"/>
            <w:vAlign w:val="center"/>
          </w:tcPr>
          <w:p w14:paraId="2FDE0921" w14:textId="20E15803"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35,4</w:t>
            </w:r>
          </w:p>
        </w:tc>
        <w:tc>
          <w:tcPr>
            <w:tcW w:w="1252" w:type="dxa"/>
            <w:tcBorders>
              <w:top w:val="nil"/>
              <w:left w:val="nil"/>
              <w:bottom w:val="nil"/>
              <w:right w:val="nil"/>
            </w:tcBorders>
            <w:shd w:val="clear" w:color="auto" w:fill="auto"/>
            <w:vAlign w:val="center"/>
          </w:tcPr>
          <w:p w14:paraId="74111518" w14:textId="7FFA32CB"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19,9</w:t>
            </w:r>
          </w:p>
        </w:tc>
        <w:tc>
          <w:tcPr>
            <w:tcW w:w="1254" w:type="dxa"/>
            <w:tcBorders>
              <w:top w:val="nil"/>
              <w:left w:val="nil"/>
              <w:bottom w:val="nil"/>
              <w:right w:val="single" w:sz="4" w:space="0" w:color="auto"/>
            </w:tcBorders>
            <w:shd w:val="clear" w:color="auto" w:fill="auto"/>
            <w:vAlign w:val="center"/>
          </w:tcPr>
          <w:p w14:paraId="4E633F51" w14:textId="3C7B8F6E"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15,4</w:t>
            </w:r>
          </w:p>
        </w:tc>
        <w:tc>
          <w:tcPr>
            <w:tcW w:w="1610" w:type="dxa"/>
            <w:tcBorders>
              <w:top w:val="nil"/>
              <w:left w:val="nil"/>
              <w:bottom w:val="nil"/>
              <w:right w:val="nil"/>
            </w:tcBorders>
            <w:shd w:val="clear" w:color="auto" w:fill="auto"/>
            <w:vAlign w:val="center"/>
          </w:tcPr>
          <w:p w14:paraId="5080DB2B" w14:textId="6B3A4833"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13,5</w:t>
            </w:r>
          </w:p>
        </w:tc>
        <w:tc>
          <w:tcPr>
            <w:tcW w:w="1252" w:type="dxa"/>
            <w:tcBorders>
              <w:top w:val="nil"/>
              <w:left w:val="nil"/>
              <w:bottom w:val="nil"/>
              <w:right w:val="nil"/>
            </w:tcBorders>
            <w:shd w:val="clear" w:color="auto" w:fill="auto"/>
            <w:vAlign w:val="center"/>
          </w:tcPr>
          <w:p w14:paraId="7A64EB2A" w14:textId="35F0B32E"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12,7</w:t>
            </w:r>
          </w:p>
        </w:tc>
        <w:tc>
          <w:tcPr>
            <w:tcW w:w="1254" w:type="dxa"/>
            <w:tcBorders>
              <w:top w:val="nil"/>
              <w:left w:val="nil"/>
              <w:bottom w:val="nil"/>
              <w:right w:val="nil"/>
            </w:tcBorders>
            <w:shd w:val="clear" w:color="auto" w:fill="auto"/>
            <w:vAlign w:val="center"/>
          </w:tcPr>
          <w:p w14:paraId="0C9EB5B4" w14:textId="6E16BFDA"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14,6</w:t>
            </w:r>
          </w:p>
        </w:tc>
      </w:tr>
      <w:tr w:rsidR="00B61F35" w:rsidRPr="00B61F35" w14:paraId="688D6FAD" w14:textId="77777777" w:rsidTr="00B61F35">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7B906CFD"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20–29 let</w:t>
            </w:r>
          </w:p>
        </w:tc>
        <w:tc>
          <w:tcPr>
            <w:tcW w:w="1609" w:type="dxa"/>
            <w:tcBorders>
              <w:top w:val="nil"/>
              <w:left w:val="nil"/>
              <w:bottom w:val="nil"/>
              <w:right w:val="nil"/>
            </w:tcBorders>
            <w:shd w:val="clear" w:color="auto" w:fill="auto"/>
            <w:vAlign w:val="center"/>
          </w:tcPr>
          <w:p w14:paraId="6EB22835" w14:textId="79CB0DB8"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650,6</w:t>
            </w:r>
          </w:p>
        </w:tc>
        <w:tc>
          <w:tcPr>
            <w:tcW w:w="1252" w:type="dxa"/>
            <w:tcBorders>
              <w:top w:val="nil"/>
              <w:left w:val="nil"/>
              <w:bottom w:val="nil"/>
              <w:right w:val="nil"/>
            </w:tcBorders>
            <w:shd w:val="clear" w:color="auto" w:fill="auto"/>
            <w:vAlign w:val="center"/>
          </w:tcPr>
          <w:p w14:paraId="43BD74A9" w14:textId="7DDA5209"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340,4</w:t>
            </w:r>
          </w:p>
        </w:tc>
        <w:tc>
          <w:tcPr>
            <w:tcW w:w="1254" w:type="dxa"/>
            <w:tcBorders>
              <w:top w:val="nil"/>
              <w:left w:val="nil"/>
              <w:bottom w:val="nil"/>
              <w:right w:val="single" w:sz="4" w:space="0" w:color="auto"/>
            </w:tcBorders>
            <w:shd w:val="clear" w:color="auto" w:fill="auto"/>
            <w:vAlign w:val="center"/>
          </w:tcPr>
          <w:p w14:paraId="56315787" w14:textId="3B8A2FC3"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310,2</w:t>
            </w:r>
          </w:p>
        </w:tc>
        <w:tc>
          <w:tcPr>
            <w:tcW w:w="1610" w:type="dxa"/>
            <w:tcBorders>
              <w:top w:val="nil"/>
              <w:left w:val="nil"/>
              <w:bottom w:val="nil"/>
              <w:right w:val="nil"/>
            </w:tcBorders>
            <w:shd w:val="clear" w:color="auto" w:fill="auto"/>
            <w:vAlign w:val="center"/>
          </w:tcPr>
          <w:p w14:paraId="3DF7B19B" w14:textId="3F57157F"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17,3</w:t>
            </w:r>
          </w:p>
        </w:tc>
        <w:tc>
          <w:tcPr>
            <w:tcW w:w="1252" w:type="dxa"/>
            <w:tcBorders>
              <w:top w:val="nil"/>
              <w:left w:val="nil"/>
              <w:bottom w:val="nil"/>
              <w:right w:val="nil"/>
            </w:tcBorders>
            <w:shd w:val="clear" w:color="auto" w:fill="auto"/>
            <w:vAlign w:val="center"/>
          </w:tcPr>
          <w:p w14:paraId="62655FCC" w14:textId="0AE071D2"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15,0</w:t>
            </w:r>
          </w:p>
        </w:tc>
        <w:tc>
          <w:tcPr>
            <w:tcW w:w="1254" w:type="dxa"/>
            <w:tcBorders>
              <w:top w:val="nil"/>
              <w:left w:val="nil"/>
              <w:bottom w:val="nil"/>
              <w:right w:val="nil"/>
            </w:tcBorders>
            <w:shd w:val="clear" w:color="auto" w:fill="auto"/>
            <w:vAlign w:val="center"/>
          </w:tcPr>
          <w:p w14:paraId="661902CD" w14:textId="5F7B401B"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19,9</w:t>
            </w:r>
          </w:p>
        </w:tc>
      </w:tr>
      <w:tr w:rsidR="00B61F35" w:rsidRPr="00B61F35" w14:paraId="0DAF4385" w14:textId="77777777" w:rsidTr="00B61F35">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15022DB2"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30–39 let</w:t>
            </w:r>
          </w:p>
        </w:tc>
        <w:tc>
          <w:tcPr>
            <w:tcW w:w="1609" w:type="dxa"/>
            <w:tcBorders>
              <w:top w:val="nil"/>
              <w:left w:val="nil"/>
              <w:bottom w:val="nil"/>
              <w:right w:val="nil"/>
            </w:tcBorders>
            <w:shd w:val="clear" w:color="auto" w:fill="auto"/>
            <w:vAlign w:val="center"/>
          </w:tcPr>
          <w:p w14:paraId="0F9FC415" w14:textId="16573C34"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753,1</w:t>
            </w:r>
          </w:p>
        </w:tc>
        <w:tc>
          <w:tcPr>
            <w:tcW w:w="1252" w:type="dxa"/>
            <w:tcBorders>
              <w:top w:val="nil"/>
              <w:left w:val="nil"/>
              <w:bottom w:val="nil"/>
              <w:right w:val="nil"/>
            </w:tcBorders>
            <w:shd w:val="clear" w:color="auto" w:fill="auto"/>
            <w:vAlign w:val="center"/>
          </w:tcPr>
          <w:p w14:paraId="7F3218DD" w14:textId="2BAD5C0D"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387,7</w:t>
            </w:r>
          </w:p>
        </w:tc>
        <w:tc>
          <w:tcPr>
            <w:tcW w:w="1254" w:type="dxa"/>
            <w:tcBorders>
              <w:top w:val="nil"/>
              <w:left w:val="nil"/>
              <w:bottom w:val="nil"/>
              <w:right w:val="single" w:sz="4" w:space="0" w:color="auto"/>
            </w:tcBorders>
            <w:shd w:val="clear" w:color="auto" w:fill="auto"/>
            <w:vAlign w:val="center"/>
          </w:tcPr>
          <w:p w14:paraId="3FF0E22D" w14:textId="34B12B4D"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365,4</w:t>
            </w:r>
          </w:p>
        </w:tc>
        <w:tc>
          <w:tcPr>
            <w:tcW w:w="1610" w:type="dxa"/>
            <w:tcBorders>
              <w:top w:val="nil"/>
              <w:left w:val="nil"/>
              <w:bottom w:val="nil"/>
              <w:right w:val="nil"/>
            </w:tcBorders>
            <w:shd w:val="clear" w:color="auto" w:fill="auto"/>
            <w:vAlign w:val="center"/>
          </w:tcPr>
          <w:p w14:paraId="1721B6FC" w14:textId="0BD6F4E1"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20,9</w:t>
            </w:r>
          </w:p>
        </w:tc>
        <w:tc>
          <w:tcPr>
            <w:tcW w:w="1252" w:type="dxa"/>
            <w:tcBorders>
              <w:top w:val="nil"/>
              <w:left w:val="nil"/>
              <w:bottom w:val="nil"/>
              <w:right w:val="nil"/>
            </w:tcBorders>
            <w:shd w:val="clear" w:color="auto" w:fill="auto"/>
            <w:vAlign w:val="center"/>
          </w:tcPr>
          <w:p w14:paraId="0375A4D6" w14:textId="507D0F4A"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18,7</w:t>
            </w:r>
          </w:p>
        </w:tc>
        <w:tc>
          <w:tcPr>
            <w:tcW w:w="1254" w:type="dxa"/>
            <w:tcBorders>
              <w:top w:val="nil"/>
              <w:left w:val="nil"/>
              <w:bottom w:val="nil"/>
              <w:right w:val="nil"/>
            </w:tcBorders>
            <w:shd w:val="clear" w:color="auto" w:fill="auto"/>
            <w:vAlign w:val="center"/>
          </w:tcPr>
          <w:p w14:paraId="53415D90" w14:textId="68C06285"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23,2</w:t>
            </w:r>
          </w:p>
        </w:tc>
      </w:tr>
      <w:tr w:rsidR="00B61F35" w:rsidRPr="00B61F35" w14:paraId="7FD54FF5" w14:textId="77777777" w:rsidTr="00B61F35">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17BDEF81"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40–49 let</w:t>
            </w:r>
          </w:p>
        </w:tc>
        <w:tc>
          <w:tcPr>
            <w:tcW w:w="1609" w:type="dxa"/>
            <w:tcBorders>
              <w:top w:val="nil"/>
              <w:left w:val="nil"/>
              <w:bottom w:val="nil"/>
              <w:right w:val="nil"/>
            </w:tcBorders>
            <w:shd w:val="clear" w:color="auto" w:fill="auto"/>
            <w:vAlign w:val="center"/>
          </w:tcPr>
          <w:p w14:paraId="6C99E574" w14:textId="379083F3"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960,0</w:t>
            </w:r>
          </w:p>
        </w:tc>
        <w:tc>
          <w:tcPr>
            <w:tcW w:w="1252" w:type="dxa"/>
            <w:tcBorders>
              <w:top w:val="nil"/>
              <w:left w:val="nil"/>
              <w:bottom w:val="nil"/>
              <w:right w:val="nil"/>
            </w:tcBorders>
            <w:shd w:val="clear" w:color="auto" w:fill="auto"/>
            <w:vAlign w:val="center"/>
          </w:tcPr>
          <w:p w14:paraId="670478D1" w14:textId="3E22CFE1"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394,0</w:t>
            </w:r>
          </w:p>
        </w:tc>
        <w:tc>
          <w:tcPr>
            <w:tcW w:w="1254" w:type="dxa"/>
            <w:tcBorders>
              <w:top w:val="nil"/>
              <w:left w:val="nil"/>
              <w:bottom w:val="nil"/>
              <w:right w:val="single" w:sz="4" w:space="0" w:color="auto"/>
            </w:tcBorders>
            <w:shd w:val="clear" w:color="auto" w:fill="auto"/>
            <w:vAlign w:val="center"/>
          </w:tcPr>
          <w:p w14:paraId="319BD680" w14:textId="588DB2F8"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565,9</w:t>
            </w:r>
          </w:p>
        </w:tc>
        <w:tc>
          <w:tcPr>
            <w:tcW w:w="1610" w:type="dxa"/>
            <w:tcBorders>
              <w:top w:val="nil"/>
              <w:left w:val="nil"/>
              <w:bottom w:val="nil"/>
              <w:right w:val="nil"/>
            </w:tcBorders>
            <w:shd w:val="clear" w:color="auto" w:fill="auto"/>
            <w:vAlign w:val="center"/>
          </w:tcPr>
          <w:p w14:paraId="4280A78B" w14:textId="4F17B1D4"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25,3</w:t>
            </w:r>
          </w:p>
        </w:tc>
        <w:tc>
          <w:tcPr>
            <w:tcW w:w="1252" w:type="dxa"/>
            <w:tcBorders>
              <w:top w:val="nil"/>
              <w:left w:val="nil"/>
              <w:bottom w:val="nil"/>
              <w:right w:val="nil"/>
            </w:tcBorders>
            <w:shd w:val="clear" w:color="auto" w:fill="auto"/>
            <w:vAlign w:val="center"/>
          </w:tcPr>
          <w:p w14:paraId="5CA85E6E" w14:textId="5B0DF4C5"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25,9</w:t>
            </w:r>
          </w:p>
        </w:tc>
        <w:tc>
          <w:tcPr>
            <w:tcW w:w="1254" w:type="dxa"/>
            <w:tcBorders>
              <w:top w:val="nil"/>
              <w:left w:val="nil"/>
              <w:bottom w:val="nil"/>
              <w:right w:val="nil"/>
            </w:tcBorders>
            <w:shd w:val="clear" w:color="auto" w:fill="auto"/>
            <w:vAlign w:val="center"/>
          </w:tcPr>
          <w:p w14:paraId="423B811F" w14:textId="417412D7"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24,9</w:t>
            </w:r>
          </w:p>
        </w:tc>
      </w:tr>
      <w:tr w:rsidR="00B61F35" w:rsidRPr="00B61F35" w14:paraId="19303588" w14:textId="77777777" w:rsidTr="00B61F35">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35697812"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50–59 let</w:t>
            </w:r>
          </w:p>
        </w:tc>
        <w:tc>
          <w:tcPr>
            <w:tcW w:w="1609" w:type="dxa"/>
            <w:tcBorders>
              <w:top w:val="nil"/>
              <w:left w:val="nil"/>
              <w:right w:val="nil"/>
            </w:tcBorders>
            <w:shd w:val="clear" w:color="auto" w:fill="auto"/>
            <w:vAlign w:val="center"/>
          </w:tcPr>
          <w:p w14:paraId="2A300D01" w14:textId="1D03A3D0"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795,4</w:t>
            </w:r>
          </w:p>
        </w:tc>
        <w:tc>
          <w:tcPr>
            <w:tcW w:w="1252" w:type="dxa"/>
            <w:tcBorders>
              <w:top w:val="nil"/>
              <w:left w:val="nil"/>
              <w:right w:val="nil"/>
            </w:tcBorders>
            <w:shd w:val="clear" w:color="auto" w:fill="auto"/>
            <w:vAlign w:val="center"/>
          </w:tcPr>
          <w:p w14:paraId="106F9743" w14:textId="2FB03702"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313,1</w:t>
            </w:r>
          </w:p>
        </w:tc>
        <w:tc>
          <w:tcPr>
            <w:tcW w:w="1254" w:type="dxa"/>
            <w:tcBorders>
              <w:top w:val="nil"/>
              <w:left w:val="nil"/>
              <w:right w:val="single" w:sz="4" w:space="0" w:color="auto"/>
            </w:tcBorders>
            <w:shd w:val="clear" w:color="auto" w:fill="auto"/>
            <w:vAlign w:val="center"/>
          </w:tcPr>
          <w:p w14:paraId="240AAC26" w14:textId="163B1667"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482,3</w:t>
            </w:r>
          </w:p>
        </w:tc>
        <w:tc>
          <w:tcPr>
            <w:tcW w:w="1610" w:type="dxa"/>
            <w:tcBorders>
              <w:top w:val="nil"/>
              <w:left w:val="nil"/>
              <w:right w:val="nil"/>
            </w:tcBorders>
            <w:shd w:val="clear" w:color="auto" w:fill="auto"/>
            <w:vAlign w:val="center"/>
          </w:tcPr>
          <w:p w14:paraId="487AFA3B" w14:textId="73D73C9D"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35,1</w:t>
            </w:r>
          </w:p>
        </w:tc>
        <w:tc>
          <w:tcPr>
            <w:tcW w:w="1252" w:type="dxa"/>
            <w:tcBorders>
              <w:top w:val="nil"/>
              <w:left w:val="nil"/>
              <w:right w:val="nil"/>
            </w:tcBorders>
            <w:shd w:val="clear" w:color="auto" w:fill="auto"/>
            <w:vAlign w:val="center"/>
          </w:tcPr>
          <w:p w14:paraId="30DE8DC4" w14:textId="233D5304"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37,9</w:t>
            </w:r>
          </w:p>
        </w:tc>
        <w:tc>
          <w:tcPr>
            <w:tcW w:w="1254" w:type="dxa"/>
            <w:tcBorders>
              <w:top w:val="nil"/>
              <w:left w:val="nil"/>
              <w:right w:val="nil"/>
            </w:tcBorders>
            <w:shd w:val="clear" w:color="auto" w:fill="auto"/>
            <w:vAlign w:val="center"/>
          </w:tcPr>
          <w:p w14:paraId="64F153FE" w14:textId="02A67D39"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33,4</w:t>
            </w:r>
          </w:p>
        </w:tc>
      </w:tr>
      <w:tr w:rsidR="00B61F35" w:rsidRPr="00B61F35" w14:paraId="0A2A2148" w14:textId="77777777" w:rsidTr="00B61F35">
        <w:trPr>
          <w:gridAfter w:val="1"/>
          <w:wAfter w:w="18" w:type="dxa"/>
          <w:trHeight w:val="300"/>
        </w:trPr>
        <w:tc>
          <w:tcPr>
            <w:tcW w:w="1474" w:type="dxa"/>
            <w:tcBorders>
              <w:top w:val="nil"/>
              <w:left w:val="nil"/>
              <w:bottom w:val="nil"/>
              <w:right w:val="single" w:sz="4" w:space="0" w:color="auto"/>
            </w:tcBorders>
            <w:shd w:val="clear" w:color="auto" w:fill="auto"/>
            <w:vAlign w:val="center"/>
            <w:hideMark/>
          </w:tcPr>
          <w:p w14:paraId="6982585A" w14:textId="77777777" w:rsidR="00B61F35" w:rsidRPr="00B61F35" w:rsidRDefault="00B61F35" w:rsidP="00B61F35">
            <w:pPr>
              <w:spacing w:after="0" w:line="240" w:lineRule="auto"/>
              <w:ind w:firstLineChars="100" w:firstLine="160"/>
              <w:rPr>
                <w:rFonts w:cs="Arial"/>
                <w:color w:val="000000"/>
                <w:sz w:val="16"/>
                <w:szCs w:val="16"/>
              </w:rPr>
            </w:pPr>
            <w:r w:rsidRPr="00B61F35">
              <w:rPr>
                <w:rFonts w:cs="Arial"/>
                <w:color w:val="000000"/>
                <w:sz w:val="16"/>
                <w:szCs w:val="16"/>
              </w:rPr>
              <w:t>60 a více let</w:t>
            </w:r>
          </w:p>
        </w:tc>
        <w:tc>
          <w:tcPr>
            <w:tcW w:w="1609" w:type="dxa"/>
            <w:tcBorders>
              <w:top w:val="nil"/>
              <w:left w:val="nil"/>
              <w:right w:val="nil"/>
            </w:tcBorders>
            <w:shd w:val="clear" w:color="auto" w:fill="auto"/>
            <w:vAlign w:val="center"/>
          </w:tcPr>
          <w:p w14:paraId="48846C81" w14:textId="481EB319"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243,5</w:t>
            </w:r>
          </w:p>
        </w:tc>
        <w:tc>
          <w:tcPr>
            <w:tcW w:w="1252" w:type="dxa"/>
            <w:tcBorders>
              <w:top w:val="nil"/>
              <w:left w:val="nil"/>
              <w:right w:val="nil"/>
            </w:tcBorders>
            <w:shd w:val="clear" w:color="auto" w:fill="auto"/>
            <w:vAlign w:val="center"/>
          </w:tcPr>
          <w:p w14:paraId="1B437BB7" w14:textId="5CC9932F"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123,5</w:t>
            </w:r>
          </w:p>
        </w:tc>
        <w:tc>
          <w:tcPr>
            <w:tcW w:w="1254" w:type="dxa"/>
            <w:tcBorders>
              <w:top w:val="nil"/>
              <w:left w:val="nil"/>
              <w:right w:val="single" w:sz="4" w:space="0" w:color="auto"/>
            </w:tcBorders>
            <w:shd w:val="clear" w:color="auto" w:fill="auto"/>
            <w:vAlign w:val="center"/>
          </w:tcPr>
          <w:p w14:paraId="06EDCFB6" w14:textId="3C205F65" w:rsidR="00B61F35" w:rsidRPr="00B61F35" w:rsidRDefault="00B61F35" w:rsidP="00B61F35">
            <w:pPr>
              <w:spacing w:after="0" w:line="240" w:lineRule="auto"/>
              <w:jc w:val="right"/>
              <w:rPr>
                <w:rFonts w:cs="Arial"/>
                <w:color w:val="000000"/>
                <w:sz w:val="16"/>
                <w:szCs w:val="16"/>
              </w:rPr>
            </w:pPr>
            <w:r w:rsidRPr="00B61F35">
              <w:rPr>
                <w:rFonts w:cs="Arial"/>
                <w:color w:val="000000"/>
                <w:sz w:val="16"/>
                <w:szCs w:val="16"/>
              </w:rPr>
              <w:t>120,0</w:t>
            </w:r>
          </w:p>
        </w:tc>
        <w:tc>
          <w:tcPr>
            <w:tcW w:w="1610" w:type="dxa"/>
            <w:tcBorders>
              <w:top w:val="nil"/>
              <w:left w:val="nil"/>
              <w:right w:val="nil"/>
            </w:tcBorders>
            <w:shd w:val="clear" w:color="auto" w:fill="auto"/>
            <w:vAlign w:val="center"/>
          </w:tcPr>
          <w:p w14:paraId="6C461D61" w14:textId="40F8800E"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46,6</w:t>
            </w:r>
          </w:p>
        </w:tc>
        <w:tc>
          <w:tcPr>
            <w:tcW w:w="1252" w:type="dxa"/>
            <w:tcBorders>
              <w:top w:val="nil"/>
              <w:left w:val="nil"/>
              <w:right w:val="nil"/>
            </w:tcBorders>
            <w:shd w:val="clear" w:color="auto" w:fill="auto"/>
            <w:vAlign w:val="center"/>
          </w:tcPr>
          <w:p w14:paraId="58E20F24" w14:textId="1855752D"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52,5</w:t>
            </w:r>
          </w:p>
        </w:tc>
        <w:tc>
          <w:tcPr>
            <w:tcW w:w="1254" w:type="dxa"/>
            <w:tcBorders>
              <w:top w:val="nil"/>
              <w:left w:val="nil"/>
              <w:right w:val="nil"/>
            </w:tcBorders>
            <w:shd w:val="clear" w:color="auto" w:fill="auto"/>
            <w:vAlign w:val="center"/>
          </w:tcPr>
          <w:p w14:paraId="736BD07C" w14:textId="217CFBE4" w:rsidR="00B61F35" w:rsidRPr="00B61F35" w:rsidRDefault="00B61F35" w:rsidP="00B61F35">
            <w:pPr>
              <w:spacing w:after="0" w:line="240" w:lineRule="auto"/>
              <w:jc w:val="center"/>
              <w:rPr>
                <w:rFonts w:cs="Arial"/>
                <w:color w:val="000000"/>
                <w:sz w:val="16"/>
                <w:szCs w:val="16"/>
              </w:rPr>
            </w:pPr>
            <w:r w:rsidRPr="00B61F35">
              <w:rPr>
                <w:rFonts w:cs="Arial"/>
                <w:color w:val="000000"/>
                <w:sz w:val="16"/>
                <w:szCs w:val="16"/>
              </w:rPr>
              <w:t>40,6</w:t>
            </w:r>
          </w:p>
        </w:tc>
      </w:tr>
    </w:tbl>
    <w:p w14:paraId="67E471E4" w14:textId="77777777" w:rsidR="005A75BA" w:rsidRDefault="005A75BA" w:rsidP="005A75BA">
      <w:pPr>
        <w:spacing w:before="120"/>
        <w:rPr>
          <w:sz w:val="16"/>
        </w:rPr>
      </w:pPr>
      <w:r>
        <w:rPr>
          <w:sz w:val="16"/>
        </w:rPr>
        <w:t>Pozn.: Přerušení v časové řadě.</w:t>
      </w:r>
    </w:p>
    <w:p w14:paraId="6B7C4445" w14:textId="62B8EDF5" w:rsidR="00D7583A" w:rsidRPr="00B61F35" w:rsidRDefault="00D7583A" w:rsidP="00D7583A">
      <w:pPr>
        <w:spacing w:before="120"/>
        <w:rPr>
          <w:sz w:val="16"/>
        </w:rPr>
      </w:pPr>
      <w:r w:rsidRPr="00B61F35">
        <w:rPr>
          <w:sz w:val="16"/>
        </w:rPr>
        <w:t>Zdroj: ČSSZ</w:t>
      </w:r>
    </w:p>
    <w:p w14:paraId="1953F1CC" w14:textId="4140561B" w:rsidR="00D7583A" w:rsidRPr="00B61F35" w:rsidRDefault="00D7583A" w:rsidP="00D7583A">
      <w:pPr>
        <w:spacing w:before="120" w:after="120"/>
        <w:jc w:val="both"/>
      </w:pPr>
      <w:r w:rsidRPr="00B61F35">
        <w:t xml:space="preserve">Doba, po kterou průměrná pracovní neschopnost trvala, rostla </w:t>
      </w:r>
      <w:r w:rsidRPr="00B61F35">
        <w:rPr>
          <w:b/>
        </w:rPr>
        <w:t>s věkem</w:t>
      </w:r>
      <w:r w:rsidRPr="00B61F35">
        <w:t xml:space="preserve"> (viz tab. 3.2), a to od </w:t>
      </w:r>
      <w:r w:rsidR="00B61F35" w:rsidRPr="00B61F35">
        <w:t>13,5</w:t>
      </w:r>
      <w:r w:rsidRPr="00B61F35">
        <w:t xml:space="preserve"> dne ve věkové skupině osob mladších 20 let</w:t>
      </w:r>
      <w:r w:rsidR="00095403" w:rsidRPr="006070B6">
        <w:t xml:space="preserve">, </w:t>
      </w:r>
      <w:r w:rsidR="00095403" w:rsidRPr="006070B6">
        <w:rPr>
          <w:rFonts w:cs="Arial"/>
          <w:szCs w:val="20"/>
        </w:rPr>
        <w:t>přes 25,3 dne u osob ve věku 40–49 let,</w:t>
      </w:r>
      <w:r w:rsidRPr="006070B6">
        <w:t xml:space="preserve"> až</w:t>
      </w:r>
      <w:r w:rsidRPr="00B61F35">
        <w:t xml:space="preserve"> po </w:t>
      </w:r>
      <w:r w:rsidR="00B61F35" w:rsidRPr="00B61F35">
        <w:t>46,6</w:t>
      </w:r>
      <w:r w:rsidRPr="00B61F35">
        <w:t xml:space="preserve"> dne ve věkové skupině 60letých a starších. To je způsobeno zejména vyšším zastoupením krátkodobých případů pracovní neschopnosti pro nemoci dýchací soustavy v mladším věku</w:t>
      </w:r>
      <w:r w:rsidR="00074565" w:rsidRPr="00B61F35">
        <w:t>,</w:t>
      </w:r>
      <w:r w:rsidRPr="00B61F35">
        <w:t xml:space="preserve"> a naopak nárůstem </w:t>
      </w:r>
      <w:r w:rsidR="003A18CD">
        <w:t>déletrvajících</w:t>
      </w:r>
      <w:r w:rsidRPr="00B61F35">
        <w:t xml:space="preserve"> případů pracovní neschopnosti pro nádorová onemocnění a nemoci oběhové soustavy se zvyšujícím se věkem.</w:t>
      </w:r>
      <w:r w:rsidR="00B61F35">
        <w:t xml:space="preserve"> Průměrná délka trvání ukončeného případu pracovní neschopnosti pro 60leté a starší muže klesla oproti roku 2019 o více než 22 dnů. U žen v tomto věku o 15 dnů.</w:t>
      </w:r>
      <w:r w:rsidR="00EB2F9C">
        <w:t xml:space="preserve"> To bylo jistě dáno vysokým počtem krátkodobých karantén a bezpříznakových izolací.</w:t>
      </w:r>
    </w:p>
    <w:p w14:paraId="6C421CEB" w14:textId="3B23495C" w:rsidR="00862223" w:rsidRDefault="00D7583A" w:rsidP="00D7583A">
      <w:pPr>
        <w:spacing w:before="120" w:after="120"/>
        <w:jc w:val="both"/>
      </w:pPr>
      <w:r w:rsidRPr="00B61F35">
        <w:t xml:space="preserve">Pracovní neschopnost plyne z různých příčin a statistiky ČSSZ nabízí přehled ukončených případů </w:t>
      </w:r>
      <w:r w:rsidRPr="00B61F35">
        <w:rPr>
          <w:b/>
        </w:rPr>
        <w:t>podle diagnóz</w:t>
      </w:r>
      <w:r w:rsidRPr="00B61F35">
        <w:t xml:space="preserve">. Pokud pomineme kategorii </w:t>
      </w:r>
      <w:r w:rsidRPr="00B61F35">
        <w:rPr>
          <w:b/>
        </w:rPr>
        <w:t>ostatní nemoci</w:t>
      </w:r>
      <w:r w:rsidRPr="00B61F35">
        <w:t xml:space="preserve">, kterou </w:t>
      </w:r>
      <w:r w:rsidR="00B61F35" w:rsidRPr="00B61F35">
        <w:t>od roku 2020</w:t>
      </w:r>
      <w:r w:rsidRPr="00B61F35">
        <w:t xml:space="preserve"> navyšují zejména neschopenky pro případ karantény spojené s </w:t>
      </w:r>
      <w:proofErr w:type="spellStart"/>
      <w:r w:rsidRPr="00B61F35">
        <w:t>covidem</w:t>
      </w:r>
      <w:proofErr w:type="spellEnd"/>
      <w:r w:rsidRPr="00B61F35">
        <w:t xml:space="preserve">, nejčastějším důvodem jsou dlouhodobě </w:t>
      </w:r>
      <w:r w:rsidR="00B61F35" w:rsidRPr="00B61F35">
        <w:rPr>
          <w:b/>
        </w:rPr>
        <w:t>nemoci dýchací soustavy.</w:t>
      </w:r>
      <w:r w:rsidRPr="00B61F35">
        <w:t xml:space="preserve"> </w:t>
      </w:r>
      <w:r w:rsidR="00B61F35" w:rsidRPr="00B61F35">
        <w:t>Ty v roce 2022</w:t>
      </w:r>
      <w:r w:rsidRPr="00B61F35">
        <w:t xml:space="preserve"> způsobily </w:t>
      </w:r>
      <w:r w:rsidR="00B61F35" w:rsidRPr="00B61F35">
        <w:t>více než</w:t>
      </w:r>
      <w:r w:rsidRPr="00B61F35">
        <w:t xml:space="preserve"> čtvrtinu </w:t>
      </w:r>
      <w:r w:rsidR="00B61F35" w:rsidRPr="00B61F35">
        <w:t xml:space="preserve">(28 %) </w:t>
      </w:r>
      <w:r w:rsidRPr="00B61F35">
        <w:t>všech případů pracovní neschopnost</w:t>
      </w:r>
      <w:r w:rsidR="00074565" w:rsidRPr="00B61F35">
        <w:t>i</w:t>
      </w:r>
      <w:r w:rsidRPr="00B61F35">
        <w:t>. Z nemocí této skupiny jsou neschopenky vystavovány především kvůli akutním infekcím dýchacích cest či chřipkám. Na druhou stranu, onemocnění dýchací soustavy tvořila pouze 1</w:t>
      </w:r>
      <w:r w:rsidR="00B61F35" w:rsidRPr="00B61F35">
        <w:t>3</w:t>
      </w:r>
      <w:r w:rsidRPr="00B61F35">
        <w:t xml:space="preserve"> % (1</w:t>
      </w:r>
      <w:r w:rsidR="00B61F35" w:rsidRPr="00B61F35">
        <w:t>2</w:t>
      </w:r>
      <w:r w:rsidRPr="00B61F35">
        <w:t xml:space="preserve"> mil. dnů) z celkového počtu prostonaných dnů. </w:t>
      </w:r>
      <w:r w:rsidR="00990DF9">
        <w:t>Jedná se tak o</w:t>
      </w:r>
      <w:r w:rsidRPr="00B61F35">
        <w:t xml:space="preserve"> nejkratší dobu pracovní neschopnosti ze všech skupin diagnóz, a sice </w:t>
      </w:r>
      <w:r w:rsidR="00B61F35" w:rsidRPr="00B61F35">
        <w:t>12,2</w:t>
      </w:r>
      <w:r w:rsidRPr="00B61F35">
        <w:t xml:space="preserve"> dne na 1 případ.</w:t>
      </w:r>
    </w:p>
    <w:p w14:paraId="111C9419" w14:textId="7CF208A2" w:rsidR="00D7583A" w:rsidRPr="00B61F35" w:rsidRDefault="00D7583A" w:rsidP="00D7583A">
      <w:pPr>
        <w:spacing w:before="120" w:after="120"/>
        <w:jc w:val="both"/>
      </w:pPr>
      <w:r w:rsidRPr="00B61F35">
        <w:lastRenderedPageBreak/>
        <w:t xml:space="preserve">Již zmíněná kategorie </w:t>
      </w:r>
      <w:r w:rsidRPr="00B61F35">
        <w:rPr>
          <w:b/>
        </w:rPr>
        <w:t>ostatní nemoci</w:t>
      </w:r>
      <w:r w:rsidRPr="00B61F35">
        <w:t xml:space="preserve"> zaujímala v roce 202</w:t>
      </w:r>
      <w:r w:rsidR="00B61F35" w:rsidRPr="00B61F35">
        <w:t>2</w:t>
      </w:r>
      <w:r w:rsidRPr="00B61F35">
        <w:t xml:space="preserve"> dvě pětiny všech pracovních neschopností. Dá se předpokládat, že jsou zde kromě karantén zahrnuty i některé případy osob, u kterých v průběhu karantény vypuklo samotné onemocnění s vážnějšími příznaky. Přesnější zachycení pandemie z těchto dat ovšem není možné. V období let 2015 až 2019, tedy před epidemií </w:t>
      </w:r>
      <w:proofErr w:type="spellStart"/>
      <w:r w:rsidRPr="00B61F35">
        <w:t>covid</w:t>
      </w:r>
      <w:r w:rsidR="00E50F69" w:rsidRPr="00B61F35">
        <w:t>u</w:t>
      </w:r>
      <w:proofErr w:type="spellEnd"/>
      <w:r w:rsidRPr="00B61F35">
        <w:t xml:space="preserve">, se zastoupení ostatních nemocí jako příčiny pracovní neschopnosti pohybovalo mezi </w:t>
      </w:r>
      <w:r w:rsidR="00286733" w:rsidRPr="00B61F35">
        <w:t>8</w:t>
      </w:r>
      <w:r w:rsidRPr="00B61F35">
        <w:t xml:space="preserve"> a 10 %.</w:t>
      </w:r>
    </w:p>
    <w:p w14:paraId="57488BC6" w14:textId="35E56233" w:rsidR="00287133" w:rsidRPr="003018A3" w:rsidRDefault="00287133" w:rsidP="00287133">
      <w:pPr>
        <w:spacing w:before="120" w:after="120"/>
        <w:jc w:val="both"/>
        <w:rPr>
          <w:b/>
        </w:rPr>
      </w:pPr>
      <w:r w:rsidRPr="003018A3">
        <w:rPr>
          <w:b/>
        </w:rPr>
        <w:t xml:space="preserve">Nemoci pohybové soustavy </w:t>
      </w:r>
      <w:r w:rsidRPr="003018A3">
        <w:t>zapříčinily 1</w:t>
      </w:r>
      <w:r w:rsidR="00B61F35" w:rsidRPr="003018A3">
        <w:t>1</w:t>
      </w:r>
      <w:r w:rsidRPr="003018A3">
        <w:t xml:space="preserve"> % pracovních neschopností.</w:t>
      </w:r>
      <w:r w:rsidRPr="003018A3">
        <w:rPr>
          <w:b/>
        </w:rPr>
        <w:t xml:space="preserve"> </w:t>
      </w:r>
      <w:r w:rsidRPr="003018A3">
        <w:t>Tyto nemoci se vyznačují poměrně dlouhou délkou trvání, v průměru déle než 2 kalendářní měsíce (</w:t>
      </w:r>
      <w:r w:rsidR="00B61F35" w:rsidRPr="003018A3">
        <w:t>64,8</w:t>
      </w:r>
      <w:r w:rsidRPr="003018A3">
        <w:t xml:space="preserve"> dne) na 1 případ. Počet prostonaných dnů této kategorie činil </w:t>
      </w:r>
      <w:r w:rsidR="00B61F35" w:rsidRPr="003018A3">
        <w:t>25,2</w:t>
      </w:r>
      <w:r w:rsidRPr="003018A3">
        <w:t xml:space="preserve"> mil. a tvoří </w:t>
      </w:r>
      <w:r w:rsidR="003018A3" w:rsidRPr="003018A3">
        <w:t xml:space="preserve">tak </w:t>
      </w:r>
      <w:r w:rsidRPr="003018A3">
        <w:t xml:space="preserve">dlouhodobě nejvyšší podíl </w:t>
      </w:r>
      <w:r w:rsidR="00B61F35" w:rsidRPr="003018A3">
        <w:t xml:space="preserve">(28 %) </w:t>
      </w:r>
      <w:r w:rsidRPr="003018A3">
        <w:t>ze všech skupin diagnóz. Z nemocí pohybové soustavy zapříčiňují pracovní neschopnost nejčastěji nemoci páteře.</w:t>
      </w:r>
      <w:r w:rsidR="006070B6">
        <w:t xml:space="preserve"> </w:t>
      </w:r>
      <w:r w:rsidRPr="003018A3">
        <w:t xml:space="preserve">Další častou příčinu pracovní neschopnosti představovaly </w:t>
      </w:r>
      <w:r w:rsidRPr="003018A3">
        <w:rPr>
          <w:b/>
        </w:rPr>
        <w:t>úrazy a otravy</w:t>
      </w:r>
      <w:r w:rsidRPr="003018A3">
        <w:t xml:space="preserve">. Na všech neschopenkách se podílely </w:t>
      </w:r>
      <w:r w:rsidR="003018A3" w:rsidRPr="003018A3">
        <w:t>6</w:t>
      </w:r>
      <w:r w:rsidRPr="003018A3">
        <w:t xml:space="preserve"> %. Průměrná délka trvání neschopnosti byla v tomto případě </w:t>
      </w:r>
      <w:r w:rsidR="003018A3" w:rsidRPr="003018A3">
        <w:t>51,9</w:t>
      </w:r>
      <w:r w:rsidRPr="003018A3">
        <w:t xml:space="preserve"> dne a celkový počet prostonaných dnů činil </w:t>
      </w:r>
      <w:r w:rsidR="00286733" w:rsidRPr="003018A3">
        <w:t>10,</w:t>
      </w:r>
      <w:r w:rsidR="003018A3" w:rsidRPr="003018A3">
        <w:t>6</w:t>
      </w:r>
      <w:r w:rsidRPr="003018A3">
        <w:t xml:space="preserve"> mil.</w:t>
      </w:r>
    </w:p>
    <w:p w14:paraId="15270B11" w14:textId="354171DC" w:rsidR="00287133" w:rsidRPr="00166BEB" w:rsidRDefault="00287133" w:rsidP="00287133">
      <w:pPr>
        <w:spacing w:before="120" w:after="120"/>
        <w:jc w:val="both"/>
        <w:rPr>
          <w:highlight w:val="yellow"/>
        </w:rPr>
      </w:pPr>
      <w:r w:rsidRPr="00862223">
        <w:t xml:space="preserve">Nejdelší </w:t>
      </w:r>
      <w:r w:rsidRPr="00862223">
        <w:rPr>
          <w:b/>
        </w:rPr>
        <w:t>průměrná délka</w:t>
      </w:r>
      <w:r w:rsidRPr="00862223">
        <w:t xml:space="preserve"> trvání pracov</w:t>
      </w:r>
      <w:r w:rsidR="003018A3" w:rsidRPr="00862223">
        <w:t>ní neschopnosti byla v roce 2022</w:t>
      </w:r>
      <w:r w:rsidRPr="00862223">
        <w:t xml:space="preserve"> evidována u </w:t>
      </w:r>
      <w:r w:rsidR="003018A3" w:rsidRPr="00862223">
        <w:t>tuberkulózy, a sice 189</w:t>
      </w:r>
      <w:r w:rsidR="00A5543F">
        <w:t> </w:t>
      </w:r>
      <w:r w:rsidR="003018A3" w:rsidRPr="00862223">
        <w:t xml:space="preserve">dnů. Celkem bylo na tuto diagnózu vystaveno 85 neschopenek. Z častějších onemocnění se však v průměru nejdelší neschopnost týkala </w:t>
      </w:r>
      <w:r w:rsidRPr="00862223">
        <w:t>zhoubných novotvarů (</w:t>
      </w:r>
      <w:r w:rsidR="003018A3" w:rsidRPr="00862223">
        <w:t>175</w:t>
      </w:r>
      <w:r w:rsidRPr="00862223">
        <w:t xml:space="preserve"> dn</w:t>
      </w:r>
      <w:r w:rsidR="003018A3" w:rsidRPr="00862223">
        <w:t>ů</w:t>
      </w:r>
      <w:r w:rsidRPr="00862223">
        <w:t>). Neschopenka u této skupiny nemocí trvala 1</w:t>
      </w:r>
      <w:r w:rsidR="003018A3" w:rsidRPr="00862223">
        <w:t>6</w:t>
      </w:r>
      <w:r w:rsidRPr="00862223">
        <w:t>7 dnů u mužů</w:t>
      </w:r>
      <w:r w:rsidR="00862223">
        <w:t xml:space="preserve"> a</w:t>
      </w:r>
      <w:r w:rsidRPr="00862223">
        <w:t xml:space="preserve"> 1</w:t>
      </w:r>
      <w:r w:rsidR="003018A3" w:rsidRPr="00862223">
        <w:t>83</w:t>
      </w:r>
      <w:r w:rsidRPr="00862223">
        <w:t xml:space="preserve"> dnů</w:t>
      </w:r>
      <w:r w:rsidR="00862223" w:rsidRPr="00862223">
        <w:t xml:space="preserve"> u žen</w:t>
      </w:r>
      <w:r w:rsidR="00862223">
        <w:t xml:space="preserve">. </w:t>
      </w:r>
      <w:r w:rsidR="003018A3" w:rsidRPr="00862223">
        <w:t>Ke hranici</w:t>
      </w:r>
      <w:r w:rsidR="003018A3" w:rsidRPr="00921C1C">
        <w:t xml:space="preserve"> 100 dnů </w:t>
      </w:r>
      <w:r w:rsidR="003018A3">
        <w:t xml:space="preserve">neschopnosti </w:t>
      </w:r>
      <w:r w:rsidR="003018A3" w:rsidRPr="00921C1C">
        <w:t xml:space="preserve">se </w:t>
      </w:r>
      <w:r w:rsidR="003018A3">
        <w:t>blížily</w:t>
      </w:r>
      <w:r w:rsidR="003018A3" w:rsidRPr="00921C1C">
        <w:t xml:space="preserve"> i nemoci spojené s těhotenstvím, mateřstvím a šestinedělím</w:t>
      </w:r>
      <w:r w:rsidR="003018A3">
        <w:t xml:space="preserve"> a </w:t>
      </w:r>
      <w:r w:rsidR="003A18CD">
        <w:t>delší dobu</w:t>
      </w:r>
      <w:r w:rsidR="003018A3">
        <w:t xml:space="preserve"> (85 dnů) trvaly rovněž neschopenky vydané kvůli duševní</w:t>
      </w:r>
      <w:r w:rsidR="00DA7A5A">
        <w:t>m</w:t>
      </w:r>
      <w:r w:rsidR="003018A3">
        <w:t xml:space="preserve"> nemoc</w:t>
      </w:r>
      <w:r w:rsidR="00DA7A5A">
        <w:t>em</w:t>
      </w:r>
      <w:r w:rsidR="003018A3">
        <w:t>.</w:t>
      </w:r>
    </w:p>
    <w:p w14:paraId="7B138C7A" w14:textId="2139C7A7" w:rsidR="00287133" w:rsidRPr="003018A3" w:rsidRDefault="00287133" w:rsidP="00287133">
      <w:pPr>
        <w:spacing w:after="0" w:line="240" w:lineRule="auto"/>
        <w:jc w:val="both"/>
        <w:rPr>
          <w:rFonts w:cs="Arial"/>
          <w:b/>
          <w:bCs/>
          <w:color w:val="000000"/>
          <w:szCs w:val="20"/>
        </w:rPr>
      </w:pPr>
      <w:r w:rsidRPr="003018A3">
        <w:rPr>
          <w:rFonts w:cs="Arial"/>
          <w:b/>
          <w:bCs/>
          <w:color w:val="000000"/>
          <w:szCs w:val="20"/>
        </w:rPr>
        <w:t>Tab. 3.3: Ukončené případy dočasné pracovní neschopnosti podl</w:t>
      </w:r>
      <w:r w:rsidR="003018A3" w:rsidRPr="003018A3">
        <w:rPr>
          <w:rFonts w:cs="Arial"/>
          <w:b/>
          <w:bCs/>
          <w:color w:val="000000"/>
          <w:szCs w:val="20"/>
        </w:rPr>
        <w:t>e skupin diagnóz a pohlaví, 2022</w:t>
      </w:r>
    </w:p>
    <w:tbl>
      <w:tblPr>
        <w:tblW w:w="9637" w:type="dxa"/>
        <w:tblCellMar>
          <w:left w:w="70" w:type="dxa"/>
          <w:right w:w="70" w:type="dxa"/>
        </w:tblCellMar>
        <w:tblLook w:val="04A0" w:firstRow="1" w:lastRow="0" w:firstColumn="1" w:lastColumn="0" w:noHBand="0" w:noVBand="1"/>
      </w:tblPr>
      <w:tblGrid>
        <w:gridCol w:w="4195"/>
        <w:gridCol w:w="907"/>
        <w:gridCol w:w="907"/>
        <w:gridCol w:w="907"/>
        <w:gridCol w:w="907"/>
        <w:gridCol w:w="907"/>
        <w:gridCol w:w="907"/>
      </w:tblGrid>
      <w:tr w:rsidR="00287133" w:rsidRPr="003018A3" w14:paraId="1F878400" w14:textId="77777777" w:rsidTr="005E754B">
        <w:trPr>
          <w:trHeight w:val="525"/>
        </w:trPr>
        <w:tc>
          <w:tcPr>
            <w:tcW w:w="4195" w:type="dxa"/>
            <w:vMerge w:val="restart"/>
            <w:tcBorders>
              <w:top w:val="single" w:sz="4" w:space="0" w:color="auto"/>
              <w:left w:val="nil"/>
              <w:bottom w:val="single" w:sz="4" w:space="0" w:color="000000"/>
              <w:right w:val="single" w:sz="4" w:space="0" w:color="auto"/>
            </w:tcBorders>
            <w:shd w:val="clear" w:color="000000" w:fill="F5DADD"/>
            <w:vAlign w:val="center"/>
            <w:hideMark/>
          </w:tcPr>
          <w:p w14:paraId="38012187" w14:textId="77777777" w:rsidR="00287133" w:rsidRPr="003018A3" w:rsidRDefault="00287133" w:rsidP="00287133">
            <w:pPr>
              <w:spacing w:after="0" w:line="240" w:lineRule="auto"/>
              <w:jc w:val="center"/>
              <w:rPr>
                <w:rFonts w:cs="Arial"/>
                <w:color w:val="000000"/>
                <w:sz w:val="16"/>
                <w:szCs w:val="16"/>
              </w:rPr>
            </w:pPr>
            <w:r w:rsidRPr="003018A3">
              <w:rPr>
                <w:rFonts w:cs="Arial"/>
                <w:color w:val="000000"/>
                <w:sz w:val="16"/>
                <w:szCs w:val="16"/>
              </w:rPr>
              <w:t>Skupiny diagnóz (kapitoly podle MKN-10)</w:t>
            </w:r>
          </w:p>
        </w:tc>
        <w:tc>
          <w:tcPr>
            <w:tcW w:w="2721" w:type="dxa"/>
            <w:gridSpan w:val="3"/>
            <w:tcBorders>
              <w:top w:val="single" w:sz="4" w:space="0" w:color="auto"/>
              <w:left w:val="nil"/>
              <w:bottom w:val="single" w:sz="4" w:space="0" w:color="auto"/>
              <w:right w:val="single" w:sz="4" w:space="0" w:color="000000"/>
            </w:tcBorders>
            <w:shd w:val="clear" w:color="000000" w:fill="F2DBDB"/>
            <w:vAlign w:val="center"/>
            <w:hideMark/>
          </w:tcPr>
          <w:p w14:paraId="1E6FFF9A" w14:textId="6EEC7177" w:rsidR="00287133" w:rsidRPr="003018A3" w:rsidRDefault="00287133" w:rsidP="00287133">
            <w:pPr>
              <w:spacing w:after="0" w:line="240" w:lineRule="auto"/>
              <w:jc w:val="center"/>
              <w:rPr>
                <w:rFonts w:cs="Arial"/>
                <w:color w:val="000000"/>
                <w:sz w:val="16"/>
                <w:szCs w:val="16"/>
              </w:rPr>
            </w:pPr>
            <w:r w:rsidRPr="003018A3">
              <w:rPr>
                <w:rFonts w:cs="Arial"/>
                <w:color w:val="000000"/>
                <w:sz w:val="16"/>
                <w:szCs w:val="16"/>
              </w:rPr>
              <w:t xml:space="preserve">Počet </w:t>
            </w:r>
            <w:r w:rsidR="00DA7A5A">
              <w:rPr>
                <w:rFonts w:cs="Arial"/>
                <w:color w:val="000000"/>
                <w:sz w:val="16"/>
                <w:szCs w:val="16"/>
              </w:rPr>
              <w:t xml:space="preserve">ukončených </w:t>
            </w:r>
            <w:r w:rsidRPr="003018A3">
              <w:rPr>
                <w:rFonts w:cs="Arial"/>
                <w:color w:val="000000"/>
                <w:sz w:val="16"/>
                <w:szCs w:val="16"/>
              </w:rPr>
              <w:t>případů DPN (tis.)</w:t>
            </w:r>
          </w:p>
        </w:tc>
        <w:tc>
          <w:tcPr>
            <w:tcW w:w="2721" w:type="dxa"/>
            <w:gridSpan w:val="3"/>
            <w:tcBorders>
              <w:top w:val="single" w:sz="4" w:space="0" w:color="auto"/>
              <w:left w:val="nil"/>
              <w:bottom w:val="single" w:sz="4" w:space="0" w:color="auto"/>
              <w:right w:val="nil"/>
            </w:tcBorders>
            <w:shd w:val="clear" w:color="000000" w:fill="F2DBDB"/>
            <w:vAlign w:val="center"/>
            <w:hideMark/>
          </w:tcPr>
          <w:p w14:paraId="49AD7C54" w14:textId="77777777" w:rsidR="00287133" w:rsidRPr="003018A3" w:rsidRDefault="00287133" w:rsidP="00287133">
            <w:pPr>
              <w:spacing w:after="0" w:line="240" w:lineRule="auto"/>
              <w:jc w:val="center"/>
              <w:rPr>
                <w:rFonts w:cs="Arial"/>
                <w:color w:val="000000"/>
                <w:sz w:val="16"/>
                <w:szCs w:val="16"/>
              </w:rPr>
            </w:pPr>
            <w:r w:rsidRPr="003018A3">
              <w:rPr>
                <w:rFonts w:cs="Arial"/>
                <w:color w:val="000000"/>
                <w:sz w:val="16"/>
                <w:szCs w:val="16"/>
              </w:rPr>
              <w:t>Průměrná délka trvání případu DPN ve dnech</w:t>
            </w:r>
          </w:p>
        </w:tc>
      </w:tr>
      <w:tr w:rsidR="005E754B" w:rsidRPr="003018A3" w14:paraId="7EA3ACE2" w14:textId="77777777" w:rsidTr="00F40B8C">
        <w:trPr>
          <w:trHeight w:val="300"/>
        </w:trPr>
        <w:tc>
          <w:tcPr>
            <w:tcW w:w="4195" w:type="dxa"/>
            <w:vMerge/>
            <w:tcBorders>
              <w:top w:val="single" w:sz="4" w:space="0" w:color="auto"/>
              <w:left w:val="nil"/>
              <w:bottom w:val="single" w:sz="4" w:space="0" w:color="000000"/>
              <w:right w:val="single" w:sz="4" w:space="0" w:color="auto"/>
            </w:tcBorders>
            <w:vAlign w:val="center"/>
            <w:hideMark/>
          </w:tcPr>
          <w:p w14:paraId="2CDFB38A" w14:textId="77777777" w:rsidR="005E754B" w:rsidRPr="003018A3" w:rsidRDefault="005E754B" w:rsidP="00287133">
            <w:pPr>
              <w:spacing w:after="0" w:line="240" w:lineRule="auto"/>
              <w:rPr>
                <w:rFonts w:cs="Arial"/>
                <w:color w:val="000000"/>
                <w:sz w:val="16"/>
                <w:szCs w:val="16"/>
              </w:rPr>
            </w:pPr>
          </w:p>
        </w:tc>
        <w:tc>
          <w:tcPr>
            <w:tcW w:w="907" w:type="dxa"/>
            <w:vMerge w:val="restart"/>
            <w:tcBorders>
              <w:top w:val="nil"/>
              <w:left w:val="single" w:sz="4" w:space="0" w:color="auto"/>
              <w:bottom w:val="single" w:sz="4" w:space="0" w:color="000000"/>
              <w:right w:val="nil"/>
            </w:tcBorders>
            <w:shd w:val="clear" w:color="000000" w:fill="F2DBDB"/>
            <w:vAlign w:val="center"/>
            <w:hideMark/>
          </w:tcPr>
          <w:p w14:paraId="1CF7902C" w14:textId="77777777" w:rsidR="005E754B" w:rsidRPr="003018A3" w:rsidRDefault="005E754B" w:rsidP="00287133">
            <w:pPr>
              <w:spacing w:after="0" w:line="240" w:lineRule="auto"/>
              <w:jc w:val="center"/>
              <w:rPr>
                <w:rFonts w:cs="Arial"/>
                <w:b/>
                <w:bCs/>
                <w:color w:val="000000"/>
                <w:sz w:val="16"/>
                <w:szCs w:val="16"/>
              </w:rPr>
            </w:pPr>
            <w:r w:rsidRPr="003018A3">
              <w:rPr>
                <w:rFonts w:cs="Arial"/>
                <w:b/>
                <w:bCs/>
                <w:color w:val="000000"/>
                <w:sz w:val="16"/>
                <w:szCs w:val="16"/>
              </w:rPr>
              <w:t>Celkem</w:t>
            </w:r>
          </w:p>
        </w:tc>
        <w:tc>
          <w:tcPr>
            <w:tcW w:w="1814" w:type="dxa"/>
            <w:gridSpan w:val="2"/>
            <w:tcBorders>
              <w:top w:val="single" w:sz="4" w:space="0" w:color="auto"/>
              <w:left w:val="single" w:sz="4" w:space="0" w:color="auto"/>
              <w:bottom w:val="single" w:sz="4" w:space="0" w:color="auto"/>
              <w:right w:val="single" w:sz="4" w:space="0" w:color="auto"/>
            </w:tcBorders>
            <w:shd w:val="clear" w:color="000000" w:fill="F2DBDB"/>
            <w:vAlign w:val="center"/>
            <w:hideMark/>
          </w:tcPr>
          <w:p w14:paraId="6062B60F" w14:textId="77777777" w:rsidR="005E754B" w:rsidRPr="003018A3" w:rsidRDefault="005E754B" w:rsidP="00287133">
            <w:pPr>
              <w:spacing w:after="0" w:line="240" w:lineRule="auto"/>
              <w:jc w:val="center"/>
              <w:rPr>
                <w:rFonts w:cs="Arial"/>
                <w:color w:val="000000"/>
                <w:sz w:val="16"/>
                <w:szCs w:val="16"/>
              </w:rPr>
            </w:pPr>
            <w:r w:rsidRPr="003018A3">
              <w:rPr>
                <w:rFonts w:cs="Arial"/>
                <w:color w:val="000000"/>
                <w:sz w:val="16"/>
                <w:szCs w:val="16"/>
              </w:rPr>
              <w:t>podle pohlaví</w:t>
            </w:r>
          </w:p>
        </w:tc>
        <w:tc>
          <w:tcPr>
            <w:tcW w:w="907" w:type="dxa"/>
            <w:vMerge w:val="restart"/>
            <w:tcBorders>
              <w:top w:val="nil"/>
              <w:left w:val="single" w:sz="4" w:space="0" w:color="auto"/>
              <w:right w:val="nil"/>
            </w:tcBorders>
            <w:shd w:val="clear" w:color="000000" w:fill="F2DBDB"/>
            <w:vAlign w:val="center"/>
            <w:hideMark/>
          </w:tcPr>
          <w:p w14:paraId="45EF41A1" w14:textId="77777777" w:rsidR="005E754B" w:rsidRPr="003018A3" w:rsidRDefault="005E754B" w:rsidP="00287133">
            <w:pPr>
              <w:spacing w:after="0" w:line="240" w:lineRule="auto"/>
              <w:jc w:val="center"/>
              <w:rPr>
                <w:rFonts w:cs="Arial"/>
                <w:b/>
                <w:bCs/>
                <w:color w:val="000000"/>
                <w:sz w:val="16"/>
                <w:szCs w:val="16"/>
              </w:rPr>
            </w:pPr>
            <w:r w:rsidRPr="003018A3">
              <w:rPr>
                <w:rFonts w:cs="Arial"/>
                <w:b/>
                <w:bCs/>
                <w:color w:val="000000"/>
                <w:sz w:val="16"/>
                <w:szCs w:val="16"/>
              </w:rPr>
              <w:t>Celkem</w:t>
            </w:r>
          </w:p>
        </w:tc>
        <w:tc>
          <w:tcPr>
            <w:tcW w:w="1814" w:type="dxa"/>
            <w:gridSpan w:val="2"/>
            <w:tcBorders>
              <w:top w:val="single" w:sz="4" w:space="0" w:color="auto"/>
              <w:left w:val="single" w:sz="4" w:space="0" w:color="auto"/>
              <w:bottom w:val="single" w:sz="4" w:space="0" w:color="auto"/>
            </w:tcBorders>
            <w:shd w:val="clear" w:color="000000" w:fill="F2DBDB"/>
            <w:vAlign w:val="center"/>
            <w:hideMark/>
          </w:tcPr>
          <w:p w14:paraId="06B591B6" w14:textId="77777777" w:rsidR="005E754B" w:rsidRPr="003018A3" w:rsidRDefault="005E754B" w:rsidP="00287133">
            <w:pPr>
              <w:spacing w:after="0" w:line="240" w:lineRule="auto"/>
              <w:jc w:val="center"/>
              <w:rPr>
                <w:rFonts w:cs="Arial"/>
                <w:color w:val="000000"/>
                <w:sz w:val="16"/>
                <w:szCs w:val="16"/>
              </w:rPr>
            </w:pPr>
            <w:r w:rsidRPr="003018A3">
              <w:rPr>
                <w:rFonts w:cs="Arial"/>
                <w:color w:val="000000"/>
                <w:sz w:val="16"/>
                <w:szCs w:val="16"/>
              </w:rPr>
              <w:t>podle pohlaví</w:t>
            </w:r>
          </w:p>
        </w:tc>
      </w:tr>
      <w:tr w:rsidR="005E754B" w:rsidRPr="003018A3" w14:paraId="6F03B158" w14:textId="77777777" w:rsidTr="00F40B8C">
        <w:trPr>
          <w:trHeight w:val="300"/>
        </w:trPr>
        <w:tc>
          <w:tcPr>
            <w:tcW w:w="4195" w:type="dxa"/>
            <w:vMerge/>
            <w:tcBorders>
              <w:top w:val="single" w:sz="4" w:space="0" w:color="auto"/>
              <w:left w:val="nil"/>
              <w:bottom w:val="single" w:sz="4" w:space="0" w:color="000000"/>
              <w:right w:val="single" w:sz="4" w:space="0" w:color="auto"/>
            </w:tcBorders>
            <w:vAlign w:val="center"/>
            <w:hideMark/>
          </w:tcPr>
          <w:p w14:paraId="682C5C06" w14:textId="77777777" w:rsidR="005E754B" w:rsidRPr="003018A3" w:rsidRDefault="005E754B" w:rsidP="00287133">
            <w:pPr>
              <w:spacing w:after="0" w:line="240" w:lineRule="auto"/>
              <w:rPr>
                <w:rFonts w:cs="Arial"/>
                <w:color w:val="000000"/>
                <w:sz w:val="16"/>
                <w:szCs w:val="16"/>
              </w:rPr>
            </w:pPr>
          </w:p>
        </w:tc>
        <w:tc>
          <w:tcPr>
            <w:tcW w:w="907" w:type="dxa"/>
            <w:vMerge/>
            <w:tcBorders>
              <w:top w:val="nil"/>
              <w:left w:val="single" w:sz="4" w:space="0" w:color="auto"/>
              <w:bottom w:val="single" w:sz="4" w:space="0" w:color="000000"/>
              <w:right w:val="nil"/>
            </w:tcBorders>
            <w:vAlign w:val="center"/>
            <w:hideMark/>
          </w:tcPr>
          <w:p w14:paraId="08D35130" w14:textId="77777777" w:rsidR="005E754B" w:rsidRPr="003018A3" w:rsidRDefault="005E754B" w:rsidP="00287133">
            <w:pPr>
              <w:spacing w:after="0" w:line="240" w:lineRule="auto"/>
              <w:rPr>
                <w:rFonts w:cs="Arial"/>
                <w:b/>
                <w:bCs/>
                <w:color w:val="000000"/>
                <w:sz w:val="16"/>
                <w:szCs w:val="16"/>
              </w:rPr>
            </w:pPr>
          </w:p>
        </w:tc>
        <w:tc>
          <w:tcPr>
            <w:tcW w:w="907" w:type="dxa"/>
            <w:tcBorders>
              <w:top w:val="nil"/>
              <w:left w:val="single" w:sz="4" w:space="0" w:color="auto"/>
              <w:bottom w:val="single" w:sz="4" w:space="0" w:color="auto"/>
              <w:right w:val="single" w:sz="4" w:space="0" w:color="auto"/>
            </w:tcBorders>
            <w:shd w:val="clear" w:color="000000" w:fill="F2DBDB"/>
            <w:vAlign w:val="center"/>
            <w:hideMark/>
          </w:tcPr>
          <w:p w14:paraId="2DDE4D58" w14:textId="77777777" w:rsidR="005E754B" w:rsidRPr="003018A3" w:rsidRDefault="005E754B" w:rsidP="00287133">
            <w:pPr>
              <w:spacing w:after="0" w:line="240" w:lineRule="auto"/>
              <w:jc w:val="center"/>
              <w:rPr>
                <w:rFonts w:cs="Arial"/>
                <w:color w:val="000000"/>
                <w:sz w:val="16"/>
                <w:szCs w:val="16"/>
              </w:rPr>
            </w:pPr>
            <w:r w:rsidRPr="003018A3">
              <w:rPr>
                <w:rFonts w:cs="Arial"/>
                <w:color w:val="000000"/>
                <w:sz w:val="16"/>
                <w:szCs w:val="16"/>
              </w:rPr>
              <w:t>muži</w:t>
            </w:r>
          </w:p>
        </w:tc>
        <w:tc>
          <w:tcPr>
            <w:tcW w:w="907" w:type="dxa"/>
            <w:tcBorders>
              <w:top w:val="nil"/>
              <w:left w:val="nil"/>
              <w:bottom w:val="single" w:sz="4" w:space="0" w:color="auto"/>
              <w:right w:val="single" w:sz="4" w:space="0" w:color="auto"/>
            </w:tcBorders>
            <w:shd w:val="clear" w:color="000000" w:fill="F2DBDB"/>
            <w:vAlign w:val="center"/>
            <w:hideMark/>
          </w:tcPr>
          <w:p w14:paraId="4449F792" w14:textId="77777777" w:rsidR="005E754B" w:rsidRPr="003018A3" w:rsidRDefault="005E754B" w:rsidP="00287133">
            <w:pPr>
              <w:spacing w:after="0" w:line="240" w:lineRule="auto"/>
              <w:jc w:val="center"/>
              <w:rPr>
                <w:rFonts w:cs="Arial"/>
                <w:color w:val="000000"/>
                <w:sz w:val="16"/>
                <w:szCs w:val="16"/>
              </w:rPr>
            </w:pPr>
            <w:r w:rsidRPr="003018A3">
              <w:rPr>
                <w:rFonts w:cs="Arial"/>
                <w:color w:val="000000"/>
                <w:sz w:val="16"/>
                <w:szCs w:val="16"/>
              </w:rPr>
              <w:t>ženy</w:t>
            </w:r>
          </w:p>
        </w:tc>
        <w:tc>
          <w:tcPr>
            <w:tcW w:w="907" w:type="dxa"/>
            <w:vMerge/>
            <w:tcBorders>
              <w:left w:val="single" w:sz="4" w:space="0" w:color="auto"/>
              <w:bottom w:val="single" w:sz="4" w:space="0" w:color="000000"/>
              <w:right w:val="nil"/>
            </w:tcBorders>
            <w:vAlign w:val="center"/>
            <w:hideMark/>
          </w:tcPr>
          <w:p w14:paraId="64AB6445" w14:textId="77777777" w:rsidR="005E754B" w:rsidRPr="003018A3" w:rsidRDefault="005E754B" w:rsidP="00287133">
            <w:pPr>
              <w:spacing w:after="0" w:line="240" w:lineRule="auto"/>
              <w:rPr>
                <w:rFonts w:cs="Arial"/>
                <w:b/>
                <w:bCs/>
                <w:color w:val="000000"/>
                <w:sz w:val="16"/>
                <w:szCs w:val="16"/>
              </w:rPr>
            </w:pPr>
          </w:p>
        </w:tc>
        <w:tc>
          <w:tcPr>
            <w:tcW w:w="907" w:type="dxa"/>
            <w:tcBorders>
              <w:top w:val="nil"/>
              <w:left w:val="single" w:sz="4" w:space="0" w:color="auto"/>
              <w:bottom w:val="single" w:sz="4" w:space="0" w:color="auto"/>
              <w:right w:val="single" w:sz="4" w:space="0" w:color="auto"/>
            </w:tcBorders>
            <w:shd w:val="clear" w:color="000000" w:fill="F2DBDB"/>
            <w:vAlign w:val="center"/>
            <w:hideMark/>
          </w:tcPr>
          <w:p w14:paraId="1E3288CE" w14:textId="77777777" w:rsidR="005E754B" w:rsidRPr="003018A3" w:rsidRDefault="005E754B" w:rsidP="00287133">
            <w:pPr>
              <w:spacing w:after="0" w:line="240" w:lineRule="auto"/>
              <w:jc w:val="center"/>
              <w:rPr>
                <w:rFonts w:cs="Arial"/>
                <w:color w:val="000000"/>
                <w:sz w:val="16"/>
                <w:szCs w:val="16"/>
              </w:rPr>
            </w:pPr>
            <w:r w:rsidRPr="003018A3">
              <w:rPr>
                <w:rFonts w:cs="Arial"/>
                <w:color w:val="000000"/>
                <w:sz w:val="16"/>
                <w:szCs w:val="16"/>
              </w:rPr>
              <w:t>muži</w:t>
            </w:r>
          </w:p>
        </w:tc>
        <w:tc>
          <w:tcPr>
            <w:tcW w:w="907" w:type="dxa"/>
            <w:tcBorders>
              <w:top w:val="nil"/>
              <w:left w:val="nil"/>
              <w:bottom w:val="single" w:sz="4" w:space="0" w:color="auto"/>
              <w:right w:val="nil"/>
            </w:tcBorders>
            <w:shd w:val="clear" w:color="000000" w:fill="F2DBDB"/>
            <w:vAlign w:val="center"/>
            <w:hideMark/>
          </w:tcPr>
          <w:p w14:paraId="13B7033B" w14:textId="77777777" w:rsidR="005E754B" w:rsidRPr="003018A3" w:rsidRDefault="005E754B" w:rsidP="00287133">
            <w:pPr>
              <w:spacing w:after="0" w:line="240" w:lineRule="auto"/>
              <w:jc w:val="center"/>
              <w:rPr>
                <w:rFonts w:cs="Arial"/>
                <w:color w:val="000000"/>
                <w:sz w:val="16"/>
                <w:szCs w:val="16"/>
              </w:rPr>
            </w:pPr>
            <w:r w:rsidRPr="003018A3">
              <w:rPr>
                <w:rFonts w:cs="Arial"/>
                <w:color w:val="000000"/>
                <w:sz w:val="16"/>
                <w:szCs w:val="16"/>
              </w:rPr>
              <w:t>ženy</w:t>
            </w:r>
          </w:p>
        </w:tc>
      </w:tr>
      <w:tr w:rsidR="003018A3" w:rsidRPr="003018A3" w14:paraId="34185D38" w14:textId="77777777" w:rsidTr="005E754B">
        <w:trPr>
          <w:trHeight w:val="300"/>
        </w:trPr>
        <w:tc>
          <w:tcPr>
            <w:tcW w:w="4195" w:type="dxa"/>
            <w:tcBorders>
              <w:top w:val="nil"/>
              <w:left w:val="nil"/>
              <w:bottom w:val="nil"/>
              <w:right w:val="nil"/>
            </w:tcBorders>
            <w:shd w:val="clear" w:color="auto" w:fill="auto"/>
            <w:noWrap/>
            <w:vAlign w:val="bottom"/>
            <w:hideMark/>
          </w:tcPr>
          <w:p w14:paraId="7BB75EAC" w14:textId="4ADC574B" w:rsidR="003018A3" w:rsidRPr="003018A3" w:rsidRDefault="003018A3" w:rsidP="003018A3">
            <w:pPr>
              <w:spacing w:after="0" w:line="240" w:lineRule="auto"/>
              <w:rPr>
                <w:rFonts w:cs="Arial"/>
                <w:b/>
                <w:bCs/>
                <w:color w:val="000000"/>
                <w:sz w:val="16"/>
                <w:szCs w:val="16"/>
              </w:rPr>
            </w:pPr>
            <w:r w:rsidRPr="003018A3">
              <w:rPr>
                <w:rFonts w:cs="Arial"/>
                <w:b/>
                <w:bCs/>
                <w:color w:val="000000"/>
                <w:sz w:val="16"/>
                <w:szCs w:val="16"/>
              </w:rPr>
              <w:t>Celkem</w:t>
            </w:r>
          </w:p>
        </w:tc>
        <w:tc>
          <w:tcPr>
            <w:tcW w:w="907" w:type="dxa"/>
            <w:tcBorders>
              <w:top w:val="nil"/>
              <w:left w:val="single" w:sz="4" w:space="0" w:color="auto"/>
              <w:bottom w:val="nil"/>
              <w:right w:val="nil"/>
            </w:tcBorders>
            <w:shd w:val="clear" w:color="auto" w:fill="auto"/>
            <w:noWrap/>
            <w:vAlign w:val="bottom"/>
            <w:hideMark/>
          </w:tcPr>
          <w:p w14:paraId="44B7E74B" w14:textId="640555B0" w:rsidR="003018A3" w:rsidRPr="003018A3" w:rsidRDefault="003018A3" w:rsidP="003018A3">
            <w:pPr>
              <w:spacing w:after="0" w:line="240" w:lineRule="auto"/>
              <w:jc w:val="right"/>
              <w:rPr>
                <w:rFonts w:cs="Arial"/>
                <w:b/>
                <w:bCs/>
                <w:color w:val="000000"/>
                <w:sz w:val="16"/>
                <w:szCs w:val="16"/>
              </w:rPr>
            </w:pPr>
            <w:r w:rsidRPr="003018A3">
              <w:rPr>
                <w:rFonts w:cs="Arial"/>
                <w:b/>
                <w:bCs/>
                <w:color w:val="000000"/>
                <w:sz w:val="16"/>
                <w:szCs w:val="16"/>
              </w:rPr>
              <w:t>3 437,9</w:t>
            </w:r>
          </w:p>
        </w:tc>
        <w:tc>
          <w:tcPr>
            <w:tcW w:w="907" w:type="dxa"/>
            <w:tcBorders>
              <w:top w:val="nil"/>
              <w:left w:val="nil"/>
              <w:bottom w:val="nil"/>
              <w:right w:val="nil"/>
            </w:tcBorders>
            <w:shd w:val="clear" w:color="auto" w:fill="auto"/>
            <w:noWrap/>
            <w:vAlign w:val="bottom"/>
            <w:hideMark/>
          </w:tcPr>
          <w:p w14:paraId="5E30F6FF" w14:textId="2E248938" w:rsidR="003018A3" w:rsidRPr="003018A3" w:rsidRDefault="003018A3" w:rsidP="003018A3">
            <w:pPr>
              <w:spacing w:after="0" w:line="240" w:lineRule="auto"/>
              <w:jc w:val="right"/>
              <w:rPr>
                <w:rFonts w:cs="Arial"/>
                <w:b/>
                <w:bCs/>
                <w:color w:val="000000"/>
                <w:sz w:val="16"/>
                <w:szCs w:val="16"/>
              </w:rPr>
            </w:pPr>
            <w:r w:rsidRPr="003018A3">
              <w:rPr>
                <w:rFonts w:cs="Arial"/>
                <w:b/>
                <w:bCs/>
                <w:color w:val="000000"/>
                <w:sz w:val="16"/>
                <w:szCs w:val="16"/>
              </w:rPr>
              <w:t>1 578,6</w:t>
            </w:r>
          </w:p>
        </w:tc>
        <w:tc>
          <w:tcPr>
            <w:tcW w:w="907" w:type="dxa"/>
            <w:tcBorders>
              <w:top w:val="nil"/>
              <w:left w:val="nil"/>
              <w:bottom w:val="nil"/>
              <w:right w:val="single" w:sz="4" w:space="0" w:color="auto"/>
            </w:tcBorders>
            <w:shd w:val="clear" w:color="auto" w:fill="auto"/>
            <w:noWrap/>
            <w:vAlign w:val="bottom"/>
            <w:hideMark/>
          </w:tcPr>
          <w:p w14:paraId="17806ACF" w14:textId="01BD4BCE" w:rsidR="003018A3" w:rsidRPr="003018A3" w:rsidRDefault="003018A3" w:rsidP="003018A3">
            <w:pPr>
              <w:spacing w:after="0" w:line="240" w:lineRule="auto"/>
              <w:jc w:val="right"/>
              <w:rPr>
                <w:rFonts w:cs="Arial"/>
                <w:b/>
                <w:bCs/>
                <w:color w:val="000000"/>
                <w:sz w:val="16"/>
                <w:szCs w:val="16"/>
              </w:rPr>
            </w:pPr>
            <w:r w:rsidRPr="003018A3">
              <w:rPr>
                <w:rFonts w:cs="Arial"/>
                <w:b/>
                <w:bCs/>
                <w:color w:val="000000"/>
                <w:sz w:val="16"/>
                <w:szCs w:val="16"/>
              </w:rPr>
              <w:t>1 859,3</w:t>
            </w:r>
          </w:p>
        </w:tc>
        <w:tc>
          <w:tcPr>
            <w:tcW w:w="907" w:type="dxa"/>
            <w:tcBorders>
              <w:top w:val="nil"/>
              <w:left w:val="nil"/>
              <w:bottom w:val="nil"/>
              <w:right w:val="nil"/>
            </w:tcBorders>
            <w:shd w:val="clear" w:color="auto" w:fill="auto"/>
            <w:noWrap/>
            <w:vAlign w:val="bottom"/>
            <w:hideMark/>
          </w:tcPr>
          <w:p w14:paraId="348E3655" w14:textId="0469BDCF" w:rsidR="003018A3" w:rsidRPr="003018A3" w:rsidRDefault="003018A3" w:rsidP="003018A3">
            <w:pPr>
              <w:spacing w:after="0" w:line="240" w:lineRule="auto"/>
              <w:jc w:val="right"/>
              <w:rPr>
                <w:rFonts w:cs="Arial"/>
                <w:b/>
                <w:bCs/>
                <w:color w:val="000000"/>
                <w:sz w:val="16"/>
                <w:szCs w:val="16"/>
              </w:rPr>
            </w:pPr>
            <w:r w:rsidRPr="003018A3">
              <w:rPr>
                <w:rFonts w:cs="Arial"/>
                <w:b/>
                <w:bCs/>
                <w:color w:val="000000"/>
                <w:sz w:val="16"/>
                <w:szCs w:val="16"/>
              </w:rPr>
              <w:t>26,5</w:t>
            </w:r>
          </w:p>
        </w:tc>
        <w:tc>
          <w:tcPr>
            <w:tcW w:w="907" w:type="dxa"/>
            <w:tcBorders>
              <w:top w:val="nil"/>
              <w:left w:val="nil"/>
              <w:bottom w:val="nil"/>
              <w:right w:val="nil"/>
            </w:tcBorders>
            <w:shd w:val="clear" w:color="auto" w:fill="auto"/>
            <w:noWrap/>
            <w:vAlign w:val="bottom"/>
            <w:hideMark/>
          </w:tcPr>
          <w:p w14:paraId="4EC71805" w14:textId="03AA4738" w:rsidR="003018A3" w:rsidRPr="003018A3" w:rsidRDefault="003018A3" w:rsidP="003018A3">
            <w:pPr>
              <w:spacing w:after="0" w:line="240" w:lineRule="auto"/>
              <w:jc w:val="right"/>
              <w:rPr>
                <w:rFonts w:cs="Arial"/>
                <w:b/>
                <w:bCs/>
                <w:color w:val="000000"/>
                <w:sz w:val="16"/>
                <w:szCs w:val="16"/>
              </w:rPr>
            </w:pPr>
            <w:r w:rsidRPr="003018A3">
              <w:rPr>
                <w:rFonts w:cs="Arial"/>
                <w:b/>
                <w:bCs/>
                <w:color w:val="000000"/>
                <w:sz w:val="16"/>
                <w:szCs w:val="16"/>
              </w:rPr>
              <w:t>26,0</w:t>
            </w:r>
          </w:p>
        </w:tc>
        <w:tc>
          <w:tcPr>
            <w:tcW w:w="907" w:type="dxa"/>
            <w:tcBorders>
              <w:top w:val="nil"/>
              <w:left w:val="nil"/>
              <w:bottom w:val="nil"/>
              <w:right w:val="nil"/>
            </w:tcBorders>
            <w:shd w:val="clear" w:color="auto" w:fill="auto"/>
            <w:noWrap/>
            <w:vAlign w:val="bottom"/>
            <w:hideMark/>
          </w:tcPr>
          <w:p w14:paraId="46F15A0C" w14:textId="24117BD1" w:rsidR="003018A3" w:rsidRPr="003018A3" w:rsidRDefault="003018A3" w:rsidP="003018A3">
            <w:pPr>
              <w:spacing w:after="0" w:line="240" w:lineRule="auto"/>
              <w:jc w:val="right"/>
              <w:rPr>
                <w:rFonts w:cs="Arial"/>
                <w:b/>
                <w:bCs/>
                <w:color w:val="000000"/>
                <w:sz w:val="16"/>
                <w:szCs w:val="16"/>
              </w:rPr>
            </w:pPr>
            <w:r w:rsidRPr="003018A3">
              <w:rPr>
                <w:rFonts w:cs="Arial"/>
                <w:b/>
                <w:bCs/>
                <w:color w:val="000000"/>
                <w:sz w:val="16"/>
                <w:szCs w:val="16"/>
              </w:rPr>
              <w:t>26,8</w:t>
            </w:r>
          </w:p>
        </w:tc>
      </w:tr>
      <w:tr w:rsidR="003018A3" w:rsidRPr="003018A3" w14:paraId="72D068F3" w14:textId="77777777" w:rsidTr="005E754B">
        <w:trPr>
          <w:trHeight w:val="300"/>
        </w:trPr>
        <w:tc>
          <w:tcPr>
            <w:tcW w:w="4195" w:type="dxa"/>
            <w:tcBorders>
              <w:top w:val="nil"/>
              <w:left w:val="nil"/>
              <w:bottom w:val="nil"/>
              <w:right w:val="nil"/>
            </w:tcBorders>
            <w:shd w:val="clear" w:color="auto" w:fill="auto"/>
            <w:noWrap/>
            <w:vAlign w:val="bottom"/>
            <w:hideMark/>
          </w:tcPr>
          <w:p w14:paraId="25BD0589" w14:textId="02A5767B"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Tuberkulóza</w:t>
            </w:r>
          </w:p>
        </w:tc>
        <w:tc>
          <w:tcPr>
            <w:tcW w:w="907" w:type="dxa"/>
            <w:tcBorders>
              <w:top w:val="nil"/>
              <w:left w:val="single" w:sz="4" w:space="0" w:color="auto"/>
              <w:bottom w:val="nil"/>
              <w:right w:val="nil"/>
            </w:tcBorders>
            <w:shd w:val="clear" w:color="auto" w:fill="auto"/>
            <w:noWrap/>
            <w:vAlign w:val="bottom"/>
            <w:hideMark/>
          </w:tcPr>
          <w:p w14:paraId="5F8A2A97" w14:textId="5998A08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0,1</w:t>
            </w:r>
          </w:p>
        </w:tc>
        <w:tc>
          <w:tcPr>
            <w:tcW w:w="907" w:type="dxa"/>
            <w:tcBorders>
              <w:top w:val="nil"/>
              <w:left w:val="nil"/>
              <w:bottom w:val="nil"/>
              <w:right w:val="nil"/>
            </w:tcBorders>
            <w:shd w:val="clear" w:color="auto" w:fill="auto"/>
            <w:noWrap/>
            <w:vAlign w:val="bottom"/>
            <w:hideMark/>
          </w:tcPr>
          <w:p w14:paraId="5290CA2E" w14:textId="45519D1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0,1</w:t>
            </w:r>
          </w:p>
        </w:tc>
        <w:tc>
          <w:tcPr>
            <w:tcW w:w="907" w:type="dxa"/>
            <w:tcBorders>
              <w:top w:val="nil"/>
              <w:left w:val="nil"/>
              <w:bottom w:val="nil"/>
              <w:right w:val="single" w:sz="4" w:space="0" w:color="auto"/>
            </w:tcBorders>
            <w:shd w:val="clear" w:color="auto" w:fill="auto"/>
            <w:noWrap/>
            <w:vAlign w:val="bottom"/>
            <w:hideMark/>
          </w:tcPr>
          <w:p w14:paraId="17A9330F" w14:textId="24ED456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0,0</w:t>
            </w:r>
          </w:p>
        </w:tc>
        <w:tc>
          <w:tcPr>
            <w:tcW w:w="907" w:type="dxa"/>
            <w:tcBorders>
              <w:top w:val="nil"/>
              <w:left w:val="nil"/>
              <w:bottom w:val="nil"/>
              <w:right w:val="nil"/>
            </w:tcBorders>
            <w:shd w:val="clear" w:color="auto" w:fill="auto"/>
            <w:noWrap/>
            <w:vAlign w:val="bottom"/>
            <w:hideMark/>
          </w:tcPr>
          <w:p w14:paraId="511892F3" w14:textId="5F1310F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189,0</w:t>
            </w:r>
          </w:p>
        </w:tc>
        <w:tc>
          <w:tcPr>
            <w:tcW w:w="907" w:type="dxa"/>
            <w:tcBorders>
              <w:top w:val="nil"/>
              <w:left w:val="nil"/>
              <w:bottom w:val="nil"/>
              <w:right w:val="nil"/>
            </w:tcBorders>
            <w:shd w:val="clear" w:color="auto" w:fill="auto"/>
            <w:noWrap/>
            <w:vAlign w:val="bottom"/>
            <w:hideMark/>
          </w:tcPr>
          <w:p w14:paraId="36CA5F93" w14:textId="0FAC9F7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176,0</w:t>
            </w:r>
          </w:p>
        </w:tc>
        <w:tc>
          <w:tcPr>
            <w:tcW w:w="907" w:type="dxa"/>
            <w:tcBorders>
              <w:top w:val="nil"/>
              <w:left w:val="nil"/>
              <w:bottom w:val="nil"/>
              <w:right w:val="nil"/>
            </w:tcBorders>
            <w:shd w:val="clear" w:color="auto" w:fill="auto"/>
            <w:noWrap/>
            <w:vAlign w:val="bottom"/>
            <w:hideMark/>
          </w:tcPr>
          <w:p w14:paraId="0CC16871" w14:textId="7C89D4C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211,6</w:t>
            </w:r>
          </w:p>
        </w:tc>
      </w:tr>
      <w:tr w:rsidR="003018A3" w:rsidRPr="003018A3" w14:paraId="5A677199" w14:textId="77777777" w:rsidTr="005E754B">
        <w:trPr>
          <w:trHeight w:val="300"/>
        </w:trPr>
        <w:tc>
          <w:tcPr>
            <w:tcW w:w="4195" w:type="dxa"/>
            <w:tcBorders>
              <w:top w:val="nil"/>
              <w:left w:val="nil"/>
              <w:bottom w:val="nil"/>
              <w:right w:val="nil"/>
            </w:tcBorders>
            <w:shd w:val="clear" w:color="auto" w:fill="auto"/>
            <w:noWrap/>
            <w:vAlign w:val="bottom"/>
            <w:hideMark/>
          </w:tcPr>
          <w:p w14:paraId="4057316E" w14:textId="22F8FEFD"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Zhoubné novotvary</w:t>
            </w:r>
          </w:p>
        </w:tc>
        <w:tc>
          <w:tcPr>
            <w:tcW w:w="907" w:type="dxa"/>
            <w:tcBorders>
              <w:top w:val="nil"/>
              <w:left w:val="single" w:sz="4" w:space="0" w:color="auto"/>
              <w:bottom w:val="nil"/>
              <w:right w:val="nil"/>
            </w:tcBorders>
            <w:shd w:val="clear" w:color="auto" w:fill="auto"/>
            <w:noWrap/>
            <w:vAlign w:val="bottom"/>
            <w:hideMark/>
          </w:tcPr>
          <w:p w14:paraId="6C102C3D" w14:textId="4FB4866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16,0</w:t>
            </w:r>
          </w:p>
        </w:tc>
        <w:tc>
          <w:tcPr>
            <w:tcW w:w="907" w:type="dxa"/>
            <w:tcBorders>
              <w:top w:val="nil"/>
              <w:left w:val="nil"/>
              <w:bottom w:val="nil"/>
              <w:right w:val="nil"/>
            </w:tcBorders>
            <w:shd w:val="clear" w:color="auto" w:fill="auto"/>
            <w:noWrap/>
            <w:vAlign w:val="bottom"/>
            <w:hideMark/>
          </w:tcPr>
          <w:p w14:paraId="437E13D9" w14:textId="5BDE4CB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7,1</w:t>
            </w:r>
          </w:p>
        </w:tc>
        <w:tc>
          <w:tcPr>
            <w:tcW w:w="907" w:type="dxa"/>
            <w:tcBorders>
              <w:top w:val="nil"/>
              <w:left w:val="nil"/>
              <w:bottom w:val="nil"/>
              <w:right w:val="single" w:sz="4" w:space="0" w:color="auto"/>
            </w:tcBorders>
            <w:shd w:val="clear" w:color="auto" w:fill="auto"/>
            <w:noWrap/>
            <w:vAlign w:val="bottom"/>
            <w:hideMark/>
          </w:tcPr>
          <w:p w14:paraId="56CC570E" w14:textId="078ADBF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8,9</w:t>
            </w:r>
          </w:p>
        </w:tc>
        <w:tc>
          <w:tcPr>
            <w:tcW w:w="907" w:type="dxa"/>
            <w:tcBorders>
              <w:top w:val="nil"/>
              <w:left w:val="nil"/>
              <w:bottom w:val="nil"/>
              <w:right w:val="nil"/>
            </w:tcBorders>
            <w:shd w:val="clear" w:color="auto" w:fill="auto"/>
            <w:noWrap/>
            <w:vAlign w:val="bottom"/>
            <w:hideMark/>
          </w:tcPr>
          <w:p w14:paraId="78348B26" w14:textId="2EB616F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175,4</w:t>
            </w:r>
          </w:p>
        </w:tc>
        <w:tc>
          <w:tcPr>
            <w:tcW w:w="907" w:type="dxa"/>
            <w:tcBorders>
              <w:top w:val="nil"/>
              <w:left w:val="nil"/>
              <w:bottom w:val="nil"/>
              <w:right w:val="nil"/>
            </w:tcBorders>
            <w:shd w:val="clear" w:color="auto" w:fill="auto"/>
            <w:noWrap/>
            <w:vAlign w:val="bottom"/>
            <w:hideMark/>
          </w:tcPr>
          <w:p w14:paraId="12CB338F" w14:textId="4ECBE705"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166,5</w:t>
            </w:r>
          </w:p>
        </w:tc>
        <w:tc>
          <w:tcPr>
            <w:tcW w:w="907" w:type="dxa"/>
            <w:tcBorders>
              <w:top w:val="nil"/>
              <w:left w:val="nil"/>
              <w:bottom w:val="nil"/>
              <w:right w:val="nil"/>
            </w:tcBorders>
            <w:shd w:val="clear" w:color="auto" w:fill="auto"/>
            <w:noWrap/>
            <w:vAlign w:val="bottom"/>
            <w:hideMark/>
          </w:tcPr>
          <w:p w14:paraId="1885A714" w14:textId="3802099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182,5</w:t>
            </w:r>
          </w:p>
        </w:tc>
      </w:tr>
      <w:tr w:rsidR="003018A3" w:rsidRPr="003018A3" w14:paraId="5B4A10FD" w14:textId="77777777" w:rsidTr="005E754B">
        <w:trPr>
          <w:trHeight w:val="300"/>
        </w:trPr>
        <w:tc>
          <w:tcPr>
            <w:tcW w:w="4195" w:type="dxa"/>
            <w:tcBorders>
              <w:top w:val="nil"/>
              <w:left w:val="nil"/>
              <w:bottom w:val="nil"/>
              <w:right w:val="nil"/>
            </w:tcBorders>
            <w:shd w:val="clear" w:color="auto" w:fill="auto"/>
            <w:noWrap/>
            <w:vAlign w:val="bottom"/>
            <w:hideMark/>
          </w:tcPr>
          <w:p w14:paraId="4D7DD16C" w14:textId="5A28B35C"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duševní</w:t>
            </w:r>
          </w:p>
        </w:tc>
        <w:tc>
          <w:tcPr>
            <w:tcW w:w="907" w:type="dxa"/>
            <w:tcBorders>
              <w:top w:val="nil"/>
              <w:left w:val="single" w:sz="4" w:space="0" w:color="auto"/>
              <w:bottom w:val="nil"/>
              <w:right w:val="nil"/>
            </w:tcBorders>
            <w:shd w:val="clear" w:color="auto" w:fill="auto"/>
            <w:noWrap/>
            <w:vAlign w:val="bottom"/>
            <w:hideMark/>
          </w:tcPr>
          <w:p w14:paraId="6ED80A14" w14:textId="4D9B40C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55,3</w:t>
            </w:r>
          </w:p>
        </w:tc>
        <w:tc>
          <w:tcPr>
            <w:tcW w:w="907" w:type="dxa"/>
            <w:tcBorders>
              <w:top w:val="nil"/>
              <w:left w:val="nil"/>
              <w:bottom w:val="nil"/>
              <w:right w:val="nil"/>
            </w:tcBorders>
            <w:shd w:val="clear" w:color="auto" w:fill="auto"/>
            <w:noWrap/>
            <w:vAlign w:val="bottom"/>
            <w:hideMark/>
          </w:tcPr>
          <w:p w14:paraId="7107860B" w14:textId="2615B4B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19,4</w:t>
            </w:r>
          </w:p>
        </w:tc>
        <w:tc>
          <w:tcPr>
            <w:tcW w:w="907" w:type="dxa"/>
            <w:tcBorders>
              <w:top w:val="nil"/>
              <w:left w:val="nil"/>
              <w:bottom w:val="nil"/>
              <w:right w:val="single" w:sz="4" w:space="0" w:color="auto"/>
            </w:tcBorders>
            <w:shd w:val="clear" w:color="auto" w:fill="auto"/>
            <w:noWrap/>
            <w:vAlign w:val="bottom"/>
            <w:hideMark/>
          </w:tcPr>
          <w:p w14:paraId="48AE39AC" w14:textId="4824D9E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35,8</w:t>
            </w:r>
          </w:p>
        </w:tc>
        <w:tc>
          <w:tcPr>
            <w:tcW w:w="907" w:type="dxa"/>
            <w:tcBorders>
              <w:top w:val="nil"/>
              <w:left w:val="nil"/>
              <w:bottom w:val="nil"/>
              <w:right w:val="nil"/>
            </w:tcBorders>
            <w:shd w:val="clear" w:color="auto" w:fill="auto"/>
            <w:noWrap/>
            <w:vAlign w:val="bottom"/>
            <w:hideMark/>
          </w:tcPr>
          <w:p w14:paraId="5EE7680E" w14:textId="31787A8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85,0</w:t>
            </w:r>
          </w:p>
        </w:tc>
        <w:tc>
          <w:tcPr>
            <w:tcW w:w="907" w:type="dxa"/>
            <w:tcBorders>
              <w:top w:val="nil"/>
              <w:left w:val="nil"/>
              <w:bottom w:val="nil"/>
              <w:right w:val="nil"/>
            </w:tcBorders>
            <w:shd w:val="clear" w:color="auto" w:fill="auto"/>
            <w:noWrap/>
            <w:vAlign w:val="bottom"/>
            <w:hideMark/>
          </w:tcPr>
          <w:p w14:paraId="6E8FC27D" w14:textId="28D5C2D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82,4</w:t>
            </w:r>
          </w:p>
        </w:tc>
        <w:tc>
          <w:tcPr>
            <w:tcW w:w="907" w:type="dxa"/>
            <w:tcBorders>
              <w:top w:val="nil"/>
              <w:left w:val="nil"/>
              <w:bottom w:val="nil"/>
              <w:right w:val="nil"/>
            </w:tcBorders>
            <w:shd w:val="clear" w:color="auto" w:fill="auto"/>
            <w:noWrap/>
            <w:vAlign w:val="bottom"/>
            <w:hideMark/>
          </w:tcPr>
          <w:p w14:paraId="1C253AB6" w14:textId="3FAB81BD"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86,4</w:t>
            </w:r>
          </w:p>
        </w:tc>
      </w:tr>
      <w:tr w:rsidR="003018A3" w:rsidRPr="003018A3" w14:paraId="1B5CF077" w14:textId="77777777" w:rsidTr="005E754B">
        <w:trPr>
          <w:trHeight w:val="300"/>
        </w:trPr>
        <w:tc>
          <w:tcPr>
            <w:tcW w:w="4195" w:type="dxa"/>
            <w:tcBorders>
              <w:top w:val="nil"/>
              <w:left w:val="nil"/>
              <w:bottom w:val="nil"/>
              <w:right w:val="nil"/>
            </w:tcBorders>
            <w:shd w:val="clear" w:color="auto" w:fill="auto"/>
            <w:noWrap/>
            <w:vAlign w:val="bottom"/>
            <w:hideMark/>
          </w:tcPr>
          <w:p w14:paraId="437A8E94" w14:textId="6E829C30"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nervové soustavy</w:t>
            </w:r>
          </w:p>
        </w:tc>
        <w:tc>
          <w:tcPr>
            <w:tcW w:w="907" w:type="dxa"/>
            <w:tcBorders>
              <w:top w:val="nil"/>
              <w:left w:val="single" w:sz="4" w:space="0" w:color="auto"/>
              <w:bottom w:val="nil"/>
              <w:right w:val="nil"/>
            </w:tcBorders>
            <w:shd w:val="clear" w:color="auto" w:fill="auto"/>
            <w:noWrap/>
            <w:vAlign w:val="bottom"/>
            <w:hideMark/>
          </w:tcPr>
          <w:p w14:paraId="4FBCA758" w14:textId="071AA71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33,6</w:t>
            </w:r>
          </w:p>
        </w:tc>
        <w:tc>
          <w:tcPr>
            <w:tcW w:w="907" w:type="dxa"/>
            <w:tcBorders>
              <w:top w:val="nil"/>
              <w:left w:val="nil"/>
              <w:bottom w:val="nil"/>
              <w:right w:val="nil"/>
            </w:tcBorders>
            <w:shd w:val="clear" w:color="auto" w:fill="auto"/>
            <w:noWrap/>
            <w:vAlign w:val="bottom"/>
            <w:hideMark/>
          </w:tcPr>
          <w:p w14:paraId="136CC42C" w14:textId="2AE3A50D"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13,5</w:t>
            </w:r>
          </w:p>
        </w:tc>
        <w:tc>
          <w:tcPr>
            <w:tcW w:w="907" w:type="dxa"/>
            <w:tcBorders>
              <w:top w:val="nil"/>
              <w:left w:val="nil"/>
              <w:bottom w:val="nil"/>
              <w:right w:val="single" w:sz="4" w:space="0" w:color="auto"/>
            </w:tcBorders>
            <w:shd w:val="clear" w:color="auto" w:fill="auto"/>
            <w:noWrap/>
            <w:vAlign w:val="bottom"/>
            <w:hideMark/>
          </w:tcPr>
          <w:p w14:paraId="4EAE805C" w14:textId="777B0FF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20,1</w:t>
            </w:r>
          </w:p>
        </w:tc>
        <w:tc>
          <w:tcPr>
            <w:tcW w:w="907" w:type="dxa"/>
            <w:tcBorders>
              <w:top w:val="nil"/>
              <w:left w:val="nil"/>
              <w:bottom w:val="nil"/>
              <w:right w:val="nil"/>
            </w:tcBorders>
            <w:shd w:val="clear" w:color="auto" w:fill="auto"/>
            <w:noWrap/>
            <w:vAlign w:val="bottom"/>
            <w:hideMark/>
          </w:tcPr>
          <w:p w14:paraId="177F21FD" w14:textId="3A336BA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71,7</w:t>
            </w:r>
          </w:p>
        </w:tc>
        <w:tc>
          <w:tcPr>
            <w:tcW w:w="907" w:type="dxa"/>
            <w:tcBorders>
              <w:top w:val="nil"/>
              <w:left w:val="nil"/>
              <w:bottom w:val="nil"/>
              <w:right w:val="nil"/>
            </w:tcBorders>
            <w:shd w:val="clear" w:color="auto" w:fill="auto"/>
            <w:noWrap/>
            <w:vAlign w:val="bottom"/>
            <w:hideMark/>
          </w:tcPr>
          <w:p w14:paraId="0347B537" w14:textId="152A4845"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78,1</w:t>
            </w:r>
          </w:p>
        </w:tc>
        <w:tc>
          <w:tcPr>
            <w:tcW w:w="907" w:type="dxa"/>
            <w:tcBorders>
              <w:top w:val="nil"/>
              <w:left w:val="nil"/>
              <w:bottom w:val="nil"/>
              <w:right w:val="nil"/>
            </w:tcBorders>
            <w:shd w:val="clear" w:color="auto" w:fill="auto"/>
            <w:noWrap/>
            <w:vAlign w:val="bottom"/>
            <w:hideMark/>
          </w:tcPr>
          <w:p w14:paraId="70FFAB56" w14:textId="6F14051A"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67,4</w:t>
            </w:r>
          </w:p>
        </w:tc>
      </w:tr>
      <w:tr w:rsidR="003018A3" w:rsidRPr="003018A3" w14:paraId="71F06E1B" w14:textId="77777777" w:rsidTr="005E754B">
        <w:trPr>
          <w:trHeight w:val="300"/>
        </w:trPr>
        <w:tc>
          <w:tcPr>
            <w:tcW w:w="4195" w:type="dxa"/>
            <w:tcBorders>
              <w:top w:val="nil"/>
              <w:left w:val="nil"/>
              <w:bottom w:val="nil"/>
              <w:right w:val="nil"/>
            </w:tcBorders>
            <w:shd w:val="clear" w:color="auto" w:fill="auto"/>
            <w:noWrap/>
            <w:vAlign w:val="bottom"/>
            <w:hideMark/>
          </w:tcPr>
          <w:p w14:paraId="5781D720" w14:textId="272F23FD"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oběhové soustavy</w:t>
            </w:r>
          </w:p>
        </w:tc>
        <w:tc>
          <w:tcPr>
            <w:tcW w:w="907" w:type="dxa"/>
            <w:tcBorders>
              <w:top w:val="nil"/>
              <w:left w:val="single" w:sz="4" w:space="0" w:color="auto"/>
              <w:bottom w:val="nil"/>
              <w:right w:val="nil"/>
            </w:tcBorders>
            <w:shd w:val="clear" w:color="auto" w:fill="auto"/>
            <w:noWrap/>
            <w:vAlign w:val="bottom"/>
            <w:hideMark/>
          </w:tcPr>
          <w:p w14:paraId="2B26D4EC" w14:textId="301E8F30"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52,5</w:t>
            </w:r>
          </w:p>
        </w:tc>
        <w:tc>
          <w:tcPr>
            <w:tcW w:w="907" w:type="dxa"/>
            <w:tcBorders>
              <w:top w:val="nil"/>
              <w:left w:val="nil"/>
              <w:bottom w:val="nil"/>
              <w:right w:val="nil"/>
            </w:tcBorders>
            <w:shd w:val="clear" w:color="auto" w:fill="auto"/>
            <w:noWrap/>
            <w:vAlign w:val="bottom"/>
            <w:hideMark/>
          </w:tcPr>
          <w:p w14:paraId="0BC3239A" w14:textId="6FDE262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29,3</w:t>
            </w:r>
          </w:p>
        </w:tc>
        <w:tc>
          <w:tcPr>
            <w:tcW w:w="907" w:type="dxa"/>
            <w:tcBorders>
              <w:top w:val="nil"/>
              <w:left w:val="nil"/>
              <w:bottom w:val="nil"/>
              <w:right w:val="single" w:sz="4" w:space="0" w:color="auto"/>
            </w:tcBorders>
            <w:shd w:val="clear" w:color="auto" w:fill="auto"/>
            <w:noWrap/>
            <w:vAlign w:val="bottom"/>
            <w:hideMark/>
          </w:tcPr>
          <w:p w14:paraId="58397175" w14:textId="5A02482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23,2</w:t>
            </w:r>
          </w:p>
        </w:tc>
        <w:tc>
          <w:tcPr>
            <w:tcW w:w="907" w:type="dxa"/>
            <w:tcBorders>
              <w:top w:val="nil"/>
              <w:left w:val="nil"/>
              <w:bottom w:val="nil"/>
              <w:right w:val="nil"/>
            </w:tcBorders>
            <w:shd w:val="clear" w:color="auto" w:fill="auto"/>
            <w:noWrap/>
            <w:vAlign w:val="bottom"/>
            <w:hideMark/>
          </w:tcPr>
          <w:p w14:paraId="2EC27D48" w14:textId="4514AB80"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73,8</w:t>
            </w:r>
          </w:p>
        </w:tc>
        <w:tc>
          <w:tcPr>
            <w:tcW w:w="907" w:type="dxa"/>
            <w:tcBorders>
              <w:top w:val="nil"/>
              <w:left w:val="nil"/>
              <w:bottom w:val="nil"/>
              <w:right w:val="nil"/>
            </w:tcBorders>
            <w:shd w:val="clear" w:color="auto" w:fill="auto"/>
            <w:noWrap/>
            <w:vAlign w:val="bottom"/>
            <w:hideMark/>
          </w:tcPr>
          <w:p w14:paraId="764CFC95" w14:textId="4BDBE0F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83,9</w:t>
            </w:r>
          </w:p>
        </w:tc>
        <w:tc>
          <w:tcPr>
            <w:tcW w:w="907" w:type="dxa"/>
            <w:tcBorders>
              <w:top w:val="nil"/>
              <w:left w:val="nil"/>
              <w:bottom w:val="nil"/>
              <w:right w:val="nil"/>
            </w:tcBorders>
            <w:shd w:val="clear" w:color="auto" w:fill="auto"/>
            <w:noWrap/>
            <w:vAlign w:val="bottom"/>
            <w:hideMark/>
          </w:tcPr>
          <w:p w14:paraId="0282E0A3" w14:textId="75EBD09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61,1</w:t>
            </w:r>
          </w:p>
        </w:tc>
      </w:tr>
      <w:tr w:rsidR="003018A3" w:rsidRPr="003018A3" w14:paraId="2A629D74" w14:textId="77777777" w:rsidTr="005E754B">
        <w:trPr>
          <w:trHeight w:val="300"/>
        </w:trPr>
        <w:tc>
          <w:tcPr>
            <w:tcW w:w="4195" w:type="dxa"/>
            <w:tcBorders>
              <w:top w:val="nil"/>
              <w:left w:val="nil"/>
              <w:bottom w:val="nil"/>
              <w:right w:val="nil"/>
            </w:tcBorders>
            <w:shd w:val="clear" w:color="auto" w:fill="auto"/>
            <w:noWrap/>
            <w:vAlign w:val="bottom"/>
            <w:hideMark/>
          </w:tcPr>
          <w:p w14:paraId="2FBCF80D" w14:textId="3B9AFBB6"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hypertenze</w:t>
            </w:r>
          </w:p>
        </w:tc>
        <w:tc>
          <w:tcPr>
            <w:tcW w:w="907" w:type="dxa"/>
            <w:tcBorders>
              <w:top w:val="nil"/>
              <w:left w:val="single" w:sz="4" w:space="0" w:color="auto"/>
              <w:bottom w:val="nil"/>
              <w:right w:val="nil"/>
            </w:tcBorders>
            <w:shd w:val="clear" w:color="auto" w:fill="auto"/>
            <w:noWrap/>
            <w:vAlign w:val="bottom"/>
            <w:hideMark/>
          </w:tcPr>
          <w:p w14:paraId="7F84C709" w14:textId="6B70D24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15,4</w:t>
            </w:r>
          </w:p>
        </w:tc>
        <w:tc>
          <w:tcPr>
            <w:tcW w:w="907" w:type="dxa"/>
            <w:tcBorders>
              <w:top w:val="nil"/>
              <w:left w:val="nil"/>
              <w:bottom w:val="nil"/>
              <w:right w:val="nil"/>
            </w:tcBorders>
            <w:shd w:val="clear" w:color="auto" w:fill="auto"/>
            <w:noWrap/>
            <w:vAlign w:val="bottom"/>
            <w:hideMark/>
          </w:tcPr>
          <w:p w14:paraId="23D4ACF1" w14:textId="2AFE41ED"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8,0</w:t>
            </w:r>
          </w:p>
        </w:tc>
        <w:tc>
          <w:tcPr>
            <w:tcW w:w="907" w:type="dxa"/>
            <w:tcBorders>
              <w:top w:val="nil"/>
              <w:left w:val="nil"/>
              <w:bottom w:val="nil"/>
              <w:right w:val="single" w:sz="4" w:space="0" w:color="auto"/>
            </w:tcBorders>
            <w:shd w:val="clear" w:color="auto" w:fill="auto"/>
            <w:noWrap/>
            <w:vAlign w:val="bottom"/>
            <w:hideMark/>
          </w:tcPr>
          <w:p w14:paraId="30FB5904" w14:textId="20317AB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7,4</w:t>
            </w:r>
          </w:p>
        </w:tc>
        <w:tc>
          <w:tcPr>
            <w:tcW w:w="907" w:type="dxa"/>
            <w:tcBorders>
              <w:top w:val="nil"/>
              <w:left w:val="nil"/>
              <w:bottom w:val="nil"/>
              <w:right w:val="nil"/>
            </w:tcBorders>
            <w:shd w:val="clear" w:color="auto" w:fill="auto"/>
            <w:noWrap/>
            <w:vAlign w:val="bottom"/>
            <w:hideMark/>
          </w:tcPr>
          <w:p w14:paraId="3592C286" w14:textId="5D5BD25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46,7</w:t>
            </w:r>
          </w:p>
        </w:tc>
        <w:tc>
          <w:tcPr>
            <w:tcW w:w="907" w:type="dxa"/>
            <w:tcBorders>
              <w:top w:val="nil"/>
              <w:left w:val="nil"/>
              <w:bottom w:val="nil"/>
              <w:right w:val="nil"/>
            </w:tcBorders>
            <w:shd w:val="clear" w:color="auto" w:fill="auto"/>
            <w:noWrap/>
            <w:vAlign w:val="bottom"/>
            <w:hideMark/>
          </w:tcPr>
          <w:p w14:paraId="5A3D60E0" w14:textId="2F96184D"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49,1</w:t>
            </w:r>
          </w:p>
        </w:tc>
        <w:tc>
          <w:tcPr>
            <w:tcW w:w="907" w:type="dxa"/>
            <w:tcBorders>
              <w:top w:val="nil"/>
              <w:left w:val="nil"/>
              <w:bottom w:val="nil"/>
              <w:right w:val="nil"/>
            </w:tcBorders>
            <w:shd w:val="clear" w:color="auto" w:fill="auto"/>
            <w:noWrap/>
            <w:vAlign w:val="bottom"/>
            <w:hideMark/>
          </w:tcPr>
          <w:p w14:paraId="7FBA552D" w14:textId="2719C2ED"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44,0</w:t>
            </w:r>
          </w:p>
        </w:tc>
      </w:tr>
      <w:tr w:rsidR="003018A3" w:rsidRPr="003018A3" w14:paraId="789B9EAE" w14:textId="77777777" w:rsidTr="005E754B">
        <w:trPr>
          <w:trHeight w:val="300"/>
        </w:trPr>
        <w:tc>
          <w:tcPr>
            <w:tcW w:w="4195" w:type="dxa"/>
            <w:tcBorders>
              <w:top w:val="nil"/>
              <w:left w:val="nil"/>
              <w:bottom w:val="nil"/>
              <w:right w:val="nil"/>
            </w:tcBorders>
            <w:shd w:val="clear" w:color="auto" w:fill="auto"/>
            <w:noWrap/>
            <w:vAlign w:val="bottom"/>
            <w:hideMark/>
          </w:tcPr>
          <w:p w14:paraId="243F3998" w14:textId="1AB9D544"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ischemická choroba srdeční</w:t>
            </w:r>
          </w:p>
        </w:tc>
        <w:tc>
          <w:tcPr>
            <w:tcW w:w="907" w:type="dxa"/>
            <w:tcBorders>
              <w:top w:val="nil"/>
              <w:left w:val="single" w:sz="4" w:space="0" w:color="auto"/>
              <w:bottom w:val="nil"/>
              <w:right w:val="nil"/>
            </w:tcBorders>
            <w:shd w:val="clear" w:color="auto" w:fill="auto"/>
            <w:noWrap/>
            <w:vAlign w:val="bottom"/>
            <w:hideMark/>
          </w:tcPr>
          <w:p w14:paraId="28913684" w14:textId="718845D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6,4</w:t>
            </w:r>
          </w:p>
        </w:tc>
        <w:tc>
          <w:tcPr>
            <w:tcW w:w="907" w:type="dxa"/>
            <w:tcBorders>
              <w:top w:val="nil"/>
              <w:left w:val="nil"/>
              <w:bottom w:val="nil"/>
              <w:right w:val="nil"/>
            </w:tcBorders>
            <w:shd w:val="clear" w:color="auto" w:fill="auto"/>
            <w:noWrap/>
            <w:vAlign w:val="bottom"/>
            <w:hideMark/>
          </w:tcPr>
          <w:p w14:paraId="65E52591" w14:textId="57CB480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5,0</w:t>
            </w:r>
          </w:p>
        </w:tc>
        <w:tc>
          <w:tcPr>
            <w:tcW w:w="907" w:type="dxa"/>
            <w:tcBorders>
              <w:top w:val="nil"/>
              <w:left w:val="nil"/>
              <w:bottom w:val="nil"/>
              <w:right w:val="single" w:sz="4" w:space="0" w:color="auto"/>
            </w:tcBorders>
            <w:shd w:val="clear" w:color="auto" w:fill="auto"/>
            <w:noWrap/>
            <w:vAlign w:val="bottom"/>
            <w:hideMark/>
          </w:tcPr>
          <w:p w14:paraId="22DF0DAF" w14:textId="1BAA555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1,4</w:t>
            </w:r>
          </w:p>
        </w:tc>
        <w:tc>
          <w:tcPr>
            <w:tcW w:w="907" w:type="dxa"/>
            <w:tcBorders>
              <w:top w:val="nil"/>
              <w:left w:val="nil"/>
              <w:bottom w:val="nil"/>
              <w:right w:val="nil"/>
            </w:tcBorders>
            <w:shd w:val="clear" w:color="auto" w:fill="auto"/>
            <w:noWrap/>
            <w:vAlign w:val="bottom"/>
            <w:hideMark/>
          </w:tcPr>
          <w:p w14:paraId="621CBC87" w14:textId="4B2EFEA0"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114,0</w:t>
            </w:r>
          </w:p>
        </w:tc>
        <w:tc>
          <w:tcPr>
            <w:tcW w:w="907" w:type="dxa"/>
            <w:tcBorders>
              <w:top w:val="nil"/>
              <w:left w:val="nil"/>
              <w:bottom w:val="nil"/>
              <w:right w:val="nil"/>
            </w:tcBorders>
            <w:shd w:val="clear" w:color="auto" w:fill="auto"/>
            <w:noWrap/>
            <w:vAlign w:val="bottom"/>
            <w:hideMark/>
          </w:tcPr>
          <w:p w14:paraId="03796B9A" w14:textId="2B0DA1D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118,9</w:t>
            </w:r>
          </w:p>
        </w:tc>
        <w:tc>
          <w:tcPr>
            <w:tcW w:w="907" w:type="dxa"/>
            <w:tcBorders>
              <w:top w:val="nil"/>
              <w:left w:val="nil"/>
              <w:bottom w:val="nil"/>
              <w:right w:val="nil"/>
            </w:tcBorders>
            <w:shd w:val="clear" w:color="auto" w:fill="auto"/>
            <w:noWrap/>
            <w:vAlign w:val="bottom"/>
            <w:hideMark/>
          </w:tcPr>
          <w:p w14:paraId="64219D47" w14:textId="4F4F62C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95,9</w:t>
            </w:r>
          </w:p>
        </w:tc>
      </w:tr>
      <w:tr w:rsidR="003018A3" w:rsidRPr="003018A3" w14:paraId="75560590" w14:textId="77777777" w:rsidTr="005E754B">
        <w:trPr>
          <w:trHeight w:val="300"/>
        </w:trPr>
        <w:tc>
          <w:tcPr>
            <w:tcW w:w="4195" w:type="dxa"/>
            <w:tcBorders>
              <w:top w:val="nil"/>
              <w:left w:val="nil"/>
              <w:bottom w:val="nil"/>
              <w:right w:val="nil"/>
            </w:tcBorders>
            <w:shd w:val="clear" w:color="auto" w:fill="auto"/>
            <w:noWrap/>
            <w:vAlign w:val="bottom"/>
            <w:hideMark/>
          </w:tcPr>
          <w:p w14:paraId="05237D04" w14:textId="7953A27F"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cévní nemoci mozku</w:t>
            </w:r>
          </w:p>
        </w:tc>
        <w:tc>
          <w:tcPr>
            <w:tcW w:w="907" w:type="dxa"/>
            <w:tcBorders>
              <w:top w:val="nil"/>
              <w:left w:val="single" w:sz="4" w:space="0" w:color="auto"/>
              <w:bottom w:val="nil"/>
              <w:right w:val="nil"/>
            </w:tcBorders>
            <w:shd w:val="clear" w:color="auto" w:fill="auto"/>
            <w:noWrap/>
            <w:vAlign w:val="bottom"/>
            <w:hideMark/>
          </w:tcPr>
          <w:p w14:paraId="3D7FA30C" w14:textId="12C71CA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3,3</w:t>
            </w:r>
          </w:p>
        </w:tc>
        <w:tc>
          <w:tcPr>
            <w:tcW w:w="907" w:type="dxa"/>
            <w:tcBorders>
              <w:top w:val="nil"/>
              <w:left w:val="nil"/>
              <w:bottom w:val="nil"/>
              <w:right w:val="nil"/>
            </w:tcBorders>
            <w:shd w:val="clear" w:color="auto" w:fill="auto"/>
            <w:noWrap/>
            <w:vAlign w:val="bottom"/>
            <w:hideMark/>
          </w:tcPr>
          <w:p w14:paraId="649EDDB9" w14:textId="4F22CB8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2,1</w:t>
            </w:r>
          </w:p>
        </w:tc>
        <w:tc>
          <w:tcPr>
            <w:tcW w:w="907" w:type="dxa"/>
            <w:tcBorders>
              <w:top w:val="nil"/>
              <w:left w:val="nil"/>
              <w:bottom w:val="nil"/>
              <w:right w:val="single" w:sz="4" w:space="0" w:color="auto"/>
            </w:tcBorders>
            <w:shd w:val="clear" w:color="auto" w:fill="auto"/>
            <w:noWrap/>
            <w:vAlign w:val="bottom"/>
            <w:hideMark/>
          </w:tcPr>
          <w:p w14:paraId="3DACDE4B" w14:textId="4644A73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1,2</w:t>
            </w:r>
          </w:p>
        </w:tc>
        <w:tc>
          <w:tcPr>
            <w:tcW w:w="907" w:type="dxa"/>
            <w:tcBorders>
              <w:top w:val="nil"/>
              <w:left w:val="nil"/>
              <w:bottom w:val="nil"/>
              <w:right w:val="nil"/>
            </w:tcBorders>
            <w:shd w:val="clear" w:color="auto" w:fill="auto"/>
            <w:noWrap/>
            <w:vAlign w:val="bottom"/>
            <w:hideMark/>
          </w:tcPr>
          <w:p w14:paraId="2BD8C627" w14:textId="1CB04F4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154,8</w:t>
            </w:r>
          </w:p>
        </w:tc>
        <w:tc>
          <w:tcPr>
            <w:tcW w:w="907" w:type="dxa"/>
            <w:tcBorders>
              <w:top w:val="nil"/>
              <w:left w:val="nil"/>
              <w:bottom w:val="nil"/>
              <w:right w:val="nil"/>
            </w:tcBorders>
            <w:shd w:val="clear" w:color="auto" w:fill="auto"/>
            <w:noWrap/>
            <w:vAlign w:val="bottom"/>
            <w:hideMark/>
          </w:tcPr>
          <w:p w14:paraId="36369704" w14:textId="0F86D95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158,8</w:t>
            </w:r>
          </w:p>
        </w:tc>
        <w:tc>
          <w:tcPr>
            <w:tcW w:w="907" w:type="dxa"/>
            <w:tcBorders>
              <w:top w:val="nil"/>
              <w:left w:val="nil"/>
              <w:bottom w:val="nil"/>
              <w:right w:val="nil"/>
            </w:tcBorders>
            <w:shd w:val="clear" w:color="auto" w:fill="auto"/>
            <w:noWrap/>
            <w:vAlign w:val="bottom"/>
            <w:hideMark/>
          </w:tcPr>
          <w:p w14:paraId="674C4DEA" w14:textId="6B48046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147,7</w:t>
            </w:r>
          </w:p>
        </w:tc>
      </w:tr>
      <w:tr w:rsidR="003018A3" w:rsidRPr="003018A3" w14:paraId="7DF8EFF7" w14:textId="77777777" w:rsidTr="005E754B">
        <w:trPr>
          <w:trHeight w:val="300"/>
        </w:trPr>
        <w:tc>
          <w:tcPr>
            <w:tcW w:w="4195" w:type="dxa"/>
            <w:tcBorders>
              <w:top w:val="nil"/>
              <w:left w:val="nil"/>
              <w:bottom w:val="nil"/>
              <w:right w:val="nil"/>
            </w:tcBorders>
            <w:shd w:val="clear" w:color="auto" w:fill="auto"/>
            <w:noWrap/>
            <w:vAlign w:val="bottom"/>
            <w:hideMark/>
          </w:tcPr>
          <w:p w14:paraId="00205350" w14:textId="0CF3F939"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jiné nemoci oběhové soustavy</w:t>
            </w:r>
          </w:p>
        </w:tc>
        <w:tc>
          <w:tcPr>
            <w:tcW w:w="907" w:type="dxa"/>
            <w:tcBorders>
              <w:top w:val="nil"/>
              <w:left w:val="single" w:sz="4" w:space="0" w:color="auto"/>
              <w:bottom w:val="nil"/>
              <w:right w:val="nil"/>
            </w:tcBorders>
            <w:shd w:val="clear" w:color="auto" w:fill="auto"/>
            <w:noWrap/>
            <w:vAlign w:val="bottom"/>
            <w:hideMark/>
          </w:tcPr>
          <w:p w14:paraId="7328CA0C" w14:textId="2A7CC295"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27,4</w:t>
            </w:r>
          </w:p>
        </w:tc>
        <w:tc>
          <w:tcPr>
            <w:tcW w:w="907" w:type="dxa"/>
            <w:tcBorders>
              <w:top w:val="nil"/>
              <w:left w:val="nil"/>
              <w:bottom w:val="nil"/>
              <w:right w:val="nil"/>
            </w:tcBorders>
            <w:shd w:val="clear" w:color="auto" w:fill="auto"/>
            <w:noWrap/>
            <w:vAlign w:val="bottom"/>
            <w:hideMark/>
          </w:tcPr>
          <w:p w14:paraId="7EDC3215" w14:textId="64F5455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14,1</w:t>
            </w:r>
          </w:p>
        </w:tc>
        <w:tc>
          <w:tcPr>
            <w:tcW w:w="907" w:type="dxa"/>
            <w:tcBorders>
              <w:top w:val="nil"/>
              <w:left w:val="nil"/>
              <w:bottom w:val="nil"/>
              <w:right w:val="single" w:sz="4" w:space="0" w:color="auto"/>
            </w:tcBorders>
            <w:shd w:val="clear" w:color="auto" w:fill="auto"/>
            <w:noWrap/>
            <w:vAlign w:val="bottom"/>
            <w:hideMark/>
          </w:tcPr>
          <w:p w14:paraId="607A444A" w14:textId="235EB5AD"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13,3</w:t>
            </w:r>
          </w:p>
        </w:tc>
        <w:tc>
          <w:tcPr>
            <w:tcW w:w="907" w:type="dxa"/>
            <w:tcBorders>
              <w:top w:val="nil"/>
              <w:left w:val="nil"/>
              <w:bottom w:val="nil"/>
              <w:right w:val="nil"/>
            </w:tcBorders>
            <w:shd w:val="clear" w:color="auto" w:fill="auto"/>
            <w:noWrap/>
            <w:vAlign w:val="bottom"/>
            <w:hideMark/>
          </w:tcPr>
          <w:p w14:paraId="4D9AC40B" w14:textId="7373759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70,0</w:t>
            </w:r>
          </w:p>
        </w:tc>
        <w:tc>
          <w:tcPr>
            <w:tcW w:w="907" w:type="dxa"/>
            <w:tcBorders>
              <w:top w:val="nil"/>
              <w:left w:val="nil"/>
              <w:bottom w:val="nil"/>
              <w:right w:val="nil"/>
            </w:tcBorders>
            <w:shd w:val="clear" w:color="auto" w:fill="auto"/>
            <w:noWrap/>
            <w:vAlign w:val="bottom"/>
            <w:hideMark/>
          </w:tcPr>
          <w:p w14:paraId="455FA8D2" w14:textId="4AD4EAE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80,2</w:t>
            </w:r>
          </w:p>
        </w:tc>
        <w:tc>
          <w:tcPr>
            <w:tcW w:w="907" w:type="dxa"/>
            <w:tcBorders>
              <w:top w:val="nil"/>
              <w:left w:val="nil"/>
              <w:bottom w:val="nil"/>
              <w:right w:val="nil"/>
            </w:tcBorders>
            <w:shd w:val="clear" w:color="auto" w:fill="auto"/>
            <w:noWrap/>
            <w:vAlign w:val="bottom"/>
            <w:hideMark/>
          </w:tcPr>
          <w:p w14:paraId="01DC5D6E" w14:textId="1102620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59,1</w:t>
            </w:r>
          </w:p>
        </w:tc>
      </w:tr>
      <w:tr w:rsidR="003018A3" w:rsidRPr="003018A3" w14:paraId="0E5031DE" w14:textId="77777777" w:rsidTr="005E754B">
        <w:trPr>
          <w:trHeight w:val="300"/>
        </w:trPr>
        <w:tc>
          <w:tcPr>
            <w:tcW w:w="4195" w:type="dxa"/>
            <w:tcBorders>
              <w:top w:val="nil"/>
              <w:left w:val="nil"/>
              <w:bottom w:val="nil"/>
              <w:right w:val="nil"/>
            </w:tcBorders>
            <w:shd w:val="clear" w:color="auto" w:fill="auto"/>
            <w:noWrap/>
            <w:vAlign w:val="bottom"/>
            <w:hideMark/>
          </w:tcPr>
          <w:p w14:paraId="521AE0FA" w14:textId="10E540B0"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dýchací soustavy</w:t>
            </w:r>
          </w:p>
        </w:tc>
        <w:tc>
          <w:tcPr>
            <w:tcW w:w="907" w:type="dxa"/>
            <w:tcBorders>
              <w:top w:val="nil"/>
              <w:left w:val="single" w:sz="4" w:space="0" w:color="auto"/>
              <w:bottom w:val="nil"/>
              <w:right w:val="nil"/>
            </w:tcBorders>
            <w:shd w:val="clear" w:color="auto" w:fill="auto"/>
            <w:noWrap/>
            <w:vAlign w:val="bottom"/>
            <w:hideMark/>
          </w:tcPr>
          <w:p w14:paraId="6C35A62B" w14:textId="0A87EDDD"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965,3</w:t>
            </w:r>
          </w:p>
        </w:tc>
        <w:tc>
          <w:tcPr>
            <w:tcW w:w="907" w:type="dxa"/>
            <w:tcBorders>
              <w:top w:val="nil"/>
              <w:left w:val="nil"/>
              <w:bottom w:val="nil"/>
              <w:right w:val="nil"/>
            </w:tcBorders>
            <w:shd w:val="clear" w:color="auto" w:fill="auto"/>
            <w:noWrap/>
            <w:vAlign w:val="bottom"/>
            <w:hideMark/>
          </w:tcPr>
          <w:p w14:paraId="6134A72C" w14:textId="3916F18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424,7</w:t>
            </w:r>
          </w:p>
        </w:tc>
        <w:tc>
          <w:tcPr>
            <w:tcW w:w="907" w:type="dxa"/>
            <w:tcBorders>
              <w:top w:val="nil"/>
              <w:left w:val="nil"/>
              <w:bottom w:val="nil"/>
              <w:right w:val="single" w:sz="4" w:space="0" w:color="auto"/>
            </w:tcBorders>
            <w:shd w:val="clear" w:color="auto" w:fill="auto"/>
            <w:noWrap/>
            <w:vAlign w:val="bottom"/>
            <w:hideMark/>
          </w:tcPr>
          <w:p w14:paraId="3BFE1E06" w14:textId="1A5EF18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540,7</w:t>
            </w:r>
          </w:p>
        </w:tc>
        <w:tc>
          <w:tcPr>
            <w:tcW w:w="907" w:type="dxa"/>
            <w:tcBorders>
              <w:top w:val="nil"/>
              <w:left w:val="nil"/>
              <w:bottom w:val="nil"/>
              <w:right w:val="nil"/>
            </w:tcBorders>
            <w:shd w:val="clear" w:color="auto" w:fill="auto"/>
            <w:noWrap/>
            <w:vAlign w:val="bottom"/>
            <w:hideMark/>
          </w:tcPr>
          <w:p w14:paraId="1ED29A42" w14:textId="539E4E2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12,2</w:t>
            </w:r>
          </w:p>
        </w:tc>
        <w:tc>
          <w:tcPr>
            <w:tcW w:w="907" w:type="dxa"/>
            <w:tcBorders>
              <w:top w:val="nil"/>
              <w:left w:val="nil"/>
              <w:bottom w:val="nil"/>
              <w:right w:val="nil"/>
            </w:tcBorders>
            <w:shd w:val="clear" w:color="auto" w:fill="auto"/>
            <w:noWrap/>
            <w:vAlign w:val="bottom"/>
            <w:hideMark/>
          </w:tcPr>
          <w:p w14:paraId="107493CC" w14:textId="19FE446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12,2</w:t>
            </w:r>
          </w:p>
        </w:tc>
        <w:tc>
          <w:tcPr>
            <w:tcW w:w="907" w:type="dxa"/>
            <w:tcBorders>
              <w:top w:val="nil"/>
              <w:left w:val="nil"/>
              <w:bottom w:val="nil"/>
              <w:right w:val="nil"/>
            </w:tcBorders>
            <w:shd w:val="clear" w:color="auto" w:fill="auto"/>
            <w:noWrap/>
            <w:vAlign w:val="bottom"/>
            <w:hideMark/>
          </w:tcPr>
          <w:p w14:paraId="6356A6F7" w14:textId="01E8773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12,1</w:t>
            </w:r>
          </w:p>
        </w:tc>
      </w:tr>
      <w:tr w:rsidR="003018A3" w:rsidRPr="003018A3" w14:paraId="6579A222" w14:textId="77777777" w:rsidTr="005E754B">
        <w:trPr>
          <w:trHeight w:val="300"/>
        </w:trPr>
        <w:tc>
          <w:tcPr>
            <w:tcW w:w="4195" w:type="dxa"/>
            <w:tcBorders>
              <w:top w:val="nil"/>
              <w:left w:val="nil"/>
              <w:bottom w:val="nil"/>
              <w:right w:val="nil"/>
            </w:tcBorders>
            <w:shd w:val="clear" w:color="auto" w:fill="auto"/>
            <w:noWrap/>
            <w:vAlign w:val="bottom"/>
            <w:hideMark/>
          </w:tcPr>
          <w:p w14:paraId="3595C6D9" w14:textId="03AA375F"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akutní infekce dýchacích cest</w:t>
            </w:r>
          </w:p>
        </w:tc>
        <w:tc>
          <w:tcPr>
            <w:tcW w:w="907" w:type="dxa"/>
            <w:tcBorders>
              <w:top w:val="nil"/>
              <w:left w:val="single" w:sz="4" w:space="0" w:color="auto"/>
              <w:bottom w:val="nil"/>
              <w:right w:val="nil"/>
            </w:tcBorders>
            <w:shd w:val="clear" w:color="auto" w:fill="auto"/>
            <w:noWrap/>
            <w:vAlign w:val="bottom"/>
            <w:hideMark/>
          </w:tcPr>
          <w:p w14:paraId="4DFA4B52" w14:textId="05D5B32F"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870,1</w:t>
            </w:r>
          </w:p>
        </w:tc>
        <w:tc>
          <w:tcPr>
            <w:tcW w:w="907" w:type="dxa"/>
            <w:tcBorders>
              <w:top w:val="nil"/>
              <w:left w:val="nil"/>
              <w:bottom w:val="nil"/>
              <w:right w:val="nil"/>
            </w:tcBorders>
            <w:shd w:val="clear" w:color="auto" w:fill="auto"/>
            <w:noWrap/>
            <w:vAlign w:val="bottom"/>
            <w:hideMark/>
          </w:tcPr>
          <w:p w14:paraId="1628767D" w14:textId="460828A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378,7</w:t>
            </w:r>
          </w:p>
        </w:tc>
        <w:tc>
          <w:tcPr>
            <w:tcW w:w="907" w:type="dxa"/>
            <w:tcBorders>
              <w:top w:val="nil"/>
              <w:left w:val="nil"/>
              <w:bottom w:val="nil"/>
              <w:right w:val="single" w:sz="4" w:space="0" w:color="auto"/>
            </w:tcBorders>
            <w:shd w:val="clear" w:color="auto" w:fill="auto"/>
            <w:noWrap/>
            <w:vAlign w:val="bottom"/>
            <w:hideMark/>
          </w:tcPr>
          <w:p w14:paraId="295649E4" w14:textId="191C87BA"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491,4</w:t>
            </w:r>
          </w:p>
        </w:tc>
        <w:tc>
          <w:tcPr>
            <w:tcW w:w="907" w:type="dxa"/>
            <w:tcBorders>
              <w:top w:val="nil"/>
              <w:left w:val="nil"/>
              <w:bottom w:val="nil"/>
              <w:right w:val="nil"/>
            </w:tcBorders>
            <w:shd w:val="clear" w:color="auto" w:fill="auto"/>
            <w:noWrap/>
            <w:vAlign w:val="bottom"/>
            <w:hideMark/>
          </w:tcPr>
          <w:p w14:paraId="6E5D774F" w14:textId="7E3C093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11,3</w:t>
            </w:r>
          </w:p>
        </w:tc>
        <w:tc>
          <w:tcPr>
            <w:tcW w:w="907" w:type="dxa"/>
            <w:tcBorders>
              <w:top w:val="nil"/>
              <w:left w:val="nil"/>
              <w:bottom w:val="nil"/>
              <w:right w:val="nil"/>
            </w:tcBorders>
            <w:shd w:val="clear" w:color="auto" w:fill="auto"/>
            <w:noWrap/>
            <w:vAlign w:val="bottom"/>
            <w:hideMark/>
          </w:tcPr>
          <w:p w14:paraId="12B6F67B" w14:textId="2A71E98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11,2</w:t>
            </w:r>
          </w:p>
        </w:tc>
        <w:tc>
          <w:tcPr>
            <w:tcW w:w="907" w:type="dxa"/>
            <w:tcBorders>
              <w:top w:val="nil"/>
              <w:left w:val="nil"/>
              <w:bottom w:val="nil"/>
              <w:right w:val="nil"/>
            </w:tcBorders>
            <w:shd w:val="clear" w:color="auto" w:fill="auto"/>
            <w:noWrap/>
            <w:vAlign w:val="bottom"/>
            <w:hideMark/>
          </w:tcPr>
          <w:p w14:paraId="101A8C00" w14:textId="356EAC2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11,5</w:t>
            </w:r>
          </w:p>
        </w:tc>
      </w:tr>
      <w:tr w:rsidR="003018A3" w:rsidRPr="003018A3" w14:paraId="2288E525" w14:textId="77777777" w:rsidTr="005E754B">
        <w:trPr>
          <w:trHeight w:val="300"/>
        </w:trPr>
        <w:tc>
          <w:tcPr>
            <w:tcW w:w="4195" w:type="dxa"/>
            <w:tcBorders>
              <w:top w:val="nil"/>
              <w:left w:val="nil"/>
              <w:bottom w:val="nil"/>
              <w:right w:val="nil"/>
            </w:tcBorders>
            <w:shd w:val="clear" w:color="auto" w:fill="auto"/>
            <w:noWrap/>
            <w:vAlign w:val="bottom"/>
            <w:hideMark/>
          </w:tcPr>
          <w:p w14:paraId="064DCCCB" w14:textId="347B1085"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chřipka a pneumonie</w:t>
            </w:r>
          </w:p>
        </w:tc>
        <w:tc>
          <w:tcPr>
            <w:tcW w:w="907" w:type="dxa"/>
            <w:tcBorders>
              <w:top w:val="nil"/>
              <w:left w:val="single" w:sz="4" w:space="0" w:color="auto"/>
              <w:bottom w:val="nil"/>
              <w:right w:val="nil"/>
            </w:tcBorders>
            <w:shd w:val="clear" w:color="auto" w:fill="auto"/>
            <w:noWrap/>
            <w:vAlign w:val="bottom"/>
            <w:hideMark/>
          </w:tcPr>
          <w:p w14:paraId="71B6446F" w14:textId="51C217B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73,8</w:t>
            </w:r>
          </w:p>
        </w:tc>
        <w:tc>
          <w:tcPr>
            <w:tcW w:w="907" w:type="dxa"/>
            <w:tcBorders>
              <w:top w:val="nil"/>
              <w:left w:val="nil"/>
              <w:bottom w:val="nil"/>
              <w:right w:val="nil"/>
            </w:tcBorders>
            <w:shd w:val="clear" w:color="auto" w:fill="auto"/>
            <w:noWrap/>
            <w:vAlign w:val="bottom"/>
            <w:hideMark/>
          </w:tcPr>
          <w:p w14:paraId="786C5B78" w14:textId="23509BC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35,6</w:t>
            </w:r>
          </w:p>
        </w:tc>
        <w:tc>
          <w:tcPr>
            <w:tcW w:w="907" w:type="dxa"/>
            <w:tcBorders>
              <w:top w:val="nil"/>
              <w:left w:val="nil"/>
              <w:bottom w:val="nil"/>
              <w:right w:val="single" w:sz="4" w:space="0" w:color="auto"/>
            </w:tcBorders>
            <w:shd w:val="clear" w:color="auto" w:fill="auto"/>
            <w:noWrap/>
            <w:vAlign w:val="bottom"/>
            <w:hideMark/>
          </w:tcPr>
          <w:p w14:paraId="6FFE0240" w14:textId="449075A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38,2</w:t>
            </w:r>
          </w:p>
        </w:tc>
        <w:tc>
          <w:tcPr>
            <w:tcW w:w="907" w:type="dxa"/>
            <w:tcBorders>
              <w:top w:val="nil"/>
              <w:left w:val="nil"/>
              <w:bottom w:val="nil"/>
              <w:right w:val="nil"/>
            </w:tcBorders>
            <w:shd w:val="clear" w:color="auto" w:fill="auto"/>
            <w:noWrap/>
            <w:vAlign w:val="bottom"/>
            <w:hideMark/>
          </w:tcPr>
          <w:p w14:paraId="7EA95499" w14:textId="75BD77BA"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14,1</w:t>
            </w:r>
          </w:p>
        </w:tc>
        <w:tc>
          <w:tcPr>
            <w:tcW w:w="907" w:type="dxa"/>
            <w:tcBorders>
              <w:top w:val="nil"/>
              <w:left w:val="nil"/>
              <w:bottom w:val="nil"/>
              <w:right w:val="nil"/>
            </w:tcBorders>
            <w:shd w:val="clear" w:color="auto" w:fill="auto"/>
            <w:noWrap/>
            <w:vAlign w:val="bottom"/>
            <w:hideMark/>
          </w:tcPr>
          <w:p w14:paraId="411F5B75" w14:textId="2176A0D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14,9</w:t>
            </w:r>
          </w:p>
        </w:tc>
        <w:tc>
          <w:tcPr>
            <w:tcW w:w="907" w:type="dxa"/>
            <w:tcBorders>
              <w:top w:val="nil"/>
              <w:left w:val="nil"/>
              <w:bottom w:val="nil"/>
              <w:right w:val="nil"/>
            </w:tcBorders>
            <w:shd w:val="clear" w:color="auto" w:fill="auto"/>
            <w:noWrap/>
            <w:vAlign w:val="bottom"/>
            <w:hideMark/>
          </w:tcPr>
          <w:p w14:paraId="6B04644E" w14:textId="488CD9CF"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13,4</w:t>
            </w:r>
          </w:p>
        </w:tc>
      </w:tr>
      <w:tr w:rsidR="003018A3" w:rsidRPr="003018A3" w14:paraId="3CC577BD" w14:textId="77777777" w:rsidTr="005E754B">
        <w:trPr>
          <w:trHeight w:val="300"/>
        </w:trPr>
        <w:tc>
          <w:tcPr>
            <w:tcW w:w="4195" w:type="dxa"/>
            <w:tcBorders>
              <w:top w:val="nil"/>
              <w:left w:val="nil"/>
              <w:bottom w:val="nil"/>
              <w:right w:val="nil"/>
            </w:tcBorders>
            <w:shd w:val="clear" w:color="auto" w:fill="auto"/>
            <w:noWrap/>
            <w:vAlign w:val="bottom"/>
            <w:hideMark/>
          </w:tcPr>
          <w:p w14:paraId="78CB89FD" w14:textId="565C9B62"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chronické nemoci dolních dýchacích cest</w:t>
            </w:r>
          </w:p>
        </w:tc>
        <w:tc>
          <w:tcPr>
            <w:tcW w:w="907" w:type="dxa"/>
            <w:tcBorders>
              <w:top w:val="nil"/>
              <w:left w:val="single" w:sz="4" w:space="0" w:color="auto"/>
              <w:bottom w:val="nil"/>
              <w:right w:val="nil"/>
            </w:tcBorders>
            <w:shd w:val="clear" w:color="auto" w:fill="auto"/>
            <w:noWrap/>
            <w:vAlign w:val="bottom"/>
            <w:hideMark/>
          </w:tcPr>
          <w:p w14:paraId="3379AF0A" w14:textId="5CCFD64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10,8</w:t>
            </w:r>
          </w:p>
        </w:tc>
        <w:tc>
          <w:tcPr>
            <w:tcW w:w="907" w:type="dxa"/>
            <w:tcBorders>
              <w:top w:val="nil"/>
              <w:left w:val="nil"/>
              <w:bottom w:val="nil"/>
              <w:right w:val="nil"/>
            </w:tcBorders>
            <w:shd w:val="clear" w:color="auto" w:fill="auto"/>
            <w:noWrap/>
            <w:vAlign w:val="bottom"/>
            <w:hideMark/>
          </w:tcPr>
          <w:p w14:paraId="5E3CDD7C" w14:textId="57DBB1A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4,9</w:t>
            </w:r>
          </w:p>
        </w:tc>
        <w:tc>
          <w:tcPr>
            <w:tcW w:w="907" w:type="dxa"/>
            <w:tcBorders>
              <w:top w:val="nil"/>
              <w:left w:val="nil"/>
              <w:bottom w:val="nil"/>
              <w:right w:val="single" w:sz="4" w:space="0" w:color="auto"/>
            </w:tcBorders>
            <w:shd w:val="clear" w:color="auto" w:fill="auto"/>
            <w:noWrap/>
            <w:vAlign w:val="bottom"/>
            <w:hideMark/>
          </w:tcPr>
          <w:p w14:paraId="6009C97E" w14:textId="5E2948D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5,9</w:t>
            </w:r>
          </w:p>
        </w:tc>
        <w:tc>
          <w:tcPr>
            <w:tcW w:w="907" w:type="dxa"/>
            <w:tcBorders>
              <w:top w:val="nil"/>
              <w:left w:val="nil"/>
              <w:bottom w:val="nil"/>
              <w:right w:val="nil"/>
            </w:tcBorders>
            <w:shd w:val="clear" w:color="auto" w:fill="auto"/>
            <w:noWrap/>
            <w:vAlign w:val="bottom"/>
            <w:hideMark/>
          </w:tcPr>
          <w:p w14:paraId="7283D2BE" w14:textId="4C4BA33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48,7</w:t>
            </w:r>
          </w:p>
        </w:tc>
        <w:tc>
          <w:tcPr>
            <w:tcW w:w="907" w:type="dxa"/>
            <w:tcBorders>
              <w:top w:val="nil"/>
              <w:left w:val="nil"/>
              <w:bottom w:val="nil"/>
              <w:right w:val="nil"/>
            </w:tcBorders>
            <w:shd w:val="clear" w:color="auto" w:fill="auto"/>
            <w:noWrap/>
            <w:vAlign w:val="bottom"/>
            <w:hideMark/>
          </w:tcPr>
          <w:p w14:paraId="4638B969" w14:textId="6E3628C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52,4</w:t>
            </w:r>
          </w:p>
        </w:tc>
        <w:tc>
          <w:tcPr>
            <w:tcW w:w="907" w:type="dxa"/>
            <w:tcBorders>
              <w:top w:val="nil"/>
              <w:left w:val="nil"/>
              <w:bottom w:val="nil"/>
              <w:right w:val="nil"/>
            </w:tcBorders>
            <w:shd w:val="clear" w:color="auto" w:fill="auto"/>
            <w:noWrap/>
            <w:vAlign w:val="bottom"/>
            <w:hideMark/>
          </w:tcPr>
          <w:p w14:paraId="092DCAB0" w14:textId="0A5887F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45,8</w:t>
            </w:r>
          </w:p>
        </w:tc>
      </w:tr>
      <w:tr w:rsidR="003018A3" w:rsidRPr="003018A3" w14:paraId="62FD803A" w14:textId="77777777" w:rsidTr="005E754B">
        <w:trPr>
          <w:trHeight w:val="300"/>
        </w:trPr>
        <w:tc>
          <w:tcPr>
            <w:tcW w:w="4195" w:type="dxa"/>
            <w:tcBorders>
              <w:top w:val="nil"/>
              <w:left w:val="nil"/>
              <w:bottom w:val="nil"/>
              <w:right w:val="nil"/>
            </w:tcBorders>
            <w:shd w:val="clear" w:color="auto" w:fill="auto"/>
            <w:noWrap/>
            <w:vAlign w:val="bottom"/>
            <w:hideMark/>
          </w:tcPr>
          <w:p w14:paraId="7E8F512B" w14:textId="3A0CC9AC"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jiné nemoci dýchacích cest</w:t>
            </w:r>
          </w:p>
        </w:tc>
        <w:tc>
          <w:tcPr>
            <w:tcW w:w="907" w:type="dxa"/>
            <w:tcBorders>
              <w:top w:val="nil"/>
              <w:left w:val="single" w:sz="4" w:space="0" w:color="auto"/>
              <w:bottom w:val="nil"/>
              <w:right w:val="nil"/>
            </w:tcBorders>
            <w:shd w:val="clear" w:color="auto" w:fill="auto"/>
            <w:noWrap/>
            <w:vAlign w:val="bottom"/>
            <w:hideMark/>
          </w:tcPr>
          <w:p w14:paraId="5B29D1B6" w14:textId="2E9566B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10,6</w:t>
            </w:r>
          </w:p>
        </w:tc>
        <w:tc>
          <w:tcPr>
            <w:tcW w:w="907" w:type="dxa"/>
            <w:tcBorders>
              <w:top w:val="nil"/>
              <w:left w:val="nil"/>
              <w:bottom w:val="nil"/>
              <w:right w:val="nil"/>
            </w:tcBorders>
            <w:shd w:val="clear" w:color="auto" w:fill="auto"/>
            <w:noWrap/>
            <w:vAlign w:val="bottom"/>
            <w:hideMark/>
          </w:tcPr>
          <w:p w14:paraId="6E5F0CF4" w14:textId="4E9C3A50"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5,5</w:t>
            </w:r>
          </w:p>
        </w:tc>
        <w:tc>
          <w:tcPr>
            <w:tcW w:w="907" w:type="dxa"/>
            <w:tcBorders>
              <w:top w:val="nil"/>
              <w:left w:val="nil"/>
              <w:bottom w:val="nil"/>
              <w:right w:val="single" w:sz="4" w:space="0" w:color="auto"/>
            </w:tcBorders>
            <w:shd w:val="clear" w:color="auto" w:fill="auto"/>
            <w:noWrap/>
            <w:vAlign w:val="bottom"/>
            <w:hideMark/>
          </w:tcPr>
          <w:p w14:paraId="4F80E4AD" w14:textId="78FEB16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5,1</w:t>
            </w:r>
          </w:p>
        </w:tc>
        <w:tc>
          <w:tcPr>
            <w:tcW w:w="907" w:type="dxa"/>
            <w:tcBorders>
              <w:top w:val="nil"/>
              <w:left w:val="nil"/>
              <w:bottom w:val="nil"/>
              <w:right w:val="nil"/>
            </w:tcBorders>
            <w:shd w:val="clear" w:color="auto" w:fill="auto"/>
            <w:noWrap/>
            <w:vAlign w:val="bottom"/>
            <w:hideMark/>
          </w:tcPr>
          <w:p w14:paraId="1ED19A64" w14:textId="212349E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29,2</w:t>
            </w:r>
          </w:p>
        </w:tc>
        <w:tc>
          <w:tcPr>
            <w:tcW w:w="907" w:type="dxa"/>
            <w:tcBorders>
              <w:top w:val="nil"/>
              <w:left w:val="nil"/>
              <w:bottom w:val="nil"/>
              <w:right w:val="nil"/>
            </w:tcBorders>
            <w:shd w:val="clear" w:color="auto" w:fill="auto"/>
            <w:noWrap/>
            <w:vAlign w:val="bottom"/>
            <w:hideMark/>
          </w:tcPr>
          <w:p w14:paraId="6A1CA420" w14:textId="29032C4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32,9</w:t>
            </w:r>
          </w:p>
        </w:tc>
        <w:tc>
          <w:tcPr>
            <w:tcW w:w="907" w:type="dxa"/>
            <w:tcBorders>
              <w:top w:val="nil"/>
              <w:left w:val="nil"/>
              <w:bottom w:val="nil"/>
              <w:right w:val="nil"/>
            </w:tcBorders>
            <w:shd w:val="clear" w:color="auto" w:fill="auto"/>
            <w:noWrap/>
            <w:vAlign w:val="bottom"/>
            <w:hideMark/>
          </w:tcPr>
          <w:p w14:paraId="67D1497F" w14:textId="348CD50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25,1</w:t>
            </w:r>
          </w:p>
        </w:tc>
      </w:tr>
      <w:tr w:rsidR="003018A3" w:rsidRPr="003018A3" w14:paraId="11C66390" w14:textId="77777777" w:rsidTr="005E754B">
        <w:trPr>
          <w:trHeight w:val="300"/>
        </w:trPr>
        <w:tc>
          <w:tcPr>
            <w:tcW w:w="4195" w:type="dxa"/>
            <w:tcBorders>
              <w:top w:val="nil"/>
              <w:left w:val="nil"/>
              <w:bottom w:val="nil"/>
              <w:right w:val="nil"/>
            </w:tcBorders>
            <w:shd w:val="clear" w:color="auto" w:fill="auto"/>
            <w:noWrap/>
            <w:vAlign w:val="bottom"/>
            <w:hideMark/>
          </w:tcPr>
          <w:p w14:paraId="322D0AE9" w14:textId="2E752C51"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trávicí soustavy</w:t>
            </w:r>
          </w:p>
        </w:tc>
        <w:tc>
          <w:tcPr>
            <w:tcW w:w="907" w:type="dxa"/>
            <w:tcBorders>
              <w:top w:val="nil"/>
              <w:left w:val="single" w:sz="4" w:space="0" w:color="auto"/>
              <w:bottom w:val="nil"/>
              <w:right w:val="nil"/>
            </w:tcBorders>
            <w:shd w:val="clear" w:color="auto" w:fill="auto"/>
            <w:noWrap/>
            <w:vAlign w:val="bottom"/>
            <w:hideMark/>
          </w:tcPr>
          <w:p w14:paraId="05085E52" w14:textId="7412A6F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160,3</w:t>
            </w:r>
          </w:p>
        </w:tc>
        <w:tc>
          <w:tcPr>
            <w:tcW w:w="907" w:type="dxa"/>
            <w:tcBorders>
              <w:top w:val="nil"/>
              <w:left w:val="nil"/>
              <w:bottom w:val="nil"/>
              <w:right w:val="nil"/>
            </w:tcBorders>
            <w:shd w:val="clear" w:color="auto" w:fill="auto"/>
            <w:noWrap/>
            <w:vAlign w:val="bottom"/>
            <w:hideMark/>
          </w:tcPr>
          <w:p w14:paraId="2D1722D1" w14:textId="273CEF6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83,0</w:t>
            </w:r>
          </w:p>
        </w:tc>
        <w:tc>
          <w:tcPr>
            <w:tcW w:w="907" w:type="dxa"/>
            <w:tcBorders>
              <w:top w:val="nil"/>
              <w:left w:val="nil"/>
              <w:bottom w:val="nil"/>
              <w:right w:val="single" w:sz="4" w:space="0" w:color="auto"/>
            </w:tcBorders>
            <w:shd w:val="clear" w:color="auto" w:fill="auto"/>
            <w:noWrap/>
            <w:vAlign w:val="bottom"/>
            <w:hideMark/>
          </w:tcPr>
          <w:p w14:paraId="6B9F7A26" w14:textId="2A2BE548"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77,3</w:t>
            </w:r>
          </w:p>
        </w:tc>
        <w:tc>
          <w:tcPr>
            <w:tcW w:w="907" w:type="dxa"/>
            <w:tcBorders>
              <w:top w:val="nil"/>
              <w:left w:val="nil"/>
              <w:bottom w:val="nil"/>
              <w:right w:val="nil"/>
            </w:tcBorders>
            <w:shd w:val="clear" w:color="auto" w:fill="auto"/>
            <w:noWrap/>
            <w:vAlign w:val="bottom"/>
            <w:hideMark/>
          </w:tcPr>
          <w:p w14:paraId="601DF5EB" w14:textId="500DDFA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24,5</w:t>
            </w:r>
          </w:p>
        </w:tc>
        <w:tc>
          <w:tcPr>
            <w:tcW w:w="907" w:type="dxa"/>
            <w:tcBorders>
              <w:top w:val="nil"/>
              <w:left w:val="nil"/>
              <w:bottom w:val="nil"/>
              <w:right w:val="nil"/>
            </w:tcBorders>
            <w:shd w:val="clear" w:color="auto" w:fill="auto"/>
            <w:noWrap/>
            <w:vAlign w:val="bottom"/>
            <w:hideMark/>
          </w:tcPr>
          <w:p w14:paraId="78702AC9" w14:textId="0E931BF5"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25,6</w:t>
            </w:r>
          </w:p>
        </w:tc>
        <w:tc>
          <w:tcPr>
            <w:tcW w:w="907" w:type="dxa"/>
            <w:tcBorders>
              <w:top w:val="nil"/>
              <w:left w:val="nil"/>
              <w:bottom w:val="nil"/>
              <w:right w:val="nil"/>
            </w:tcBorders>
            <w:shd w:val="clear" w:color="auto" w:fill="auto"/>
            <w:noWrap/>
            <w:vAlign w:val="bottom"/>
            <w:hideMark/>
          </w:tcPr>
          <w:p w14:paraId="022648E0" w14:textId="030FF76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23,3</w:t>
            </w:r>
          </w:p>
        </w:tc>
      </w:tr>
      <w:tr w:rsidR="003018A3" w:rsidRPr="003018A3" w14:paraId="053C9073" w14:textId="77777777" w:rsidTr="005E754B">
        <w:trPr>
          <w:trHeight w:val="300"/>
        </w:trPr>
        <w:tc>
          <w:tcPr>
            <w:tcW w:w="4195" w:type="dxa"/>
            <w:tcBorders>
              <w:top w:val="nil"/>
              <w:left w:val="nil"/>
              <w:bottom w:val="nil"/>
              <w:right w:val="nil"/>
            </w:tcBorders>
            <w:shd w:val="clear" w:color="auto" w:fill="auto"/>
            <w:noWrap/>
            <w:vAlign w:val="bottom"/>
            <w:hideMark/>
          </w:tcPr>
          <w:p w14:paraId="02E648E9" w14:textId="41E66FC3"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kůže</w:t>
            </w:r>
          </w:p>
        </w:tc>
        <w:tc>
          <w:tcPr>
            <w:tcW w:w="907" w:type="dxa"/>
            <w:tcBorders>
              <w:top w:val="nil"/>
              <w:left w:val="single" w:sz="4" w:space="0" w:color="auto"/>
              <w:bottom w:val="nil"/>
              <w:right w:val="nil"/>
            </w:tcBorders>
            <w:shd w:val="clear" w:color="auto" w:fill="auto"/>
            <w:noWrap/>
            <w:vAlign w:val="bottom"/>
            <w:hideMark/>
          </w:tcPr>
          <w:p w14:paraId="5787C299" w14:textId="6543C9A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32,4</w:t>
            </w:r>
          </w:p>
        </w:tc>
        <w:tc>
          <w:tcPr>
            <w:tcW w:w="907" w:type="dxa"/>
            <w:tcBorders>
              <w:top w:val="nil"/>
              <w:left w:val="nil"/>
              <w:bottom w:val="nil"/>
              <w:right w:val="nil"/>
            </w:tcBorders>
            <w:shd w:val="clear" w:color="auto" w:fill="auto"/>
            <w:noWrap/>
            <w:vAlign w:val="bottom"/>
            <w:hideMark/>
          </w:tcPr>
          <w:p w14:paraId="0E414B04" w14:textId="352F38FA"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18,8</w:t>
            </w:r>
          </w:p>
        </w:tc>
        <w:tc>
          <w:tcPr>
            <w:tcW w:w="907" w:type="dxa"/>
            <w:tcBorders>
              <w:top w:val="nil"/>
              <w:left w:val="nil"/>
              <w:bottom w:val="nil"/>
              <w:right w:val="single" w:sz="4" w:space="0" w:color="auto"/>
            </w:tcBorders>
            <w:shd w:val="clear" w:color="auto" w:fill="auto"/>
            <w:noWrap/>
            <w:vAlign w:val="bottom"/>
            <w:hideMark/>
          </w:tcPr>
          <w:p w14:paraId="79E7A45A" w14:textId="58E0C24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13,7</w:t>
            </w:r>
          </w:p>
        </w:tc>
        <w:tc>
          <w:tcPr>
            <w:tcW w:w="907" w:type="dxa"/>
            <w:tcBorders>
              <w:top w:val="nil"/>
              <w:left w:val="nil"/>
              <w:bottom w:val="nil"/>
              <w:right w:val="nil"/>
            </w:tcBorders>
            <w:shd w:val="clear" w:color="auto" w:fill="auto"/>
            <w:noWrap/>
            <w:vAlign w:val="bottom"/>
            <w:hideMark/>
          </w:tcPr>
          <w:p w14:paraId="469910F9" w14:textId="62AEED6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29,8</w:t>
            </w:r>
          </w:p>
        </w:tc>
        <w:tc>
          <w:tcPr>
            <w:tcW w:w="907" w:type="dxa"/>
            <w:tcBorders>
              <w:top w:val="nil"/>
              <w:left w:val="nil"/>
              <w:bottom w:val="nil"/>
              <w:right w:val="nil"/>
            </w:tcBorders>
            <w:shd w:val="clear" w:color="auto" w:fill="auto"/>
            <w:noWrap/>
            <w:vAlign w:val="bottom"/>
            <w:hideMark/>
          </w:tcPr>
          <w:p w14:paraId="792CF918" w14:textId="063CF93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30,5</w:t>
            </w:r>
          </w:p>
        </w:tc>
        <w:tc>
          <w:tcPr>
            <w:tcW w:w="907" w:type="dxa"/>
            <w:tcBorders>
              <w:top w:val="nil"/>
              <w:left w:val="nil"/>
              <w:bottom w:val="nil"/>
              <w:right w:val="nil"/>
            </w:tcBorders>
            <w:shd w:val="clear" w:color="auto" w:fill="auto"/>
            <w:noWrap/>
            <w:vAlign w:val="bottom"/>
            <w:hideMark/>
          </w:tcPr>
          <w:p w14:paraId="4D5D095A" w14:textId="3E28E8B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28,7</w:t>
            </w:r>
          </w:p>
        </w:tc>
      </w:tr>
      <w:tr w:rsidR="003018A3" w:rsidRPr="003018A3" w14:paraId="3C290EB6" w14:textId="77777777" w:rsidTr="005E754B">
        <w:trPr>
          <w:trHeight w:val="300"/>
        </w:trPr>
        <w:tc>
          <w:tcPr>
            <w:tcW w:w="4195" w:type="dxa"/>
            <w:tcBorders>
              <w:top w:val="nil"/>
              <w:left w:val="nil"/>
              <w:bottom w:val="nil"/>
              <w:right w:val="nil"/>
            </w:tcBorders>
            <w:shd w:val="clear" w:color="auto" w:fill="auto"/>
            <w:noWrap/>
            <w:vAlign w:val="bottom"/>
            <w:hideMark/>
          </w:tcPr>
          <w:p w14:paraId="7F7E3B94" w14:textId="6C7322D0"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pohybové soustavy</w:t>
            </w:r>
          </w:p>
        </w:tc>
        <w:tc>
          <w:tcPr>
            <w:tcW w:w="907" w:type="dxa"/>
            <w:tcBorders>
              <w:top w:val="nil"/>
              <w:left w:val="single" w:sz="4" w:space="0" w:color="auto"/>
              <w:bottom w:val="nil"/>
              <w:right w:val="nil"/>
            </w:tcBorders>
            <w:shd w:val="clear" w:color="auto" w:fill="auto"/>
            <w:noWrap/>
            <w:vAlign w:val="bottom"/>
            <w:hideMark/>
          </w:tcPr>
          <w:p w14:paraId="28C098A0" w14:textId="0BDB502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388,5</w:t>
            </w:r>
          </w:p>
        </w:tc>
        <w:tc>
          <w:tcPr>
            <w:tcW w:w="907" w:type="dxa"/>
            <w:tcBorders>
              <w:top w:val="nil"/>
              <w:left w:val="nil"/>
              <w:bottom w:val="nil"/>
              <w:right w:val="nil"/>
            </w:tcBorders>
            <w:shd w:val="clear" w:color="auto" w:fill="auto"/>
            <w:noWrap/>
            <w:vAlign w:val="bottom"/>
            <w:hideMark/>
          </w:tcPr>
          <w:p w14:paraId="7FABEF56" w14:textId="42EFEC0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197,6</w:t>
            </w:r>
          </w:p>
        </w:tc>
        <w:tc>
          <w:tcPr>
            <w:tcW w:w="907" w:type="dxa"/>
            <w:tcBorders>
              <w:top w:val="nil"/>
              <w:left w:val="nil"/>
              <w:bottom w:val="nil"/>
              <w:right w:val="single" w:sz="4" w:space="0" w:color="auto"/>
            </w:tcBorders>
            <w:shd w:val="clear" w:color="auto" w:fill="auto"/>
            <w:noWrap/>
            <w:vAlign w:val="bottom"/>
            <w:hideMark/>
          </w:tcPr>
          <w:p w14:paraId="0209C5CF" w14:textId="302DB2F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190,9</w:t>
            </w:r>
          </w:p>
        </w:tc>
        <w:tc>
          <w:tcPr>
            <w:tcW w:w="907" w:type="dxa"/>
            <w:tcBorders>
              <w:top w:val="nil"/>
              <w:left w:val="nil"/>
              <w:bottom w:val="nil"/>
              <w:right w:val="nil"/>
            </w:tcBorders>
            <w:shd w:val="clear" w:color="auto" w:fill="auto"/>
            <w:noWrap/>
            <w:vAlign w:val="bottom"/>
            <w:hideMark/>
          </w:tcPr>
          <w:p w14:paraId="4BF64A93" w14:textId="64CE654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64,8</w:t>
            </w:r>
          </w:p>
        </w:tc>
        <w:tc>
          <w:tcPr>
            <w:tcW w:w="907" w:type="dxa"/>
            <w:tcBorders>
              <w:top w:val="nil"/>
              <w:left w:val="nil"/>
              <w:bottom w:val="nil"/>
              <w:right w:val="nil"/>
            </w:tcBorders>
            <w:shd w:val="clear" w:color="auto" w:fill="auto"/>
            <w:noWrap/>
            <w:vAlign w:val="bottom"/>
            <w:hideMark/>
          </w:tcPr>
          <w:p w14:paraId="4297C1F8" w14:textId="71E851C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60,1</w:t>
            </w:r>
          </w:p>
        </w:tc>
        <w:tc>
          <w:tcPr>
            <w:tcW w:w="907" w:type="dxa"/>
            <w:tcBorders>
              <w:top w:val="nil"/>
              <w:left w:val="nil"/>
              <w:bottom w:val="nil"/>
              <w:right w:val="nil"/>
            </w:tcBorders>
            <w:shd w:val="clear" w:color="auto" w:fill="auto"/>
            <w:noWrap/>
            <w:vAlign w:val="bottom"/>
            <w:hideMark/>
          </w:tcPr>
          <w:p w14:paraId="52F92C65" w14:textId="410D09C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69,7</w:t>
            </w:r>
          </w:p>
        </w:tc>
      </w:tr>
      <w:tr w:rsidR="003018A3" w:rsidRPr="003018A3" w14:paraId="3CC059E5" w14:textId="77777777" w:rsidTr="005E754B">
        <w:trPr>
          <w:trHeight w:val="300"/>
        </w:trPr>
        <w:tc>
          <w:tcPr>
            <w:tcW w:w="4195" w:type="dxa"/>
            <w:tcBorders>
              <w:top w:val="nil"/>
              <w:left w:val="nil"/>
              <w:bottom w:val="nil"/>
              <w:right w:val="nil"/>
            </w:tcBorders>
            <w:shd w:val="clear" w:color="auto" w:fill="auto"/>
            <w:noWrap/>
            <w:vAlign w:val="bottom"/>
            <w:hideMark/>
          </w:tcPr>
          <w:p w14:paraId="0E2624CD" w14:textId="41FCCF4E"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nemoci páteře</w:t>
            </w:r>
          </w:p>
        </w:tc>
        <w:tc>
          <w:tcPr>
            <w:tcW w:w="907" w:type="dxa"/>
            <w:tcBorders>
              <w:top w:val="nil"/>
              <w:left w:val="single" w:sz="4" w:space="0" w:color="auto"/>
              <w:bottom w:val="nil"/>
              <w:right w:val="nil"/>
            </w:tcBorders>
            <w:shd w:val="clear" w:color="auto" w:fill="auto"/>
            <w:noWrap/>
            <w:vAlign w:val="bottom"/>
            <w:hideMark/>
          </w:tcPr>
          <w:p w14:paraId="685E874A" w14:textId="7BD9C3E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256,9</w:t>
            </w:r>
          </w:p>
        </w:tc>
        <w:tc>
          <w:tcPr>
            <w:tcW w:w="907" w:type="dxa"/>
            <w:tcBorders>
              <w:top w:val="nil"/>
              <w:left w:val="nil"/>
              <w:bottom w:val="nil"/>
              <w:right w:val="nil"/>
            </w:tcBorders>
            <w:shd w:val="clear" w:color="auto" w:fill="auto"/>
            <w:noWrap/>
            <w:vAlign w:val="bottom"/>
            <w:hideMark/>
          </w:tcPr>
          <w:p w14:paraId="0D791247" w14:textId="6A55C485"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130,6</w:t>
            </w:r>
          </w:p>
        </w:tc>
        <w:tc>
          <w:tcPr>
            <w:tcW w:w="907" w:type="dxa"/>
            <w:tcBorders>
              <w:top w:val="nil"/>
              <w:left w:val="nil"/>
              <w:bottom w:val="nil"/>
              <w:right w:val="single" w:sz="4" w:space="0" w:color="auto"/>
            </w:tcBorders>
            <w:shd w:val="clear" w:color="auto" w:fill="auto"/>
            <w:noWrap/>
            <w:vAlign w:val="bottom"/>
            <w:hideMark/>
          </w:tcPr>
          <w:p w14:paraId="78BEF2F3" w14:textId="61BE794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126,3</w:t>
            </w:r>
          </w:p>
        </w:tc>
        <w:tc>
          <w:tcPr>
            <w:tcW w:w="907" w:type="dxa"/>
            <w:tcBorders>
              <w:top w:val="nil"/>
              <w:left w:val="nil"/>
              <w:bottom w:val="nil"/>
              <w:right w:val="nil"/>
            </w:tcBorders>
            <w:shd w:val="clear" w:color="auto" w:fill="auto"/>
            <w:noWrap/>
            <w:vAlign w:val="bottom"/>
            <w:hideMark/>
          </w:tcPr>
          <w:p w14:paraId="507B4737" w14:textId="1F85FF2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59,5</w:t>
            </w:r>
          </w:p>
        </w:tc>
        <w:tc>
          <w:tcPr>
            <w:tcW w:w="907" w:type="dxa"/>
            <w:tcBorders>
              <w:top w:val="nil"/>
              <w:left w:val="nil"/>
              <w:bottom w:val="nil"/>
              <w:right w:val="nil"/>
            </w:tcBorders>
            <w:shd w:val="clear" w:color="auto" w:fill="auto"/>
            <w:noWrap/>
            <w:vAlign w:val="bottom"/>
            <w:hideMark/>
          </w:tcPr>
          <w:p w14:paraId="2467FB66" w14:textId="025D56C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54,8</w:t>
            </w:r>
          </w:p>
        </w:tc>
        <w:tc>
          <w:tcPr>
            <w:tcW w:w="907" w:type="dxa"/>
            <w:tcBorders>
              <w:top w:val="nil"/>
              <w:left w:val="nil"/>
              <w:bottom w:val="nil"/>
              <w:right w:val="nil"/>
            </w:tcBorders>
            <w:shd w:val="clear" w:color="auto" w:fill="auto"/>
            <w:noWrap/>
            <w:vAlign w:val="bottom"/>
            <w:hideMark/>
          </w:tcPr>
          <w:p w14:paraId="4424398B" w14:textId="393D95EE"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64,5</w:t>
            </w:r>
          </w:p>
        </w:tc>
      </w:tr>
      <w:tr w:rsidR="003018A3" w:rsidRPr="003018A3" w14:paraId="6C06B322" w14:textId="77777777" w:rsidTr="005E754B">
        <w:trPr>
          <w:trHeight w:val="300"/>
        </w:trPr>
        <w:tc>
          <w:tcPr>
            <w:tcW w:w="4195" w:type="dxa"/>
            <w:tcBorders>
              <w:top w:val="nil"/>
              <w:left w:val="nil"/>
              <w:bottom w:val="nil"/>
              <w:right w:val="nil"/>
            </w:tcBorders>
            <w:shd w:val="clear" w:color="auto" w:fill="auto"/>
            <w:noWrap/>
            <w:vAlign w:val="bottom"/>
            <w:hideMark/>
          </w:tcPr>
          <w:p w14:paraId="3A457C36" w14:textId="3F2D54DD" w:rsidR="003018A3" w:rsidRPr="003018A3" w:rsidRDefault="003018A3" w:rsidP="003018A3">
            <w:pPr>
              <w:spacing w:after="0" w:line="240" w:lineRule="auto"/>
              <w:ind w:firstLineChars="200" w:firstLine="320"/>
              <w:rPr>
                <w:rFonts w:cs="Arial"/>
                <w:color w:val="000000"/>
                <w:sz w:val="16"/>
                <w:szCs w:val="16"/>
              </w:rPr>
            </w:pPr>
            <w:r w:rsidRPr="003018A3">
              <w:rPr>
                <w:rFonts w:cs="Arial"/>
                <w:color w:val="000000"/>
                <w:sz w:val="16"/>
                <w:szCs w:val="16"/>
              </w:rPr>
              <w:t xml:space="preserve"> jiné nemoci pohybové soustavy</w:t>
            </w:r>
          </w:p>
        </w:tc>
        <w:tc>
          <w:tcPr>
            <w:tcW w:w="907" w:type="dxa"/>
            <w:tcBorders>
              <w:top w:val="nil"/>
              <w:left w:val="single" w:sz="4" w:space="0" w:color="auto"/>
              <w:bottom w:val="nil"/>
              <w:right w:val="nil"/>
            </w:tcBorders>
            <w:shd w:val="clear" w:color="auto" w:fill="auto"/>
            <w:noWrap/>
            <w:vAlign w:val="bottom"/>
            <w:hideMark/>
          </w:tcPr>
          <w:p w14:paraId="16BAEB2D" w14:textId="0D772F0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131,6</w:t>
            </w:r>
          </w:p>
        </w:tc>
        <w:tc>
          <w:tcPr>
            <w:tcW w:w="907" w:type="dxa"/>
            <w:tcBorders>
              <w:top w:val="nil"/>
              <w:left w:val="nil"/>
              <w:bottom w:val="nil"/>
              <w:right w:val="nil"/>
            </w:tcBorders>
            <w:shd w:val="clear" w:color="auto" w:fill="auto"/>
            <w:noWrap/>
            <w:vAlign w:val="bottom"/>
            <w:hideMark/>
          </w:tcPr>
          <w:p w14:paraId="1BDCE2BC" w14:textId="389D416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67,0</w:t>
            </w:r>
          </w:p>
        </w:tc>
        <w:tc>
          <w:tcPr>
            <w:tcW w:w="907" w:type="dxa"/>
            <w:tcBorders>
              <w:top w:val="nil"/>
              <w:left w:val="nil"/>
              <w:bottom w:val="nil"/>
              <w:right w:val="single" w:sz="4" w:space="0" w:color="auto"/>
            </w:tcBorders>
            <w:shd w:val="clear" w:color="auto" w:fill="auto"/>
            <w:noWrap/>
            <w:vAlign w:val="bottom"/>
            <w:hideMark/>
          </w:tcPr>
          <w:p w14:paraId="03F3016B" w14:textId="1BA66CA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64,6</w:t>
            </w:r>
          </w:p>
        </w:tc>
        <w:tc>
          <w:tcPr>
            <w:tcW w:w="907" w:type="dxa"/>
            <w:tcBorders>
              <w:top w:val="nil"/>
              <w:left w:val="nil"/>
              <w:bottom w:val="nil"/>
              <w:right w:val="nil"/>
            </w:tcBorders>
            <w:shd w:val="clear" w:color="auto" w:fill="auto"/>
            <w:noWrap/>
            <w:vAlign w:val="bottom"/>
            <w:hideMark/>
          </w:tcPr>
          <w:p w14:paraId="1C8A256A" w14:textId="28175B6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75,1</w:t>
            </w:r>
          </w:p>
        </w:tc>
        <w:tc>
          <w:tcPr>
            <w:tcW w:w="907" w:type="dxa"/>
            <w:tcBorders>
              <w:top w:val="nil"/>
              <w:left w:val="nil"/>
              <w:bottom w:val="nil"/>
              <w:right w:val="nil"/>
            </w:tcBorders>
            <w:shd w:val="clear" w:color="auto" w:fill="auto"/>
            <w:noWrap/>
            <w:vAlign w:val="bottom"/>
            <w:hideMark/>
          </w:tcPr>
          <w:p w14:paraId="7ACA082E" w14:textId="5FE214CF"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70,4</w:t>
            </w:r>
          </w:p>
        </w:tc>
        <w:tc>
          <w:tcPr>
            <w:tcW w:w="907" w:type="dxa"/>
            <w:tcBorders>
              <w:top w:val="nil"/>
              <w:left w:val="nil"/>
              <w:bottom w:val="nil"/>
              <w:right w:val="nil"/>
            </w:tcBorders>
            <w:shd w:val="clear" w:color="auto" w:fill="auto"/>
            <w:noWrap/>
            <w:vAlign w:val="bottom"/>
            <w:hideMark/>
          </w:tcPr>
          <w:p w14:paraId="33A8C127" w14:textId="1B245F6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80,0</w:t>
            </w:r>
          </w:p>
        </w:tc>
      </w:tr>
      <w:tr w:rsidR="003018A3" w:rsidRPr="003018A3" w14:paraId="6F1BE6EF" w14:textId="77777777" w:rsidTr="005E754B">
        <w:trPr>
          <w:trHeight w:val="300"/>
        </w:trPr>
        <w:tc>
          <w:tcPr>
            <w:tcW w:w="4195" w:type="dxa"/>
            <w:tcBorders>
              <w:top w:val="nil"/>
              <w:left w:val="nil"/>
              <w:bottom w:val="nil"/>
              <w:right w:val="nil"/>
            </w:tcBorders>
            <w:shd w:val="clear" w:color="auto" w:fill="auto"/>
            <w:noWrap/>
            <w:vAlign w:val="bottom"/>
            <w:hideMark/>
          </w:tcPr>
          <w:p w14:paraId="58130182" w14:textId="12B938A9"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močové a pohlavní soustavy</w:t>
            </w:r>
          </w:p>
        </w:tc>
        <w:tc>
          <w:tcPr>
            <w:tcW w:w="907" w:type="dxa"/>
            <w:tcBorders>
              <w:top w:val="nil"/>
              <w:left w:val="single" w:sz="4" w:space="0" w:color="auto"/>
              <w:bottom w:val="nil"/>
              <w:right w:val="nil"/>
            </w:tcBorders>
            <w:shd w:val="clear" w:color="auto" w:fill="auto"/>
            <w:noWrap/>
            <w:vAlign w:val="bottom"/>
            <w:hideMark/>
          </w:tcPr>
          <w:p w14:paraId="6C2DB044" w14:textId="57C1160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83,8</w:t>
            </w:r>
          </w:p>
        </w:tc>
        <w:tc>
          <w:tcPr>
            <w:tcW w:w="907" w:type="dxa"/>
            <w:tcBorders>
              <w:top w:val="nil"/>
              <w:left w:val="nil"/>
              <w:bottom w:val="nil"/>
              <w:right w:val="nil"/>
            </w:tcBorders>
            <w:shd w:val="clear" w:color="auto" w:fill="auto"/>
            <w:noWrap/>
            <w:vAlign w:val="bottom"/>
            <w:hideMark/>
          </w:tcPr>
          <w:p w14:paraId="2FD00AF4" w14:textId="430C01D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18,9</w:t>
            </w:r>
          </w:p>
        </w:tc>
        <w:tc>
          <w:tcPr>
            <w:tcW w:w="907" w:type="dxa"/>
            <w:tcBorders>
              <w:top w:val="nil"/>
              <w:left w:val="nil"/>
              <w:bottom w:val="nil"/>
              <w:right w:val="single" w:sz="4" w:space="0" w:color="auto"/>
            </w:tcBorders>
            <w:shd w:val="clear" w:color="auto" w:fill="auto"/>
            <w:noWrap/>
            <w:vAlign w:val="bottom"/>
            <w:hideMark/>
          </w:tcPr>
          <w:p w14:paraId="5B40FBFE" w14:textId="57EA2A4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64,9</w:t>
            </w:r>
          </w:p>
        </w:tc>
        <w:tc>
          <w:tcPr>
            <w:tcW w:w="907" w:type="dxa"/>
            <w:tcBorders>
              <w:top w:val="nil"/>
              <w:left w:val="nil"/>
              <w:bottom w:val="nil"/>
              <w:right w:val="nil"/>
            </w:tcBorders>
            <w:shd w:val="clear" w:color="auto" w:fill="auto"/>
            <w:noWrap/>
            <w:vAlign w:val="bottom"/>
            <w:hideMark/>
          </w:tcPr>
          <w:p w14:paraId="671038CE" w14:textId="3869F92A"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29,9</w:t>
            </w:r>
          </w:p>
        </w:tc>
        <w:tc>
          <w:tcPr>
            <w:tcW w:w="907" w:type="dxa"/>
            <w:tcBorders>
              <w:top w:val="nil"/>
              <w:left w:val="nil"/>
              <w:bottom w:val="nil"/>
              <w:right w:val="nil"/>
            </w:tcBorders>
            <w:shd w:val="clear" w:color="auto" w:fill="auto"/>
            <w:noWrap/>
            <w:vAlign w:val="bottom"/>
            <w:hideMark/>
          </w:tcPr>
          <w:p w14:paraId="74602880" w14:textId="15DD5628"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33,4</w:t>
            </w:r>
          </w:p>
        </w:tc>
        <w:tc>
          <w:tcPr>
            <w:tcW w:w="907" w:type="dxa"/>
            <w:tcBorders>
              <w:top w:val="nil"/>
              <w:left w:val="nil"/>
              <w:bottom w:val="nil"/>
              <w:right w:val="nil"/>
            </w:tcBorders>
            <w:shd w:val="clear" w:color="auto" w:fill="auto"/>
            <w:noWrap/>
            <w:vAlign w:val="bottom"/>
            <w:hideMark/>
          </w:tcPr>
          <w:p w14:paraId="27FEA565" w14:textId="751FC7A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28,9</w:t>
            </w:r>
          </w:p>
        </w:tc>
      </w:tr>
      <w:tr w:rsidR="003018A3" w:rsidRPr="003018A3" w14:paraId="0188690F" w14:textId="77777777" w:rsidTr="005E754B">
        <w:trPr>
          <w:trHeight w:val="300"/>
        </w:trPr>
        <w:tc>
          <w:tcPr>
            <w:tcW w:w="4195" w:type="dxa"/>
            <w:tcBorders>
              <w:top w:val="nil"/>
              <w:left w:val="nil"/>
              <w:bottom w:val="nil"/>
              <w:right w:val="nil"/>
            </w:tcBorders>
            <w:shd w:val="clear" w:color="auto" w:fill="auto"/>
            <w:noWrap/>
            <w:vAlign w:val="bottom"/>
            <w:hideMark/>
          </w:tcPr>
          <w:p w14:paraId="1C775776" w14:textId="1B0FC643"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Těhotenství, porod, šestinedělí</w:t>
            </w:r>
          </w:p>
        </w:tc>
        <w:tc>
          <w:tcPr>
            <w:tcW w:w="907" w:type="dxa"/>
            <w:tcBorders>
              <w:top w:val="nil"/>
              <w:left w:val="single" w:sz="4" w:space="0" w:color="auto"/>
              <w:bottom w:val="nil"/>
              <w:right w:val="nil"/>
            </w:tcBorders>
            <w:shd w:val="clear" w:color="auto" w:fill="auto"/>
            <w:noWrap/>
            <w:vAlign w:val="bottom"/>
            <w:hideMark/>
          </w:tcPr>
          <w:p w14:paraId="29630E6E" w14:textId="71499FE1"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28,2</w:t>
            </w:r>
          </w:p>
        </w:tc>
        <w:tc>
          <w:tcPr>
            <w:tcW w:w="907" w:type="dxa"/>
            <w:tcBorders>
              <w:top w:val="nil"/>
              <w:left w:val="nil"/>
              <w:bottom w:val="nil"/>
              <w:right w:val="nil"/>
            </w:tcBorders>
            <w:shd w:val="clear" w:color="auto" w:fill="auto"/>
            <w:noWrap/>
            <w:vAlign w:val="bottom"/>
            <w:hideMark/>
          </w:tcPr>
          <w:p w14:paraId="582D4D27" w14:textId="00F175C2" w:rsidR="003018A3" w:rsidRPr="003018A3" w:rsidRDefault="003018A3" w:rsidP="003018A3">
            <w:pPr>
              <w:spacing w:after="0" w:line="240" w:lineRule="auto"/>
              <w:jc w:val="right"/>
              <w:rPr>
                <w:rFonts w:ascii="Calibri" w:hAnsi="Calibri" w:cs="Calibri"/>
                <w:color w:val="000000"/>
                <w:sz w:val="16"/>
                <w:szCs w:val="16"/>
              </w:rPr>
            </w:pPr>
            <w:r>
              <w:rPr>
                <w:rFonts w:cs="Arial"/>
                <w:color w:val="000000"/>
                <w:sz w:val="16"/>
                <w:szCs w:val="16"/>
              </w:rPr>
              <w:t>x</w:t>
            </w:r>
          </w:p>
        </w:tc>
        <w:tc>
          <w:tcPr>
            <w:tcW w:w="907" w:type="dxa"/>
            <w:tcBorders>
              <w:top w:val="nil"/>
              <w:left w:val="nil"/>
              <w:bottom w:val="nil"/>
              <w:right w:val="single" w:sz="4" w:space="0" w:color="auto"/>
            </w:tcBorders>
            <w:shd w:val="clear" w:color="auto" w:fill="auto"/>
            <w:noWrap/>
            <w:vAlign w:val="bottom"/>
            <w:hideMark/>
          </w:tcPr>
          <w:p w14:paraId="5CF5BE0A" w14:textId="5A37D24F"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28,2</w:t>
            </w:r>
          </w:p>
        </w:tc>
        <w:tc>
          <w:tcPr>
            <w:tcW w:w="907" w:type="dxa"/>
            <w:tcBorders>
              <w:top w:val="nil"/>
              <w:left w:val="nil"/>
              <w:bottom w:val="nil"/>
              <w:right w:val="nil"/>
            </w:tcBorders>
            <w:shd w:val="clear" w:color="auto" w:fill="auto"/>
            <w:noWrap/>
            <w:vAlign w:val="bottom"/>
            <w:hideMark/>
          </w:tcPr>
          <w:p w14:paraId="5A885C8C" w14:textId="5867A2AC"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97,6</w:t>
            </w:r>
          </w:p>
        </w:tc>
        <w:tc>
          <w:tcPr>
            <w:tcW w:w="907" w:type="dxa"/>
            <w:tcBorders>
              <w:top w:val="nil"/>
              <w:left w:val="nil"/>
              <w:bottom w:val="nil"/>
              <w:right w:val="nil"/>
            </w:tcBorders>
            <w:shd w:val="clear" w:color="auto" w:fill="auto"/>
            <w:noWrap/>
            <w:vAlign w:val="bottom"/>
            <w:hideMark/>
          </w:tcPr>
          <w:p w14:paraId="3C535BAC" w14:textId="58EDF82A"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x</w:t>
            </w:r>
          </w:p>
        </w:tc>
        <w:tc>
          <w:tcPr>
            <w:tcW w:w="907" w:type="dxa"/>
            <w:tcBorders>
              <w:top w:val="nil"/>
              <w:left w:val="nil"/>
              <w:bottom w:val="nil"/>
              <w:right w:val="nil"/>
            </w:tcBorders>
            <w:shd w:val="clear" w:color="auto" w:fill="auto"/>
            <w:noWrap/>
            <w:vAlign w:val="bottom"/>
            <w:hideMark/>
          </w:tcPr>
          <w:p w14:paraId="64F0B624" w14:textId="7778D2D0"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97,6</w:t>
            </w:r>
          </w:p>
        </w:tc>
      </w:tr>
      <w:tr w:rsidR="003018A3" w:rsidRPr="003018A3" w14:paraId="65CDE426" w14:textId="77777777" w:rsidTr="005E754B">
        <w:trPr>
          <w:trHeight w:val="300"/>
        </w:trPr>
        <w:tc>
          <w:tcPr>
            <w:tcW w:w="4195" w:type="dxa"/>
            <w:tcBorders>
              <w:top w:val="nil"/>
              <w:left w:val="nil"/>
              <w:bottom w:val="nil"/>
              <w:right w:val="nil"/>
            </w:tcBorders>
            <w:shd w:val="clear" w:color="auto" w:fill="auto"/>
            <w:noWrap/>
            <w:vAlign w:val="bottom"/>
            <w:hideMark/>
          </w:tcPr>
          <w:p w14:paraId="69332017" w14:textId="390E400D"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Úrazy, otravy</w:t>
            </w:r>
          </w:p>
        </w:tc>
        <w:tc>
          <w:tcPr>
            <w:tcW w:w="907" w:type="dxa"/>
            <w:tcBorders>
              <w:top w:val="nil"/>
              <w:left w:val="single" w:sz="4" w:space="0" w:color="auto"/>
              <w:bottom w:val="nil"/>
              <w:right w:val="nil"/>
            </w:tcBorders>
            <w:shd w:val="clear" w:color="auto" w:fill="auto"/>
            <w:noWrap/>
            <w:vAlign w:val="bottom"/>
            <w:hideMark/>
          </w:tcPr>
          <w:p w14:paraId="696302AC" w14:textId="2FE7E844"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203,6</w:t>
            </w:r>
          </w:p>
        </w:tc>
        <w:tc>
          <w:tcPr>
            <w:tcW w:w="907" w:type="dxa"/>
            <w:tcBorders>
              <w:top w:val="nil"/>
              <w:left w:val="nil"/>
              <w:bottom w:val="nil"/>
              <w:right w:val="nil"/>
            </w:tcBorders>
            <w:shd w:val="clear" w:color="auto" w:fill="auto"/>
            <w:noWrap/>
            <w:vAlign w:val="bottom"/>
            <w:hideMark/>
          </w:tcPr>
          <w:p w14:paraId="166A7081" w14:textId="4822FE2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127,3</w:t>
            </w:r>
          </w:p>
        </w:tc>
        <w:tc>
          <w:tcPr>
            <w:tcW w:w="907" w:type="dxa"/>
            <w:tcBorders>
              <w:top w:val="nil"/>
              <w:left w:val="nil"/>
              <w:bottom w:val="nil"/>
              <w:right w:val="single" w:sz="4" w:space="0" w:color="auto"/>
            </w:tcBorders>
            <w:shd w:val="clear" w:color="auto" w:fill="auto"/>
            <w:noWrap/>
            <w:vAlign w:val="bottom"/>
            <w:hideMark/>
          </w:tcPr>
          <w:p w14:paraId="0C6ACD8C" w14:textId="18EE5A29"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76,2</w:t>
            </w:r>
          </w:p>
        </w:tc>
        <w:tc>
          <w:tcPr>
            <w:tcW w:w="907" w:type="dxa"/>
            <w:tcBorders>
              <w:top w:val="nil"/>
              <w:left w:val="nil"/>
              <w:bottom w:val="nil"/>
              <w:right w:val="nil"/>
            </w:tcBorders>
            <w:shd w:val="clear" w:color="auto" w:fill="auto"/>
            <w:noWrap/>
            <w:vAlign w:val="bottom"/>
            <w:hideMark/>
          </w:tcPr>
          <w:p w14:paraId="785C2EAD" w14:textId="7082E5B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51,9</w:t>
            </w:r>
          </w:p>
        </w:tc>
        <w:tc>
          <w:tcPr>
            <w:tcW w:w="907" w:type="dxa"/>
            <w:tcBorders>
              <w:top w:val="nil"/>
              <w:left w:val="nil"/>
              <w:bottom w:val="nil"/>
              <w:right w:val="nil"/>
            </w:tcBorders>
            <w:shd w:val="clear" w:color="auto" w:fill="auto"/>
            <w:noWrap/>
            <w:vAlign w:val="bottom"/>
            <w:hideMark/>
          </w:tcPr>
          <w:p w14:paraId="0377933E" w14:textId="3195E84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50,5</w:t>
            </w:r>
          </w:p>
        </w:tc>
        <w:tc>
          <w:tcPr>
            <w:tcW w:w="907" w:type="dxa"/>
            <w:tcBorders>
              <w:top w:val="nil"/>
              <w:left w:val="nil"/>
              <w:bottom w:val="nil"/>
              <w:right w:val="nil"/>
            </w:tcBorders>
            <w:shd w:val="clear" w:color="auto" w:fill="auto"/>
            <w:noWrap/>
            <w:vAlign w:val="bottom"/>
            <w:hideMark/>
          </w:tcPr>
          <w:p w14:paraId="1D5876AF" w14:textId="01700308"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54,3</w:t>
            </w:r>
          </w:p>
        </w:tc>
      </w:tr>
      <w:tr w:rsidR="003018A3" w:rsidRPr="003018A3" w14:paraId="23E025E0" w14:textId="77777777" w:rsidTr="005E754B">
        <w:trPr>
          <w:trHeight w:val="300"/>
        </w:trPr>
        <w:tc>
          <w:tcPr>
            <w:tcW w:w="4195" w:type="dxa"/>
            <w:tcBorders>
              <w:top w:val="nil"/>
              <w:left w:val="nil"/>
              <w:bottom w:val="nil"/>
              <w:right w:val="nil"/>
            </w:tcBorders>
            <w:shd w:val="clear" w:color="auto" w:fill="auto"/>
            <w:noWrap/>
            <w:vAlign w:val="bottom"/>
            <w:hideMark/>
          </w:tcPr>
          <w:p w14:paraId="26B67812" w14:textId="0CE327E5" w:rsidR="003018A3" w:rsidRPr="003018A3" w:rsidRDefault="003018A3" w:rsidP="003018A3">
            <w:pPr>
              <w:spacing w:after="0" w:line="240" w:lineRule="auto"/>
              <w:ind w:firstLineChars="100" w:firstLine="160"/>
              <w:rPr>
                <w:rFonts w:cs="Arial"/>
                <w:color w:val="000000"/>
                <w:sz w:val="16"/>
                <w:szCs w:val="16"/>
              </w:rPr>
            </w:pPr>
            <w:r w:rsidRPr="003018A3">
              <w:rPr>
                <w:rFonts w:cs="Arial"/>
                <w:color w:val="000000"/>
                <w:sz w:val="16"/>
                <w:szCs w:val="16"/>
              </w:rPr>
              <w:t>Nemoci ostatní</w:t>
            </w:r>
          </w:p>
        </w:tc>
        <w:tc>
          <w:tcPr>
            <w:tcW w:w="907" w:type="dxa"/>
            <w:tcBorders>
              <w:top w:val="nil"/>
              <w:left w:val="single" w:sz="4" w:space="0" w:color="auto"/>
              <w:bottom w:val="nil"/>
              <w:right w:val="nil"/>
            </w:tcBorders>
            <w:shd w:val="clear" w:color="auto" w:fill="auto"/>
            <w:noWrap/>
            <w:vAlign w:val="bottom"/>
            <w:hideMark/>
          </w:tcPr>
          <w:p w14:paraId="41292474" w14:textId="6050CC4B"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1 418,4</w:t>
            </w:r>
          </w:p>
        </w:tc>
        <w:tc>
          <w:tcPr>
            <w:tcW w:w="907" w:type="dxa"/>
            <w:tcBorders>
              <w:top w:val="nil"/>
              <w:left w:val="nil"/>
              <w:bottom w:val="nil"/>
              <w:right w:val="nil"/>
            </w:tcBorders>
            <w:shd w:val="clear" w:color="auto" w:fill="auto"/>
            <w:noWrap/>
            <w:vAlign w:val="bottom"/>
            <w:hideMark/>
          </w:tcPr>
          <w:p w14:paraId="62684EC7" w14:textId="0188A1A6"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638,9</w:t>
            </w:r>
          </w:p>
        </w:tc>
        <w:tc>
          <w:tcPr>
            <w:tcW w:w="907" w:type="dxa"/>
            <w:tcBorders>
              <w:top w:val="nil"/>
              <w:left w:val="nil"/>
              <w:bottom w:val="nil"/>
              <w:right w:val="single" w:sz="4" w:space="0" w:color="auto"/>
            </w:tcBorders>
            <w:shd w:val="clear" w:color="auto" w:fill="auto"/>
            <w:noWrap/>
            <w:vAlign w:val="bottom"/>
            <w:hideMark/>
          </w:tcPr>
          <w:p w14:paraId="56A323EC" w14:textId="3C53CB03"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779,5</w:t>
            </w:r>
          </w:p>
        </w:tc>
        <w:tc>
          <w:tcPr>
            <w:tcW w:w="907" w:type="dxa"/>
            <w:tcBorders>
              <w:top w:val="nil"/>
              <w:left w:val="nil"/>
              <w:bottom w:val="nil"/>
              <w:right w:val="nil"/>
            </w:tcBorders>
            <w:shd w:val="clear" w:color="auto" w:fill="auto"/>
            <w:noWrap/>
            <w:vAlign w:val="bottom"/>
            <w:hideMark/>
          </w:tcPr>
          <w:p w14:paraId="4BA609B2" w14:textId="18D0F14F"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13,8</w:t>
            </w:r>
          </w:p>
        </w:tc>
        <w:tc>
          <w:tcPr>
            <w:tcW w:w="907" w:type="dxa"/>
            <w:tcBorders>
              <w:top w:val="nil"/>
              <w:left w:val="nil"/>
              <w:bottom w:val="nil"/>
              <w:right w:val="nil"/>
            </w:tcBorders>
            <w:shd w:val="clear" w:color="auto" w:fill="auto"/>
            <w:noWrap/>
            <w:vAlign w:val="bottom"/>
            <w:hideMark/>
          </w:tcPr>
          <w:p w14:paraId="3BCEE042" w14:textId="2376F667"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12,5</w:t>
            </w:r>
          </w:p>
        </w:tc>
        <w:tc>
          <w:tcPr>
            <w:tcW w:w="907" w:type="dxa"/>
            <w:tcBorders>
              <w:top w:val="nil"/>
              <w:left w:val="nil"/>
              <w:bottom w:val="nil"/>
              <w:right w:val="nil"/>
            </w:tcBorders>
            <w:shd w:val="clear" w:color="auto" w:fill="auto"/>
            <w:noWrap/>
            <w:vAlign w:val="bottom"/>
            <w:hideMark/>
          </w:tcPr>
          <w:p w14:paraId="0A7E21B7" w14:textId="5A0245A2" w:rsidR="003018A3" w:rsidRPr="003018A3" w:rsidRDefault="003018A3" w:rsidP="003018A3">
            <w:pPr>
              <w:spacing w:after="0" w:line="240" w:lineRule="auto"/>
              <w:jc w:val="right"/>
              <w:rPr>
                <w:rFonts w:cs="Arial"/>
                <w:color w:val="000000"/>
                <w:sz w:val="16"/>
                <w:szCs w:val="16"/>
              </w:rPr>
            </w:pPr>
            <w:r w:rsidRPr="003018A3">
              <w:rPr>
                <w:rFonts w:cs="Arial"/>
                <w:color w:val="000000"/>
                <w:sz w:val="16"/>
                <w:szCs w:val="16"/>
              </w:rPr>
              <w:t>14,9</w:t>
            </w:r>
          </w:p>
        </w:tc>
      </w:tr>
    </w:tbl>
    <w:p w14:paraId="6919C549" w14:textId="5481E934" w:rsidR="00287133" w:rsidRPr="003018A3" w:rsidRDefault="00287133" w:rsidP="00287133">
      <w:pPr>
        <w:spacing w:before="120"/>
        <w:rPr>
          <w:sz w:val="16"/>
        </w:rPr>
      </w:pPr>
      <w:r w:rsidRPr="003018A3">
        <w:rPr>
          <w:sz w:val="16"/>
        </w:rPr>
        <w:t>Zdroj: ČSSZ</w:t>
      </w:r>
    </w:p>
    <w:p w14:paraId="0F41D5A0" w14:textId="25A709CC" w:rsidR="005C663E" w:rsidRPr="00862223" w:rsidRDefault="005C663E" w:rsidP="005C663E">
      <w:pPr>
        <w:spacing w:before="120" w:after="120"/>
        <w:jc w:val="both"/>
      </w:pPr>
      <w:r w:rsidRPr="00862223">
        <w:lastRenderedPageBreak/>
        <w:t xml:space="preserve">Z hlediska </w:t>
      </w:r>
      <w:r w:rsidRPr="00862223">
        <w:rPr>
          <w:b/>
        </w:rPr>
        <w:t>pohlaví</w:t>
      </w:r>
      <w:r w:rsidRPr="00862223">
        <w:t xml:space="preserve"> je výskyt pracovní neschopnosti četnější u žen, v roce 202</w:t>
      </w:r>
      <w:r w:rsidR="00862223" w:rsidRPr="00862223">
        <w:t>2</w:t>
      </w:r>
      <w:r w:rsidRPr="00862223">
        <w:t xml:space="preserve"> ženy zaznamenaly 1 </w:t>
      </w:r>
      <w:r w:rsidR="00862223" w:rsidRPr="00862223">
        <w:t>859</w:t>
      </w:r>
      <w:r w:rsidRPr="00862223">
        <w:t xml:space="preserve"> tis. ukončených případů pracovní neschopnosti, muži 1 </w:t>
      </w:r>
      <w:r w:rsidR="00862223" w:rsidRPr="00862223">
        <w:t>579</w:t>
      </w:r>
      <w:r w:rsidRPr="00862223">
        <w:t xml:space="preserve"> tis. neschopenek. Pracovní neschopnost u žen také trvala v průměru o </w:t>
      </w:r>
      <w:r w:rsidR="00862223" w:rsidRPr="00862223">
        <w:t>0,8</w:t>
      </w:r>
      <w:r w:rsidRPr="00862223">
        <w:t xml:space="preserve"> dne déle než u mužů. </w:t>
      </w:r>
      <w:r w:rsidR="00862223">
        <w:t>V roce 2021 to bylo o</w:t>
      </w:r>
      <w:r w:rsidR="00862223" w:rsidRPr="00862223">
        <w:t> 3,5 dn</w:t>
      </w:r>
      <w:r w:rsidR="00862223">
        <w:t>e déle</w:t>
      </w:r>
      <w:r w:rsidR="00862223" w:rsidRPr="00862223">
        <w:t>.</w:t>
      </w:r>
    </w:p>
    <w:p w14:paraId="3B4081F4" w14:textId="6BB3B6A5" w:rsidR="005C663E" w:rsidRPr="00397350" w:rsidRDefault="005C663E" w:rsidP="005C663E">
      <w:pPr>
        <w:spacing w:before="120" w:after="120"/>
        <w:jc w:val="both"/>
      </w:pPr>
      <w:r w:rsidRPr="00397350">
        <w:t>Výraznější rozdíl v pracovní neschopnosti podle pohlaví se objevuje u nemocí močové a pohlavní soustavy, kdy je počet ukončenýc</w:t>
      </w:r>
      <w:r w:rsidR="00397350" w:rsidRPr="00397350">
        <w:t>h případů u mužů oproti ženám 3</w:t>
      </w:r>
      <w:r w:rsidRPr="00397350">
        <w:t>krát nižší. Duševní onemocnění vedoucí k pracovní neschopnosti byl</w:t>
      </w:r>
      <w:r w:rsidR="00FC3BC5">
        <w:t>a</w:t>
      </w:r>
      <w:r w:rsidRPr="00397350">
        <w:t xml:space="preserve"> v roce 202</w:t>
      </w:r>
      <w:r w:rsidR="00397350" w:rsidRPr="00397350">
        <w:t>2</w:t>
      </w:r>
      <w:r w:rsidRPr="00397350">
        <w:t xml:space="preserve"> téměř dvakrát (1,8krát) častější u žen. Muži jsou naopak náchylnější na nemoci oběhové, trávicí či pohybové soustavy. Mnohem častěji jsou v pracovní neschopnosti také z důvodu úrazu či otravy.</w:t>
      </w:r>
    </w:p>
    <w:p w14:paraId="1CB2633A" w14:textId="6FE6CF6B" w:rsidR="005E754B" w:rsidRPr="00862223" w:rsidRDefault="005E754B" w:rsidP="005E754B">
      <w:pPr>
        <w:spacing w:after="0" w:line="240" w:lineRule="auto"/>
        <w:jc w:val="both"/>
        <w:rPr>
          <w:rFonts w:cs="Arial"/>
          <w:b/>
          <w:bCs/>
          <w:color w:val="000000"/>
          <w:szCs w:val="20"/>
        </w:rPr>
      </w:pPr>
      <w:r w:rsidRPr="00862223">
        <w:rPr>
          <w:rFonts w:cs="Arial"/>
          <w:b/>
          <w:bCs/>
          <w:color w:val="000000"/>
          <w:szCs w:val="20"/>
        </w:rPr>
        <w:t>Graf 3.1: Struktura ukončených případů dočasné pracovní neschop</w:t>
      </w:r>
      <w:r w:rsidR="00862223" w:rsidRPr="00862223">
        <w:rPr>
          <w:rFonts w:cs="Arial"/>
          <w:b/>
          <w:bCs/>
          <w:color w:val="000000"/>
          <w:szCs w:val="20"/>
        </w:rPr>
        <w:t>nosti podle skupin diagnóz, 2022</w:t>
      </w:r>
    </w:p>
    <w:p w14:paraId="02957C85" w14:textId="710697EF" w:rsidR="00D7583A" w:rsidRPr="00166BEB" w:rsidRDefault="00C345C6" w:rsidP="004C01F9">
      <w:pPr>
        <w:jc w:val="both"/>
        <w:rPr>
          <w:b/>
          <w:highlight w:val="yellow"/>
        </w:rPr>
      </w:pPr>
      <w:r>
        <w:rPr>
          <w:noProof/>
        </w:rPr>
        <w:drawing>
          <wp:inline distT="0" distB="0" distL="0" distR="0" wp14:anchorId="24FFAD27" wp14:editId="655E971E">
            <wp:extent cx="6120130" cy="3733800"/>
            <wp:effectExtent l="0" t="0" r="13970" b="0"/>
            <wp:docPr id="32" name="Graf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3BD6A2A1" w14:textId="77777777" w:rsidR="005E754B" w:rsidRPr="00862223" w:rsidRDefault="005E754B" w:rsidP="005E754B">
      <w:pPr>
        <w:spacing w:before="120"/>
        <w:rPr>
          <w:sz w:val="16"/>
        </w:rPr>
      </w:pPr>
      <w:r w:rsidRPr="00862223">
        <w:rPr>
          <w:sz w:val="16"/>
        </w:rPr>
        <w:t>Zdroj: ČSSZ</w:t>
      </w:r>
    </w:p>
    <w:p w14:paraId="3429C9B1" w14:textId="77777777" w:rsidR="005E754B" w:rsidRPr="00C42FD6" w:rsidRDefault="00F40B8C" w:rsidP="00C42FD6">
      <w:pPr>
        <w:pStyle w:val="Nadpis3"/>
      </w:pPr>
      <w:bookmarkStart w:id="19" w:name="_Toc136412154"/>
      <w:r w:rsidRPr="00BD6D2F">
        <w:t>4.4 Výdaje na dávky nemocenského pojištění</w:t>
      </w:r>
      <w:bookmarkEnd w:id="19"/>
    </w:p>
    <w:p w14:paraId="422B558E" w14:textId="77777777" w:rsidR="00F40B8C" w:rsidRPr="006E6D17" w:rsidRDefault="00F40B8C" w:rsidP="00C42FD6">
      <w:pPr>
        <w:spacing w:after="120"/>
        <w:jc w:val="both"/>
      </w:pPr>
      <w:r w:rsidRPr="006E6D17">
        <w:t>Systém nemocenského pojištění je určen pro výdělečně činné osoby, které při ztrátě příjmu v případech tzv. krátkodobých sociálních událostí zabezpečuje peněžitými dávkami nemocenského pojištění.</w:t>
      </w:r>
    </w:p>
    <w:p w14:paraId="137E02A7" w14:textId="77777777" w:rsidR="00F40B8C" w:rsidRPr="006E6D17" w:rsidRDefault="00F40B8C" w:rsidP="00F40B8C">
      <w:pPr>
        <w:spacing w:after="60"/>
        <w:jc w:val="both"/>
      </w:pPr>
      <w:r w:rsidRPr="006E6D17">
        <w:t>Z nemocenského pojištění se poskytuje 6 peněžitých dávek, a to:</w:t>
      </w:r>
    </w:p>
    <w:p w14:paraId="643880E1" w14:textId="77777777" w:rsidR="00F40B8C" w:rsidRPr="006E6D17" w:rsidRDefault="00F40B8C" w:rsidP="00F40B8C">
      <w:pPr>
        <w:pStyle w:val="Odstavecseseznamem"/>
        <w:numPr>
          <w:ilvl w:val="0"/>
          <w:numId w:val="28"/>
        </w:numPr>
        <w:spacing w:after="0"/>
        <w:jc w:val="both"/>
      </w:pPr>
      <w:r w:rsidRPr="006E6D17">
        <w:t>Nemocenské,</w:t>
      </w:r>
    </w:p>
    <w:p w14:paraId="66B52B20" w14:textId="77777777" w:rsidR="00F40B8C" w:rsidRPr="006E6D17" w:rsidRDefault="00F40B8C" w:rsidP="00F40B8C">
      <w:pPr>
        <w:pStyle w:val="Odstavecseseznamem"/>
        <w:numPr>
          <w:ilvl w:val="0"/>
          <w:numId w:val="28"/>
        </w:numPr>
        <w:spacing w:after="0"/>
        <w:jc w:val="both"/>
      </w:pPr>
      <w:r w:rsidRPr="006E6D17">
        <w:t>Peněžitá pomoc v mateřství,</w:t>
      </w:r>
    </w:p>
    <w:p w14:paraId="4F446056" w14:textId="77777777" w:rsidR="00F40B8C" w:rsidRPr="006E6D17" w:rsidRDefault="00F40B8C" w:rsidP="00F40B8C">
      <w:pPr>
        <w:pStyle w:val="Odstavecseseznamem"/>
        <w:numPr>
          <w:ilvl w:val="0"/>
          <w:numId w:val="28"/>
        </w:numPr>
        <w:spacing w:after="0"/>
        <w:jc w:val="both"/>
      </w:pPr>
      <w:r w:rsidRPr="006E6D17">
        <w:t>Ošetřovné,</w:t>
      </w:r>
    </w:p>
    <w:p w14:paraId="0D30AACC" w14:textId="77777777" w:rsidR="00F40B8C" w:rsidRPr="006E6D17" w:rsidRDefault="00F40B8C" w:rsidP="00F40B8C">
      <w:pPr>
        <w:pStyle w:val="Odstavecseseznamem"/>
        <w:numPr>
          <w:ilvl w:val="0"/>
          <w:numId w:val="28"/>
        </w:numPr>
        <w:spacing w:after="0"/>
        <w:jc w:val="both"/>
      </w:pPr>
      <w:r w:rsidRPr="006E6D17">
        <w:t>Vyrovnávací příspěvek v těhotenství a mateřství,</w:t>
      </w:r>
    </w:p>
    <w:p w14:paraId="1F1508A3" w14:textId="77777777" w:rsidR="00F40B8C" w:rsidRPr="006E6D17" w:rsidRDefault="00F40B8C" w:rsidP="00F40B8C">
      <w:pPr>
        <w:pStyle w:val="Odstavecseseznamem"/>
        <w:numPr>
          <w:ilvl w:val="0"/>
          <w:numId w:val="28"/>
        </w:numPr>
        <w:spacing w:after="0"/>
        <w:jc w:val="both"/>
      </w:pPr>
      <w:r w:rsidRPr="006E6D17">
        <w:t>Dávka otcovské poporodní péče (tzv. otcovská),</w:t>
      </w:r>
    </w:p>
    <w:p w14:paraId="04F9155B" w14:textId="77777777" w:rsidR="00F40B8C" w:rsidRPr="006E6D17" w:rsidRDefault="00F40B8C" w:rsidP="00F40B8C">
      <w:pPr>
        <w:pStyle w:val="Odstavecseseznamem"/>
        <w:numPr>
          <w:ilvl w:val="0"/>
          <w:numId w:val="28"/>
        </w:numPr>
        <w:spacing w:after="60"/>
        <w:ind w:left="714" w:hanging="357"/>
        <w:contextualSpacing w:val="0"/>
        <w:jc w:val="both"/>
      </w:pPr>
      <w:r w:rsidRPr="006E6D17">
        <w:t>Dlouhodobé ošetřovné.</w:t>
      </w:r>
    </w:p>
    <w:p w14:paraId="62B50A1D" w14:textId="77777777" w:rsidR="00F40B8C" w:rsidRPr="006E6D17" w:rsidRDefault="00F40B8C" w:rsidP="00F40B8C">
      <w:pPr>
        <w:spacing w:before="120" w:after="120"/>
        <w:jc w:val="both"/>
      </w:pPr>
      <w:r w:rsidRPr="006E6D17">
        <w:t xml:space="preserve">Výše dávek nemocenského pojištění </w:t>
      </w:r>
      <w:r w:rsidRPr="006E6D17">
        <w:rPr>
          <w:b/>
        </w:rPr>
        <w:t>závisí</w:t>
      </w:r>
      <w:r w:rsidRPr="006E6D17">
        <w:t xml:space="preserve"> na dosahovaném </w:t>
      </w:r>
      <w:r w:rsidRPr="006E6D17">
        <w:rPr>
          <w:b/>
        </w:rPr>
        <w:t>výdělku, redukčních hranicích</w:t>
      </w:r>
      <w:r w:rsidRPr="006E6D17">
        <w:t xml:space="preserve"> pro redukci denního vyměřovacího základu, </w:t>
      </w:r>
      <w:r w:rsidRPr="006E6D17">
        <w:rPr>
          <w:b/>
        </w:rPr>
        <w:t xml:space="preserve">redukci mezi </w:t>
      </w:r>
      <w:r w:rsidRPr="006E6D17">
        <w:t xml:space="preserve">jednotlivými redukčními </w:t>
      </w:r>
      <w:r w:rsidRPr="006E6D17">
        <w:rPr>
          <w:b/>
        </w:rPr>
        <w:t>hranicemi</w:t>
      </w:r>
      <w:r w:rsidRPr="006E6D17">
        <w:t xml:space="preserve"> a na </w:t>
      </w:r>
      <w:r w:rsidRPr="006E6D17">
        <w:rPr>
          <w:b/>
        </w:rPr>
        <w:t>procentní sazbě</w:t>
      </w:r>
      <w:r w:rsidRPr="006E6D17">
        <w:t xml:space="preserve"> pro jednotlivé dávky.</w:t>
      </w:r>
    </w:p>
    <w:p w14:paraId="524B528B" w14:textId="761C2EB3" w:rsidR="005C663E" w:rsidRPr="00166BEB" w:rsidRDefault="00F40B8C" w:rsidP="00C345C6">
      <w:pPr>
        <w:spacing w:before="120" w:after="120"/>
        <w:jc w:val="both"/>
        <w:rPr>
          <w:rFonts w:eastAsia="Calibri" w:cs="Arial"/>
          <w:b/>
          <w:i/>
          <w:szCs w:val="20"/>
          <w:highlight w:val="yellow"/>
        </w:rPr>
      </w:pPr>
      <w:r w:rsidRPr="006E6D17">
        <w:t xml:space="preserve">Všechny dávky nemocenského pojištění vyplácí </w:t>
      </w:r>
      <w:r w:rsidR="00E0156A" w:rsidRPr="006E6D17">
        <w:t>OSSZ</w:t>
      </w:r>
      <w:r w:rsidRPr="006E6D17">
        <w:t xml:space="preserve"> a hradí se ze státního rozpočtu (z příjmů z pojistného). Dávky nemocenského pojištění se vyplácejí za kalendářní dny.</w:t>
      </w:r>
    </w:p>
    <w:p w14:paraId="2118A154" w14:textId="20009B1C" w:rsidR="00F40B8C" w:rsidRPr="006E6D17" w:rsidRDefault="00F40B8C" w:rsidP="00F40B8C">
      <w:pPr>
        <w:pStyle w:val="Box1"/>
        <w:spacing w:before="120" w:after="120"/>
        <w:ind w:left="0"/>
        <w:contextualSpacing w:val="0"/>
        <w:jc w:val="both"/>
        <w:rPr>
          <w:i/>
        </w:rPr>
      </w:pPr>
      <w:r w:rsidRPr="006E6D17">
        <w:rPr>
          <w:b/>
          <w:i/>
        </w:rPr>
        <w:lastRenderedPageBreak/>
        <w:t xml:space="preserve">Nemocenské </w:t>
      </w:r>
      <w:r w:rsidRPr="006E6D17">
        <w:rPr>
          <w:i/>
        </w:rPr>
        <w:t>– je základní peněžitou dávkou systému nemocenského pojištění. Na nemocenské má nárok pojištěnec, který je uznán ošetřujícím lékařem dočasně práce neschopným, a to od 15. kalendářního dne trvání jeho dočasné pracovní neschopnosti do konce dočasné pracovní neschopnosti, maximálně však 380 kalendářních dnů počítaných od vzniku dočasné pracovní neschopnosti.</w:t>
      </w:r>
    </w:p>
    <w:p w14:paraId="48F1CB90" w14:textId="4FF2FE8E" w:rsidR="00F40B8C" w:rsidRPr="00467D54" w:rsidRDefault="00F40B8C" w:rsidP="00F40B8C">
      <w:pPr>
        <w:pStyle w:val="Default"/>
        <w:spacing w:before="120" w:after="120" w:line="288" w:lineRule="auto"/>
        <w:jc w:val="both"/>
        <w:rPr>
          <w:rFonts w:eastAsia="Times New Roman" w:cs="Times New Roman"/>
          <w:color w:val="auto"/>
          <w:sz w:val="20"/>
          <w:lang w:eastAsia="cs-CZ"/>
        </w:rPr>
      </w:pPr>
      <w:r w:rsidRPr="00467D54">
        <w:rPr>
          <w:rFonts w:eastAsia="Times New Roman" w:cs="Times New Roman"/>
          <w:b/>
          <w:color w:val="auto"/>
          <w:sz w:val="20"/>
          <w:lang w:eastAsia="cs-CZ"/>
        </w:rPr>
        <w:t>Výdaje na dávky nemocenského</w:t>
      </w:r>
      <w:r w:rsidRPr="00467D54">
        <w:rPr>
          <w:rFonts w:eastAsia="Times New Roman" w:cs="Times New Roman"/>
          <w:color w:val="auto"/>
          <w:sz w:val="20"/>
          <w:lang w:eastAsia="cs-CZ"/>
        </w:rPr>
        <w:t xml:space="preserve"> </w:t>
      </w:r>
      <w:r w:rsidRPr="00467D54">
        <w:rPr>
          <w:rFonts w:eastAsia="Times New Roman" w:cs="Times New Roman"/>
          <w:b/>
          <w:color w:val="auto"/>
          <w:sz w:val="20"/>
          <w:lang w:eastAsia="cs-CZ"/>
        </w:rPr>
        <w:t>pojištění</w:t>
      </w:r>
      <w:r w:rsidRPr="00467D54">
        <w:rPr>
          <w:rFonts w:eastAsia="Times New Roman" w:cs="Times New Roman"/>
          <w:color w:val="auto"/>
          <w:sz w:val="20"/>
          <w:lang w:eastAsia="cs-CZ"/>
        </w:rPr>
        <w:t xml:space="preserve"> za rok 202</w:t>
      </w:r>
      <w:r w:rsidR="007A75AA" w:rsidRPr="00467D54">
        <w:rPr>
          <w:rFonts w:eastAsia="Times New Roman" w:cs="Times New Roman"/>
          <w:color w:val="auto"/>
          <w:sz w:val="20"/>
          <w:lang w:eastAsia="cs-CZ"/>
        </w:rPr>
        <w:t>2</w:t>
      </w:r>
      <w:r w:rsidRPr="00467D54">
        <w:rPr>
          <w:rFonts w:eastAsia="Times New Roman" w:cs="Times New Roman"/>
          <w:color w:val="auto"/>
          <w:sz w:val="20"/>
          <w:lang w:eastAsia="cs-CZ"/>
        </w:rPr>
        <w:t xml:space="preserve"> činily </w:t>
      </w:r>
      <w:r w:rsidR="007A75AA" w:rsidRPr="00467D54">
        <w:rPr>
          <w:rFonts w:eastAsia="Times New Roman" w:cs="Times New Roman"/>
          <w:color w:val="auto"/>
          <w:sz w:val="20"/>
          <w:lang w:eastAsia="cs-CZ"/>
        </w:rPr>
        <w:t>47,6</w:t>
      </w:r>
      <w:r w:rsidRPr="00467D54">
        <w:rPr>
          <w:rFonts w:eastAsia="Times New Roman" w:cs="Times New Roman"/>
          <w:color w:val="auto"/>
          <w:sz w:val="20"/>
          <w:lang w:eastAsia="cs-CZ"/>
        </w:rPr>
        <w:t xml:space="preserve"> mld. Kč, tedy o 3,</w:t>
      </w:r>
      <w:r w:rsidR="007A75AA" w:rsidRPr="00467D54">
        <w:rPr>
          <w:rFonts w:eastAsia="Times New Roman" w:cs="Times New Roman"/>
          <w:color w:val="auto"/>
          <w:sz w:val="20"/>
          <w:lang w:eastAsia="cs-CZ"/>
        </w:rPr>
        <w:t>8</w:t>
      </w:r>
      <w:r w:rsidRPr="00467D54">
        <w:rPr>
          <w:rFonts w:eastAsia="Times New Roman" w:cs="Times New Roman"/>
          <w:color w:val="auto"/>
          <w:sz w:val="20"/>
          <w:lang w:eastAsia="cs-CZ"/>
        </w:rPr>
        <w:t xml:space="preserve"> mld. Kč méně než před rokem. </w:t>
      </w:r>
      <w:r w:rsidRPr="00467D54">
        <w:rPr>
          <w:rFonts w:eastAsia="Times New Roman" w:cs="Times New Roman"/>
          <w:b/>
          <w:color w:val="auto"/>
          <w:sz w:val="20"/>
          <w:lang w:eastAsia="cs-CZ"/>
        </w:rPr>
        <w:t xml:space="preserve">Výdaje </w:t>
      </w:r>
      <w:r w:rsidRPr="00467D54">
        <w:rPr>
          <w:rFonts w:eastAsia="Times New Roman" w:cs="Times New Roman"/>
          <w:color w:val="auto"/>
          <w:sz w:val="20"/>
          <w:lang w:eastAsia="cs-CZ"/>
        </w:rPr>
        <w:t xml:space="preserve">na objemově </w:t>
      </w:r>
      <w:r w:rsidRPr="00467D54">
        <w:rPr>
          <w:rFonts w:eastAsia="Times New Roman" w:cs="Times New Roman"/>
          <w:b/>
          <w:color w:val="auto"/>
          <w:sz w:val="20"/>
          <w:lang w:eastAsia="cs-CZ"/>
        </w:rPr>
        <w:t>nejvýznamnější dávku</w:t>
      </w:r>
      <w:r w:rsidRPr="00467D54">
        <w:rPr>
          <w:rFonts w:eastAsia="Times New Roman" w:cs="Times New Roman"/>
          <w:color w:val="auto"/>
          <w:sz w:val="20"/>
          <w:lang w:eastAsia="cs-CZ"/>
        </w:rPr>
        <w:t xml:space="preserve"> – </w:t>
      </w:r>
      <w:r w:rsidRPr="00467D54">
        <w:rPr>
          <w:rFonts w:eastAsia="Times New Roman" w:cs="Times New Roman"/>
          <w:b/>
          <w:color w:val="auto"/>
          <w:sz w:val="20"/>
          <w:lang w:eastAsia="cs-CZ"/>
        </w:rPr>
        <w:t>nemocenské</w:t>
      </w:r>
      <w:r w:rsidRPr="00467D54">
        <w:rPr>
          <w:rFonts w:eastAsia="Times New Roman" w:cs="Times New Roman"/>
          <w:color w:val="auto"/>
          <w:sz w:val="20"/>
          <w:lang w:eastAsia="cs-CZ"/>
        </w:rPr>
        <w:t xml:space="preserve"> – meziročně </w:t>
      </w:r>
      <w:r w:rsidR="007A75AA" w:rsidRPr="00467D54">
        <w:rPr>
          <w:rFonts w:eastAsia="Times New Roman" w:cs="Times New Roman"/>
          <w:color w:val="auto"/>
          <w:sz w:val="20"/>
          <w:lang w:eastAsia="cs-CZ"/>
        </w:rPr>
        <w:t>(poprvé za desetiletou historii) poklesly, a to</w:t>
      </w:r>
      <w:r w:rsidRPr="00467D54">
        <w:rPr>
          <w:rFonts w:eastAsia="Times New Roman" w:cs="Times New Roman"/>
          <w:color w:val="auto"/>
          <w:sz w:val="20"/>
          <w:lang w:eastAsia="cs-CZ"/>
        </w:rPr>
        <w:t xml:space="preserve"> o 1,3 mld. Kč, tj. o 4</w:t>
      </w:r>
      <w:r w:rsidR="00C55296" w:rsidRPr="00467D54">
        <w:rPr>
          <w:rFonts w:eastAsia="Times New Roman" w:cs="Times New Roman"/>
          <w:color w:val="auto"/>
          <w:sz w:val="20"/>
          <w:lang w:eastAsia="cs-CZ"/>
        </w:rPr>
        <w:t xml:space="preserve"> % a </w:t>
      </w:r>
      <w:r w:rsidR="007A75AA" w:rsidRPr="00467D54">
        <w:rPr>
          <w:rFonts w:eastAsia="Times New Roman" w:cs="Times New Roman"/>
          <w:color w:val="auto"/>
          <w:sz w:val="20"/>
          <w:lang w:eastAsia="cs-CZ"/>
        </w:rPr>
        <w:t xml:space="preserve">vrátily se </w:t>
      </w:r>
      <w:r w:rsidR="00C55296" w:rsidRPr="00467D54">
        <w:rPr>
          <w:rFonts w:eastAsia="Times New Roman" w:cs="Times New Roman"/>
          <w:color w:val="auto"/>
          <w:sz w:val="20"/>
          <w:lang w:eastAsia="cs-CZ"/>
        </w:rPr>
        <w:t xml:space="preserve">tak </w:t>
      </w:r>
      <w:r w:rsidR="007A75AA" w:rsidRPr="00467D54">
        <w:rPr>
          <w:rFonts w:eastAsia="Times New Roman" w:cs="Times New Roman"/>
          <w:color w:val="auto"/>
          <w:sz w:val="20"/>
          <w:lang w:eastAsia="cs-CZ"/>
        </w:rPr>
        <w:t>zhruba na hodnotu z roku 2020</w:t>
      </w:r>
      <w:r w:rsidR="00C55296" w:rsidRPr="00467D54">
        <w:rPr>
          <w:rFonts w:eastAsia="Times New Roman" w:cs="Times New Roman"/>
          <w:color w:val="auto"/>
          <w:sz w:val="20"/>
          <w:lang w:eastAsia="cs-CZ"/>
        </w:rPr>
        <w:t xml:space="preserve">. </w:t>
      </w:r>
      <w:r w:rsidR="00A1273E">
        <w:rPr>
          <w:rFonts w:eastAsia="Times New Roman" w:cs="Times New Roman"/>
          <w:color w:val="auto"/>
          <w:sz w:val="20"/>
          <w:lang w:eastAsia="cs-CZ"/>
        </w:rPr>
        <w:t xml:space="preserve">V každém měsíci roku 2022 došlo meziročně k poklesu počtu proplacených dnů nemocenského. </w:t>
      </w:r>
      <w:r w:rsidRPr="00467D54">
        <w:rPr>
          <w:rFonts w:eastAsia="Times New Roman" w:cs="Times New Roman"/>
          <w:color w:val="auto"/>
          <w:sz w:val="20"/>
          <w:lang w:eastAsia="cs-CZ"/>
        </w:rPr>
        <w:t>Výše průměrné denní dávky nemocenského v roce 202</w:t>
      </w:r>
      <w:r w:rsidR="007A75AA" w:rsidRPr="00467D54">
        <w:rPr>
          <w:rFonts w:eastAsia="Times New Roman" w:cs="Times New Roman"/>
          <w:color w:val="auto"/>
          <w:sz w:val="20"/>
          <w:lang w:eastAsia="cs-CZ"/>
        </w:rPr>
        <w:t>2</w:t>
      </w:r>
      <w:r w:rsidRPr="00467D54">
        <w:rPr>
          <w:rFonts w:eastAsia="Times New Roman" w:cs="Times New Roman"/>
          <w:color w:val="auto"/>
          <w:sz w:val="20"/>
          <w:lang w:eastAsia="cs-CZ"/>
        </w:rPr>
        <w:t xml:space="preserve"> činila 5</w:t>
      </w:r>
      <w:r w:rsidR="007A75AA" w:rsidRPr="00467D54">
        <w:rPr>
          <w:rFonts w:eastAsia="Times New Roman" w:cs="Times New Roman"/>
          <w:color w:val="auto"/>
          <w:sz w:val="20"/>
          <w:lang w:eastAsia="cs-CZ"/>
        </w:rPr>
        <w:t>80</w:t>
      </w:r>
      <w:r w:rsidRPr="00467D54">
        <w:rPr>
          <w:rFonts w:eastAsia="Times New Roman" w:cs="Times New Roman"/>
          <w:color w:val="auto"/>
          <w:sz w:val="20"/>
          <w:lang w:eastAsia="cs-CZ"/>
        </w:rPr>
        <w:t xml:space="preserve"> Kč. V roce 202</w:t>
      </w:r>
      <w:r w:rsidR="00467D54" w:rsidRPr="00467D54">
        <w:rPr>
          <w:rFonts w:eastAsia="Times New Roman" w:cs="Times New Roman"/>
          <w:color w:val="auto"/>
          <w:sz w:val="20"/>
          <w:lang w:eastAsia="cs-CZ"/>
        </w:rPr>
        <w:t>1</w:t>
      </w:r>
      <w:r w:rsidRPr="00467D54">
        <w:rPr>
          <w:rFonts w:eastAsia="Times New Roman" w:cs="Times New Roman"/>
          <w:color w:val="auto"/>
          <w:sz w:val="20"/>
          <w:lang w:eastAsia="cs-CZ"/>
        </w:rPr>
        <w:t xml:space="preserve"> byla průměrná denní dávka nemocenského ve výši 5</w:t>
      </w:r>
      <w:r w:rsidR="00467D54" w:rsidRPr="00467D54">
        <w:rPr>
          <w:rFonts w:eastAsia="Times New Roman" w:cs="Times New Roman"/>
          <w:color w:val="auto"/>
          <w:sz w:val="20"/>
          <w:lang w:eastAsia="cs-CZ"/>
        </w:rPr>
        <w:t xml:space="preserve">51 Kč, tedy </w:t>
      </w:r>
      <w:r w:rsidRPr="00467D54">
        <w:rPr>
          <w:rFonts w:eastAsia="Times New Roman" w:cs="Times New Roman"/>
          <w:color w:val="auto"/>
          <w:sz w:val="20"/>
          <w:lang w:eastAsia="cs-CZ"/>
        </w:rPr>
        <w:t>o 5 % méně. Výdaje na nemocenské v přepočtu na jednoho pojištěnce v roce 202</w:t>
      </w:r>
      <w:r w:rsidR="00467D54" w:rsidRPr="00467D54">
        <w:rPr>
          <w:rFonts w:eastAsia="Times New Roman" w:cs="Times New Roman"/>
          <w:color w:val="auto"/>
          <w:sz w:val="20"/>
          <w:lang w:eastAsia="cs-CZ"/>
        </w:rPr>
        <w:t>2</w:t>
      </w:r>
      <w:r w:rsidRPr="00467D54">
        <w:rPr>
          <w:rFonts w:eastAsia="Times New Roman" w:cs="Times New Roman"/>
          <w:color w:val="auto"/>
          <w:sz w:val="20"/>
          <w:lang w:eastAsia="cs-CZ"/>
        </w:rPr>
        <w:t xml:space="preserve"> </w:t>
      </w:r>
      <w:r w:rsidR="00467D54" w:rsidRPr="00467D54">
        <w:rPr>
          <w:rFonts w:eastAsia="Times New Roman" w:cs="Times New Roman"/>
          <w:color w:val="auto"/>
          <w:sz w:val="20"/>
          <w:lang w:eastAsia="cs-CZ"/>
        </w:rPr>
        <w:t>klesly pod</w:t>
      </w:r>
      <w:r w:rsidRPr="00467D54">
        <w:rPr>
          <w:rFonts w:eastAsia="Times New Roman" w:cs="Times New Roman"/>
          <w:color w:val="auto"/>
          <w:sz w:val="20"/>
          <w:lang w:eastAsia="cs-CZ"/>
        </w:rPr>
        <w:t xml:space="preserve"> 7</w:t>
      </w:r>
      <w:r w:rsidR="00EE37A0">
        <w:rPr>
          <w:rFonts w:eastAsia="Times New Roman" w:cs="Times New Roman"/>
          <w:color w:val="auto"/>
          <w:sz w:val="20"/>
          <w:lang w:eastAsia="cs-CZ"/>
        </w:rPr>
        <w:t> </w:t>
      </w:r>
      <w:r w:rsidR="00226E40" w:rsidRPr="00467D54">
        <w:rPr>
          <w:rFonts w:eastAsia="Times New Roman" w:cs="Times New Roman"/>
          <w:color w:val="auto"/>
          <w:sz w:val="20"/>
          <w:lang w:eastAsia="cs-CZ"/>
        </w:rPr>
        <w:t xml:space="preserve">tis. Kč </w:t>
      </w:r>
      <w:r w:rsidR="00467D54" w:rsidRPr="00467D54">
        <w:rPr>
          <w:rFonts w:eastAsia="Times New Roman" w:cs="Times New Roman"/>
          <w:color w:val="auto"/>
          <w:sz w:val="20"/>
          <w:lang w:eastAsia="cs-CZ"/>
        </w:rPr>
        <w:t>na částku 6 899 Kč.</w:t>
      </w:r>
    </w:p>
    <w:p w14:paraId="7D4026D9" w14:textId="7E21E78E" w:rsidR="00467D54" w:rsidRDefault="007A1E96" w:rsidP="00467D54">
      <w:pPr>
        <w:spacing w:before="120" w:after="120"/>
        <w:jc w:val="both"/>
      </w:pPr>
      <w:r w:rsidRPr="00467D54">
        <w:t xml:space="preserve">Je zřejmé, že za </w:t>
      </w:r>
      <w:r w:rsidR="00661E9C" w:rsidRPr="00467D54">
        <w:t xml:space="preserve">skokový </w:t>
      </w:r>
      <w:r w:rsidRPr="00467D54">
        <w:t xml:space="preserve">nárůst výdajů na dávky nemocenského pojištění </w:t>
      </w:r>
      <w:r w:rsidR="00661E9C" w:rsidRPr="00467D54">
        <w:t xml:space="preserve">zejména </w:t>
      </w:r>
      <w:r w:rsidRPr="00467D54">
        <w:t xml:space="preserve">mezi roky 2019 a 2020, mohou </w:t>
      </w:r>
      <w:r w:rsidRPr="00467D54">
        <w:rPr>
          <w:b/>
        </w:rPr>
        <w:t xml:space="preserve">finanční kompenzace </w:t>
      </w:r>
      <w:r w:rsidRPr="00467D54">
        <w:t xml:space="preserve">vyplacené v souvislosti </w:t>
      </w:r>
      <w:r w:rsidRPr="00467D54">
        <w:rPr>
          <w:b/>
        </w:rPr>
        <w:t>s</w:t>
      </w:r>
      <w:r w:rsidRPr="00467D54">
        <w:t> </w:t>
      </w:r>
      <w:r w:rsidRPr="00467D54">
        <w:rPr>
          <w:b/>
        </w:rPr>
        <w:t>onemocněním</w:t>
      </w:r>
      <w:r w:rsidRPr="00467D54">
        <w:t xml:space="preserve"> </w:t>
      </w:r>
      <w:r w:rsidRPr="00467D54">
        <w:rPr>
          <w:b/>
        </w:rPr>
        <w:t>covid-19</w:t>
      </w:r>
      <w:r w:rsidRPr="00467D54">
        <w:t>. Ať už jde o nemocenské</w:t>
      </w:r>
      <w:r w:rsidR="00467D54" w:rsidRPr="00467D54">
        <w:t xml:space="preserve">, mezi roky 2019 a 2020 výdaje na nemocenské vzrostly o 23 %, </w:t>
      </w:r>
      <w:r w:rsidRPr="00467D54">
        <w:t xml:space="preserve">nebo ošetřovné. </w:t>
      </w:r>
      <w:r w:rsidR="00467D54" w:rsidRPr="00467D54">
        <w:t>Výdaje na ošetřovné v roce 2022 s hodnotou 2,8 mld. Kč už se blížily výši roku 2019, kdy činily 1,7 mld. Kč. Po letech 2020 a 2021 v roce 2022 nebyly plošně uzavírány školy.</w:t>
      </w:r>
      <w:r w:rsidR="00467D54">
        <w:t xml:space="preserve"> </w:t>
      </w:r>
    </w:p>
    <w:p w14:paraId="4FDC8BA2" w14:textId="216BC12E" w:rsidR="007A1E96" w:rsidRPr="007A75AA" w:rsidRDefault="007A1E96" w:rsidP="007A1E96">
      <w:pPr>
        <w:spacing w:after="0" w:line="240" w:lineRule="auto"/>
        <w:jc w:val="both"/>
        <w:rPr>
          <w:rFonts w:cs="Arial"/>
          <w:b/>
          <w:bCs/>
          <w:color w:val="000000"/>
          <w:szCs w:val="20"/>
        </w:rPr>
      </w:pPr>
      <w:r w:rsidRPr="007A75AA">
        <w:rPr>
          <w:rFonts w:cs="Arial"/>
          <w:b/>
          <w:bCs/>
          <w:color w:val="000000"/>
          <w:szCs w:val="20"/>
        </w:rPr>
        <w:t>Tab. 4.1: Výdaje na dávky nemocenského pojištění, 201</w:t>
      </w:r>
      <w:r w:rsidR="006E6D17" w:rsidRPr="007A75AA">
        <w:rPr>
          <w:rFonts w:cs="Arial"/>
          <w:b/>
          <w:bCs/>
          <w:color w:val="000000"/>
          <w:szCs w:val="20"/>
        </w:rPr>
        <w:t>2–2022</w:t>
      </w:r>
      <w:r w:rsidRPr="007A75AA">
        <w:rPr>
          <w:rFonts w:cs="Arial"/>
          <w:b/>
          <w:bCs/>
          <w:color w:val="000000"/>
          <w:szCs w:val="20"/>
        </w:rPr>
        <w:t xml:space="preserve"> (v mld. Kč)</w:t>
      </w:r>
    </w:p>
    <w:tbl>
      <w:tblPr>
        <w:tblW w:w="9662" w:type="dxa"/>
        <w:tblCellMar>
          <w:left w:w="70" w:type="dxa"/>
          <w:right w:w="70" w:type="dxa"/>
        </w:tblCellMar>
        <w:tblLook w:val="04A0" w:firstRow="1" w:lastRow="0" w:firstColumn="1" w:lastColumn="0" w:noHBand="0" w:noVBand="1"/>
      </w:tblPr>
      <w:tblGrid>
        <w:gridCol w:w="2269"/>
        <w:gridCol w:w="673"/>
        <w:gridCol w:w="673"/>
        <w:gridCol w:w="673"/>
        <w:gridCol w:w="673"/>
        <w:gridCol w:w="673"/>
        <w:gridCol w:w="673"/>
        <w:gridCol w:w="673"/>
        <w:gridCol w:w="673"/>
        <w:gridCol w:w="673"/>
        <w:gridCol w:w="667"/>
        <w:gridCol w:w="669"/>
      </w:tblGrid>
      <w:tr w:rsidR="007A75AA" w:rsidRPr="007A75AA" w14:paraId="21AB8BDD" w14:textId="21DFAEF8" w:rsidTr="00990DF9">
        <w:trPr>
          <w:trHeight w:val="315"/>
        </w:trPr>
        <w:tc>
          <w:tcPr>
            <w:tcW w:w="2269" w:type="dxa"/>
            <w:tcBorders>
              <w:top w:val="single" w:sz="4" w:space="0" w:color="auto"/>
              <w:left w:val="nil"/>
              <w:bottom w:val="single" w:sz="4" w:space="0" w:color="auto"/>
              <w:right w:val="single" w:sz="4" w:space="0" w:color="auto"/>
            </w:tcBorders>
            <w:shd w:val="clear" w:color="000000" w:fill="F5DADD"/>
            <w:vAlign w:val="center"/>
            <w:hideMark/>
          </w:tcPr>
          <w:p w14:paraId="5AE5AB14" w14:textId="77777777" w:rsidR="007A75AA" w:rsidRPr="007A75AA" w:rsidRDefault="007A75AA" w:rsidP="007A75AA">
            <w:pPr>
              <w:spacing w:after="0" w:line="240" w:lineRule="auto"/>
              <w:jc w:val="center"/>
              <w:rPr>
                <w:rFonts w:cs="Arial"/>
                <w:sz w:val="16"/>
                <w:szCs w:val="16"/>
              </w:rPr>
            </w:pPr>
            <w:r w:rsidRPr="007A75AA">
              <w:rPr>
                <w:rFonts w:cs="Arial"/>
                <w:sz w:val="16"/>
                <w:szCs w:val="16"/>
              </w:rPr>
              <w:t>Druh dávky</w:t>
            </w:r>
          </w:p>
        </w:tc>
        <w:tc>
          <w:tcPr>
            <w:tcW w:w="673" w:type="dxa"/>
            <w:tcBorders>
              <w:top w:val="single" w:sz="4" w:space="0" w:color="auto"/>
              <w:left w:val="nil"/>
              <w:bottom w:val="single" w:sz="4" w:space="0" w:color="auto"/>
              <w:right w:val="nil"/>
            </w:tcBorders>
            <w:shd w:val="clear" w:color="000000" w:fill="F5DADD"/>
            <w:noWrap/>
            <w:vAlign w:val="center"/>
            <w:hideMark/>
          </w:tcPr>
          <w:p w14:paraId="4EE27B3A"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2012</w:t>
            </w:r>
          </w:p>
        </w:tc>
        <w:tc>
          <w:tcPr>
            <w:tcW w:w="673" w:type="dxa"/>
            <w:tcBorders>
              <w:top w:val="single" w:sz="4" w:space="0" w:color="auto"/>
              <w:left w:val="nil"/>
              <w:bottom w:val="single" w:sz="4" w:space="0" w:color="auto"/>
              <w:right w:val="nil"/>
            </w:tcBorders>
            <w:shd w:val="clear" w:color="000000" w:fill="F5DADD"/>
            <w:noWrap/>
            <w:vAlign w:val="center"/>
            <w:hideMark/>
          </w:tcPr>
          <w:p w14:paraId="619E40E0"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2013</w:t>
            </w:r>
          </w:p>
        </w:tc>
        <w:tc>
          <w:tcPr>
            <w:tcW w:w="673" w:type="dxa"/>
            <w:tcBorders>
              <w:top w:val="single" w:sz="4" w:space="0" w:color="auto"/>
              <w:left w:val="nil"/>
              <w:bottom w:val="single" w:sz="4" w:space="0" w:color="auto"/>
              <w:right w:val="nil"/>
            </w:tcBorders>
            <w:shd w:val="clear" w:color="000000" w:fill="F5DADD"/>
            <w:noWrap/>
            <w:vAlign w:val="center"/>
            <w:hideMark/>
          </w:tcPr>
          <w:p w14:paraId="0F2BC54B"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2014</w:t>
            </w:r>
          </w:p>
        </w:tc>
        <w:tc>
          <w:tcPr>
            <w:tcW w:w="673" w:type="dxa"/>
            <w:tcBorders>
              <w:top w:val="single" w:sz="4" w:space="0" w:color="auto"/>
              <w:left w:val="nil"/>
              <w:bottom w:val="single" w:sz="4" w:space="0" w:color="auto"/>
              <w:right w:val="nil"/>
            </w:tcBorders>
            <w:shd w:val="clear" w:color="000000" w:fill="F5DADD"/>
            <w:noWrap/>
            <w:vAlign w:val="center"/>
            <w:hideMark/>
          </w:tcPr>
          <w:p w14:paraId="1D3C81A6"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2015</w:t>
            </w:r>
          </w:p>
        </w:tc>
        <w:tc>
          <w:tcPr>
            <w:tcW w:w="673" w:type="dxa"/>
            <w:tcBorders>
              <w:top w:val="single" w:sz="4" w:space="0" w:color="auto"/>
              <w:left w:val="nil"/>
              <w:bottom w:val="single" w:sz="4" w:space="0" w:color="auto"/>
              <w:right w:val="nil"/>
            </w:tcBorders>
            <w:shd w:val="clear" w:color="000000" w:fill="F5DADD"/>
            <w:noWrap/>
            <w:vAlign w:val="center"/>
            <w:hideMark/>
          </w:tcPr>
          <w:p w14:paraId="35468802"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2016</w:t>
            </w:r>
          </w:p>
        </w:tc>
        <w:tc>
          <w:tcPr>
            <w:tcW w:w="673" w:type="dxa"/>
            <w:tcBorders>
              <w:top w:val="single" w:sz="4" w:space="0" w:color="auto"/>
              <w:left w:val="nil"/>
              <w:bottom w:val="single" w:sz="4" w:space="0" w:color="auto"/>
              <w:right w:val="nil"/>
            </w:tcBorders>
            <w:shd w:val="clear" w:color="000000" w:fill="F5DADD"/>
            <w:noWrap/>
            <w:vAlign w:val="center"/>
            <w:hideMark/>
          </w:tcPr>
          <w:p w14:paraId="6DDC923C"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2017</w:t>
            </w:r>
          </w:p>
        </w:tc>
        <w:tc>
          <w:tcPr>
            <w:tcW w:w="673" w:type="dxa"/>
            <w:tcBorders>
              <w:top w:val="single" w:sz="4" w:space="0" w:color="auto"/>
              <w:left w:val="nil"/>
              <w:bottom w:val="single" w:sz="4" w:space="0" w:color="auto"/>
              <w:right w:val="nil"/>
            </w:tcBorders>
            <w:shd w:val="clear" w:color="000000" w:fill="F5DADD"/>
            <w:noWrap/>
            <w:vAlign w:val="center"/>
            <w:hideMark/>
          </w:tcPr>
          <w:p w14:paraId="41E2FC03"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2018</w:t>
            </w:r>
          </w:p>
        </w:tc>
        <w:tc>
          <w:tcPr>
            <w:tcW w:w="673" w:type="dxa"/>
            <w:tcBorders>
              <w:top w:val="single" w:sz="4" w:space="0" w:color="auto"/>
              <w:left w:val="nil"/>
              <w:bottom w:val="single" w:sz="4" w:space="0" w:color="auto"/>
              <w:right w:val="nil"/>
            </w:tcBorders>
            <w:shd w:val="clear" w:color="000000" w:fill="F5DADD"/>
            <w:noWrap/>
            <w:vAlign w:val="center"/>
            <w:hideMark/>
          </w:tcPr>
          <w:p w14:paraId="3BEACE71" w14:textId="77777777" w:rsidR="007A75AA" w:rsidRPr="007A75AA" w:rsidRDefault="007A75AA" w:rsidP="007A75AA">
            <w:pPr>
              <w:spacing w:after="0" w:line="240" w:lineRule="auto"/>
              <w:jc w:val="center"/>
              <w:rPr>
                <w:rFonts w:cs="Arial"/>
                <w:sz w:val="16"/>
                <w:szCs w:val="16"/>
              </w:rPr>
            </w:pPr>
            <w:r w:rsidRPr="007A75AA">
              <w:rPr>
                <w:rFonts w:cs="Arial"/>
                <w:sz w:val="16"/>
                <w:szCs w:val="16"/>
              </w:rPr>
              <w:t>2019</w:t>
            </w:r>
          </w:p>
        </w:tc>
        <w:tc>
          <w:tcPr>
            <w:tcW w:w="673" w:type="dxa"/>
            <w:tcBorders>
              <w:top w:val="single" w:sz="4" w:space="0" w:color="auto"/>
              <w:left w:val="nil"/>
              <w:bottom w:val="single" w:sz="4" w:space="0" w:color="auto"/>
              <w:right w:val="nil"/>
            </w:tcBorders>
            <w:shd w:val="clear" w:color="000000" w:fill="F5DADD"/>
            <w:noWrap/>
            <w:vAlign w:val="center"/>
            <w:hideMark/>
          </w:tcPr>
          <w:p w14:paraId="39FE863D" w14:textId="77777777" w:rsidR="007A75AA" w:rsidRPr="007A75AA" w:rsidRDefault="007A75AA" w:rsidP="007A75AA">
            <w:pPr>
              <w:spacing w:after="0" w:line="240" w:lineRule="auto"/>
              <w:jc w:val="center"/>
              <w:rPr>
                <w:rFonts w:cs="Arial"/>
                <w:sz w:val="16"/>
                <w:szCs w:val="16"/>
              </w:rPr>
            </w:pPr>
            <w:r w:rsidRPr="007A75AA">
              <w:rPr>
                <w:rFonts w:cs="Arial"/>
                <w:sz w:val="16"/>
                <w:szCs w:val="16"/>
              </w:rPr>
              <w:t>2020</w:t>
            </w:r>
          </w:p>
        </w:tc>
        <w:tc>
          <w:tcPr>
            <w:tcW w:w="667" w:type="dxa"/>
            <w:tcBorders>
              <w:top w:val="single" w:sz="4" w:space="0" w:color="auto"/>
              <w:bottom w:val="single" w:sz="4" w:space="0" w:color="auto"/>
            </w:tcBorders>
            <w:shd w:val="clear" w:color="auto" w:fill="F5DADD"/>
            <w:vAlign w:val="center"/>
          </w:tcPr>
          <w:p w14:paraId="7470AD0C" w14:textId="77777777" w:rsidR="007A75AA" w:rsidRPr="007A75AA" w:rsidRDefault="007A75AA" w:rsidP="007A75AA">
            <w:pPr>
              <w:spacing w:after="0" w:line="240" w:lineRule="auto"/>
              <w:jc w:val="center"/>
            </w:pPr>
            <w:r w:rsidRPr="007A75AA">
              <w:rPr>
                <w:rFonts w:cs="Arial"/>
                <w:sz w:val="16"/>
                <w:szCs w:val="16"/>
                <w:shd w:val="clear" w:color="auto" w:fill="F5DADD"/>
              </w:rPr>
              <w:t>2021</w:t>
            </w:r>
          </w:p>
        </w:tc>
        <w:tc>
          <w:tcPr>
            <w:tcW w:w="669" w:type="dxa"/>
            <w:tcBorders>
              <w:top w:val="single" w:sz="4" w:space="0" w:color="auto"/>
              <w:bottom w:val="single" w:sz="4" w:space="0" w:color="auto"/>
            </w:tcBorders>
            <w:shd w:val="clear" w:color="auto" w:fill="F5DADD"/>
            <w:vAlign w:val="center"/>
          </w:tcPr>
          <w:p w14:paraId="1D4824A8" w14:textId="04EF5F6B" w:rsidR="007A75AA" w:rsidRPr="007A75AA" w:rsidRDefault="007A75AA" w:rsidP="007A75AA">
            <w:pPr>
              <w:spacing w:after="0" w:line="240" w:lineRule="auto"/>
              <w:jc w:val="center"/>
              <w:rPr>
                <w:rFonts w:cs="Arial"/>
                <w:sz w:val="16"/>
                <w:szCs w:val="16"/>
                <w:shd w:val="clear" w:color="auto" w:fill="F5DADD"/>
              </w:rPr>
            </w:pPr>
            <w:r w:rsidRPr="007A75AA">
              <w:rPr>
                <w:rFonts w:cs="Arial"/>
                <w:sz w:val="16"/>
                <w:szCs w:val="16"/>
                <w:shd w:val="clear" w:color="auto" w:fill="F5DADD"/>
              </w:rPr>
              <w:t>2022</w:t>
            </w:r>
          </w:p>
        </w:tc>
      </w:tr>
      <w:tr w:rsidR="007A75AA" w:rsidRPr="007A75AA" w14:paraId="011B1E4E" w14:textId="73B2FC39" w:rsidTr="00990DF9">
        <w:trPr>
          <w:trHeight w:val="300"/>
        </w:trPr>
        <w:tc>
          <w:tcPr>
            <w:tcW w:w="2269" w:type="dxa"/>
            <w:tcBorders>
              <w:top w:val="single" w:sz="4" w:space="0" w:color="auto"/>
              <w:left w:val="nil"/>
              <w:bottom w:val="nil"/>
              <w:right w:val="single" w:sz="4" w:space="0" w:color="auto"/>
            </w:tcBorders>
            <w:shd w:val="clear" w:color="auto" w:fill="auto"/>
            <w:vAlign w:val="center"/>
            <w:hideMark/>
          </w:tcPr>
          <w:p w14:paraId="4D216358" w14:textId="77777777" w:rsidR="007A75AA" w:rsidRPr="007A75AA" w:rsidRDefault="007A75AA" w:rsidP="007A75AA">
            <w:pPr>
              <w:spacing w:after="0" w:line="240" w:lineRule="auto"/>
              <w:rPr>
                <w:rFonts w:cs="Arial"/>
                <w:b/>
                <w:bCs/>
                <w:sz w:val="16"/>
                <w:szCs w:val="16"/>
              </w:rPr>
            </w:pPr>
            <w:r w:rsidRPr="007A75AA">
              <w:rPr>
                <w:rFonts w:cs="Arial"/>
                <w:b/>
                <w:bCs/>
                <w:sz w:val="16"/>
                <w:szCs w:val="16"/>
              </w:rPr>
              <w:t>Celkem</w:t>
            </w:r>
          </w:p>
        </w:tc>
        <w:tc>
          <w:tcPr>
            <w:tcW w:w="673" w:type="dxa"/>
            <w:tcBorders>
              <w:top w:val="single" w:sz="4" w:space="0" w:color="auto"/>
              <w:left w:val="nil"/>
              <w:bottom w:val="nil"/>
              <w:right w:val="nil"/>
            </w:tcBorders>
            <w:shd w:val="clear" w:color="auto" w:fill="auto"/>
            <w:noWrap/>
            <w:vAlign w:val="center"/>
            <w:hideMark/>
          </w:tcPr>
          <w:p w14:paraId="625081DD"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19,38</w:t>
            </w:r>
          </w:p>
        </w:tc>
        <w:tc>
          <w:tcPr>
            <w:tcW w:w="673" w:type="dxa"/>
            <w:tcBorders>
              <w:top w:val="single" w:sz="4" w:space="0" w:color="auto"/>
              <w:left w:val="nil"/>
              <w:bottom w:val="nil"/>
              <w:right w:val="nil"/>
            </w:tcBorders>
            <w:shd w:val="clear" w:color="auto" w:fill="auto"/>
            <w:noWrap/>
            <w:vAlign w:val="center"/>
            <w:hideMark/>
          </w:tcPr>
          <w:p w14:paraId="4592D9B2"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20,14</w:t>
            </w:r>
          </w:p>
        </w:tc>
        <w:tc>
          <w:tcPr>
            <w:tcW w:w="673" w:type="dxa"/>
            <w:tcBorders>
              <w:top w:val="single" w:sz="4" w:space="0" w:color="auto"/>
              <w:left w:val="nil"/>
              <w:bottom w:val="nil"/>
              <w:right w:val="nil"/>
            </w:tcBorders>
            <w:shd w:val="clear" w:color="auto" w:fill="auto"/>
            <w:noWrap/>
            <w:vAlign w:val="center"/>
            <w:hideMark/>
          </w:tcPr>
          <w:p w14:paraId="2DB65669"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22,08</w:t>
            </w:r>
          </w:p>
        </w:tc>
        <w:tc>
          <w:tcPr>
            <w:tcW w:w="673" w:type="dxa"/>
            <w:tcBorders>
              <w:top w:val="single" w:sz="4" w:space="0" w:color="auto"/>
              <w:left w:val="nil"/>
              <w:bottom w:val="nil"/>
              <w:right w:val="nil"/>
            </w:tcBorders>
            <w:shd w:val="clear" w:color="auto" w:fill="auto"/>
            <w:noWrap/>
            <w:vAlign w:val="center"/>
            <w:hideMark/>
          </w:tcPr>
          <w:p w14:paraId="471DBE54"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24,11</w:t>
            </w:r>
          </w:p>
        </w:tc>
        <w:tc>
          <w:tcPr>
            <w:tcW w:w="673" w:type="dxa"/>
            <w:tcBorders>
              <w:top w:val="single" w:sz="4" w:space="0" w:color="auto"/>
              <w:left w:val="nil"/>
              <w:bottom w:val="nil"/>
              <w:right w:val="nil"/>
            </w:tcBorders>
            <w:shd w:val="clear" w:color="auto" w:fill="auto"/>
            <w:noWrap/>
            <w:vAlign w:val="center"/>
            <w:hideMark/>
          </w:tcPr>
          <w:p w14:paraId="5B1B8198"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26,28</w:t>
            </w:r>
          </w:p>
        </w:tc>
        <w:tc>
          <w:tcPr>
            <w:tcW w:w="673" w:type="dxa"/>
            <w:tcBorders>
              <w:top w:val="single" w:sz="4" w:space="0" w:color="auto"/>
              <w:left w:val="nil"/>
              <w:bottom w:val="nil"/>
              <w:right w:val="nil"/>
            </w:tcBorders>
            <w:shd w:val="clear" w:color="auto" w:fill="auto"/>
            <w:noWrap/>
            <w:vAlign w:val="center"/>
            <w:hideMark/>
          </w:tcPr>
          <w:p w14:paraId="49477F55"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28,32</w:t>
            </w:r>
          </w:p>
        </w:tc>
        <w:tc>
          <w:tcPr>
            <w:tcW w:w="673" w:type="dxa"/>
            <w:tcBorders>
              <w:top w:val="single" w:sz="4" w:space="0" w:color="auto"/>
              <w:left w:val="nil"/>
              <w:bottom w:val="nil"/>
              <w:right w:val="nil"/>
            </w:tcBorders>
            <w:shd w:val="clear" w:color="auto" w:fill="auto"/>
            <w:noWrap/>
            <w:vAlign w:val="center"/>
            <w:hideMark/>
          </w:tcPr>
          <w:p w14:paraId="56ECB4EC"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33,97</w:t>
            </w:r>
          </w:p>
        </w:tc>
        <w:tc>
          <w:tcPr>
            <w:tcW w:w="673" w:type="dxa"/>
            <w:tcBorders>
              <w:top w:val="single" w:sz="4" w:space="0" w:color="auto"/>
              <w:left w:val="nil"/>
              <w:bottom w:val="nil"/>
              <w:right w:val="nil"/>
            </w:tcBorders>
            <w:shd w:val="clear" w:color="auto" w:fill="auto"/>
            <w:noWrap/>
            <w:vAlign w:val="center"/>
            <w:hideMark/>
          </w:tcPr>
          <w:p w14:paraId="51E5A1CB"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38,89</w:t>
            </w:r>
          </w:p>
        </w:tc>
        <w:tc>
          <w:tcPr>
            <w:tcW w:w="673" w:type="dxa"/>
            <w:tcBorders>
              <w:top w:val="single" w:sz="4" w:space="0" w:color="auto"/>
              <w:left w:val="nil"/>
              <w:bottom w:val="nil"/>
              <w:right w:val="nil"/>
            </w:tcBorders>
            <w:shd w:val="clear" w:color="auto" w:fill="auto"/>
            <w:noWrap/>
            <w:vAlign w:val="center"/>
            <w:hideMark/>
          </w:tcPr>
          <w:p w14:paraId="717CBD56" w14:textId="77777777" w:rsidR="007A75AA" w:rsidRPr="007A75AA" w:rsidRDefault="007A75AA" w:rsidP="007A75AA">
            <w:pPr>
              <w:spacing w:after="0" w:line="240" w:lineRule="auto"/>
              <w:jc w:val="right"/>
              <w:rPr>
                <w:rFonts w:cs="Arial"/>
                <w:b/>
                <w:bCs/>
                <w:sz w:val="16"/>
                <w:szCs w:val="16"/>
              </w:rPr>
            </w:pPr>
            <w:r w:rsidRPr="007A75AA">
              <w:rPr>
                <w:rFonts w:cs="Arial"/>
                <w:b/>
                <w:bCs/>
                <w:sz w:val="16"/>
                <w:szCs w:val="16"/>
              </w:rPr>
              <w:t>55,21</w:t>
            </w:r>
          </w:p>
        </w:tc>
        <w:tc>
          <w:tcPr>
            <w:tcW w:w="667" w:type="dxa"/>
            <w:tcBorders>
              <w:top w:val="single" w:sz="4" w:space="0" w:color="auto"/>
            </w:tcBorders>
            <w:vAlign w:val="center"/>
          </w:tcPr>
          <w:p w14:paraId="59788F37" w14:textId="77777777" w:rsidR="007A75AA" w:rsidRPr="007A75AA" w:rsidRDefault="007A75AA" w:rsidP="007A75AA">
            <w:pPr>
              <w:spacing w:after="0" w:line="240" w:lineRule="auto"/>
              <w:jc w:val="right"/>
            </w:pPr>
            <w:r w:rsidRPr="007A75AA">
              <w:rPr>
                <w:rFonts w:cs="Arial"/>
                <w:b/>
                <w:bCs/>
                <w:sz w:val="16"/>
                <w:szCs w:val="16"/>
              </w:rPr>
              <w:t>51,47</w:t>
            </w:r>
          </w:p>
        </w:tc>
        <w:tc>
          <w:tcPr>
            <w:tcW w:w="669" w:type="dxa"/>
            <w:tcBorders>
              <w:top w:val="single" w:sz="4" w:space="0" w:color="auto"/>
            </w:tcBorders>
            <w:vAlign w:val="center"/>
          </w:tcPr>
          <w:p w14:paraId="34830394" w14:textId="6E2C329B" w:rsidR="007A75AA" w:rsidRPr="007A75AA" w:rsidRDefault="007A75AA" w:rsidP="007A75AA">
            <w:pPr>
              <w:spacing w:after="0" w:line="240" w:lineRule="auto"/>
              <w:jc w:val="right"/>
              <w:rPr>
                <w:rFonts w:cs="Arial"/>
                <w:b/>
                <w:bCs/>
                <w:sz w:val="16"/>
                <w:szCs w:val="16"/>
              </w:rPr>
            </w:pPr>
            <w:r w:rsidRPr="007A75AA">
              <w:rPr>
                <w:rFonts w:cs="Arial"/>
                <w:b/>
                <w:bCs/>
                <w:sz w:val="16"/>
                <w:szCs w:val="16"/>
              </w:rPr>
              <w:t>47,63</w:t>
            </w:r>
          </w:p>
        </w:tc>
      </w:tr>
      <w:tr w:rsidR="007A75AA" w:rsidRPr="007A75AA" w14:paraId="6352101B" w14:textId="212D1BC2" w:rsidTr="00990DF9">
        <w:trPr>
          <w:trHeight w:val="300"/>
        </w:trPr>
        <w:tc>
          <w:tcPr>
            <w:tcW w:w="2269" w:type="dxa"/>
            <w:tcBorders>
              <w:top w:val="nil"/>
              <w:left w:val="nil"/>
              <w:bottom w:val="nil"/>
              <w:right w:val="single" w:sz="4" w:space="0" w:color="auto"/>
            </w:tcBorders>
            <w:shd w:val="clear" w:color="000000" w:fill="F5DADD"/>
            <w:vAlign w:val="center"/>
            <w:hideMark/>
          </w:tcPr>
          <w:p w14:paraId="08664A57" w14:textId="77777777" w:rsidR="007A75AA" w:rsidRPr="007A75AA" w:rsidRDefault="007A75AA" w:rsidP="007A75AA">
            <w:pPr>
              <w:spacing w:after="0" w:line="240" w:lineRule="auto"/>
              <w:ind w:firstLineChars="100" w:firstLine="160"/>
              <w:rPr>
                <w:rFonts w:cs="Arial"/>
                <w:sz w:val="16"/>
                <w:szCs w:val="16"/>
              </w:rPr>
            </w:pPr>
            <w:r w:rsidRPr="007A75AA">
              <w:rPr>
                <w:rFonts w:cs="Arial"/>
                <w:sz w:val="16"/>
                <w:szCs w:val="16"/>
              </w:rPr>
              <w:t>nemocenské</w:t>
            </w:r>
          </w:p>
        </w:tc>
        <w:tc>
          <w:tcPr>
            <w:tcW w:w="673" w:type="dxa"/>
            <w:tcBorders>
              <w:top w:val="nil"/>
              <w:left w:val="nil"/>
              <w:bottom w:val="nil"/>
              <w:right w:val="nil"/>
            </w:tcBorders>
            <w:shd w:val="clear" w:color="000000" w:fill="F5DADD"/>
            <w:noWrap/>
            <w:vAlign w:val="center"/>
            <w:hideMark/>
          </w:tcPr>
          <w:p w14:paraId="18C001ED" w14:textId="77777777" w:rsidR="007A75AA" w:rsidRPr="007A75AA" w:rsidRDefault="007A75AA" w:rsidP="007A75AA">
            <w:pPr>
              <w:spacing w:after="0" w:line="240" w:lineRule="auto"/>
              <w:jc w:val="right"/>
              <w:rPr>
                <w:rFonts w:cs="Arial"/>
                <w:sz w:val="16"/>
                <w:szCs w:val="16"/>
              </w:rPr>
            </w:pPr>
            <w:r w:rsidRPr="007A75AA">
              <w:rPr>
                <w:rFonts w:cs="Arial"/>
                <w:sz w:val="16"/>
                <w:szCs w:val="16"/>
              </w:rPr>
              <w:t>11,47</w:t>
            </w:r>
          </w:p>
        </w:tc>
        <w:tc>
          <w:tcPr>
            <w:tcW w:w="673" w:type="dxa"/>
            <w:tcBorders>
              <w:top w:val="nil"/>
              <w:left w:val="nil"/>
              <w:bottom w:val="nil"/>
              <w:right w:val="nil"/>
            </w:tcBorders>
            <w:shd w:val="clear" w:color="000000" w:fill="F5DADD"/>
            <w:noWrap/>
            <w:vAlign w:val="center"/>
            <w:hideMark/>
          </w:tcPr>
          <w:p w14:paraId="19169A32" w14:textId="77777777" w:rsidR="007A75AA" w:rsidRPr="007A75AA" w:rsidRDefault="007A75AA" w:rsidP="007A75AA">
            <w:pPr>
              <w:spacing w:after="0" w:line="240" w:lineRule="auto"/>
              <w:jc w:val="right"/>
              <w:rPr>
                <w:rFonts w:cs="Arial"/>
                <w:sz w:val="16"/>
                <w:szCs w:val="16"/>
              </w:rPr>
            </w:pPr>
            <w:r w:rsidRPr="007A75AA">
              <w:rPr>
                <w:rFonts w:cs="Arial"/>
                <w:sz w:val="16"/>
                <w:szCs w:val="16"/>
              </w:rPr>
              <w:t>12,04</w:t>
            </w:r>
          </w:p>
        </w:tc>
        <w:tc>
          <w:tcPr>
            <w:tcW w:w="673" w:type="dxa"/>
            <w:tcBorders>
              <w:top w:val="nil"/>
              <w:left w:val="nil"/>
              <w:bottom w:val="nil"/>
              <w:right w:val="nil"/>
            </w:tcBorders>
            <w:shd w:val="clear" w:color="000000" w:fill="F5DADD"/>
            <w:noWrap/>
            <w:vAlign w:val="center"/>
            <w:hideMark/>
          </w:tcPr>
          <w:p w14:paraId="13263361" w14:textId="77777777" w:rsidR="007A75AA" w:rsidRPr="007A75AA" w:rsidRDefault="007A75AA" w:rsidP="007A75AA">
            <w:pPr>
              <w:spacing w:after="0" w:line="240" w:lineRule="auto"/>
              <w:jc w:val="right"/>
              <w:rPr>
                <w:rFonts w:cs="Arial"/>
                <w:sz w:val="16"/>
                <w:szCs w:val="16"/>
              </w:rPr>
            </w:pPr>
            <w:r w:rsidRPr="007A75AA">
              <w:rPr>
                <w:rFonts w:cs="Arial"/>
                <w:sz w:val="16"/>
                <w:szCs w:val="16"/>
              </w:rPr>
              <w:t>13,88</w:t>
            </w:r>
          </w:p>
        </w:tc>
        <w:tc>
          <w:tcPr>
            <w:tcW w:w="673" w:type="dxa"/>
            <w:tcBorders>
              <w:top w:val="nil"/>
              <w:left w:val="nil"/>
              <w:bottom w:val="nil"/>
              <w:right w:val="nil"/>
            </w:tcBorders>
            <w:shd w:val="clear" w:color="000000" w:fill="F5DADD"/>
            <w:noWrap/>
            <w:vAlign w:val="center"/>
            <w:hideMark/>
          </w:tcPr>
          <w:p w14:paraId="3B8DC118" w14:textId="77777777" w:rsidR="007A75AA" w:rsidRPr="007A75AA" w:rsidRDefault="007A75AA" w:rsidP="007A75AA">
            <w:pPr>
              <w:spacing w:after="0" w:line="240" w:lineRule="auto"/>
              <w:jc w:val="right"/>
              <w:rPr>
                <w:rFonts w:cs="Arial"/>
                <w:sz w:val="16"/>
                <w:szCs w:val="16"/>
              </w:rPr>
            </w:pPr>
            <w:r w:rsidRPr="007A75AA">
              <w:rPr>
                <w:rFonts w:cs="Arial"/>
                <w:sz w:val="16"/>
                <w:szCs w:val="16"/>
              </w:rPr>
              <w:t>15,43</w:t>
            </w:r>
          </w:p>
        </w:tc>
        <w:tc>
          <w:tcPr>
            <w:tcW w:w="673" w:type="dxa"/>
            <w:tcBorders>
              <w:top w:val="nil"/>
              <w:left w:val="nil"/>
              <w:bottom w:val="nil"/>
              <w:right w:val="nil"/>
            </w:tcBorders>
            <w:shd w:val="clear" w:color="000000" w:fill="F5DADD"/>
            <w:noWrap/>
            <w:vAlign w:val="center"/>
            <w:hideMark/>
          </w:tcPr>
          <w:p w14:paraId="483579AE" w14:textId="77777777" w:rsidR="007A75AA" w:rsidRPr="007A75AA" w:rsidRDefault="007A75AA" w:rsidP="007A75AA">
            <w:pPr>
              <w:spacing w:after="0" w:line="240" w:lineRule="auto"/>
              <w:jc w:val="right"/>
              <w:rPr>
                <w:rFonts w:cs="Arial"/>
                <w:sz w:val="16"/>
                <w:szCs w:val="16"/>
              </w:rPr>
            </w:pPr>
            <w:r w:rsidRPr="007A75AA">
              <w:rPr>
                <w:rFonts w:cs="Arial"/>
                <w:sz w:val="16"/>
                <w:szCs w:val="16"/>
              </w:rPr>
              <w:t>16,99</w:t>
            </w:r>
          </w:p>
        </w:tc>
        <w:tc>
          <w:tcPr>
            <w:tcW w:w="673" w:type="dxa"/>
            <w:tcBorders>
              <w:top w:val="nil"/>
              <w:left w:val="nil"/>
              <w:bottom w:val="nil"/>
              <w:right w:val="nil"/>
            </w:tcBorders>
            <w:shd w:val="clear" w:color="000000" w:fill="F5DADD"/>
            <w:noWrap/>
            <w:vAlign w:val="center"/>
            <w:hideMark/>
          </w:tcPr>
          <w:p w14:paraId="4689D862"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18,29</w:t>
            </w:r>
          </w:p>
        </w:tc>
        <w:tc>
          <w:tcPr>
            <w:tcW w:w="673" w:type="dxa"/>
            <w:tcBorders>
              <w:top w:val="nil"/>
              <w:left w:val="nil"/>
              <w:bottom w:val="nil"/>
              <w:right w:val="nil"/>
            </w:tcBorders>
            <w:shd w:val="clear" w:color="000000" w:fill="F5DADD"/>
            <w:noWrap/>
            <w:vAlign w:val="center"/>
            <w:hideMark/>
          </w:tcPr>
          <w:p w14:paraId="313F0F14"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22,68</w:t>
            </w:r>
          </w:p>
        </w:tc>
        <w:tc>
          <w:tcPr>
            <w:tcW w:w="673" w:type="dxa"/>
            <w:tcBorders>
              <w:top w:val="nil"/>
              <w:left w:val="nil"/>
              <w:bottom w:val="nil"/>
              <w:right w:val="nil"/>
            </w:tcBorders>
            <w:shd w:val="clear" w:color="000000" w:fill="F5DADD"/>
            <w:noWrap/>
            <w:vAlign w:val="center"/>
            <w:hideMark/>
          </w:tcPr>
          <w:p w14:paraId="5B32462F"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26,67</w:t>
            </w:r>
          </w:p>
        </w:tc>
        <w:tc>
          <w:tcPr>
            <w:tcW w:w="673" w:type="dxa"/>
            <w:tcBorders>
              <w:top w:val="nil"/>
              <w:left w:val="nil"/>
              <w:bottom w:val="nil"/>
              <w:right w:val="nil"/>
            </w:tcBorders>
            <w:shd w:val="clear" w:color="000000" w:fill="F5DADD"/>
            <w:noWrap/>
            <w:vAlign w:val="center"/>
            <w:hideMark/>
          </w:tcPr>
          <w:p w14:paraId="32BB63B3"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32,77</w:t>
            </w:r>
          </w:p>
        </w:tc>
        <w:tc>
          <w:tcPr>
            <w:tcW w:w="667" w:type="dxa"/>
            <w:shd w:val="clear" w:color="auto" w:fill="F5DADD"/>
            <w:vAlign w:val="center"/>
          </w:tcPr>
          <w:p w14:paraId="59EC8FB6" w14:textId="77777777" w:rsidR="007A75AA" w:rsidRPr="007A75AA" w:rsidRDefault="007A75AA" w:rsidP="007A75AA">
            <w:pPr>
              <w:spacing w:after="0" w:line="240" w:lineRule="auto"/>
              <w:jc w:val="right"/>
            </w:pPr>
            <w:r w:rsidRPr="007A75AA">
              <w:rPr>
                <w:rFonts w:cs="Arial"/>
                <w:color w:val="000000"/>
                <w:sz w:val="16"/>
                <w:szCs w:val="16"/>
                <w:shd w:val="clear" w:color="auto" w:fill="F5DADD"/>
              </w:rPr>
              <w:t>34,04</w:t>
            </w:r>
          </w:p>
        </w:tc>
        <w:tc>
          <w:tcPr>
            <w:tcW w:w="669" w:type="dxa"/>
            <w:shd w:val="clear" w:color="auto" w:fill="F5DADD"/>
            <w:vAlign w:val="center"/>
          </w:tcPr>
          <w:p w14:paraId="5A8EB6E5" w14:textId="309E60FE" w:rsidR="007A75AA" w:rsidRPr="007A75AA" w:rsidRDefault="007A75AA" w:rsidP="007A75AA">
            <w:pPr>
              <w:spacing w:after="0" w:line="240" w:lineRule="auto"/>
              <w:jc w:val="right"/>
              <w:rPr>
                <w:rFonts w:cs="Arial"/>
                <w:sz w:val="16"/>
                <w:szCs w:val="16"/>
                <w:shd w:val="clear" w:color="auto" w:fill="F5DADD"/>
              </w:rPr>
            </w:pPr>
            <w:r w:rsidRPr="007A75AA">
              <w:rPr>
                <w:rFonts w:cs="Arial"/>
                <w:sz w:val="16"/>
                <w:szCs w:val="16"/>
                <w:shd w:val="clear" w:color="auto" w:fill="F5DADD"/>
              </w:rPr>
              <w:t>32,75</w:t>
            </w:r>
          </w:p>
        </w:tc>
      </w:tr>
      <w:tr w:rsidR="007A75AA" w:rsidRPr="007A75AA" w14:paraId="1471549B" w14:textId="300B4BBB" w:rsidTr="00990DF9">
        <w:trPr>
          <w:trHeight w:val="300"/>
        </w:trPr>
        <w:tc>
          <w:tcPr>
            <w:tcW w:w="2269" w:type="dxa"/>
            <w:tcBorders>
              <w:top w:val="nil"/>
              <w:left w:val="nil"/>
              <w:bottom w:val="nil"/>
              <w:right w:val="single" w:sz="4" w:space="0" w:color="auto"/>
            </w:tcBorders>
            <w:shd w:val="clear" w:color="auto" w:fill="auto"/>
            <w:vAlign w:val="center"/>
            <w:hideMark/>
          </w:tcPr>
          <w:p w14:paraId="5E40D797" w14:textId="77777777" w:rsidR="007A75AA" w:rsidRPr="007A75AA" w:rsidRDefault="007A75AA" w:rsidP="007A75AA">
            <w:pPr>
              <w:spacing w:after="0" w:line="240" w:lineRule="auto"/>
              <w:ind w:firstLineChars="100" w:firstLine="160"/>
              <w:rPr>
                <w:rFonts w:cs="Arial"/>
                <w:sz w:val="16"/>
                <w:szCs w:val="16"/>
              </w:rPr>
            </w:pPr>
            <w:r w:rsidRPr="007A75AA">
              <w:rPr>
                <w:rFonts w:cs="Arial"/>
                <w:sz w:val="16"/>
                <w:szCs w:val="16"/>
              </w:rPr>
              <w:t>ošetřovné</w:t>
            </w:r>
          </w:p>
        </w:tc>
        <w:tc>
          <w:tcPr>
            <w:tcW w:w="673" w:type="dxa"/>
            <w:tcBorders>
              <w:top w:val="nil"/>
              <w:left w:val="nil"/>
              <w:bottom w:val="nil"/>
              <w:right w:val="nil"/>
            </w:tcBorders>
            <w:shd w:val="clear" w:color="auto" w:fill="auto"/>
            <w:noWrap/>
            <w:vAlign w:val="center"/>
            <w:hideMark/>
          </w:tcPr>
          <w:p w14:paraId="04321AAF" w14:textId="77777777" w:rsidR="007A75AA" w:rsidRPr="007A75AA" w:rsidRDefault="007A75AA" w:rsidP="007A75AA">
            <w:pPr>
              <w:spacing w:after="0" w:line="240" w:lineRule="auto"/>
              <w:jc w:val="right"/>
              <w:rPr>
                <w:rFonts w:cs="Arial"/>
                <w:sz w:val="16"/>
                <w:szCs w:val="16"/>
              </w:rPr>
            </w:pPr>
            <w:r w:rsidRPr="007A75AA">
              <w:rPr>
                <w:rFonts w:cs="Arial"/>
                <w:sz w:val="16"/>
                <w:szCs w:val="16"/>
              </w:rPr>
              <w:t>0,68</w:t>
            </w:r>
          </w:p>
        </w:tc>
        <w:tc>
          <w:tcPr>
            <w:tcW w:w="673" w:type="dxa"/>
            <w:tcBorders>
              <w:top w:val="nil"/>
              <w:left w:val="nil"/>
              <w:bottom w:val="nil"/>
              <w:right w:val="nil"/>
            </w:tcBorders>
            <w:shd w:val="clear" w:color="auto" w:fill="auto"/>
            <w:noWrap/>
            <w:vAlign w:val="center"/>
            <w:hideMark/>
          </w:tcPr>
          <w:p w14:paraId="113663D9" w14:textId="77777777" w:rsidR="007A75AA" w:rsidRPr="007A75AA" w:rsidRDefault="007A75AA" w:rsidP="007A75AA">
            <w:pPr>
              <w:spacing w:after="0" w:line="240" w:lineRule="auto"/>
              <w:jc w:val="right"/>
              <w:rPr>
                <w:rFonts w:cs="Arial"/>
                <w:sz w:val="16"/>
                <w:szCs w:val="16"/>
              </w:rPr>
            </w:pPr>
            <w:r w:rsidRPr="007A75AA">
              <w:rPr>
                <w:rFonts w:cs="Arial"/>
                <w:sz w:val="16"/>
                <w:szCs w:val="16"/>
              </w:rPr>
              <w:t>0,84</w:t>
            </w:r>
          </w:p>
        </w:tc>
        <w:tc>
          <w:tcPr>
            <w:tcW w:w="673" w:type="dxa"/>
            <w:tcBorders>
              <w:top w:val="nil"/>
              <w:left w:val="nil"/>
              <w:bottom w:val="nil"/>
              <w:right w:val="nil"/>
            </w:tcBorders>
            <w:shd w:val="clear" w:color="auto" w:fill="auto"/>
            <w:noWrap/>
            <w:vAlign w:val="center"/>
            <w:hideMark/>
          </w:tcPr>
          <w:p w14:paraId="6EA13F1D" w14:textId="77777777" w:rsidR="007A75AA" w:rsidRPr="007A75AA" w:rsidRDefault="007A75AA" w:rsidP="007A75AA">
            <w:pPr>
              <w:spacing w:after="0" w:line="240" w:lineRule="auto"/>
              <w:jc w:val="right"/>
              <w:rPr>
                <w:rFonts w:cs="Arial"/>
                <w:sz w:val="16"/>
                <w:szCs w:val="16"/>
              </w:rPr>
            </w:pPr>
            <w:r w:rsidRPr="007A75AA">
              <w:rPr>
                <w:rFonts w:cs="Arial"/>
                <w:sz w:val="16"/>
                <w:szCs w:val="16"/>
              </w:rPr>
              <w:t>0,85</w:t>
            </w:r>
          </w:p>
        </w:tc>
        <w:tc>
          <w:tcPr>
            <w:tcW w:w="673" w:type="dxa"/>
            <w:tcBorders>
              <w:top w:val="nil"/>
              <w:left w:val="nil"/>
              <w:bottom w:val="nil"/>
              <w:right w:val="nil"/>
            </w:tcBorders>
            <w:shd w:val="clear" w:color="auto" w:fill="auto"/>
            <w:noWrap/>
            <w:vAlign w:val="center"/>
            <w:hideMark/>
          </w:tcPr>
          <w:p w14:paraId="3AFF4015" w14:textId="77777777" w:rsidR="007A75AA" w:rsidRPr="007A75AA" w:rsidRDefault="007A75AA" w:rsidP="007A75AA">
            <w:pPr>
              <w:spacing w:after="0" w:line="240" w:lineRule="auto"/>
              <w:jc w:val="right"/>
              <w:rPr>
                <w:rFonts w:cs="Arial"/>
                <w:sz w:val="16"/>
                <w:szCs w:val="16"/>
              </w:rPr>
            </w:pPr>
            <w:r w:rsidRPr="007A75AA">
              <w:rPr>
                <w:rFonts w:cs="Arial"/>
                <w:sz w:val="16"/>
                <w:szCs w:val="16"/>
              </w:rPr>
              <w:t>1,06</w:t>
            </w:r>
          </w:p>
        </w:tc>
        <w:tc>
          <w:tcPr>
            <w:tcW w:w="673" w:type="dxa"/>
            <w:tcBorders>
              <w:top w:val="nil"/>
              <w:left w:val="nil"/>
              <w:bottom w:val="nil"/>
              <w:right w:val="nil"/>
            </w:tcBorders>
            <w:shd w:val="clear" w:color="auto" w:fill="auto"/>
            <w:noWrap/>
            <w:vAlign w:val="center"/>
            <w:hideMark/>
          </w:tcPr>
          <w:p w14:paraId="6D4A4BE7" w14:textId="77777777" w:rsidR="007A75AA" w:rsidRPr="007A75AA" w:rsidRDefault="007A75AA" w:rsidP="007A75AA">
            <w:pPr>
              <w:spacing w:after="0" w:line="240" w:lineRule="auto"/>
              <w:jc w:val="right"/>
              <w:rPr>
                <w:rFonts w:cs="Arial"/>
                <w:sz w:val="16"/>
                <w:szCs w:val="16"/>
              </w:rPr>
            </w:pPr>
            <w:r w:rsidRPr="007A75AA">
              <w:rPr>
                <w:rFonts w:cs="Arial"/>
                <w:sz w:val="16"/>
                <w:szCs w:val="16"/>
              </w:rPr>
              <w:t>1,18</w:t>
            </w:r>
          </w:p>
        </w:tc>
        <w:tc>
          <w:tcPr>
            <w:tcW w:w="673" w:type="dxa"/>
            <w:tcBorders>
              <w:top w:val="nil"/>
              <w:left w:val="nil"/>
              <w:bottom w:val="nil"/>
              <w:right w:val="nil"/>
            </w:tcBorders>
            <w:shd w:val="clear" w:color="auto" w:fill="auto"/>
            <w:noWrap/>
            <w:vAlign w:val="center"/>
            <w:hideMark/>
          </w:tcPr>
          <w:p w14:paraId="564EDACC" w14:textId="77777777" w:rsidR="007A75AA" w:rsidRPr="007A75AA" w:rsidRDefault="007A75AA" w:rsidP="007A75AA">
            <w:pPr>
              <w:spacing w:after="0" w:line="240" w:lineRule="auto"/>
              <w:jc w:val="right"/>
              <w:rPr>
                <w:rFonts w:cs="Arial"/>
                <w:sz w:val="16"/>
                <w:szCs w:val="16"/>
              </w:rPr>
            </w:pPr>
            <w:r w:rsidRPr="007A75AA">
              <w:rPr>
                <w:rFonts w:cs="Arial"/>
                <w:sz w:val="16"/>
                <w:szCs w:val="16"/>
              </w:rPr>
              <w:t>1,40</w:t>
            </w:r>
          </w:p>
        </w:tc>
        <w:tc>
          <w:tcPr>
            <w:tcW w:w="673" w:type="dxa"/>
            <w:tcBorders>
              <w:top w:val="nil"/>
              <w:left w:val="nil"/>
              <w:bottom w:val="nil"/>
              <w:right w:val="nil"/>
            </w:tcBorders>
            <w:shd w:val="clear" w:color="auto" w:fill="auto"/>
            <w:noWrap/>
            <w:vAlign w:val="center"/>
            <w:hideMark/>
          </w:tcPr>
          <w:p w14:paraId="2A2CA3F2" w14:textId="77777777" w:rsidR="007A75AA" w:rsidRPr="007A75AA" w:rsidRDefault="007A75AA" w:rsidP="007A75AA">
            <w:pPr>
              <w:spacing w:after="0" w:line="240" w:lineRule="auto"/>
              <w:jc w:val="right"/>
              <w:rPr>
                <w:rFonts w:cs="Arial"/>
                <w:sz w:val="16"/>
                <w:szCs w:val="16"/>
              </w:rPr>
            </w:pPr>
            <w:r w:rsidRPr="007A75AA">
              <w:rPr>
                <w:rFonts w:cs="Arial"/>
                <w:sz w:val="16"/>
                <w:szCs w:val="16"/>
              </w:rPr>
              <w:t>1,63</w:t>
            </w:r>
          </w:p>
        </w:tc>
        <w:tc>
          <w:tcPr>
            <w:tcW w:w="673" w:type="dxa"/>
            <w:tcBorders>
              <w:top w:val="nil"/>
              <w:left w:val="nil"/>
              <w:bottom w:val="nil"/>
              <w:right w:val="nil"/>
            </w:tcBorders>
            <w:shd w:val="clear" w:color="auto" w:fill="auto"/>
            <w:noWrap/>
            <w:vAlign w:val="center"/>
            <w:hideMark/>
          </w:tcPr>
          <w:p w14:paraId="0D9A3A9B" w14:textId="77777777" w:rsidR="007A75AA" w:rsidRPr="007A75AA" w:rsidRDefault="007A75AA" w:rsidP="007A75AA">
            <w:pPr>
              <w:spacing w:after="0" w:line="240" w:lineRule="auto"/>
              <w:jc w:val="right"/>
              <w:rPr>
                <w:rFonts w:cs="Arial"/>
                <w:sz w:val="16"/>
                <w:szCs w:val="16"/>
              </w:rPr>
            </w:pPr>
            <w:r w:rsidRPr="007A75AA">
              <w:rPr>
                <w:rFonts w:cs="Arial"/>
                <w:sz w:val="16"/>
                <w:szCs w:val="16"/>
              </w:rPr>
              <w:t>1,73</w:t>
            </w:r>
          </w:p>
        </w:tc>
        <w:tc>
          <w:tcPr>
            <w:tcW w:w="673" w:type="dxa"/>
            <w:tcBorders>
              <w:top w:val="nil"/>
              <w:left w:val="nil"/>
              <w:bottom w:val="nil"/>
              <w:right w:val="nil"/>
            </w:tcBorders>
            <w:shd w:val="clear" w:color="auto" w:fill="auto"/>
            <w:noWrap/>
            <w:vAlign w:val="center"/>
            <w:hideMark/>
          </w:tcPr>
          <w:p w14:paraId="70C70EEB" w14:textId="77777777" w:rsidR="007A75AA" w:rsidRPr="007A75AA" w:rsidRDefault="007A75AA" w:rsidP="007A75AA">
            <w:pPr>
              <w:spacing w:after="0" w:line="240" w:lineRule="auto"/>
              <w:jc w:val="right"/>
              <w:rPr>
                <w:rFonts w:cs="Arial"/>
                <w:sz w:val="16"/>
                <w:szCs w:val="16"/>
              </w:rPr>
            </w:pPr>
            <w:r w:rsidRPr="007A75AA">
              <w:rPr>
                <w:rFonts w:cs="Arial"/>
                <w:sz w:val="16"/>
                <w:szCs w:val="16"/>
              </w:rPr>
              <w:t>11,44</w:t>
            </w:r>
          </w:p>
        </w:tc>
        <w:tc>
          <w:tcPr>
            <w:tcW w:w="667" w:type="dxa"/>
            <w:vAlign w:val="center"/>
          </w:tcPr>
          <w:p w14:paraId="1F943992" w14:textId="77777777" w:rsidR="007A75AA" w:rsidRPr="007A75AA" w:rsidRDefault="007A75AA" w:rsidP="007A75AA">
            <w:pPr>
              <w:spacing w:after="0" w:line="240" w:lineRule="auto"/>
              <w:jc w:val="right"/>
            </w:pPr>
            <w:r w:rsidRPr="007A75AA">
              <w:rPr>
                <w:rFonts w:cs="Arial"/>
                <w:sz w:val="16"/>
                <w:szCs w:val="16"/>
              </w:rPr>
              <w:t>5,66</w:t>
            </w:r>
          </w:p>
        </w:tc>
        <w:tc>
          <w:tcPr>
            <w:tcW w:w="669" w:type="dxa"/>
            <w:shd w:val="clear" w:color="auto" w:fill="auto"/>
            <w:vAlign w:val="center"/>
          </w:tcPr>
          <w:p w14:paraId="3C6504EC" w14:textId="46FBAD57" w:rsidR="007A75AA" w:rsidRPr="007A75AA" w:rsidRDefault="007A75AA" w:rsidP="007A75AA">
            <w:pPr>
              <w:spacing w:after="0" w:line="240" w:lineRule="auto"/>
              <w:jc w:val="right"/>
              <w:rPr>
                <w:rFonts w:cs="Arial"/>
                <w:sz w:val="16"/>
                <w:szCs w:val="16"/>
              </w:rPr>
            </w:pPr>
            <w:r w:rsidRPr="007A75AA">
              <w:rPr>
                <w:rFonts w:cs="Arial"/>
                <w:sz w:val="16"/>
                <w:szCs w:val="16"/>
              </w:rPr>
              <w:t>2,83</w:t>
            </w:r>
          </w:p>
        </w:tc>
      </w:tr>
      <w:tr w:rsidR="007A75AA" w:rsidRPr="007A75AA" w14:paraId="29D0DCFD" w14:textId="0A7AB039" w:rsidTr="00990DF9">
        <w:trPr>
          <w:trHeight w:val="300"/>
        </w:trPr>
        <w:tc>
          <w:tcPr>
            <w:tcW w:w="2269" w:type="dxa"/>
            <w:tcBorders>
              <w:top w:val="nil"/>
              <w:left w:val="nil"/>
              <w:bottom w:val="nil"/>
              <w:right w:val="single" w:sz="4" w:space="0" w:color="auto"/>
            </w:tcBorders>
            <w:shd w:val="clear" w:color="auto" w:fill="auto"/>
            <w:vAlign w:val="center"/>
            <w:hideMark/>
          </w:tcPr>
          <w:p w14:paraId="5AC78B7C" w14:textId="77777777" w:rsidR="007A75AA" w:rsidRPr="007A75AA" w:rsidRDefault="007A75AA" w:rsidP="007A75AA">
            <w:pPr>
              <w:spacing w:after="0" w:line="240" w:lineRule="auto"/>
              <w:ind w:firstLineChars="100" w:firstLine="160"/>
              <w:rPr>
                <w:rFonts w:cs="Arial"/>
                <w:sz w:val="16"/>
                <w:szCs w:val="16"/>
              </w:rPr>
            </w:pPr>
            <w:r w:rsidRPr="007A75AA">
              <w:rPr>
                <w:rFonts w:cs="Arial"/>
                <w:sz w:val="16"/>
                <w:szCs w:val="16"/>
              </w:rPr>
              <w:t>peněžitá pomoc v mateřství</w:t>
            </w:r>
          </w:p>
        </w:tc>
        <w:tc>
          <w:tcPr>
            <w:tcW w:w="673" w:type="dxa"/>
            <w:tcBorders>
              <w:top w:val="nil"/>
              <w:left w:val="nil"/>
              <w:bottom w:val="nil"/>
              <w:right w:val="nil"/>
            </w:tcBorders>
            <w:shd w:val="clear" w:color="auto" w:fill="auto"/>
            <w:noWrap/>
            <w:vAlign w:val="center"/>
            <w:hideMark/>
          </w:tcPr>
          <w:p w14:paraId="6DBD292F" w14:textId="77777777" w:rsidR="007A75AA" w:rsidRPr="007A75AA" w:rsidRDefault="007A75AA" w:rsidP="007A75AA">
            <w:pPr>
              <w:spacing w:after="0" w:line="240" w:lineRule="auto"/>
              <w:jc w:val="right"/>
              <w:rPr>
                <w:rFonts w:cs="Arial"/>
                <w:sz w:val="16"/>
                <w:szCs w:val="16"/>
              </w:rPr>
            </w:pPr>
            <w:r w:rsidRPr="007A75AA">
              <w:rPr>
                <w:rFonts w:cs="Arial"/>
                <w:sz w:val="16"/>
                <w:szCs w:val="16"/>
              </w:rPr>
              <w:t>7,22</w:t>
            </w:r>
          </w:p>
        </w:tc>
        <w:tc>
          <w:tcPr>
            <w:tcW w:w="673" w:type="dxa"/>
            <w:tcBorders>
              <w:top w:val="nil"/>
              <w:left w:val="nil"/>
              <w:bottom w:val="nil"/>
              <w:right w:val="nil"/>
            </w:tcBorders>
            <w:shd w:val="clear" w:color="auto" w:fill="auto"/>
            <w:noWrap/>
            <w:vAlign w:val="center"/>
            <w:hideMark/>
          </w:tcPr>
          <w:p w14:paraId="0CE1F214" w14:textId="77777777" w:rsidR="007A75AA" w:rsidRPr="007A75AA" w:rsidRDefault="007A75AA" w:rsidP="007A75AA">
            <w:pPr>
              <w:spacing w:after="0" w:line="240" w:lineRule="auto"/>
              <w:jc w:val="right"/>
              <w:rPr>
                <w:rFonts w:cs="Arial"/>
                <w:sz w:val="16"/>
                <w:szCs w:val="16"/>
              </w:rPr>
            </w:pPr>
            <w:r w:rsidRPr="007A75AA">
              <w:rPr>
                <w:rFonts w:cs="Arial"/>
                <w:sz w:val="16"/>
                <w:szCs w:val="16"/>
              </w:rPr>
              <w:t>7,26</w:t>
            </w:r>
          </w:p>
        </w:tc>
        <w:tc>
          <w:tcPr>
            <w:tcW w:w="673" w:type="dxa"/>
            <w:tcBorders>
              <w:top w:val="nil"/>
              <w:left w:val="nil"/>
              <w:bottom w:val="nil"/>
              <w:right w:val="nil"/>
            </w:tcBorders>
            <w:shd w:val="clear" w:color="auto" w:fill="auto"/>
            <w:noWrap/>
            <w:vAlign w:val="center"/>
            <w:hideMark/>
          </w:tcPr>
          <w:p w14:paraId="5310A26F" w14:textId="77777777" w:rsidR="007A75AA" w:rsidRPr="007A75AA" w:rsidRDefault="007A75AA" w:rsidP="007A75AA">
            <w:pPr>
              <w:spacing w:after="0" w:line="240" w:lineRule="auto"/>
              <w:jc w:val="right"/>
              <w:rPr>
                <w:rFonts w:cs="Arial"/>
                <w:sz w:val="16"/>
                <w:szCs w:val="16"/>
              </w:rPr>
            </w:pPr>
            <w:r w:rsidRPr="007A75AA">
              <w:rPr>
                <w:rFonts w:cs="Arial"/>
                <w:sz w:val="16"/>
                <w:szCs w:val="16"/>
              </w:rPr>
              <w:t>7,33</w:t>
            </w:r>
          </w:p>
        </w:tc>
        <w:tc>
          <w:tcPr>
            <w:tcW w:w="673" w:type="dxa"/>
            <w:tcBorders>
              <w:top w:val="nil"/>
              <w:left w:val="nil"/>
              <w:bottom w:val="nil"/>
              <w:right w:val="nil"/>
            </w:tcBorders>
            <w:shd w:val="clear" w:color="auto" w:fill="auto"/>
            <w:noWrap/>
            <w:vAlign w:val="center"/>
            <w:hideMark/>
          </w:tcPr>
          <w:p w14:paraId="40346CDE" w14:textId="77777777" w:rsidR="007A75AA" w:rsidRPr="007A75AA" w:rsidRDefault="007A75AA" w:rsidP="007A75AA">
            <w:pPr>
              <w:spacing w:after="0" w:line="240" w:lineRule="auto"/>
              <w:jc w:val="right"/>
              <w:rPr>
                <w:rFonts w:cs="Arial"/>
                <w:sz w:val="16"/>
                <w:szCs w:val="16"/>
              </w:rPr>
            </w:pPr>
            <w:r w:rsidRPr="007A75AA">
              <w:rPr>
                <w:rFonts w:cs="Arial"/>
                <w:sz w:val="16"/>
                <w:szCs w:val="16"/>
              </w:rPr>
              <w:t>7,61</w:t>
            </w:r>
          </w:p>
        </w:tc>
        <w:tc>
          <w:tcPr>
            <w:tcW w:w="673" w:type="dxa"/>
            <w:tcBorders>
              <w:top w:val="nil"/>
              <w:left w:val="nil"/>
              <w:bottom w:val="nil"/>
              <w:right w:val="nil"/>
            </w:tcBorders>
            <w:shd w:val="clear" w:color="auto" w:fill="auto"/>
            <w:noWrap/>
            <w:vAlign w:val="center"/>
            <w:hideMark/>
          </w:tcPr>
          <w:p w14:paraId="364153BF" w14:textId="77777777" w:rsidR="007A75AA" w:rsidRPr="007A75AA" w:rsidRDefault="007A75AA" w:rsidP="007A75AA">
            <w:pPr>
              <w:spacing w:after="0" w:line="240" w:lineRule="auto"/>
              <w:jc w:val="right"/>
              <w:rPr>
                <w:rFonts w:cs="Arial"/>
                <w:sz w:val="16"/>
                <w:szCs w:val="16"/>
              </w:rPr>
            </w:pPr>
            <w:r w:rsidRPr="007A75AA">
              <w:rPr>
                <w:rFonts w:cs="Arial"/>
                <w:sz w:val="16"/>
                <w:szCs w:val="16"/>
              </w:rPr>
              <w:t>8,11</w:t>
            </w:r>
          </w:p>
        </w:tc>
        <w:tc>
          <w:tcPr>
            <w:tcW w:w="673" w:type="dxa"/>
            <w:tcBorders>
              <w:top w:val="nil"/>
              <w:left w:val="nil"/>
              <w:bottom w:val="nil"/>
              <w:right w:val="nil"/>
            </w:tcBorders>
            <w:shd w:val="clear" w:color="auto" w:fill="auto"/>
            <w:noWrap/>
            <w:vAlign w:val="center"/>
            <w:hideMark/>
          </w:tcPr>
          <w:p w14:paraId="03368ABA"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8,62</w:t>
            </w:r>
          </w:p>
        </w:tc>
        <w:tc>
          <w:tcPr>
            <w:tcW w:w="673" w:type="dxa"/>
            <w:tcBorders>
              <w:top w:val="nil"/>
              <w:left w:val="nil"/>
              <w:bottom w:val="nil"/>
              <w:right w:val="nil"/>
            </w:tcBorders>
            <w:shd w:val="clear" w:color="auto" w:fill="auto"/>
            <w:noWrap/>
            <w:vAlign w:val="center"/>
            <w:hideMark/>
          </w:tcPr>
          <w:p w14:paraId="5E74A7DB"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9,40</w:t>
            </w:r>
          </w:p>
        </w:tc>
        <w:tc>
          <w:tcPr>
            <w:tcW w:w="673" w:type="dxa"/>
            <w:tcBorders>
              <w:top w:val="nil"/>
              <w:left w:val="nil"/>
              <w:bottom w:val="nil"/>
              <w:right w:val="nil"/>
            </w:tcBorders>
            <w:shd w:val="clear" w:color="auto" w:fill="auto"/>
            <w:noWrap/>
            <w:vAlign w:val="center"/>
            <w:hideMark/>
          </w:tcPr>
          <w:p w14:paraId="3C5875CC"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10,10</w:t>
            </w:r>
          </w:p>
        </w:tc>
        <w:tc>
          <w:tcPr>
            <w:tcW w:w="673" w:type="dxa"/>
            <w:tcBorders>
              <w:top w:val="nil"/>
              <w:left w:val="nil"/>
              <w:bottom w:val="nil"/>
              <w:right w:val="nil"/>
            </w:tcBorders>
            <w:shd w:val="clear" w:color="auto" w:fill="auto"/>
            <w:noWrap/>
            <w:vAlign w:val="center"/>
            <w:hideMark/>
          </w:tcPr>
          <w:p w14:paraId="28ABD98B"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10,58</w:t>
            </w:r>
          </w:p>
        </w:tc>
        <w:tc>
          <w:tcPr>
            <w:tcW w:w="667" w:type="dxa"/>
            <w:vAlign w:val="center"/>
          </w:tcPr>
          <w:p w14:paraId="63C57971" w14:textId="77777777" w:rsidR="007A75AA" w:rsidRPr="007A75AA" w:rsidRDefault="007A75AA" w:rsidP="007A75AA">
            <w:pPr>
              <w:spacing w:after="0" w:line="240" w:lineRule="auto"/>
              <w:jc w:val="right"/>
            </w:pPr>
            <w:r w:rsidRPr="007A75AA">
              <w:rPr>
                <w:rFonts w:cs="Arial"/>
                <w:color w:val="000000"/>
                <w:sz w:val="16"/>
                <w:szCs w:val="16"/>
              </w:rPr>
              <w:t>11,32</w:t>
            </w:r>
          </w:p>
        </w:tc>
        <w:tc>
          <w:tcPr>
            <w:tcW w:w="669" w:type="dxa"/>
            <w:shd w:val="clear" w:color="auto" w:fill="auto"/>
            <w:vAlign w:val="center"/>
          </w:tcPr>
          <w:p w14:paraId="1FC7300F" w14:textId="4035BDDE" w:rsidR="007A75AA" w:rsidRPr="007A75AA" w:rsidRDefault="007A75AA" w:rsidP="007A75AA">
            <w:pPr>
              <w:spacing w:after="0" w:line="240" w:lineRule="auto"/>
              <w:jc w:val="right"/>
              <w:rPr>
                <w:rFonts w:cs="Arial"/>
                <w:sz w:val="16"/>
                <w:szCs w:val="16"/>
              </w:rPr>
            </w:pPr>
            <w:r w:rsidRPr="007A75AA">
              <w:rPr>
                <w:rFonts w:cs="Arial"/>
                <w:sz w:val="16"/>
                <w:szCs w:val="16"/>
              </w:rPr>
              <w:t>11,23</w:t>
            </w:r>
          </w:p>
        </w:tc>
      </w:tr>
      <w:tr w:rsidR="007A75AA" w:rsidRPr="007A75AA" w14:paraId="6B8CC4AE" w14:textId="378B6F84" w:rsidTr="00990DF9">
        <w:trPr>
          <w:trHeight w:val="480"/>
        </w:trPr>
        <w:tc>
          <w:tcPr>
            <w:tcW w:w="2269" w:type="dxa"/>
            <w:tcBorders>
              <w:top w:val="nil"/>
              <w:left w:val="nil"/>
              <w:bottom w:val="nil"/>
              <w:right w:val="single" w:sz="4" w:space="0" w:color="auto"/>
            </w:tcBorders>
            <w:shd w:val="clear" w:color="auto" w:fill="auto"/>
            <w:vAlign w:val="center"/>
            <w:hideMark/>
          </w:tcPr>
          <w:p w14:paraId="4CBA8FD4" w14:textId="77777777" w:rsidR="007A75AA" w:rsidRPr="007A75AA" w:rsidRDefault="007A75AA" w:rsidP="007A75AA">
            <w:pPr>
              <w:spacing w:after="0" w:line="240" w:lineRule="auto"/>
              <w:ind w:firstLineChars="100" w:firstLine="160"/>
              <w:rPr>
                <w:rFonts w:cs="Arial"/>
                <w:sz w:val="16"/>
                <w:szCs w:val="16"/>
              </w:rPr>
            </w:pPr>
            <w:r w:rsidRPr="007A75AA">
              <w:rPr>
                <w:rFonts w:cs="Arial"/>
                <w:sz w:val="16"/>
                <w:szCs w:val="16"/>
              </w:rPr>
              <w:t xml:space="preserve">vyrovnávací příspěvek </w:t>
            </w:r>
            <w:r w:rsidRPr="007A75AA">
              <w:rPr>
                <w:rFonts w:cs="Arial"/>
                <w:sz w:val="16"/>
                <w:szCs w:val="16"/>
              </w:rPr>
              <w:br/>
              <w:t xml:space="preserve">    v těhotenství a mateřství</w:t>
            </w:r>
          </w:p>
        </w:tc>
        <w:tc>
          <w:tcPr>
            <w:tcW w:w="673" w:type="dxa"/>
            <w:tcBorders>
              <w:top w:val="nil"/>
              <w:left w:val="nil"/>
              <w:bottom w:val="nil"/>
              <w:right w:val="nil"/>
            </w:tcBorders>
            <w:shd w:val="clear" w:color="auto" w:fill="auto"/>
            <w:noWrap/>
            <w:vAlign w:val="center"/>
            <w:hideMark/>
          </w:tcPr>
          <w:p w14:paraId="473D1534" w14:textId="77777777" w:rsidR="007A75AA" w:rsidRPr="007A75AA" w:rsidRDefault="007A75AA" w:rsidP="007A75AA">
            <w:pPr>
              <w:spacing w:after="0" w:line="240" w:lineRule="auto"/>
              <w:jc w:val="right"/>
              <w:rPr>
                <w:rFonts w:cs="Arial"/>
                <w:sz w:val="16"/>
                <w:szCs w:val="16"/>
              </w:rPr>
            </w:pPr>
            <w:r w:rsidRPr="007A75AA">
              <w:rPr>
                <w:rFonts w:cs="Arial"/>
                <w:sz w:val="16"/>
                <w:szCs w:val="16"/>
              </w:rPr>
              <w:t>0,007</w:t>
            </w:r>
          </w:p>
        </w:tc>
        <w:tc>
          <w:tcPr>
            <w:tcW w:w="673" w:type="dxa"/>
            <w:tcBorders>
              <w:top w:val="nil"/>
              <w:left w:val="nil"/>
              <w:bottom w:val="nil"/>
              <w:right w:val="nil"/>
            </w:tcBorders>
            <w:shd w:val="clear" w:color="auto" w:fill="auto"/>
            <w:noWrap/>
            <w:vAlign w:val="center"/>
            <w:hideMark/>
          </w:tcPr>
          <w:p w14:paraId="0D6333FA" w14:textId="77777777" w:rsidR="007A75AA" w:rsidRPr="007A75AA" w:rsidRDefault="007A75AA" w:rsidP="007A75AA">
            <w:pPr>
              <w:spacing w:after="0" w:line="240" w:lineRule="auto"/>
              <w:jc w:val="right"/>
              <w:rPr>
                <w:rFonts w:cs="Arial"/>
                <w:sz w:val="16"/>
                <w:szCs w:val="16"/>
              </w:rPr>
            </w:pPr>
            <w:r w:rsidRPr="007A75AA">
              <w:rPr>
                <w:rFonts w:cs="Arial"/>
                <w:sz w:val="16"/>
                <w:szCs w:val="16"/>
              </w:rPr>
              <w:t>0,007</w:t>
            </w:r>
          </w:p>
        </w:tc>
        <w:tc>
          <w:tcPr>
            <w:tcW w:w="673" w:type="dxa"/>
            <w:tcBorders>
              <w:top w:val="nil"/>
              <w:left w:val="nil"/>
              <w:bottom w:val="nil"/>
              <w:right w:val="nil"/>
            </w:tcBorders>
            <w:shd w:val="clear" w:color="auto" w:fill="auto"/>
            <w:noWrap/>
            <w:vAlign w:val="center"/>
            <w:hideMark/>
          </w:tcPr>
          <w:p w14:paraId="31CDA742" w14:textId="77777777" w:rsidR="007A75AA" w:rsidRPr="007A75AA" w:rsidRDefault="007A75AA" w:rsidP="007A75AA">
            <w:pPr>
              <w:spacing w:after="0" w:line="240" w:lineRule="auto"/>
              <w:jc w:val="right"/>
              <w:rPr>
                <w:rFonts w:cs="Arial"/>
                <w:sz w:val="16"/>
                <w:szCs w:val="16"/>
              </w:rPr>
            </w:pPr>
            <w:r w:rsidRPr="007A75AA">
              <w:rPr>
                <w:rFonts w:cs="Arial"/>
                <w:sz w:val="16"/>
                <w:szCs w:val="16"/>
              </w:rPr>
              <w:t>0,009</w:t>
            </w:r>
          </w:p>
        </w:tc>
        <w:tc>
          <w:tcPr>
            <w:tcW w:w="673" w:type="dxa"/>
            <w:tcBorders>
              <w:top w:val="nil"/>
              <w:left w:val="nil"/>
              <w:bottom w:val="nil"/>
              <w:right w:val="nil"/>
            </w:tcBorders>
            <w:shd w:val="clear" w:color="auto" w:fill="auto"/>
            <w:noWrap/>
            <w:vAlign w:val="center"/>
            <w:hideMark/>
          </w:tcPr>
          <w:p w14:paraId="3996539D" w14:textId="77777777" w:rsidR="007A75AA" w:rsidRPr="007A75AA" w:rsidRDefault="007A75AA" w:rsidP="007A75AA">
            <w:pPr>
              <w:spacing w:after="0" w:line="240" w:lineRule="auto"/>
              <w:jc w:val="right"/>
              <w:rPr>
                <w:rFonts w:cs="Arial"/>
                <w:sz w:val="16"/>
                <w:szCs w:val="16"/>
              </w:rPr>
            </w:pPr>
            <w:r w:rsidRPr="007A75AA">
              <w:rPr>
                <w:rFonts w:cs="Arial"/>
                <w:sz w:val="16"/>
                <w:szCs w:val="16"/>
              </w:rPr>
              <w:t>0,009</w:t>
            </w:r>
          </w:p>
        </w:tc>
        <w:tc>
          <w:tcPr>
            <w:tcW w:w="673" w:type="dxa"/>
            <w:tcBorders>
              <w:top w:val="nil"/>
              <w:left w:val="nil"/>
              <w:bottom w:val="nil"/>
              <w:right w:val="nil"/>
            </w:tcBorders>
            <w:shd w:val="clear" w:color="auto" w:fill="auto"/>
            <w:noWrap/>
            <w:vAlign w:val="center"/>
            <w:hideMark/>
          </w:tcPr>
          <w:p w14:paraId="57127032" w14:textId="77777777" w:rsidR="007A75AA" w:rsidRPr="007A75AA" w:rsidRDefault="007A75AA" w:rsidP="007A75AA">
            <w:pPr>
              <w:spacing w:after="0" w:line="240" w:lineRule="auto"/>
              <w:jc w:val="right"/>
              <w:rPr>
                <w:rFonts w:cs="Arial"/>
                <w:sz w:val="16"/>
                <w:szCs w:val="16"/>
              </w:rPr>
            </w:pPr>
            <w:r w:rsidRPr="007A75AA">
              <w:rPr>
                <w:rFonts w:cs="Arial"/>
                <w:sz w:val="16"/>
                <w:szCs w:val="16"/>
              </w:rPr>
              <w:t>0,009</w:t>
            </w:r>
          </w:p>
        </w:tc>
        <w:tc>
          <w:tcPr>
            <w:tcW w:w="673" w:type="dxa"/>
            <w:tcBorders>
              <w:top w:val="nil"/>
              <w:left w:val="nil"/>
              <w:bottom w:val="nil"/>
              <w:right w:val="nil"/>
            </w:tcBorders>
            <w:shd w:val="clear" w:color="auto" w:fill="auto"/>
            <w:noWrap/>
            <w:vAlign w:val="center"/>
            <w:hideMark/>
          </w:tcPr>
          <w:p w14:paraId="796716E9"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0,008</w:t>
            </w:r>
          </w:p>
        </w:tc>
        <w:tc>
          <w:tcPr>
            <w:tcW w:w="673" w:type="dxa"/>
            <w:tcBorders>
              <w:top w:val="nil"/>
              <w:left w:val="nil"/>
              <w:bottom w:val="nil"/>
              <w:right w:val="nil"/>
            </w:tcBorders>
            <w:shd w:val="clear" w:color="auto" w:fill="auto"/>
            <w:noWrap/>
            <w:vAlign w:val="center"/>
            <w:hideMark/>
          </w:tcPr>
          <w:p w14:paraId="02E6E64E"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0,009</w:t>
            </w:r>
          </w:p>
        </w:tc>
        <w:tc>
          <w:tcPr>
            <w:tcW w:w="673" w:type="dxa"/>
            <w:tcBorders>
              <w:top w:val="nil"/>
              <w:left w:val="nil"/>
              <w:bottom w:val="nil"/>
              <w:right w:val="nil"/>
            </w:tcBorders>
            <w:shd w:val="clear" w:color="auto" w:fill="auto"/>
            <w:noWrap/>
            <w:vAlign w:val="center"/>
            <w:hideMark/>
          </w:tcPr>
          <w:p w14:paraId="6F1DE2F9"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0,009</w:t>
            </w:r>
          </w:p>
        </w:tc>
        <w:tc>
          <w:tcPr>
            <w:tcW w:w="673" w:type="dxa"/>
            <w:tcBorders>
              <w:top w:val="nil"/>
              <w:left w:val="nil"/>
              <w:bottom w:val="nil"/>
              <w:right w:val="nil"/>
            </w:tcBorders>
            <w:shd w:val="clear" w:color="auto" w:fill="auto"/>
            <w:noWrap/>
            <w:vAlign w:val="center"/>
            <w:hideMark/>
          </w:tcPr>
          <w:p w14:paraId="689963D7"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0,007</w:t>
            </w:r>
          </w:p>
        </w:tc>
        <w:tc>
          <w:tcPr>
            <w:tcW w:w="667" w:type="dxa"/>
            <w:vAlign w:val="center"/>
          </w:tcPr>
          <w:p w14:paraId="5F9829E9" w14:textId="77777777" w:rsidR="007A75AA" w:rsidRPr="007A75AA" w:rsidRDefault="007A75AA" w:rsidP="007A75AA">
            <w:pPr>
              <w:spacing w:after="0" w:line="240" w:lineRule="auto"/>
              <w:jc w:val="right"/>
            </w:pPr>
            <w:r w:rsidRPr="007A75AA">
              <w:rPr>
                <w:rFonts w:cs="Arial"/>
                <w:color w:val="000000"/>
                <w:sz w:val="16"/>
                <w:szCs w:val="16"/>
              </w:rPr>
              <w:t>0,006</w:t>
            </w:r>
          </w:p>
        </w:tc>
        <w:tc>
          <w:tcPr>
            <w:tcW w:w="669" w:type="dxa"/>
            <w:shd w:val="clear" w:color="auto" w:fill="auto"/>
            <w:vAlign w:val="center"/>
          </w:tcPr>
          <w:p w14:paraId="7B41DA0A" w14:textId="68C1D0A0" w:rsidR="007A75AA" w:rsidRPr="007A75AA" w:rsidRDefault="007A75AA" w:rsidP="007A75AA">
            <w:pPr>
              <w:spacing w:after="0" w:line="240" w:lineRule="auto"/>
              <w:jc w:val="right"/>
              <w:rPr>
                <w:rFonts w:cs="Arial"/>
                <w:sz w:val="16"/>
                <w:szCs w:val="16"/>
              </w:rPr>
            </w:pPr>
            <w:r w:rsidRPr="007A75AA">
              <w:rPr>
                <w:rFonts w:cs="Arial"/>
                <w:sz w:val="16"/>
                <w:szCs w:val="16"/>
              </w:rPr>
              <w:t>0,008</w:t>
            </w:r>
          </w:p>
        </w:tc>
      </w:tr>
      <w:tr w:rsidR="007A75AA" w:rsidRPr="007A75AA" w14:paraId="79DD80C8" w14:textId="2856AF97" w:rsidTr="00990DF9">
        <w:trPr>
          <w:trHeight w:val="300"/>
        </w:trPr>
        <w:tc>
          <w:tcPr>
            <w:tcW w:w="2269" w:type="dxa"/>
            <w:tcBorders>
              <w:top w:val="nil"/>
              <w:left w:val="nil"/>
              <w:bottom w:val="nil"/>
              <w:right w:val="single" w:sz="4" w:space="0" w:color="auto"/>
            </w:tcBorders>
            <w:shd w:val="clear" w:color="auto" w:fill="auto"/>
            <w:vAlign w:val="center"/>
            <w:hideMark/>
          </w:tcPr>
          <w:p w14:paraId="12623CC7" w14:textId="77777777" w:rsidR="007A75AA" w:rsidRPr="007A75AA" w:rsidRDefault="007A75AA" w:rsidP="007A75AA">
            <w:pPr>
              <w:spacing w:after="0" w:line="240" w:lineRule="auto"/>
              <w:ind w:firstLineChars="100" w:firstLine="160"/>
              <w:rPr>
                <w:rFonts w:cs="Arial"/>
                <w:sz w:val="16"/>
                <w:szCs w:val="16"/>
              </w:rPr>
            </w:pPr>
            <w:r w:rsidRPr="007A75AA">
              <w:rPr>
                <w:rFonts w:cs="Arial"/>
                <w:sz w:val="16"/>
                <w:szCs w:val="16"/>
              </w:rPr>
              <w:t>otcovská poporodní péče</w:t>
            </w:r>
            <w:r w:rsidRPr="007A75AA">
              <w:rPr>
                <w:rFonts w:cs="Arial"/>
                <w:sz w:val="16"/>
                <w:szCs w:val="16"/>
                <w:vertAlign w:val="superscript"/>
              </w:rPr>
              <w:t>1)</w:t>
            </w:r>
          </w:p>
        </w:tc>
        <w:tc>
          <w:tcPr>
            <w:tcW w:w="673" w:type="dxa"/>
            <w:tcBorders>
              <w:top w:val="nil"/>
              <w:left w:val="nil"/>
              <w:bottom w:val="nil"/>
              <w:right w:val="nil"/>
            </w:tcBorders>
            <w:shd w:val="clear" w:color="auto" w:fill="auto"/>
            <w:noWrap/>
            <w:vAlign w:val="bottom"/>
            <w:hideMark/>
          </w:tcPr>
          <w:p w14:paraId="02C20480"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68335DC4"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15A11C0C"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60BDBBCB"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69DA46DE"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75DD909B"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center"/>
            <w:hideMark/>
          </w:tcPr>
          <w:p w14:paraId="500181F8"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0,221</w:t>
            </w:r>
          </w:p>
        </w:tc>
        <w:tc>
          <w:tcPr>
            <w:tcW w:w="673" w:type="dxa"/>
            <w:tcBorders>
              <w:top w:val="nil"/>
              <w:left w:val="nil"/>
              <w:bottom w:val="nil"/>
              <w:right w:val="nil"/>
            </w:tcBorders>
            <w:shd w:val="clear" w:color="auto" w:fill="auto"/>
            <w:noWrap/>
            <w:vAlign w:val="center"/>
            <w:hideMark/>
          </w:tcPr>
          <w:p w14:paraId="64E3E414"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0,273</w:t>
            </w:r>
          </w:p>
        </w:tc>
        <w:tc>
          <w:tcPr>
            <w:tcW w:w="673" w:type="dxa"/>
            <w:tcBorders>
              <w:top w:val="nil"/>
              <w:left w:val="nil"/>
              <w:bottom w:val="nil"/>
              <w:right w:val="nil"/>
            </w:tcBorders>
            <w:shd w:val="clear" w:color="auto" w:fill="auto"/>
            <w:noWrap/>
            <w:vAlign w:val="center"/>
            <w:hideMark/>
          </w:tcPr>
          <w:p w14:paraId="15B1BD11"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0,269</w:t>
            </w:r>
          </w:p>
        </w:tc>
        <w:tc>
          <w:tcPr>
            <w:tcW w:w="667" w:type="dxa"/>
            <w:vAlign w:val="center"/>
          </w:tcPr>
          <w:p w14:paraId="5EAEFAEF" w14:textId="77777777" w:rsidR="007A75AA" w:rsidRPr="007A75AA" w:rsidRDefault="007A75AA" w:rsidP="007A75AA">
            <w:pPr>
              <w:spacing w:after="0" w:line="240" w:lineRule="auto"/>
              <w:jc w:val="right"/>
            </w:pPr>
            <w:r w:rsidRPr="007A75AA">
              <w:rPr>
                <w:rFonts w:cs="Arial"/>
                <w:color w:val="000000"/>
                <w:sz w:val="16"/>
                <w:szCs w:val="16"/>
              </w:rPr>
              <w:t>0,291</w:t>
            </w:r>
          </w:p>
        </w:tc>
        <w:tc>
          <w:tcPr>
            <w:tcW w:w="669" w:type="dxa"/>
            <w:shd w:val="clear" w:color="auto" w:fill="auto"/>
            <w:vAlign w:val="center"/>
          </w:tcPr>
          <w:p w14:paraId="209AF45F" w14:textId="6E6D884D" w:rsidR="007A75AA" w:rsidRPr="007A75AA" w:rsidRDefault="007A75AA" w:rsidP="007A75AA">
            <w:pPr>
              <w:spacing w:after="0" w:line="240" w:lineRule="auto"/>
              <w:jc w:val="right"/>
              <w:rPr>
                <w:rFonts w:cs="Arial"/>
                <w:sz w:val="16"/>
                <w:szCs w:val="16"/>
              </w:rPr>
            </w:pPr>
            <w:r w:rsidRPr="007A75AA">
              <w:rPr>
                <w:rFonts w:cs="Arial"/>
                <w:sz w:val="16"/>
                <w:szCs w:val="16"/>
              </w:rPr>
              <w:t>0,601</w:t>
            </w:r>
          </w:p>
        </w:tc>
      </w:tr>
      <w:tr w:rsidR="007A75AA" w:rsidRPr="007A75AA" w14:paraId="4AAA453E" w14:textId="739DA30C" w:rsidTr="00990DF9">
        <w:trPr>
          <w:trHeight w:val="300"/>
        </w:trPr>
        <w:tc>
          <w:tcPr>
            <w:tcW w:w="2269" w:type="dxa"/>
            <w:tcBorders>
              <w:top w:val="nil"/>
              <w:left w:val="nil"/>
              <w:bottom w:val="nil"/>
              <w:right w:val="single" w:sz="4" w:space="0" w:color="auto"/>
            </w:tcBorders>
            <w:shd w:val="clear" w:color="auto" w:fill="auto"/>
            <w:vAlign w:val="center"/>
            <w:hideMark/>
          </w:tcPr>
          <w:p w14:paraId="41A27051" w14:textId="77777777" w:rsidR="007A75AA" w:rsidRPr="007A75AA" w:rsidRDefault="007A75AA" w:rsidP="007A75AA">
            <w:pPr>
              <w:spacing w:after="0" w:line="240" w:lineRule="auto"/>
              <w:ind w:firstLineChars="100" w:firstLine="160"/>
              <w:rPr>
                <w:rFonts w:cs="Arial"/>
                <w:sz w:val="16"/>
                <w:szCs w:val="16"/>
              </w:rPr>
            </w:pPr>
            <w:r w:rsidRPr="007A75AA">
              <w:rPr>
                <w:rFonts w:cs="Arial"/>
                <w:sz w:val="16"/>
                <w:szCs w:val="16"/>
              </w:rPr>
              <w:t>dlouhodobé ošetřovné</w:t>
            </w:r>
            <w:r w:rsidRPr="007A75AA">
              <w:rPr>
                <w:rFonts w:cs="Arial"/>
                <w:sz w:val="16"/>
                <w:szCs w:val="16"/>
                <w:vertAlign w:val="superscript"/>
              </w:rPr>
              <w:t>2)</w:t>
            </w:r>
          </w:p>
        </w:tc>
        <w:tc>
          <w:tcPr>
            <w:tcW w:w="673" w:type="dxa"/>
            <w:tcBorders>
              <w:top w:val="nil"/>
              <w:left w:val="nil"/>
              <w:bottom w:val="nil"/>
              <w:right w:val="nil"/>
            </w:tcBorders>
            <w:shd w:val="clear" w:color="auto" w:fill="auto"/>
            <w:noWrap/>
            <w:vAlign w:val="bottom"/>
            <w:hideMark/>
          </w:tcPr>
          <w:p w14:paraId="2E6B95F2"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70642AAB"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4DC5E672"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3C2674DD"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2A5E06C5"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bottom"/>
            <w:hideMark/>
          </w:tcPr>
          <w:p w14:paraId="74368E27" w14:textId="77777777" w:rsidR="007A75AA" w:rsidRPr="007A75AA" w:rsidRDefault="007A75AA" w:rsidP="007A75AA">
            <w:pPr>
              <w:spacing w:after="0" w:line="240" w:lineRule="auto"/>
              <w:jc w:val="right"/>
              <w:rPr>
                <w:rFonts w:ascii="Calibri" w:hAnsi="Calibri" w:cs="Calibri"/>
                <w:color w:val="000000"/>
                <w:sz w:val="22"/>
                <w:szCs w:val="22"/>
              </w:rPr>
            </w:pPr>
            <w:r w:rsidRPr="007A75AA">
              <w:rPr>
                <w:rFonts w:ascii="Calibri" w:hAnsi="Calibri" w:cs="Calibri"/>
                <w:color w:val="000000"/>
                <w:sz w:val="22"/>
                <w:szCs w:val="22"/>
              </w:rPr>
              <w:t>–</w:t>
            </w:r>
          </w:p>
        </w:tc>
        <w:tc>
          <w:tcPr>
            <w:tcW w:w="673" w:type="dxa"/>
            <w:tcBorders>
              <w:top w:val="nil"/>
              <w:left w:val="nil"/>
              <w:bottom w:val="nil"/>
              <w:right w:val="nil"/>
            </w:tcBorders>
            <w:shd w:val="clear" w:color="auto" w:fill="auto"/>
            <w:noWrap/>
            <w:vAlign w:val="center"/>
            <w:hideMark/>
          </w:tcPr>
          <w:p w14:paraId="6BF85F28"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0,032</w:t>
            </w:r>
          </w:p>
        </w:tc>
        <w:tc>
          <w:tcPr>
            <w:tcW w:w="673" w:type="dxa"/>
            <w:tcBorders>
              <w:top w:val="nil"/>
              <w:left w:val="nil"/>
              <w:bottom w:val="nil"/>
              <w:right w:val="nil"/>
            </w:tcBorders>
            <w:shd w:val="clear" w:color="auto" w:fill="auto"/>
            <w:noWrap/>
            <w:vAlign w:val="center"/>
            <w:hideMark/>
          </w:tcPr>
          <w:p w14:paraId="32677E70"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0,110</w:t>
            </w:r>
          </w:p>
        </w:tc>
        <w:tc>
          <w:tcPr>
            <w:tcW w:w="673" w:type="dxa"/>
            <w:tcBorders>
              <w:top w:val="nil"/>
              <w:left w:val="nil"/>
              <w:bottom w:val="nil"/>
              <w:right w:val="nil"/>
            </w:tcBorders>
            <w:shd w:val="clear" w:color="auto" w:fill="auto"/>
            <w:noWrap/>
            <w:vAlign w:val="center"/>
            <w:hideMark/>
          </w:tcPr>
          <w:p w14:paraId="476A60BC" w14:textId="77777777" w:rsidR="007A75AA" w:rsidRPr="007A75AA" w:rsidRDefault="007A75AA" w:rsidP="007A75AA">
            <w:pPr>
              <w:spacing w:after="0" w:line="240" w:lineRule="auto"/>
              <w:jc w:val="right"/>
              <w:rPr>
                <w:rFonts w:cs="Arial"/>
                <w:color w:val="000000"/>
                <w:sz w:val="16"/>
                <w:szCs w:val="16"/>
              </w:rPr>
            </w:pPr>
            <w:r w:rsidRPr="007A75AA">
              <w:rPr>
                <w:rFonts w:cs="Arial"/>
                <w:color w:val="000000"/>
                <w:sz w:val="16"/>
                <w:szCs w:val="16"/>
              </w:rPr>
              <w:t>0,138</w:t>
            </w:r>
          </w:p>
        </w:tc>
        <w:tc>
          <w:tcPr>
            <w:tcW w:w="667" w:type="dxa"/>
            <w:vAlign w:val="center"/>
          </w:tcPr>
          <w:p w14:paraId="570DE22A" w14:textId="77777777" w:rsidR="007A75AA" w:rsidRPr="007A75AA" w:rsidRDefault="007A75AA" w:rsidP="007A75AA">
            <w:pPr>
              <w:spacing w:after="0" w:line="240" w:lineRule="auto"/>
              <w:jc w:val="right"/>
            </w:pPr>
            <w:r w:rsidRPr="007A75AA">
              <w:rPr>
                <w:rFonts w:cs="Arial"/>
                <w:color w:val="000000"/>
                <w:sz w:val="16"/>
                <w:szCs w:val="16"/>
              </w:rPr>
              <w:t>0,157</w:t>
            </w:r>
          </w:p>
        </w:tc>
        <w:tc>
          <w:tcPr>
            <w:tcW w:w="669" w:type="dxa"/>
            <w:shd w:val="clear" w:color="auto" w:fill="auto"/>
            <w:vAlign w:val="center"/>
          </w:tcPr>
          <w:p w14:paraId="0184E897" w14:textId="7B12EDAD" w:rsidR="007A75AA" w:rsidRPr="007A75AA" w:rsidRDefault="007A75AA" w:rsidP="007A75AA">
            <w:pPr>
              <w:spacing w:after="0" w:line="240" w:lineRule="auto"/>
              <w:jc w:val="right"/>
              <w:rPr>
                <w:rFonts w:cs="Arial"/>
                <w:sz w:val="16"/>
                <w:szCs w:val="16"/>
              </w:rPr>
            </w:pPr>
            <w:r w:rsidRPr="007A75AA">
              <w:rPr>
                <w:rFonts w:cs="Arial"/>
                <w:sz w:val="16"/>
                <w:szCs w:val="16"/>
              </w:rPr>
              <w:t>0,207</w:t>
            </w:r>
          </w:p>
        </w:tc>
      </w:tr>
    </w:tbl>
    <w:p w14:paraId="012F2927" w14:textId="77777777" w:rsidR="007A1E96" w:rsidRPr="007A75AA" w:rsidRDefault="007A1E96" w:rsidP="007A1E96">
      <w:pPr>
        <w:spacing w:after="0"/>
        <w:rPr>
          <w:rFonts w:cs="Arial"/>
          <w:color w:val="000000"/>
          <w:sz w:val="16"/>
          <w:szCs w:val="16"/>
          <w:vertAlign w:val="superscript"/>
        </w:rPr>
      </w:pPr>
    </w:p>
    <w:p w14:paraId="094A778A" w14:textId="77777777" w:rsidR="007A1E96" w:rsidRPr="007A75AA" w:rsidRDefault="007A1E96" w:rsidP="007A1E96">
      <w:pPr>
        <w:spacing w:after="0"/>
        <w:rPr>
          <w:rFonts w:cs="Arial"/>
          <w:szCs w:val="20"/>
        </w:rPr>
      </w:pPr>
      <w:r w:rsidRPr="007A75AA">
        <w:rPr>
          <w:rFonts w:cs="Arial"/>
          <w:color w:val="000000"/>
          <w:sz w:val="16"/>
          <w:szCs w:val="16"/>
          <w:vertAlign w:val="superscript"/>
        </w:rPr>
        <w:t xml:space="preserve">1) </w:t>
      </w:r>
      <w:r w:rsidRPr="007A75AA">
        <w:rPr>
          <w:rFonts w:cs="Arial"/>
          <w:color w:val="000000"/>
          <w:sz w:val="16"/>
          <w:szCs w:val="16"/>
        </w:rPr>
        <w:t xml:space="preserve">Zavedení dávky otcovské poporodní péče, tzv. „otcovská“ – účinnost od 1. února 2018. </w:t>
      </w:r>
      <w:r w:rsidRPr="007A75AA">
        <w:rPr>
          <w:rFonts w:cs="Arial"/>
          <w:color w:val="000000"/>
          <w:sz w:val="16"/>
          <w:szCs w:val="16"/>
        </w:rPr>
        <w:br/>
      </w:r>
      <w:r w:rsidRPr="007A75AA">
        <w:rPr>
          <w:rFonts w:cs="Arial"/>
          <w:color w:val="000000"/>
          <w:sz w:val="16"/>
          <w:szCs w:val="16"/>
          <w:vertAlign w:val="superscript"/>
        </w:rPr>
        <w:t>2)</w:t>
      </w:r>
      <w:r w:rsidRPr="007A75AA">
        <w:rPr>
          <w:rFonts w:cs="Arial"/>
          <w:color w:val="000000"/>
          <w:sz w:val="16"/>
          <w:szCs w:val="16"/>
        </w:rPr>
        <w:t xml:space="preserve"> Zavedení dávky dlouhodobé ošetřovné – účinnost od 1. června 2018.</w:t>
      </w:r>
    </w:p>
    <w:p w14:paraId="08D8AFB8" w14:textId="77777777" w:rsidR="007A1E96" w:rsidRPr="007A75AA" w:rsidRDefault="007A1E96" w:rsidP="007A1E96">
      <w:pPr>
        <w:spacing w:after="120"/>
        <w:jc w:val="both"/>
      </w:pPr>
      <w:r w:rsidRPr="007A75AA">
        <w:rPr>
          <w:rFonts w:cs="Arial"/>
          <w:sz w:val="16"/>
          <w:szCs w:val="16"/>
        </w:rPr>
        <w:t>– pomlčka značí, že se jev nevyskytoval</w:t>
      </w:r>
    </w:p>
    <w:p w14:paraId="7BD9E8DD" w14:textId="77777777" w:rsidR="007A1E96" w:rsidRPr="007A75AA" w:rsidRDefault="007A1E96" w:rsidP="007A1E96">
      <w:pPr>
        <w:spacing w:before="120" w:after="120"/>
        <w:rPr>
          <w:sz w:val="16"/>
        </w:rPr>
      </w:pPr>
      <w:r w:rsidRPr="007A75AA">
        <w:rPr>
          <w:sz w:val="16"/>
        </w:rPr>
        <w:t>Zdroj: ČSSZ</w:t>
      </w:r>
    </w:p>
    <w:p w14:paraId="71C765A0" w14:textId="36922F5B" w:rsidR="007A1E96" w:rsidRPr="00467D54" w:rsidRDefault="00C345C6" w:rsidP="007A1E96">
      <w:pPr>
        <w:spacing w:before="120" w:after="120"/>
        <w:jc w:val="both"/>
      </w:pPr>
      <w:r>
        <w:t>Ke značnému</w:t>
      </w:r>
      <w:r w:rsidR="006C0527" w:rsidRPr="00467D54">
        <w:t xml:space="preserve"> </w:t>
      </w:r>
      <w:r w:rsidR="007A1E96" w:rsidRPr="00467D54">
        <w:t xml:space="preserve">zvýšení však došlo i v roce 2018. V roce 2017 </w:t>
      </w:r>
      <w:r w:rsidR="007A1E96" w:rsidRPr="00467D54">
        <w:rPr>
          <w:b/>
        </w:rPr>
        <w:t xml:space="preserve">bylo </w:t>
      </w:r>
      <w:r w:rsidR="007A1E96" w:rsidRPr="00467D54">
        <w:t xml:space="preserve">totiž </w:t>
      </w:r>
      <w:r w:rsidR="007A1E96" w:rsidRPr="00467D54">
        <w:rPr>
          <w:b/>
        </w:rPr>
        <w:t>přijato několik významných legislativních opatření</w:t>
      </w:r>
      <w:r w:rsidR="007A1E96" w:rsidRPr="00467D54">
        <w:t xml:space="preserve"> v oblasti nemocenského pojištění, </w:t>
      </w:r>
      <w:r w:rsidR="007A1E96" w:rsidRPr="00467D54">
        <w:rPr>
          <w:b/>
        </w:rPr>
        <w:t>s účinností od roku 2018</w:t>
      </w:r>
      <w:r w:rsidR="007A1E96" w:rsidRPr="00467D54">
        <w:t xml:space="preserve">, která zásadním způsobem ovlivnila jeho finanční bilanci. Jednalo se o </w:t>
      </w:r>
      <w:r w:rsidR="007A1E96" w:rsidRPr="00467D54">
        <w:rPr>
          <w:b/>
        </w:rPr>
        <w:t xml:space="preserve">zvýšení </w:t>
      </w:r>
      <w:r w:rsidR="00E07E2C" w:rsidRPr="00467D54">
        <w:rPr>
          <w:b/>
        </w:rPr>
        <w:t xml:space="preserve">procentní sazby </w:t>
      </w:r>
      <w:r w:rsidR="007A1E96" w:rsidRPr="00467D54">
        <w:rPr>
          <w:b/>
        </w:rPr>
        <w:t>nemocenského od 31. kalendářního dne DPN</w:t>
      </w:r>
      <w:r w:rsidR="007A1E96" w:rsidRPr="00467D54">
        <w:t xml:space="preserve"> nebo karantény z 60 % na 66 % redukovaného denního vyměřovacího základu a od</w:t>
      </w:r>
      <w:r w:rsidR="007A1E96" w:rsidRPr="00467D54">
        <w:rPr>
          <w:b/>
        </w:rPr>
        <w:t xml:space="preserve"> 61. kalendářního dne DPN</w:t>
      </w:r>
      <w:r w:rsidR="007A1E96" w:rsidRPr="00467D54">
        <w:t xml:space="preserve"> nebo karantény z 60 % na 72 % redukovaného denního vyměřovacího základu s účinností od 1. ledna 2018. Kromě toho, ovšem s jen nepatrným vlivem na celkovou výši výdajů nemocenského pojištění, byl rozšířen okruh dávek poskytovaných z nemocenského pojištění o novou dávku otcovské poporodní péče (tzv. „otcovská“) s účinností od 1. února 2018 a dávku dlouhodobého ošetřovného s</w:t>
      </w:r>
      <w:r w:rsidR="00DC2A86" w:rsidRPr="00467D54">
        <w:t> </w:t>
      </w:r>
      <w:r w:rsidR="007A1E96" w:rsidRPr="00467D54">
        <w:t>účinností od 1. června 2018.</w:t>
      </w:r>
    </w:p>
    <w:p w14:paraId="5628FC49" w14:textId="599D846A" w:rsidR="00661E9C" w:rsidRPr="00467D54" w:rsidRDefault="00495305" w:rsidP="00661E9C">
      <w:pPr>
        <w:spacing w:before="120" w:after="120"/>
        <w:jc w:val="both"/>
        <w:rPr>
          <w:rFonts w:cs="Arial"/>
          <w:szCs w:val="16"/>
        </w:rPr>
      </w:pPr>
      <w:r w:rsidRPr="00467D54">
        <w:rPr>
          <w:rFonts w:cs="Arial"/>
          <w:szCs w:val="16"/>
        </w:rPr>
        <w:t xml:space="preserve">Od roku 2012 </w:t>
      </w:r>
      <w:r w:rsidR="00B25EC1" w:rsidRPr="00467D54">
        <w:rPr>
          <w:rFonts w:cs="Arial"/>
          <w:szCs w:val="16"/>
        </w:rPr>
        <w:t xml:space="preserve">výdaje na nemocenské </w:t>
      </w:r>
      <w:r w:rsidR="00467D54" w:rsidRPr="00467D54">
        <w:rPr>
          <w:rFonts w:cs="Arial"/>
          <w:szCs w:val="16"/>
        </w:rPr>
        <w:t xml:space="preserve">až do roku 2021 </w:t>
      </w:r>
      <w:r w:rsidRPr="00467D54">
        <w:rPr>
          <w:rFonts w:cs="Arial"/>
          <w:szCs w:val="16"/>
        </w:rPr>
        <w:t xml:space="preserve">kontinuálně </w:t>
      </w:r>
      <w:r w:rsidR="00467D54" w:rsidRPr="00467D54">
        <w:rPr>
          <w:rFonts w:cs="Arial"/>
          <w:szCs w:val="16"/>
        </w:rPr>
        <w:t>rostly</w:t>
      </w:r>
      <w:r w:rsidRPr="00467D54">
        <w:rPr>
          <w:rFonts w:cs="Arial"/>
          <w:szCs w:val="16"/>
        </w:rPr>
        <w:t xml:space="preserve">. </w:t>
      </w:r>
      <w:r w:rsidR="00467D54" w:rsidRPr="00467D54">
        <w:rPr>
          <w:rFonts w:cs="Arial"/>
          <w:szCs w:val="16"/>
        </w:rPr>
        <w:t xml:space="preserve">V roce 2022 růst vystřídal mírný pokles. </w:t>
      </w:r>
      <w:r w:rsidR="00661E9C" w:rsidRPr="00467D54">
        <w:rPr>
          <w:rFonts w:cs="Arial"/>
          <w:szCs w:val="16"/>
        </w:rPr>
        <w:t>Oproti</w:t>
      </w:r>
      <w:r w:rsidR="00C55296" w:rsidRPr="00467D54">
        <w:rPr>
          <w:rFonts w:cs="Arial"/>
          <w:szCs w:val="16"/>
        </w:rPr>
        <w:t xml:space="preserve"> roku 2019, tj. období před pandemií,</w:t>
      </w:r>
      <w:r w:rsidR="00661E9C" w:rsidRPr="00467D54">
        <w:rPr>
          <w:rFonts w:cs="Arial"/>
          <w:szCs w:val="16"/>
        </w:rPr>
        <w:t xml:space="preserve"> se </w:t>
      </w:r>
      <w:r w:rsidR="00467D54" w:rsidRPr="00467D54">
        <w:rPr>
          <w:rFonts w:cs="Arial"/>
          <w:szCs w:val="16"/>
        </w:rPr>
        <w:t xml:space="preserve">však výdaje </w:t>
      </w:r>
      <w:r w:rsidR="000D1D1E" w:rsidRPr="00467D54">
        <w:rPr>
          <w:rFonts w:cs="Arial"/>
          <w:szCs w:val="16"/>
        </w:rPr>
        <w:t>v roce 202</w:t>
      </w:r>
      <w:r w:rsidR="00467D54" w:rsidRPr="00467D54">
        <w:rPr>
          <w:rFonts w:cs="Arial"/>
          <w:szCs w:val="16"/>
        </w:rPr>
        <w:t>2</w:t>
      </w:r>
      <w:r w:rsidR="000D1D1E" w:rsidRPr="00467D54">
        <w:rPr>
          <w:rFonts w:cs="Arial"/>
          <w:szCs w:val="16"/>
        </w:rPr>
        <w:t xml:space="preserve"> </w:t>
      </w:r>
      <w:r w:rsidR="00661E9C" w:rsidRPr="00467D54">
        <w:rPr>
          <w:rFonts w:cs="Arial"/>
          <w:szCs w:val="16"/>
        </w:rPr>
        <w:t xml:space="preserve">zvýšily o </w:t>
      </w:r>
      <w:r w:rsidR="00467D54" w:rsidRPr="00467D54">
        <w:rPr>
          <w:rFonts w:cs="Arial"/>
          <w:szCs w:val="16"/>
        </w:rPr>
        <w:t>6</w:t>
      </w:r>
      <w:r w:rsidR="00C55296" w:rsidRPr="00467D54">
        <w:rPr>
          <w:rFonts w:cs="Arial"/>
          <w:szCs w:val="16"/>
        </w:rPr>
        <w:t xml:space="preserve"> mld. Kč, tj</w:t>
      </w:r>
      <w:r w:rsidR="00661E9C" w:rsidRPr="00467D54">
        <w:rPr>
          <w:rFonts w:cs="Arial"/>
          <w:szCs w:val="16"/>
        </w:rPr>
        <w:t xml:space="preserve">. o </w:t>
      </w:r>
      <w:r w:rsidR="00C55296" w:rsidRPr="00467D54">
        <w:rPr>
          <w:rFonts w:cs="Arial"/>
          <w:szCs w:val="16"/>
        </w:rPr>
        <w:t>2</w:t>
      </w:r>
      <w:r w:rsidR="00467D54" w:rsidRPr="00467D54">
        <w:rPr>
          <w:rFonts w:cs="Arial"/>
          <w:szCs w:val="16"/>
        </w:rPr>
        <w:t>3</w:t>
      </w:r>
      <w:r w:rsidR="00661E9C" w:rsidRPr="00467D54">
        <w:rPr>
          <w:rFonts w:cs="Arial"/>
          <w:szCs w:val="16"/>
        </w:rPr>
        <w:t xml:space="preserve"> %.</w:t>
      </w:r>
    </w:p>
    <w:p w14:paraId="4E345D44" w14:textId="415248E9" w:rsidR="004229D4" w:rsidRPr="00C06EC1" w:rsidRDefault="00661E9C" w:rsidP="00CC38CC">
      <w:pPr>
        <w:spacing w:before="120" w:after="120"/>
        <w:jc w:val="both"/>
        <w:rPr>
          <w:rFonts w:cs="Arial"/>
          <w:b/>
          <w:bCs/>
          <w:color w:val="000000"/>
          <w:szCs w:val="20"/>
        </w:rPr>
      </w:pPr>
      <w:r w:rsidRPr="00C06EC1">
        <w:t xml:space="preserve">Podrobnější informace k výdajům na nemocenské a dalším dávkám, které jsou poskytovány ze systému nemocenského pojištění, naleznete v analýze </w:t>
      </w:r>
      <w:hyperlink r:id="rId39" w:history="1">
        <w:r w:rsidR="00B25EC1" w:rsidRPr="00C06EC1">
          <w:rPr>
            <w:rStyle w:val="Hypertextovodkaz"/>
          </w:rPr>
          <w:t>Informace o vyplacených dávkách v resortu MPSV ČR</w:t>
        </w:r>
      </w:hyperlink>
      <w:r w:rsidRPr="00C06EC1">
        <w:t>.</w:t>
      </w:r>
    </w:p>
    <w:p w14:paraId="453F6528" w14:textId="77777777" w:rsidR="00B235BE" w:rsidRDefault="00B235BE">
      <w:pPr>
        <w:spacing w:after="0" w:line="240" w:lineRule="auto"/>
        <w:rPr>
          <w:rFonts w:cs="Arial"/>
          <w:b/>
          <w:bCs/>
          <w:color w:val="000000"/>
          <w:szCs w:val="20"/>
        </w:rPr>
      </w:pPr>
      <w:r>
        <w:rPr>
          <w:rFonts w:cs="Arial"/>
          <w:b/>
          <w:bCs/>
          <w:color w:val="000000"/>
          <w:szCs w:val="20"/>
        </w:rPr>
        <w:br w:type="page"/>
      </w:r>
    </w:p>
    <w:p w14:paraId="49EAD15E" w14:textId="0A038CDB" w:rsidR="00661E9C" w:rsidRPr="00C06EC1" w:rsidRDefault="00661E9C" w:rsidP="00661E9C">
      <w:pPr>
        <w:spacing w:after="0" w:line="240" w:lineRule="auto"/>
        <w:jc w:val="both"/>
        <w:rPr>
          <w:rFonts w:cs="Arial"/>
          <w:b/>
          <w:bCs/>
          <w:color w:val="000000"/>
          <w:szCs w:val="20"/>
        </w:rPr>
      </w:pPr>
      <w:r w:rsidRPr="00C06EC1">
        <w:rPr>
          <w:rFonts w:cs="Arial"/>
          <w:b/>
          <w:bCs/>
          <w:color w:val="000000"/>
          <w:szCs w:val="20"/>
        </w:rPr>
        <w:lastRenderedPageBreak/>
        <w:t xml:space="preserve">Graf 4.1: Výdaje na nemocenské a průměrné </w:t>
      </w:r>
      <w:r w:rsidR="009B2EAF" w:rsidRPr="00C06EC1">
        <w:rPr>
          <w:rFonts w:cs="Arial"/>
          <w:b/>
          <w:bCs/>
          <w:color w:val="000000"/>
          <w:szCs w:val="20"/>
        </w:rPr>
        <w:t>výdaje na jednoho pojištěnce</w:t>
      </w:r>
      <w:r w:rsidRPr="00C06EC1">
        <w:rPr>
          <w:rFonts w:cs="Arial"/>
          <w:b/>
          <w:bCs/>
          <w:color w:val="000000"/>
          <w:szCs w:val="20"/>
        </w:rPr>
        <w:t>, 201</w:t>
      </w:r>
      <w:r w:rsidR="00C06EC1" w:rsidRPr="00C06EC1">
        <w:rPr>
          <w:rFonts w:cs="Arial"/>
          <w:b/>
          <w:bCs/>
          <w:color w:val="000000"/>
          <w:szCs w:val="20"/>
        </w:rPr>
        <w:t>2–2022</w:t>
      </w:r>
    </w:p>
    <w:p w14:paraId="506EF0EB" w14:textId="76537898" w:rsidR="00661E9C" w:rsidRPr="00166BEB" w:rsidRDefault="00C06EC1" w:rsidP="00661E9C">
      <w:pPr>
        <w:spacing w:after="0" w:line="240" w:lineRule="auto"/>
        <w:jc w:val="both"/>
        <w:rPr>
          <w:rFonts w:cs="Arial"/>
          <w:b/>
          <w:bCs/>
          <w:color w:val="000000"/>
          <w:szCs w:val="20"/>
          <w:highlight w:val="yellow"/>
        </w:rPr>
      </w:pPr>
      <w:r>
        <w:rPr>
          <w:noProof/>
        </w:rPr>
        <w:drawing>
          <wp:inline distT="0" distB="0" distL="0" distR="0" wp14:anchorId="7B4658D3" wp14:editId="6A2C2F66">
            <wp:extent cx="6096000" cy="2733675"/>
            <wp:effectExtent l="0" t="0" r="0" b="9525"/>
            <wp:docPr id="15" name="Graf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4B1D452E" w14:textId="77777777" w:rsidR="00661E9C" w:rsidRPr="00C06EC1" w:rsidRDefault="00661E9C" w:rsidP="00661E9C">
      <w:pPr>
        <w:spacing w:after="120"/>
        <w:jc w:val="both"/>
        <w:rPr>
          <w:sz w:val="16"/>
        </w:rPr>
      </w:pPr>
      <w:r w:rsidRPr="00C06EC1">
        <w:rPr>
          <w:sz w:val="16"/>
        </w:rPr>
        <w:t>Zdroj: ČSSZ, ČSÚ</w:t>
      </w:r>
    </w:p>
    <w:p w14:paraId="3CF3DF6F" w14:textId="77777777" w:rsidR="007A1E96" w:rsidRPr="00BD6D2F" w:rsidRDefault="00C55296" w:rsidP="00841DC4">
      <w:pPr>
        <w:pStyle w:val="Nadpis4"/>
        <w:rPr>
          <w:sz w:val="24"/>
        </w:rPr>
      </w:pPr>
      <w:bookmarkStart w:id="20" w:name="_Toc136412155"/>
      <w:r w:rsidRPr="00BD6D2F">
        <w:rPr>
          <w:sz w:val="24"/>
        </w:rPr>
        <w:t>4.4.1 Vliv pandemie covid-19 na dávky nemocenského pojištění</w:t>
      </w:r>
      <w:bookmarkEnd w:id="20"/>
    </w:p>
    <w:p w14:paraId="334B8D3A" w14:textId="64B99E77" w:rsidR="00966FAC" w:rsidRPr="004D3AD6" w:rsidRDefault="00C55296" w:rsidP="00C42FD6">
      <w:pPr>
        <w:pStyle w:val="Default"/>
        <w:spacing w:after="120" w:line="288" w:lineRule="auto"/>
        <w:jc w:val="both"/>
        <w:rPr>
          <w:rFonts w:eastAsia="Times New Roman" w:cs="Times New Roman"/>
          <w:color w:val="auto"/>
          <w:sz w:val="20"/>
          <w:lang w:eastAsia="cs-CZ"/>
        </w:rPr>
      </w:pPr>
      <w:r w:rsidRPr="00C345C6">
        <w:rPr>
          <w:rFonts w:eastAsia="Times New Roman" w:cs="Times New Roman"/>
          <w:color w:val="auto"/>
          <w:sz w:val="20"/>
          <w:lang w:eastAsia="cs-CZ"/>
        </w:rPr>
        <w:t>Zatímco do března roku 2020 bylo vyplácení dávky nemocenského pro případ karantény spíše teoretickým nárokem, kvůli vyhlášení nouzového stavu 12. 3. 2020 se stalo běžnou praxí</w:t>
      </w:r>
      <w:r w:rsidR="00AE767B" w:rsidRPr="00C345C6">
        <w:rPr>
          <w:rFonts w:eastAsia="Times New Roman" w:cs="Times New Roman"/>
          <w:color w:val="auto"/>
          <w:sz w:val="20"/>
          <w:lang w:eastAsia="cs-CZ"/>
        </w:rPr>
        <w:t>, která trvala více než</w:t>
      </w:r>
      <w:r w:rsidRPr="00C345C6">
        <w:rPr>
          <w:rFonts w:eastAsia="Times New Roman" w:cs="Times New Roman"/>
          <w:color w:val="auto"/>
          <w:sz w:val="20"/>
          <w:lang w:eastAsia="cs-CZ"/>
        </w:rPr>
        <w:t xml:space="preserve"> 2 roky. </w:t>
      </w:r>
      <w:r w:rsidR="004215D8">
        <w:rPr>
          <w:rFonts w:eastAsia="Times New Roman" w:cs="Times New Roman"/>
          <w:color w:val="auto"/>
          <w:sz w:val="20"/>
          <w:lang w:eastAsia="cs-CZ"/>
        </w:rPr>
        <w:t xml:space="preserve">Od ledna do srpna </w:t>
      </w:r>
      <w:r w:rsidR="00966FAC" w:rsidRPr="004D3AD6">
        <w:rPr>
          <w:rFonts w:eastAsia="Times New Roman" w:cs="Times New Roman"/>
          <w:color w:val="auto"/>
          <w:sz w:val="20"/>
          <w:lang w:eastAsia="cs-CZ"/>
        </w:rPr>
        <w:t xml:space="preserve">2022 bylo vystaveno </w:t>
      </w:r>
      <w:r w:rsidR="004215D8">
        <w:rPr>
          <w:rFonts w:eastAsia="Times New Roman" w:cs="Times New Roman"/>
          <w:color w:val="auto"/>
          <w:sz w:val="20"/>
          <w:lang w:eastAsia="cs-CZ"/>
        </w:rPr>
        <w:t>916</w:t>
      </w:r>
      <w:r w:rsidR="00966FAC" w:rsidRPr="004D3AD6">
        <w:rPr>
          <w:rFonts w:eastAsia="Times New Roman" w:cs="Times New Roman"/>
          <w:color w:val="auto"/>
          <w:sz w:val="20"/>
          <w:lang w:eastAsia="cs-CZ"/>
        </w:rPr>
        <w:t xml:space="preserve"> tis. takových </w:t>
      </w:r>
      <w:r w:rsidR="007A6E05">
        <w:rPr>
          <w:rFonts w:eastAsia="Times New Roman" w:cs="Times New Roman"/>
          <w:color w:val="auto"/>
          <w:sz w:val="20"/>
          <w:lang w:eastAsia="cs-CZ"/>
        </w:rPr>
        <w:t xml:space="preserve">„karanténních“ </w:t>
      </w:r>
      <w:r w:rsidR="00966FAC" w:rsidRPr="004D3AD6">
        <w:rPr>
          <w:rFonts w:eastAsia="Times New Roman" w:cs="Times New Roman"/>
          <w:color w:val="auto"/>
          <w:sz w:val="20"/>
          <w:lang w:eastAsia="cs-CZ"/>
        </w:rPr>
        <w:t>neschopenek, ovšem je potřeba upozornit, že v lednu a únoru při testování zaměstnanců byly některým pracujícím vydány neschopenky duplicitně. V zájmu operativního jednání při vyřizování karantén a izolací</w:t>
      </w:r>
      <w:r w:rsidR="00193480">
        <w:rPr>
          <w:rStyle w:val="Znakapoznpodarou"/>
          <w:rFonts w:eastAsia="Times New Roman" w:cs="Times New Roman"/>
          <w:color w:val="auto"/>
          <w:sz w:val="20"/>
          <w:lang w:eastAsia="cs-CZ"/>
        </w:rPr>
        <w:footnoteReference w:id="14"/>
      </w:r>
      <w:r w:rsidR="00966FAC" w:rsidRPr="004D3AD6">
        <w:rPr>
          <w:rFonts w:eastAsia="Times New Roman" w:cs="Times New Roman"/>
          <w:color w:val="auto"/>
          <w:sz w:val="20"/>
          <w:lang w:eastAsia="cs-CZ"/>
        </w:rPr>
        <w:t xml:space="preserve"> vydávali neschopenky jak praktičtí lékaři, tak krajské hygienické stanice. Údaje za první 2 měsíce roku 2022 v grafu 4.2 </w:t>
      </w:r>
      <w:r w:rsidR="00966FAC">
        <w:rPr>
          <w:rFonts w:eastAsia="Times New Roman" w:cs="Times New Roman"/>
          <w:color w:val="auto"/>
          <w:sz w:val="20"/>
          <w:lang w:eastAsia="cs-CZ"/>
        </w:rPr>
        <w:t>jsou tedy do jisté míry zkreslené a nad</w:t>
      </w:r>
      <w:r w:rsidR="004215D8">
        <w:rPr>
          <w:rFonts w:eastAsia="Times New Roman" w:cs="Times New Roman"/>
          <w:color w:val="auto"/>
          <w:sz w:val="20"/>
          <w:lang w:eastAsia="cs-CZ"/>
        </w:rPr>
        <w:t>hodnocené</w:t>
      </w:r>
      <w:r w:rsidR="00966FAC" w:rsidRPr="004D3AD6">
        <w:rPr>
          <w:rFonts w:eastAsia="Times New Roman" w:cs="Times New Roman"/>
          <w:color w:val="auto"/>
          <w:sz w:val="20"/>
          <w:lang w:eastAsia="cs-CZ"/>
        </w:rPr>
        <w:t xml:space="preserve">. V březnu roku 2022 bylo vydáno více než 100 tis. neschopností pro karanténu či izolaci a lze říci, že 3 z 10 </w:t>
      </w:r>
      <w:r w:rsidR="00B235BE">
        <w:rPr>
          <w:rFonts w:eastAsia="Times New Roman" w:cs="Times New Roman"/>
          <w:color w:val="auto"/>
          <w:sz w:val="20"/>
          <w:lang w:eastAsia="cs-CZ"/>
        </w:rPr>
        <w:t>všech neschopenek byly vydány právě osobám bez příznaků nemoci kvůli karanténě či izolaci.</w:t>
      </w:r>
      <w:r w:rsidR="00966FAC" w:rsidRPr="004D3AD6">
        <w:rPr>
          <w:rFonts w:eastAsia="Times New Roman" w:cs="Times New Roman"/>
          <w:color w:val="auto"/>
          <w:sz w:val="20"/>
          <w:lang w:eastAsia="cs-CZ"/>
        </w:rPr>
        <w:t xml:space="preserve"> V březnu 2021 kompenzovala ztrátu příjmu kvůli karanténě či izolaci každá druhá neschopenka.</w:t>
      </w:r>
    </w:p>
    <w:p w14:paraId="31E86BB5" w14:textId="77777777" w:rsidR="004215D8" w:rsidRDefault="00966FAC" w:rsidP="004215D8">
      <w:pPr>
        <w:pStyle w:val="Default"/>
        <w:spacing w:before="120" w:after="120" w:line="288" w:lineRule="auto"/>
        <w:jc w:val="both"/>
        <w:rPr>
          <w:rFonts w:eastAsia="Times New Roman" w:cs="Times New Roman"/>
          <w:color w:val="auto"/>
          <w:sz w:val="20"/>
          <w:lang w:eastAsia="cs-CZ"/>
        </w:rPr>
      </w:pPr>
      <w:r w:rsidRPr="00DA2E8B">
        <w:rPr>
          <w:rFonts w:eastAsia="Times New Roman" w:cs="Times New Roman"/>
          <w:color w:val="auto"/>
          <w:sz w:val="20"/>
          <w:lang w:eastAsia="cs-CZ"/>
        </w:rPr>
        <w:t>Nutno doplnit, že tato čísla odráží pouze případy pojištěnců, kteří mají na dávku nemocenského nárok a také o ni zažádali. Nerovná se počtu nařízených karantén od krajských hygienických stanic (karanténa může být nařízena i dětem, studentům či nepracujícím seniorům). Vzhledem k širším možnostem práce z domova mohly osoby v nařízené karanténě (pokud to povaha jejich práce dovolovala) i nadále pracovat za plnou mzdu, aniž by porušovaly pravidla karantény.</w:t>
      </w:r>
      <w:r>
        <w:rPr>
          <w:rFonts w:eastAsia="Times New Roman" w:cs="Times New Roman"/>
          <w:color w:val="auto"/>
          <w:sz w:val="20"/>
          <w:lang w:eastAsia="cs-CZ"/>
        </w:rPr>
        <w:t xml:space="preserve"> Na poč</w:t>
      </w:r>
      <w:r w:rsidR="00A96D89">
        <w:rPr>
          <w:rFonts w:eastAsia="Times New Roman" w:cs="Times New Roman"/>
          <w:color w:val="auto"/>
          <w:sz w:val="20"/>
          <w:lang w:eastAsia="cs-CZ"/>
        </w:rPr>
        <w:t>et</w:t>
      </w:r>
      <w:r>
        <w:rPr>
          <w:rFonts w:eastAsia="Times New Roman" w:cs="Times New Roman"/>
          <w:color w:val="auto"/>
          <w:sz w:val="20"/>
          <w:lang w:eastAsia="cs-CZ"/>
        </w:rPr>
        <w:t xml:space="preserve"> případů </w:t>
      </w:r>
      <w:r w:rsidR="00A96D89">
        <w:rPr>
          <w:rFonts w:eastAsia="Times New Roman" w:cs="Times New Roman"/>
          <w:color w:val="auto"/>
          <w:sz w:val="20"/>
          <w:lang w:eastAsia="cs-CZ"/>
        </w:rPr>
        <w:t xml:space="preserve">PN </w:t>
      </w:r>
      <w:r>
        <w:rPr>
          <w:rFonts w:eastAsia="Times New Roman" w:cs="Times New Roman"/>
          <w:color w:val="auto"/>
          <w:sz w:val="20"/>
          <w:lang w:eastAsia="cs-CZ"/>
        </w:rPr>
        <w:t>měly vliv i podmínky pro testování, délka karantén či obecně vládní op</w:t>
      </w:r>
      <w:r w:rsidR="004215D8">
        <w:rPr>
          <w:rFonts w:eastAsia="Times New Roman" w:cs="Times New Roman"/>
          <w:color w:val="auto"/>
          <w:sz w:val="20"/>
          <w:lang w:eastAsia="cs-CZ"/>
        </w:rPr>
        <w:t xml:space="preserve">atření proti šíření </w:t>
      </w:r>
      <w:proofErr w:type="spellStart"/>
      <w:r w:rsidR="004215D8">
        <w:rPr>
          <w:rFonts w:eastAsia="Times New Roman" w:cs="Times New Roman"/>
          <w:color w:val="auto"/>
          <w:sz w:val="20"/>
          <w:lang w:eastAsia="cs-CZ"/>
        </w:rPr>
        <w:t>koronaviru</w:t>
      </w:r>
      <w:proofErr w:type="spellEnd"/>
      <w:r w:rsidR="004215D8">
        <w:rPr>
          <w:rFonts w:eastAsia="Times New Roman" w:cs="Times New Roman"/>
          <w:color w:val="auto"/>
          <w:sz w:val="20"/>
          <w:lang w:eastAsia="cs-CZ"/>
        </w:rPr>
        <w:t>.</w:t>
      </w:r>
    </w:p>
    <w:p w14:paraId="3E98EEB8" w14:textId="285C2DAC" w:rsidR="008764EB" w:rsidRPr="004215D8" w:rsidRDefault="004215D8" w:rsidP="004215D8">
      <w:pPr>
        <w:pStyle w:val="Default"/>
        <w:spacing w:before="120" w:after="120" w:line="288" w:lineRule="auto"/>
        <w:jc w:val="both"/>
        <w:rPr>
          <w:rFonts w:eastAsia="Times New Roman" w:cs="Times New Roman"/>
          <w:color w:val="auto"/>
          <w:sz w:val="20"/>
          <w:lang w:eastAsia="cs-CZ"/>
        </w:rPr>
      </w:pPr>
      <w:r w:rsidRPr="00EF7F31">
        <w:rPr>
          <w:rFonts w:eastAsia="Times New Roman" w:cs="Times New Roman"/>
          <w:color w:val="auto"/>
          <w:sz w:val="20"/>
          <w:lang w:eastAsia="cs-CZ"/>
        </w:rPr>
        <w:t>Pandemie se na výdajové stránce nemocenského pojištění podepsala nejen v dávce nemocenské, ale rovněž ošetřovné. Zatímco do roku 2019 činil podíl výdajů za ošetřovné méně než 5 % celkových výdajů na dávky nemocenského pojištění, v roce 2020 to byla více než pětina. Navýšení nákladů bylo způsobeno jednak vyšším počtem případů, jednak zvýšením ošetřovného při epidemii uzákoněné na podzim roku 2020 (tzv. krizové ošetřovné</w:t>
      </w:r>
      <w:r w:rsidRPr="00EF7F31">
        <w:rPr>
          <w:rStyle w:val="Znakapoznpodarou"/>
          <w:rFonts w:eastAsia="Times New Roman" w:cs="Times New Roman"/>
          <w:color w:val="auto"/>
          <w:sz w:val="20"/>
          <w:lang w:eastAsia="cs-CZ"/>
        </w:rPr>
        <w:footnoteReference w:id="15"/>
      </w:r>
      <w:r w:rsidRPr="00EF7F31">
        <w:rPr>
          <w:rFonts w:eastAsia="Times New Roman" w:cs="Times New Roman"/>
          <w:color w:val="auto"/>
          <w:sz w:val="20"/>
          <w:lang w:eastAsia="cs-CZ"/>
        </w:rPr>
        <w:t>). Z dosud počítaných 60 % byla sazba zvýšena na 70 %</w:t>
      </w:r>
      <w:r w:rsidRPr="00EF7F31">
        <w:rPr>
          <w:rStyle w:val="Znakapoznpodarou"/>
          <w:rFonts w:eastAsia="Times New Roman" w:cs="Times New Roman"/>
          <w:color w:val="auto"/>
          <w:sz w:val="20"/>
          <w:lang w:eastAsia="cs-CZ"/>
        </w:rPr>
        <w:footnoteReference w:id="16"/>
      </w:r>
      <w:r w:rsidRPr="00EF7F31">
        <w:rPr>
          <w:rFonts w:eastAsia="Times New Roman" w:cs="Times New Roman"/>
          <w:color w:val="auto"/>
          <w:sz w:val="20"/>
          <w:lang w:eastAsia="cs-CZ"/>
        </w:rPr>
        <w:t xml:space="preserve"> redukovaného denního vyměřovacího základu. Zatímco dříve bylo možné čerpat ošetřovné maximálně 9 dnů, při uzavření školních a dětských zařízení trvala podpůrčí doba po celou dobu mimořádných vládních opatření. Náklady na ošetřovné v roce 2020 dosáhly rekordní výše 11,4 mld. Kč, tj. téměř o 10 mld. více v porovnání s předchozím rokem. V roce 2021 došlo k poklesu, výdaje činily 5,7 mld. Tvořily tak desetinu výdajů na dávky systému </w:t>
      </w:r>
      <w:r w:rsidRPr="00EF7F31">
        <w:rPr>
          <w:rFonts w:eastAsia="Times New Roman" w:cs="Times New Roman"/>
          <w:color w:val="auto"/>
          <w:sz w:val="20"/>
          <w:lang w:eastAsia="cs-CZ"/>
        </w:rPr>
        <w:lastRenderedPageBreak/>
        <w:t>nemocenského pojištění. Pokles výdajů na ošetřovné pokračoval i v roce 2022, kdy bylo za tímto účelem vynaloženo 2,8 mil. Kč</w:t>
      </w:r>
      <w:r>
        <w:rPr>
          <w:rFonts w:eastAsia="Times New Roman" w:cs="Times New Roman"/>
          <w:color w:val="auto"/>
          <w:sz w:val="20"/>
          <w:lang w:eastAsia="cs-CZ"/>
        </w:rPr>
        <w:t xml:space="preserve">. To představovalo </w:t>
      </w:r>
      <w:r w:rsidRPr="00EF7F31">
        <w:rPr>
          <w:rFonts w:eastAsia="Times New Roman" w:cs="Times New Roman"/>
          <w:color w:val="auto"/>
          <w:sz w:val="20"/>
          <w:lang w:eastAsia="cs-CZ"/>
        </w:rPr>
        <w:t xml:space="preserve">6 % z veškerých výdajů </w:t>
      </w:r>
      <w:r>
        <w:rPr>
          <w:rFonts w:eastAsia="Times New Roman" w:cs="Times New Roman"/>
          <w:color w:val="auto"/>
          <w:sz w:val="20"/>
          <w:lang w:eastAsia="cs-CZ"/>
        </w:rPr>
        <w:t xml:space="preserve">na dávky nemocenského pojištění a hodnota se tak blížila </w:t>
      </w:r>
      <w:proofErr w:type="spellStart"/>
      <w:r>
        <w:rPr>
          <w:rFonts w:eastAsia="Times New Roman" w:cs="Times New Roman"/>
          <w:color w:val="auto"/>
          <w:sz w:val="20"/>
          <w:lang w:eastAsia="cs-CZ"/>
        </w:rPr>
        <w:t>předcovidovému</w:t>
      </w:r>
      <w:proofErr w:type="spellEnd"/>
      <w:r>
        <w:rPr>
          <w:rFonts w:eastAsia="Times New Roman" w:cs="Times New Roman"/>
          <w:color w:val="auto"/>
          <w:sz w:val="20"/>
          <w:lang w:eastAsia="cs-CZ"/>
        </w:rPr>
        <w:t xml:space="preserve"> období.</w:t>
      </w:r>
    </w:p>
    <w:p w14:paraId="0A6DD6F2" w14:textId="5A5BDDCC" w:rsidR="00966FAC" w:rsidRPr="00966FAC" w:rsidRDefault="00966FAC" w:rsidP="00C55296">
      <w:pPr>
        <w:pStyle w:val="Default"/>
        <w:spacing w:before="120" w:after="120" w:line="288" w:lineRule="auto"/>
        <w:jc w:val="both"/>
        <w:rPr>
          <w:rFonts w:eastAsia="Times New Roman" w:cs="Times New Roman"/>
          <w:b/>
          <w:color w:val="auto"/>
          <w:sz w:val="20"/>
          <w:highlight w:val="yellow"/>
          <w:lang w:eastAsia="cs-CZ"/>
        </w:rPr>
      </w:pPr>
      <w:r w:rsidRPr="00966FAC">
        <w:rPr>
          <w:rFonts w:eastAsia="Times New Roman" w:cs="Times New Roman"/>
          <w:b/>
          <w:color w:val="auto"/>
          <w:sz w:val="20"/>
          <w:lang w:eastAsia="cs-CZ"/>
        </w:rPr>
        <w:t xml:space="preserve">Graf 4.2: Počet pracovních neschopností z důvodu karantény či izolace a jejich podíl na celkovém počtu vydaných neschopenek, 2022 </w:t>
      </w:r>
      <w:r w:rsidRPr="004215D8">
        <w:rPr>
          <w:rFonts w:eastAsia="Times New Roman" w:cs="Times New Roman"/>
          <w:b/>
          <w:color w:val="auto"/>
          <w:sz w:val="20"/>
          <w:lang w:eastAsia="cs-CZ"/>
        </w:rPr>
        <w:t>(leden až srpen)</w:t>
      </w:r>
    </w:p>
    <w:p w14:paraId="3E74A8E0" w14:textId="6C7EF6EF" w:rsidR="00966FAC" w:rsidRPr="00166BEB" w:rsidRDefault="004215D8" w:rsidP="00C55296">
      <w:pPr>
        <w:pStyle w:val="Default"/>
        <w:spacing w:before="120" w:after="120" w:line="288" w:lineRule="auto"/>
        <w:jc w:val="both"/>
        <w:rPr>
          <w:rFonts w:eastAsia="Times New Roman" w:cs="Times New Roman"/>
          <w:color w:val="auto"/>
          <w:sz w:val="20"/>
          <w:highlight w:val="yellow"/>
          <w:lang w:eastAsia="cs-CZ"/>
        </w:rPr>
      </w:pPr>
      <w:r>
        <w:rPr>
          <w:noProof/>
          <w:lang w:eastAsia="cs-CZ"/>
        </w:rPr>
        <mc:AlternateContent>
          <mc:Choice Requires="wps">
            <w:drawing>
              <wp:anchor distT="0" distB="0" distL="114300" distR="114300" simplePos="0" relativeHeight="251675136" behindDoc="0" locked="0" layoutInCell="1" allowOverlap="1" wp14:anchorId="1D0F7CD3" wp14:editId="0F99C6F4">
                <wp:simplePos x="0" y="0"/>
                <wp:positionH relativeFrom="column">
                  <wp:posOffset>1876425</wp:posOffset>
                </wp:positionH>
                <wp:positionV relativeFrom="paragraph">
                  <wp:posOffset>104775</wp:posOffset>
                </wp:positionV>
                <wp:extent cx="0" cy="2724150"/>
                <wp:effectExtent l="57150" t="19050" r="76200" b="95250"/>
                <wp:wrapNone/>
                <wp:docPr id="31" name="Přímá spojnice 3"/>
                <wp:cNvGraphicFramePr/>
                <a:graphic xmlns:a="http://schemas.openxmlformats.org/drawingml/2006/main">
                  <a:graphicData uri="http://schemas.microsoft.com/office/word/2010/wordprocessingShape">
                    <wps:wsp>
                      <wps:cNvCnPr/>
                      <wps:spPr>
                        <a:xfrm>
                          <a:off x="0" y="0"/>
                          <a:ext cx="0" cy="2724150"/>
                        </a:xfrm>
                        <a:prstGeom prst="line">
                          <a:avLst/>
                        </a:prstGeom>
                        <a:ln w="6350">
                          <a:solidFill>
                            <a:srgbClr val="C00000"/>
                          </a:solidFill>
                          <a:prstDash val="dash"/>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1CC8BB04" id="Přímá spojnice 3" o:spid="_x0000_s1026" style="position:absolute;z-index:251675136;visibility:visible;mso-wrap-style:square;mso-wrap-distance-left:9pt;mso-wrap-distance-top:0;mso-wrap-distance-right:9pt;mso-wrap-distance-bottom:0;mso-position-horizontal:absolute;mso-position-horizontal-relative:text;mso-position-vertical:absolute;mso-position-vertical-relative:text" from="147.75pt,8.25pt" to="147.75pt,22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" strokecolor="#c00000" strokeweight=".5pt">
                <v:stroke dashstyle="dash"/>
                <v:shadow on="t" color="black" opacity="24903f" origin=",.5" offset="0,.55556mm"/>
              </v:line>
            </w:pict>
          </mc:Fallback>
        </mc:AlternateContent>
      </w:r>
      <w:r>
        <w:rPr>
          <w:noProof/>
          <w:lang w:eastAsia="cs-CZ"/>
        </w:rPr>
        <w:drawing>
          <wp:inline distT="0" distB="0" distL="0" distR="0" wp14:anchorId="0B61F816" wp14:editId="3DE1FA4F">
            <wp:extent cx="6162675" cy="3314700"/>
            <wp:effectExtent l="0" t="0" r="9525" b="0"/>
            <wp:docPr id="73" name="Graf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0B743F1A" w14:textId="204C5F68" w:rsidR="00966FAC" w:rsidRDefault="00966FAC" w:rsidP="00C55296">
      <w:pPr>
        <w:spacing w:after="120"/>
        <w:jc w:val="both"/>
        <w:rPr>
          <w:sz w:val="16"/>
        </w:rPr>
      </w:pPr>
      <w:r w:rsidRPr="00C04835">
        <w:rPr>
          <w:sz w:val="16"/>
        </w:rPr>
        <w:t xml:space="preserve">Pozn.: </w:t>
      </w:r>
      <w:r w:rsidR="000010B9">
        <w:rPr>
          <w:sz w:val="16"/>
        </w:rPr>
        <w:t>Přerušení v časové řadě.</w:t>
      </w:r>
    </w:p>
    <w:p w14:paraId="59014DF6" w14:textId="73CFF829" w:rsidR="00C55296" w:rsidRDefault="00C55296" w:rsidP="00C55296">
      <w:pPr>
        <w:spacing w:after="120"/>
        <w:jc w:val="both"/>
        <w:rPr>
          <w:sz w:val="16"/>
        </w:rPr>
      </w:pPr>
      <w:r w:rsidRPr="00966FAC">
        <w:rPr>
          <w:sz w:val="16"/>
        </w:rPr>
        <w:t>Zdroj: ČSSZ</w:t>
      </w:r>
    </w:p>
    <w:p w14:paraId="2218C20B" w14:textId="66CB94E4" w:rsidR="00C55296" w:rsidRPr="00EF7F31" w:rsidRDefault="00C55296" w:rsidP="00C55296">
      <w:pPr>
        <w:spacing w:after="0" w:line="240" w:lineRule="auto"/>
        <w:rPr>
          <w:rFonts w:cs="Arial"/>
          <w:b/>
          <w:bCs/>
          <w:color w:val="000000"/>
          <w:szCs w:val="20"/>
        </w:rPr>
      </w:pPr>
      <w:r w:rsidRPr="00EF7F31">
        <w:rPr>
          <w:rFonts w:cs="Arial"/>
          <w:b/>
          <w:bCs/>
          <w:color w:val="000000"/>
          <w:szCs w:val="20"/>
        </w:rPr>
        <w:t>Graf 4.3: Počet hlášených případů karantény p</w:t>
      </w:r>
      <w:r w:rsidR="00EF7F31" w:rsidRPr="00EF7F31">
        <w:rPr>
          <w:rFonts w:cs="Arial"/>
          <w:b/>
          <w:bCs/>
          <w:color w:val="000000"/>
          <w:szCs w:val="20"/>
        </w:rPr>
        <w:t>odle jednotlivých dnů v ČR, 2020–2022</w:t>
      </w:r>
    </w:p>
    <w:p w14:paraId="2AD8D426" w14:textId="37154E8C" w:rsidR="00C55296" w:rsidRDefault="00EF7F31" w:rsidP="00C55296">
      <w:pPr>
        <w:rPr>
          <w:highlight w:val="yellow"/>
        </w:rPr>
      </w:pPr>
      <w:r>
        <w:rPr>
          <w:noProof/>
        </w:rPr>
        <w:drawing>
          <wp:inline distT="0" distB="0" distL="0" distR="0" wp14:anchorId="3E484379" wp14:editId="742EDA00">
            <wp:extent cx="6153150" cy="3362325"/>
            <wp:effectExtent l="0" t="0" r="0" b="9525"/>
            <wp:docPr id="25" name="Graf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47731113" w14:textId="216ED141" w:rsidR="00EF7F31" w:rsidRPr="008C6283" w:rsidRDefault="00EF7F31" w:rsidP="00C55296">
      <w:pPr>
        <w:rPr>
          <w:sz w:val="16"/>
          <w:highlight w:val="yellow"/>
        </w:rPr>
      </w:pPr>
      <w:r w:rsidRPr="008C6283">
        <w:rPr>
          <w:sz w:val="16"/>
        </w:rPr>
        <w:t>Pozn.: Od 1. 7. 2022 jsou údaje vykazovány v týdenním intervalu, do té doby denně.</w:t>
      </w:r>
    </w:p>
    <w:p w14:paraId="5B4F7977" w14:textId="7D632E96" w:rsidR="00C55296" w:rsidRPr="00EF7F31" w:rsidRDefault="00C55296" w:rsidP="00C55296">
      <w:pPr>
        <w:spacing w:after="120"/>
        <w:jc w:val="both"/>
        <w:rPr>
          <w:sz w:val="16"/>
        </w:rPr>
      </w:pPr>
      <w:r w:rsidRPr="00EF7F31">
        <w:rPr>
          <w:sz w:val="16"/>
        </w:rPr>
        <w:t>Zdroj: ČSSZ</w:t>
      </w:r>
    </w:p>
    <w:p w14:paraId="2809B6CA" w14:textId="28A5AA70" w:rsidR="00AE767B" w:rsidRPr="00C42FD6" w:rsidRDefault="00AE767B" w:rsidP="00C42FD6">
      <w:pPr>
        <w:pStyle w:val="Nadpis3"/>
      </w:pPr>
      <w:bookmarkStart w:id="21" w:name="_Toc136412156"/>
      <w:r w:rsidRPr="00C42FD6">
        <w:lastRenderedPageBreak/>
        <w:t>4.5 Pracovní úrazy</w:t>
      </w:r>
      <w:bookmarkEnd w:id="21"/>
    </w:p>
    <w:p w14:paraId="17B635CF" w14:textId="77777777" w:rsidR="00AE767B" w:rsidRPr="00213B6B" w:rsidRDefault="00AE767B" w:rsidP="00AE767B">
      <w:pPr>
        <w:spacing w:after="120"/>
        <w:jc w:val="both"/>
      </w:pPr>
      <w:r w:rsidRPr="00213B6B">
        <w:t xml:space="preserve">V oblasti pracovní úrazovosti ukládá česká i evropská legislativa zaměstnavatelům řadu povinností souvisejících s evidencí, hlášením a objasněním příčin a okolností vzniku každého pracovního úrazu. </w:t>
      </w:r>
    </w:p>
    <w:p w14:paraId="443AF22F" w14:textId="77777777" w:rsidR="00AE767B" w:rsidRPr="00213B6B" w:rsidRDefault="00AE767B" w:rsidP="00AE767B">
      <w:pPr>
        <w:pStyle w:val="Box1"/>
        <w:spacing w:before="120" w:after="120"/>
        <w:ind w:left="0"/>
        <w:contextualSpacing w:val="0"/>
        <w:jc w:val="both"/>
        <w:rPr>
          <w:i/>
        </w:rPr>
      </w:pPr>
      <w:r w:rsidRPr="00213B6B">
        <w:rPr>
          <w:b/>
          <w:i/>
        </w:rPr>
        <w:t xml:space="preserve">Pracovní úraz </w:t>
      </w:r>
      <w:r w:rsidRPr="00213B6B">
        <w:rPr>
          <w:i/>
        </w:rPr>
        <w:t>– pracovním úrazem se rozumí poškození zdraví nebo smrt zaměstnance, došlo-li k nim nezávisle na jeho vůli krátkodobým, náhlým a násilným působením zevních vlivů při plnění pracovních úkolů nebo v přímé souvislosti s ním (viz § 271k odst. 1 až 3 zákona č. 262/2006 Sb., zákoník práce, ve znění pozdějších předpisů).</w:t>
      </w:r>
    </w:p>
    <w:p w14:paraId="2469C074" w14:textId="77777777" w:rsidR="00AE767B" w:rsidRPr="00213B6B" w:rsidRDefault="00AE767B" w:rsidP="00AE767B">
      <w:pPr>
        <w:pStyle w:val="Box1"/>
        <w:spacing w:before="120" w:after="120"/>
        <w:ind w:left="0"/>
        <w:contextualSpacing w:val="0"/>
        <w:jc w:val="both"/>
        <w:rPr>
          <w:b/>
          <w:i/>
        </w:rPr>
      </w:pPr>
      <w:r w:rsidRPr="00213B6B">
        <w:rPr>
          <w:b/>
          <w:i/>
        </w:rPr>
        <w:t>Smrtelný pracovní úraz</w:t>
      </w:r>
      <w:r w:rsidRPr="00213B6B">
        <w:rPr>
          <w:i/>
        </w:rPr>
        <w:t xml:space="preserve"> – je takové poškození zdraví, na jehož následky úrazem postižený zaměstnanec nejpozději do 1 roku zemřel.</w:t>
      </w:r>
    </w:p>
    <w:p w14:paraId="0808F1A5" w14:textId="77777777" w:rsidR="00AE767B" w:rsidRPr="00213B6B" w:rsidRDefault="00AE767B" w:rsidP="00AE767B">
      <w:pPr>
        <w:pStyle w:val="Box1"/>
        <w:spacing w:before="120" w:after="120"/>
        <w:ind w:left="0"/>
        <w:contextualSpacing w:val="0"/>
        <w:jc w:val="both"/>
        <w:rPr>
          <w:b/>
          <w:i/>
        </w:rPr>
      </w:pPr>
      <w:r w:rsidRPr="00213B6B">
        <w:rPr>
          <w:b/>
          <w:i/>
        </w:rPr>
        <w:t>Závažný pracovní úraz</w:t>
      </w:r>
      <w:r w:rsidRPr="00213B6B">
        <w:rPr>
          <w:i/>
        </w:rPr>
        <w:t xml:space="preserve"> – je takové poškození zdraví, trvá-li hospitalizace úrazem postiženého zaměstnance déle než 5 dnů.</w:t>
      </w:r>
    </w:p>
    <w:p w14:paraId="5A2AEFB3" w14:textId="77777777" w:rsidR="00AE767B" w:rsidRPr="00213B6B" w:rsidRDefault="00AE767B" w:rsidP="00AE767B">
      <w:pPr>
        <w:pStyle w:val="Box1"/>
        <w:spacing w:before="120" w:after="120"/>
        <w:ind w:left="0"/>
        <w:contextualSpacing w:val="0"/>
        <w:jc w:val="both"/>
        <w:rPr>
          <w:i/>
        </w:rPr>
      </w:pPr>
      <w:r w:rsidRPr="00213B6B">
        <w:rPr>
          <w:b/>
          <w:i/>
        </w:rPr>
        <w:t xml:space="preserve">Pracovní úraz s pracovní neschopností delší než 3 dny </w:t>
      </w:r>
      <w:r w:rsidRPr="00213B6B">
        <w:rPr>
          <w:i/>
        </w:rPr>
        <w:t>– ukazatel zahrnuje případy pracovních úrazů, které měly za následek dočasnou pracovní neschopnost delší než tři kalendářní dny. Do těchto tří dnů se nezapočítává den, ve kterém k úrazu došlo.</w:t>
      </w:r>
    </w:p>
    <w:p w14:paraId="3C3A9F09" w14:textId="2D3D89CD" w:rsidR="00AE767B" w:rsidRPr="00213B6B" w:rsidRDefault="00AE767B" w:rsidP="00AE767B">
      <w:pPr>
        <w:spacing w:before="120" w:after="120"/>
        <w:jc w:val="both"/>
      </w:pPr>
      <w:r w:rsidRPr="00213B6B">
        <w:t>Ohlášení pracovního úrazu místně příslušnému Oblastnímu inspektorátu práce (OIP) podléhá smrtelný pracovní úraz a pracovní úraz s hospitalizací delší než 5 dnů (tzv. závažný pracovní úraz) nebo lze-li vzhledem k povaze zranění takovou dobu hospitalizace předpokládat. Vyhotovit záznam o úrazu (vč. případného hlášení změn) a zaslat jej na místně příslušný OIP je zaměstnavatel povinen i u pracovního úrazu s pracovní neschopností delší než 3 dny. V závislosti na druhu a okolnostech vzniku pracovního úrazu se pracovní úraz ohlašuje a záznam o něm se zasílá ještě na další stanovené orgány a instituce. Evidenci všech úrazů, tedy i takových, kterými nebyla způsobena pracovní neschopnost nebo jimi byla způsobena pracovní neschopnost nepřesahující 3 kalendářní dny, je zaměstnavatel povinen vést v knize úrazů.</w:t>
      </w:r>
    </w:p>
    <w:p w14:paraId="2FF40386" w14:textId="58619469" w:rsidR="00AE767B" w:rsidRPr="00213B6B" w:rsidRDefault="00AE767B" w:rsidP="00AE767B">
      <w:pPr>
        <w:spacing w:before="120" w:after="120"/>
        <w:jc w:val="both"/>
        <w:rPr>
          <w:rFonts w:cs="Arial"/>
        </w:rPr>
      </w:pPr>
      <w:r w:rsidRPr="00213B6B">
        <w:rPr>
          <w:bCs/>
        </w:rPr>
        <w:t>Absolutní počet nově hlášených případů dočasné pracovní neschopnosti</w:t>
      </w:r>
      <w:r w:rsidRPr="00213B6B">
        <w:rPr>
          <w:rFonts w:cs="Arial"/>
        </w:rPr>
        <w:t xml:space="preserve"> pro pracovní úraz </w:t>
      </w:r>
      <w:r w:rsidR="00213B6B" w:rsidRPr="00213B6B">
        <w:rPr>
          <w:rFonts w:cs="Arial"/>
        </w:rPr>
        <w:t xml:space="preserve">se </w:t>
      </w:r>
      <w:r w:rsidRPr="00213B6B">
        <w:rPr>
          <w:rFonts w:cs="Arial"/>
        </w:rPr>
        <w:t xml:space="preserve">po propadu </w:t>
      </w:r>
      <w:r w:rsidR="009233ED" w:rsidRPr="00213B6B">
        <w:rPr>
          <w:rFonts w:cs="Arial"/>
        </w:rPr>
        <w:t xml:space="preserve">z roku 2020 </w:t>
      </w:r>
      <w:r w:rsidR="00213B6B" w:rsidRPr="00213B6B">
        <w:rPr>
          <w:rFonts w:cs="Arial"/>
        </w:rPr>
        <w:t xml:space="preserve">v roce 2021 vrátil opět na </w:t>
      </w:r>
      <w:proofErr w:type="spellStart"/>
      <w:r w:rsidR="00213B6B" w:rsidRPr="00213B6B">
        <w:rPr>
          <w:rFonts w:cs="Arial"/>
        </w:rPr>
        <w:t>předcovidovou</w:t>
      </w:r>
      <w:proofErr w:type="spellEnd"/>
      <w:r w:rsidR="00213B6B" w:rsidRPr="00213B6B">
        <w:rPr>
          <w:rFonts w:cs="Arial"/>
        </w:rPr>
        <w:t xml:space="preserve"> úroveň. V</w:t>
      </w:r>
      <w:r w:rsidRPr="00213B6B">
        <w:rPr>
          <w:rFonts w:cs="Arial"/>
        </w:rPr>
        <w:t xml:space="preserve"> roce 2020 </w:t>
      </w:r>
      <w:r w:rsidR="00213B6B" w:rsidRPr="00213B6B">
        <w:rPr>
          <w:rFonts w:cs="Arial"/>
        </w:rPr>
        <w:t>bylo zaznamenáno 41</w:t>
      </w:r>
      <w:r w:rsidR="00A5543F">
        <w:rPr>
          <w:rFonts w:cs="Arial"/>
        </w:rPr>
        <w:t> </w:t>
      </w:r>
      <w:r w:rsidR="00213B6B" w:rsidRPr="00213B6B">
        <w:rPr>
          <w:rFonts w:cs="Arial"/>
        </w:rPr>
        <w:t>358</w:t>
      </w:r>
      <w:r w:rsidR="00A5543F">
        <w:rPr>
          <w:rFonts w:cs="Arial"/>
        </w:rPr>
        <w:t> </w:t>
      </w:r>
      <w:r w:rsidR="00213B6B" w:rsidRPr="00213B6B">
        <w:rPr>
          <w:rFonts w:cs="Arial"/>
        </w:rPr>
        <w:t>pracovních úrazů s pracovní neschopností, zatímco o 2 roky později 44 608</w:t>
      </w:r>
      <w:r w:rsidRPr="00213B6B">
        <w:rPr>
          <w:rFonts w:cs="Arial"/>
        </w:rPr>
        <w:t xml:space="preserve"> (tj. </w:t>
      </w:r>
      <w:r w:rsidR="00213B6B" w:rsidRPr="00213B6B">
        <w:rPr>
          <w:rFonts w:cs="Arial"/>
        </w:rPr>
        <w:t xml:space="preserve">nárůst </w:t>
      </w:r>
      <w:r w:rsidRPr="00213B6B">
        <w:rPr>
          <w:rFonts w:cs="Arial"/>
        </w:rPr>
        <w:t xml:space="preserve">o 8 %). </w:t>
      </w:r>
      <w:r w:rsidR="00213B6B" w:rsidRPr="00213B6B">
        <w:rPr>
          <w:rFonts w:cs="Arial"/>
        </w:rPr>
        <w:t xml:space="preserve">Meziročně však došlo k mírnému poklesu. </w:t>
      </w:r>
      <w:r w:rsidRPr="00213B6B">
        <w:rPr>
          <w:rFonts w:cs="Arial"/>
        </w:rPr>
        <w:t xml:space="preserve">Z tohoto celkového počtu bylo 43 </w:t>
      </w:r>
      <w:r w:rsidR="00213B6B" w:rsidRPr="00213B6B">
        <w:rPr>
          <w:rFonts w:cs="Arial"/>
        </w:rPr>
        <w:t>561</w:t>
      </w:r>
      <w:r w:rsidRPr="00213B6B">
        <w:rPr>
          <w:rFonts w:cs="Arial"/>
        </w:rPr>
        <w:t xml:space="preserve"> případů (98 %) </w:t>
      </w:r>
      <w:r w:rsidRPr="00213B6B">
        <w:rPr>
          <w:rFonts w:cs="Arial"/>
          <w:b/>
        </w:rPr>
        <w:t>pracovních úrazů s pracovní neschopností delší než 3 kalendářní dny</w:t>
      </w:r>
      <w:r w:rsidRPr="00213B6B">
        <w:rPr>
          <w:rFonts w:cs="Arial"/>
        </w:rPr>
        <w:t xml:space="preserve"> (tedy těch, které podléhají povinnosti vyhotovit záznam o úrazu a</w:t>
      </w:r>
      <w:r w:rsidR="00213B6B" w:rsidRPr="00213B6B">
        <w:rPr>
          <w:rFonts w:cs="Arial"/>
        </w:rPr>
        <w:t> </w:t>
      </w:r>
      <w:r w:rsidRPr="00213B6B">
        <w:rPr>
          <w:rFonts w:cs="Arial"/>
        </w:rPr>
        <w:t>zaslat jej OIP).</w:t>
      </w:r>
    </w:p>
    <w:p w14:paraId="3F37EAB2" w14:textId="1663A913" w:rsidR="00AE767B" w:rsidRPr="00BD1228" w:rsidRDefault="00AE767B" w:rsidP="00AE767B">
      <w:pPr>
        <w:spacing w:after="0"/>
        <w:jc w:val="both"/>
        <w:rPr>
          <w:rFonts w:cs="Arial"/>
          <w:b/>
        </w:rPr>
      </w:pPr>
      <w:r w:rsidRPr="00BD1228">
        <w:rPr>
          <w:rFonts w:cs="Arial"/>
          <w:b/>
        </w:rPr>
        <w:t>Tab. 5.1: Pracovní úrazy podle závažnosti a pohlaví, 201</w:t>
      </w:r>
      <w:r w:rsidR="00BD1228" w:rsidRPr="00BD1228">
        <w:rPr>
          <w:rFonts w:cs="Arial"/>
          <w:b/>
        </w:rPr>
        <w:t>2</w:t>
      </w:r>
      <w:r w:rsidRPr="00BD1228">
        <w:rPr>
          <w:rFonts w:cs="Arial"/>
          <w:b/>
        </w:rPr>
        <w:t>–</w:t>
      </w:r>
      <w:r w:rsidR="00BD1228" w:rsidRPr="00BD1228">
        <w:rPr>
          <w:rFonts w:cs="Arial"/>
          <w:b/>
        </w:rPr>
        <w:t>2022</w:t>
      </w:r>
    </w:p>
    <w:tbl>
      <w:tblPr>
        <w:tblW w:w="9600" w:type="dxa"/>
        <w:tblCellMar>
          <w:left w:w="70" w:type="dxa"/>
          <w:right w:w="70" w:type="dxa"/>
        </w:tblCellMar>
        <w:tblLook w:val="04A0" w:firstRow="1" w:lastRow="0" w:firstColumn="1" w:lastColumn="0" w:noHBand="0" w:noVBand="1"/>
      </w:tblPr>
      <w:tblGrid>
        <w:gridCol w:w="960"/>
        <w:gridCol w:w="960"/>
        <w:gridCol w:w="960"/>
        <w:gridCol w:w="960"/>
        <w:gridCol w:w="960"/>
        <w:gridCol w:w="960"/>
        <w:gridCol w:w="960"/>
        <w:gridCol w:w="960"/>
        <w:gridCol w:w="960"/>
        <w:gridCol w:w="960"/>
      </w:tblGrid>
      <w:tr w:rsidR="00AE767B" w:rsidRPr="00BD1228" w14:paraId="4EAB2CA1" w14:textId="77777777" w:rsidTr="00C13658">
        <w:trPr>
          <w:trHeight w:val="300"/>
        </w:trPr>
        <w:tc>
          <w:tcPr>
            <w:tcW w:w="960" w:type="dxa"/>
            <w:vMerge w:val="restart"/>
            <w:tcBorders>
              <w:top w:val="single" w:sz="4" w:space="0" w:color="auto"/>
              <w:left w:val="nil"/>
              <w:bottom w:val="single" w:sz="4" w:space="0" w:color="auto"/>
              <w:right w:val="single" w:sz="4" w:space="0" w:color="auto"/>
            </w:tcBorders>
            <w:shd w:val="clear" w:color="000000" w:fill="F5DADD"/>
            <w:vAlign w:val="center"/>
            <w:hideMark/>
          </w:tcPr>
          <w:p w14:paraId="5F337F49"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Rok</w:t>
            </w:r>
          </w:p>
        </w:tc>
        <w:tc>
          <w:tcPr>
            <w:tcW w:w="2880" w:type="dxa"/>
            <w:gridSpan w:val="3"/>
            <w:vMerge w:val="restart"/>
            <w:tcBorders>
              <w:top w:val="single" w:sz="4" w:space="0" w:color="auto"/>
              <w:left w:val="single" w:sz="4" w:space="0" w:color="auto"/>
              <w:bottom w:val="single" w:sz="4" w:space="0" w:color="000000"/>
              <w:right w:val="single" w:sz="4" w:space="0" w:color="000000"/>
            </w:tcBorders>
            <w:shd w:val="clear" w:color="000000" w:fill="F5DADD"/>
            <w:vAlign w:val="center"/>
            <w:hideMark/>
          </w:tcPr>
          <w:p w14:paraId="55A6FE71"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 xml:space="preserve">Počet pracovních úrazů s pracovní neschopností </w:t>
            </w:r>
          </w:p>
        </w:tc>
        <w:tc>
          <w:tcPr>
            <w:tcW w:w="2880" w:type="dxa"/>
            <w:gridSpan w:val="3"/>
            <w:vMerge w:val="restart"/>
            <w:tcBorders>
              <w:top w:val="single" w:sz="4" w:space="0" w:color="auto"/>
              <w:left w:val="single" w:sz="4" w:space="0" w:color="auto"/>
              <w:bottom w:val="single" w:sz="4" w:space="0" w:color="000000"/>
              <w:right w:val="single" w:sz="4" w:space="0" w:color="000000"/>
            </w:tcBorders>
            <w:shd w:val="clear" w:color="000000" w:fill="F5DADD"/>
            <w:vAlign w:val="center"/>
            <w:hideMark/>
          </w:tcPr>
          <w:p w14:paraId="027C169D"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Počet pracovních úrazů s pracovní neschopností delší než 3 dny</w:t>
            </w:r>
          </w:p>
        </w:tc>
        <w:tc>
          <w:tcPr>
            <w:tcW w:w="2880" w:type="dxa"/>
            <w:gridSpan w:val="3"/>
            <w:vMerge w:val="restart"/>
            <w:tcBorders>
              <w:top w:val="single" w:sz="4" w:space="0" w:color="auto"/>
              <w:left w:val="single" w:sz="4" w:space="0" w:color="auto"/>
              <w:bottom w:val="single" w:sz="4" w:space="0" w:color="000000"/>
              <w:right w:val="nil"/>
            </w:tcBorders>
            <w:shd w:val="clear" w:color="000000" w:fill="F5DADD"/>
            <w:vAlign w:val="center"/>
            <w:hideMark/>
          </w:tcPr>
          <w:p w14:paraId="6D7C252D"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Počet smrtelných pracovních úrazů</w:t>
            </w:r>
          </w:p>
        </w:tc>
      </w:tr>
      <w:tr w:rsidR="00AE767B" w:rsidRPr="00BD1228" w14:paraId="798A52B5" w14:textId="77777777" w:rsidTr="00C13658">
        <w:trPr>
          <w:trHeight w:val="300"/>
        </w:trPr>
        <w:tc>
          <w:tcPr>
            <w:tcW w:w="960" w:type="dxa"/>
            <w:vMerge/>
            <w:tcBorders>
              <w:top w:val="single" w:sz="4" w:space="0" w:color="auto"/>
              <w:left w:val="nil"/>
              <w:bottom w:val="single" w:sz="4" w:space="0" w:color="auto"/>
              <w:right w:val="single" w:sz="4" w:space="0" w:color="auto"/>
            </w:tcBorders>
            <w:vAlign w:val="center"/>
            <w:hideMark/>
          </w:tcPr>
          <w:p w14:paraId="17DC0205" w14:textId="77777777" w:rsidR="00AE767B" w:rsidRPr="00BD1228" w:rsidRDefault="00AE767B" w:rsidP="00C13658">
            <w:pPr>
              <w:spacing w:after="0" w:line="240" w:lineRule="auto"/>
              <w:rPr>
                <w:rFonts w:cs="Arial"/>
                <w:color w:val="000000"/>
                <w:sz w:val="16"/>
                <w:szCs w:val="16"/>
              </w:rPr>
            </w:pPr>
          </w:p>
        </w:tc>
        <w:tc>
          <w:tcPr>
            <w:tcW w:w="2880" w:type="dxa"/>
            <w:gridSpan w:val="3"/>
            <w:vMerge/>
            <w:tcBorders>
              <w:top w:val="single" w:sz="4" w:space="0" w:color="auto"/>
              <w:left w:val="single" w:sz="4" w:space="0" w:color="auto"/>
              <w:bottom w:val="single" w:sz="4" w:space="0" w:color="000000"/>
              <w:right w:val="single" w:sz="4" w:space="0" w:color="000000"/>
            </w:tcBorders>
            <w:vAlign w:val="center"/>
            <w:hideMark/>
          </w:tcPr>
          <w:p w14:paraId="6E463203" w14:textId="77777777" w:rsidR="00AE767B" w:rsidRPr="00BD1228" w:rsidRDefault="00AE767B" w:rsidP="00C13658">
            <w:pPr>
              <w:spacing w:after="0" w:line="240" w:lineRule="auto"/>
              <w:rPr>
                <w:rFonts w:cs="Arial"/>
                <w:color w:val="000000"/>
                <w:sz w:val="16"/>
                <w:szCs w:val="16"/>
              </w:rPr>
            </w:pPr>
          </w:p>
        </w:tc>
        <w:tc>
          <w:tcPr>
            <w:tcW w:w="2880" w:type="dxa"/>
            <w:gridSpan w:val="3"/>
            <w:vMerge/>
            <w:tcBorders>
              <w:top w:val="single" w:sz="4" w:space="0" w:color="auto"/>
              <w:left w:val="single" w:sz="4" w:space="0" w:color="auto"/>
              <w:bottom w:val="single" w:sz="4" w:space="0" w:color="000000"/>
              <w:right w:val="single" w:sz="4" w:space="0" w:color="000000"/>
            </w:tcBorders>
            <w:vAlign w:val="center"/>
            <w:hideMark/>
          </w:tcPr>
          <w:p w14:paraId="15F97FC6" w14:textId="77777777" w:rsidR="00AE767B" w:rsidRPr="00BD1228" w:rsidRDefault="00AE767B" w:rsidP="00C13658">
            <w:pPr>
              <w:spacing w:after="0" w:line="240" w:lineRule="auto"/>
              <w:rPr>
                <w:rFonts w:cs="Arial"/>
                <w:color w:val="000000"/>
                <w:sz w:val="16"/>
                <w:szCs w:val="16"/>
              </w:rPr>
            </w:pPr>
          </w:p>
        </w:tc>
        <w:tc>
          <w:tcPr>
            <w:tcW w:w="2880" w:type="dxa"/>
            <w:gridSpan w:val="3"/>
            <w:vMerge/>
            <w:tcBorders>
              <w:top w:val="single" w:sz="4" w:space="0" w:color="auto"/>
              <w:left w:val="single" w:sz="4" w:space="0" w:color="auto"/>
              <w:bottom w:val="single" w:sz="4" w:space="0" w:color="000000"/>
              <w:right w:val="nil"/>
            </w:tcBorders>
            <w:vAlign w:val="center"/>
            <w:hideMark/>
          </w:tcPr>
          <w:p w14:paraId="1FA78AF3" w14:textId="77777777" w:rsidR="00AE767B" w:rsidRPr="00BD1228" w:rsidRDefault="00AE767B" w:rsidP="00C13658">
            <w:pPr>
              <w:spacing w:after="0" w:line="240" w:lineRule="auto"/>
              <w:rPr>
                <w:rFonts w:cs="Arial"/>
                <w:color w:val="000000"/>
                <w:sz w:val="16"/>
                <w:szCs w:val="16"/>
              </w:rPr>
            </w:pPr>
          </w:p>
        </w:tc>
      </w:tr>
      <w:tr w:rsidR="00AE767B" w:rsidRPr="00BD1228" w14:paraId="4FB52636" w14:textId="77777777" w:rsidTr="00C13658">
        <w:trPr>
          <w:trHeight w:val="300"/>
        </w:trPr>
        <w:tc>
          <w:tcPr>
            <w:tcW w:w="960" w:type="dxa"/>
            <w:vMerge/>
            <w:tcBorders>
              <w:top w:val="single" w:sz="4" w:space="0" w:color="auto"/>
              <w:left w:val="nil"/>
              <w:bottom w:val="single" w:sz="4" w:space="0" w:color="auto"/>
              <w:right w:val="single" w:sz="4" w:space="0" w:color="auto"/>
            </w:tcBorders>
            <w:vAlign w:val="center"/>
            <w:hideMark/>
          </w:tcPr>
          <w:p w14:paraId="4A93E011" w14:textId="77777777" w:rsidR="00AE767B" w:rsidRPr="00BD1228" w:rsidRDefault="00AE767B" w:rsidP="00C13658">
            <w:pPr>
              <w:spacing w:after="0" w:line="240" w:lineRule="auto"/>
              <w:rPr>
                <w:rFonts w:cs="Arial"/>
                <w:color w:val="000000"/>
                <w:sz w:val="16"/>
                <w:szCs w:val="16"/>
              </w:rPr>
            </w:pPr>
          </w:p>
        </w:tc>
        <w:tc>
          <w:tcPr>
            <w:tcW w:w="2880" w:type="dxa"/>
            <w:gridSpan w:val="3"/>
            <w:vMerge/>
            <w:tcBorders>
              <w:top w:val="single" w:sz="4" w:space="0" w:color="auto"/>
              <w:left w:val="single" w:sz="4" w:space="0" w:color="auto"/>
              <w:bottom w:val="single" w:sz="4" w:space="0" w:color="000000"/>
              <w:right w:val="single" w:sz="4" w:space="0" w:color="000000"/>
            </w:tcBorders>
            <w:vAlign w:val="center"/>
            <w:hideMark/>
          </w:tcPr>
          <w:p w14:paraId="2607BED3" w14:textId="77777777" w:rsidR="00AE767B" w:rsidRPr="00BD1228" w:rsidRDefault="00AE767B" w:rsidP="00C13658">
            <w:pPr>
              <w:spacing w:after="0" w:line="240" w:lineRule="auto"/>
              <w:rPr>
                <w:rFonts w:cs="Arial"/>
                <w:color w:val="000000"/>
                <w:sz w:val="16"/>
                <w:szCs w:val="16"/>
              </w:rPr>
            </w:pPr>
          </w:p>
        </w:tc>
        <w:tc>
          <w:tcPr>
            <w:tcW w:w="2880" w:type="dxa"/>
            <w:gridSpan w:val="3"/>
            <w:vMerge/>
            <w:tcBorders>
              <w:top w:val="single" w:sz="4" w:space="0" w:color="auto"/>
              <w:left w:val="single" w:sz="4" w:space="0" w:color="auto"/>
              <w:bottom w:val="single" w:sz="4" w:space="0" w:color="000000"/>
              <w:right w:val="single" w:sz="4" w:space="0" w:color="000000"/>
            </w:tcBorders>
            <w:vAlign w:val="center"/>
            <w:hideMark/>
          </w:tcPr>
          <w:p w14:paraId="1230658B" w14:textId="77777777" w:rsidR="00AE767B" w:rsidRPr="00BD1228" w:rsidRDefault="00AE767B" w:rsidP="00C13658">
            <w:pPr>
              <w:spacing w:after="0" w:line="240" w:lineRule="auto"/>
              <w:rPr>
                <w:rFonts w:cs="Arial"/>
                <w:color w:val="000000"/>
                <w:sz w:val="16"/>
                <w:szCs w:val="16"/>
              </w:rPr>
            </w:pPr>
          </w:p>
        </w:tc>
        <w:tc>
          <w:tcPr>
            <w:tcW w:w="2880" w:type="dxa"/>
            <w:gridSpan w:val="3"/>
            <w:vMerge/>
            <w:tcBorders>
              <w:top w:val="single" w:sz="4" w:space="0" w:color="auto"/>
              <w:left w:val="single" w:sz="4" w:space="0" w:color="auto"/>
              <w:bottom w:val="single" w:sz="4" w:space="0" w:color="000000"/>
              <w:right w:val="nil"/>
            </w:tcBorders>
            <w:vAlign w:val="center"/>
            <w:hideMark/>
          </w:tcPr>
          <w:p w14:paraId="65B44482" w14:textId="77777777" w:rsidR="00AE767B" w:rsidRPr="00BD1228" w:rsidRDefault="00AE767B" w:rsidP="00C13658">
            <w:pPr>
              <w:spacing w:after="0" w:line="240" w:lineRule="auto"/>
              <w:rPr>
                <w:rFonts w:cs="Arial"/>
                <w:color w:val="000000"/>
                <w:sz w:val="16"/>
                <w:szCs w:val="16"/>
              </w:rPr>
            </w:pPr>
          </w:p>
        </w:tc>
      </w:tr>
      <w:tr w:rsidR="00AE767B" w:rsidRPr="00BD1228" w14:paraId="1A6A8549" w14:textId="77777777" w:rsidTr="00C13658">
        <w:trPr>
          <w:trHeight w:val="300"/>
        </w:trPr>
        <w:tc>
          <w:tcPr>
            <w:tcW w:w="960" w:type="dxa"/>
            <w:vMerge/>
            <w:tcBorders>
              <w:top w:val="single" w:sz="4" w:space="0" w:color="auto"/>
              <w:left w:val="nil"/>
              <w:bottom w:val="single" w:sz="4" w:space="0" w:color="auto"/>
              <w:right w:val="single" w:sz="4" w:space="0" w:color="auto"/>
            </w:tcBorders>
            <w:vAlign w:val="center"/>
            <w:hideMark/>
          </w:tcPr>
          <w:p w14:paraId="7387D089" w14:textId="77777777" w:rsidR="00AE767B" w:rsidRPr="00BD1228" w:rsidRDefault="00AE767B" w:rsidP="00C13658">
            <w:pPr>
              <w:spacing w:after="0" w:line="240" w:lineRule="auto"/>
              <w:rPr>
                <w:rFonts w:cs="Arial"/>
                <w:color w:val="000000"/>
                <w:sz w:val="16"/>
                <w:szCs w:val="16"/>
              </w:rPr>
            </w:pPr>
          </w:p>
        </w:tc>
        <w:tc>
          <w:tcPr>
            <w:tcW w:w="960" w:type="dxa"/>
            <w:vMerge w:val="restart"/>
            <w:tcBorders>
              <w:top w:val="nil"/>
              <w:left w:val="single" w:sz="4" w:space="0" w:color="auto"/>
              <w:bottom w:val="single" w:sz="4" w:space="0" w:color="auto"/>
              <w:right w:val="single" w:sz="4" w:space="0" w:color="auto"/>
            </w:tcBorders>
            <w:shd w:val="clear" w:color="000000" w:fill="F5DADD"/>
            <w:vAlign w:val="center"/>
            <w:hideMark/>
          </w:tcPr>
          <w:p w14:paraId="3C581FB1" w14:textId="77777777" w:rsidR="00AE767B" w:rsidRPr="00BD1228" w:rsidRDefault="00AE767B" w:rsidP="00C13658">
            <w:pPr>
              <w:spacing w:after="0" w:line="240" w:lineRule="auto"/>
              <w:jc w:val="center"/>
              <w:rPr>
                <w:rFonts w:cs="Arial"/>
                <w:b/>
                <w:color w:val="000000"/>
                <w:sz w:val="16"/>
                <w:szCs w:val="16"/>
              </w:rPr>
            </w:pPr>
            <w:r w:rsidRPr="00BD1228">
              <w:rPr>
                <w:rFonts w:cs="Arial"/>
                <w:b/>
                <w:color w:val="000000"/>
                <w:sz w:val="16"/>
                <w:szCs w:val="16"/>
              </w:rPr>
              <w:t>Celkem</w:t>
            </w:r>
          </w:p>
        </w:tc>
        <w:tc>
          <w:tcPr>
            <w:tcW w:w="1920" w:type="dxa"/>
            <w:gridSpan w:val="2"/>
            <w:tcBorders>
              <w:top w:val="single" w:sz="4" w:space="0" w:color="auto"/>
              <w:left w:val="nil"/>
              <w:bottom w:val="single" w:sz="4" w:space="0" w:color="auto"/>
              <w:right w:val="single" w:sz="4" w:space="0" w:color="auto"/>
            </w:tcBorders>
            <w:shd w:val="clear" w:color="000000" w:fill="F5DADD"/>
            <w:vAlign w:val="center"/>
            <w:hideMark/>
          </w:tcPr>
          <w:p w14:paraId="1BC48FF6"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podle pohlaví</w:t>
            </w:r>
          </w:p>
        </w:tc>
        <w:tc>
          <w:tcPr>
            <w:tcW w:w="960" w:type="dxa"/>
            <w:vMerge w:val="restart"/>
            <w:tcBorders>
              <w:top w:val="nil"/>
              <w:left w:val="single" w:sz="4" w:space="0" w:color="auto"/>
              <w:bottom w:val="single" w:sz="4" w:space="0" w:color="auto"/>
              <w:right w:val="single" w:sz="4" w:space="0" w:color="auto"/>
            </w:tcBorders>
            <w:shd w:val="clear" w:color="000000" w:fill="F5DADD"/>
            <w:vAlign w:val="center"/>
            <w:hideMark/>
          </w:tcPr>
          <w:p w14:paraId="5ED38EDB" w14:textId="77777777" w:rsidR="00AE767B" w:rsidRPr="00BD1228" w:rsidRDefault="00AE767B" w:rsidP="00C13658">
            <w:pPr>
              <w:spacing w:after="0" w:line="240" w:lineRule="auto"/>
              <w:jc w:val="center"/>
              <w:rPr>
                <w:rFonts w:cs="Arial"/>
                <w:b/>
                <w:color w:val="000000"/>
                <w:sz w:val="16"/>
                <w:szCs w:val="16"/>
              </w:rPr>
            </w:pPr>
            <w:r w:rsidRPr="00BD1228">
              <w:rPr>
                <w:rFonts w:cs="Arial"/>
                <w:b/>
                <w:color w:val="000000"/>
                <w:sz w:val="16"/>
                <w:szCs w:val="16"/>
              </w:rPr>
              <w:t>Celkem</w:t>
            </w:r>
          </w:p>
        </w:tc>
        <w:tc>
          <w:tcPr>
            <w:tcW w:w="1920" w:type="dxa"/>
            <w:gridSpan w:val="2"/>
            <w:tcBorders>
              <w:top w:val="single" w:sz="4" w:space="0" w:color="auto"/>
              <w:left w:val="nil"/>
              <w:bottom w:val="single" w:sz="4" w:space="0" w:color="auto"/>
              <w:right w:val="single" w:sz="4" w:space="0" w:color="auto"/>
            </w:tcBorders>
            <w:shd w:val="clear" w:color="000000" w:fill="F5DADD"/>
            <w:vAlign w:val="center"/>
            <w:hideMark/>
          </w:tcPr>
          <w:p w14:paraId="751C5420"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podle pohlaví</w:t>
            </w:r>
          </w:p>
        </w:tc>
        <w:tc>
          <w:tcPr>
            <w:tcW w:w="960" w:type="dxa"/>
            <w:vMerge w:val="restart"/>
            <w:tcBorders>
              <w:top w:val="nil"/>
              <w:left w:val="single" w:sz="4" w:space="0" w:color="auto"/>
              <w:bottom w:val="single" w:sz="4" w:space="0" w:color="auto"/>
              <w:right w:val="single" w:sz="4" w:space="0" w:color="auto"/>
            </w:tcBorders>
            <w:shd w:val="clear" w:color="000000" w:fill="F5DADD"/>
            <w:vAlign w:val="center"/>
            <w:hideMark/>
          </w:tcPr>
          <w:p w14:paraId="5AD45765" w14:textId="77777777" w:rsidR="00AE767B" w:rsidRPr="00BD1228" w:rsidRDefault="00AE767B" w:rsidP="00C13658">
            <w:pPr>
              <w:spacing w:after="0" w:line="240" w:lineRule="auto"/>
              <w:jc w:val="center"/>
              <w:rPr>
                <w:rFonts w:cs="Arial"/>
                <w:b/>
                <w:color w:val="000000"/>
                <w:sz w:val="16"/>
                <w:szCs w:val="16"/>
              </w:rPr>
            </w:pPr>
            <w:r w:rsidRPr="00BD1228">
              <w:rPr>
                <w:rFonts w:cs="Arial"/>
                <w:b/>
                <w:color w:val="000000"/>
                <w:sz w:val="16"/>
                <w:szCs w:val="16"/>
              </w:rPr>
              <w:t>Celkem</w:t>
            </w:r>
          </w:p>
        </w:tc>
        <w:tc>
          <w:tcPr>
            <w:tcW w:w="1920" w:type="dxa"/>
            <w:gridSpan w:val="2"/>
            <w:tcBorders>
              <w:top w:val="single" w:sz="4" w:space="0" w:color="auto"/>
              <w:left w:val="nil"/>
              <w:bottom w:val="single" w:sz="4" w:space="0" w:color="auto"/>
            </w:tcBorders>
            <w:shd w:val="clear" w:color="000000" w:fill="F5DADD"/>
            <w:vAlign w:val="center"/>
            <w:hideMark/>
          </w:tcPr>
          <w:p w14:paraId="1F299CA1"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podle pohlaví</w:t>
            </w:r>
          </w:p>
        </w:tc>
      </w:tr>
      <w:tr w:rsidR="00AE767B" w:rsidRPr="00BD1228" w14:paraId="35908494" w14:textId="77777777" w:rsidTr="00C13658">
        <w:trPr>
          <w:trHeight w:val="300"/>
        </w:trPr>
        <w:tc>
          <w:tcPr>
            <w:tcW w:w="960" w:type="dxa"/>
            <w:vMerge/>
            <w:tcBorders>
              <w:top w:val="single" w:sz="4" w:space="0" w:color="auto"/>
              <w:left w:val="nil"/>
              <w:bottom w:val="single" w:sz="4" w:space="0" w:color="auto"/>
              <w:right w:val="single" w:sz="4" w:space="0" w:color="auto"/>
            </w:tcBorders>
            <w:vAlign w:val="center"/>
            <w:hideMark/>
          </w:tcPr>
          <w:p w14:paraId="03880F39" w14:textId="77777777" w:rsidR="00AE767B" w:rsidRPr="00BD1228" w:rsidRDefault="00AE767B" w:rsidP="00C13658">
            <w:pPr>
              <w:spacing w:after="0" w:line="240" w:lineRule="auto"/>
              <w:rPr>
                <w:rFonts w:cs="Arial"/>
                <w:color w:val="000000"/>
                <w:sz w:val="16"/>
                <w:szCs w:val="16"/>
              </w:rPr>
            </w:pPr>
          </w:p>
        </w:tc>
        <w:tc>
          <w:tcPr>
            <w:tcW w:w="960" w:type="dxa"/>
            <w:vMerge/>
            <w:tcBorders>
              <w:top w:val="nil"/>
              <w:left w:val="single" w:sz="4" w:space="0" w:color="auto"/>
              <w:bottom w:val="single" w:sz="4" w:space="0" w:color="auto"/>
              <w:right w:val="single" w:sz="4" w:space="0" w:color="auto"/>
            </w:tcBorders>
            <w:vAlign w:val="center"/>
            <w:hideMark/>
          </w:tcPr>
          <w:p w14:paraId="15BCBF0C" w14:textId="77777777" w:rsidR="00AE767B" w:rsidRPr="00BD1228" w:rsidRDefault="00AE767B" w:rsidP="00C13658">
            <w:pPr>
              <w:spacing w:after="0" w:line="240" w:lineRule="auto"/>
              <w:rPr>
                <w:rFonts w:cs="Arial"/>
                <w:color w:val="000000"/>
                <w:sz w:val="16"/>
                <w:szCs w:val="16"/>
              </w:rPr>
            </w:pPr>
          </w:p>
        </w:tc>
        <w:tc>
          <w:tcPr>
            <w:tcW w:w="960" w:type="dxa"/>
            <w:tcBorders>
              <w:top w:val="nil"/>
              <w:left w:val="nil"/>
              <w:bottom w:val="single" w:sz="4" w:space="0" w:color="auto"/>
              <w:right w:val="single" w:sz="4" w:space="0" w:color="auto"/>
            </w:tcBorders>
            <w:shd w:val="clear" w:color="000000" w:fill="F5DADD"/>
            <w:vAlign w:val="center"/>
            <w:hideMark/>
          </w:tcPr>
          <w:p w14:paraId="04F9F1D3"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muži</w:t>
            </w:r>
          </w:p>
        </w:tc>
        <w:tc>
          <w:tcPr>
            <w:tcW w:w="960" w:type="dxa"/>
            <w:tcBorders>
              <w:top w:val="nil"/>
              <w:left w:val="nil"/>
              <w:bottom w:val="single" w:sz="4" w:space="0" w:color="auto"/>
              <w:right w:val="single" w:sz="4" w:space="0" w:color="auto"/>
            </w:tcBorders>
            <w:shd w:val="clear" w:color="000000" w:fill="F5DADD"/>
            <w:vAlign w:val="center"/>
            <w:hideMark/>
          </w:tcPr>
          <w:p w14:paraId="03BEE38E"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ženy</w:t>
            </w:r>
          </w:p>
        </w:tc>
        <w:tc>
          <w:tcPr>
            <w:tcW w:w="960" w:type="dxa"/>
            <w:vMerge/>
            <w:tcBorders>
              <w:top w:val="nil"/>
              <w:left w:val="single" w:sz="4" w:space="0" w:color="auto"/>
              <w:bottom w:val="single" w:sz="4" w:space="0" w:color="auto"/>
              <w:right w:val="single" w:sz="4" w:space="0" w:color="auto"/>
            </w:tcBorders>
            <w:vAlign w:val="center"/>
            <w:hideMark/>
          </w:tcPr>
          <w:p w14:paraId="4D2C5F08" w14:textId="77777777" w:rsidR="00AE767B" w:rsidRPr="00BD1228" w:rsidRDefault="00AE767B" w:rsidP="00C13658">
            <w:pPr>
              <w:spacing w:after="0" w:line="240" w:lineRule="auto"/>
              <w:rPr>
                <w:rFonts w:cs="Arial"/>
                <w:color w:val="000000"/>
                <w:sz w:val="16"/>
                <w:szCs w:val="16"/>
              </w:rPr>
            </w:pPr>
          </w:p>
        </w:tc>
        <w:tc>
          <w:tcPr>
            <w:tcW w:w="960" w:type="dxa"/>
            <w:tcBorders>
              <w:top w:val="nil"/>
              <w:left w:val="nil"/>
              <w:bottom w:val="single" w:sz="4" w:space="0" w:color="auto"/>
              <w:right w:val="single" w:sz="4" w:space="0" w:color="auto"/>
            </w:tcBorders>
            <w:shd w:val="clear" w:color="000000" w:fill="F5DADD"/>
            <w:vAlign w:val="center"/>
            <w:hideMark/>
          </w:tcPr>
          <w:p w14:paraId="3A468255"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muži</w:t>
            </w:r>
          </w:p>
        </w:tc>
        <w:tc>
          <w:tcPr>
            <w:tcW w:w="960" w:type="dxa"/>
            <w:tcBorders>
              <w:top w:val="nil"/>
              <w:left w:val="nil"/>
              <w:bottom w:val="single" w:sz="4" w:space="0" w:color="auto"/>
              <w:right w:val="single" w:sz="4" w:space="0" w:color="auto"/>
            </w:tcBorders>
            <w:shd w:val="clear" w:color="000000" w:fill="F5DADD"/>
            <w:vAlign w:val="center"/>
            <w:hideMark/>
          </w:tcPr>
          <w:p w14:paraId="3E02DB35"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ženy</w:t>
            </w:r>
          </w:p>
        </w:tc>
        <w:tc>
          <w:tcPr>
            <w:tcW w:w="960" w:type="dxa"/>
            <w:vMerge/>
            <w:tcBorders>
              <w:top w:val="nil"/>
              <w:left w:val="single" w:sz="4" w:space="0" w:color="auto"/>
              <w:bottom w:val="single" w:sz="4" w:space="0" w:color="auto"/>
              <w:right w:val="single" w:sz="4" w:space="0" w:color="auto"/>
            </w:tcBorders>
            <w:vAlign w:val="center"/>
            <w:hideMark/>
          </w:tcPr>
          <w:p w14:paraId="0EA0626A" w14:textId="77777777" w:rsidR="00AE767B" w:rsidRPr="00BD1228" w:rsidRDefault="00AE767B" w:rsidP="00C13658">
            <w:pPr>
              <w:spacing w:after="0" w:line="240" w:lineRule="auto"/>
              <w:rPr>
                <w:rFonts w:cs="Arial"/>
                <w:color w:val="000000"/>
                <w:sz w:val="16"/>
                <w:szCs w:val="16"/>
              </w:rPr>
            </w:pPr>
          </w:p>
        </w:tc>
        <w:tc>
          <w:tcPr>
            <w:tcW w:w="960" w:type="dxa"/>
            <w:tcBorders>
              <w:top w:val="nil"/>
              <w:left w:val="nil"/>
              <w:bottom w:val="single" w:sz="4" w:space="0" w:color="auto"/>
              <w:right w:val="single" w:sz="4" w:space="0" w:color="auto"/>
            </w:tcBorders>
            <w:shd w:val="clear" w:color="000000" w:fill="F5DADD"/>
            <w:vAlign w:val="center"/>
            <w:hideMark/>
          </w:tcPr>
          <w:p w14:paraId="39EC2E09"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muži</w:t>
            </w:r>
          </w:p>
        </w:tc>
        <w:tc>
          <w:tcPr>
            <w:tcW w:w="960" w:type="dxa"/>
            <w:tcBorders>
              <w:top w:val="nil"/>
              <w:left w:val="nil"/>
              <w:bottom w:val="single" w:sz="4" w:space="0" w:color="auto"/>
              <w:right w:val="nil"/>
            </w:tcBorders>
            <w:shd w:val="clear" w:color="000000" w:fill="F5DADD"/>
            <w:vAlign w:val="center"/>
            <w:hideMark/>
          </w:tcPr>
          <w:p w14:paraId="34AEEB95"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ženy</w:t>
            </w:r>
          </w:p>
        </w:tc>
      </w:tr>
      <w:tr w:rsidR="00AE767B" w:rsidRPr="00BD1228" w14:paraId="2F2BBFEF"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1438C62F"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2012</w:t>
            </w:r>
          </w:p>
        </w:tc>
        <w:tc>
          <w:tcPr>
            <w:tcW w:w="960" w:type="dxa"/>
            <w:tcBorders>
              <w:top w:val="nil"/>
              <w:left w:val="nil"/>
              <w:bottom w:val="nil"/>
              <w:right w:val="nil"/>
            </w:tcBorders>
            <w:shd w:val="clear" w:color="auto" w:fill="auto"/>
            <w:noWrap/>
            <w:vAlign w:val="center"/>
            <w:hideMark/>
          </w:tcPr>
          <w:p w14:paraId="6117A9C7"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44 108</w:t>
            </w:r>
          </w:p>
        </w:tc>
        <w:tc>
          <w:tcPr>
            <w:tcW w:w="960" w:type="dxa"/>
            <w:tcBorders>
              <w:top w:val="nil"/>
              <w:left w:val="nil"/>
              <w:bottom w:val="nil"/>
              <w:right w:val="nil"/>
            </w:tcBorders>
            <w:shd w:val="clear" w:color="auto" w:fill="auto"/>
            <w:noWrap/>
            <w:vAlign w:val="center"/>
            <w:hideMark/>
          </w:tcPr>
          <w:p w14:paraId="63D913AD"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31 455</w:t>
            </w:r>
          </w:p>
        </w:tc>
        <w:tc>
          <w:tcPr>
            <w:tcW w:w="960" w:type="dxa"/>
            <w:tcBorders>
              <w:top w:val="nil"/>
              <w:left w:val="nil"/>
              <w:bottom w:val="nil"/>
              <w:right w:val="single" w:sz="4" w:space="0" w:color="auto"/>
            </w:tcBorders>
            <w:shd w:val="clear" w:color="auto" w:fill="auto"/>
            <w:noWrap/>
            <w:vAlign w:val="center"/>
            <w:hideMark/>
          </w:tcPr>
          <w:p w14:paraId="19D4D2A1"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12 653</w:t>
            </w:r>
          </w:p>
        </w:tc>
        <w:tc>
          <w:tcPr>
            <w:tcW w:w="960" w:type="dxa"/>
            <w:tcBorders>
              <w:top w:val="nil"/>
              <w:left w:val="nil"/>
              <w:bottom w:val="nil"/>
              <w:right w:val="nil"/>
            </w:tcBorders>
            <w:shd w:val="clear" w:color="auto" w:fill="auto"/>
            <w:noWrap/>
            <w:vAlign w:val="center"/>
            <w:hideMark/>
          </w:tcPr>
          <w:p w14:paraId="14A12AD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43 543</w:t>
            </w:r>
          </w:p>
        </w:tc>
        <w:tc>
          <w:tcPr>
            <w:tcW w:w="960" w:type="dxa"/>
            <w:tcBorders>
              <w:top w:val="nil"/>
              <w:left w:val="nil"/>
              <w:bottom w:val="nil"/>
              <w:right w:val="nil"/>
            </w:tcBorders>
            <w:shd w:val="clear" w:color="auto" w:fill="auto"/>
            <w:vAlign w:val="center"/>
            <w:hideMark/>
          </w:tcPr>
          <w:p w14:paraId="05F5C82A"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31 019</w:t>
            </w:r>
          </w:p>
        </w:tc>
        <w:tc>
          <w:tcPr>
            <w:tcW w:w="960" w:type="dxa"/>
            <w:tcBorders>
              <w:top w:val="nil"/>
              <w:left w:val="nil"/>
              <w:bottom w:val="nil"/>
              <w:right w:val="single" w:sz="4" w:space="0" w:color="auto"/>
            </w:tcBorders>
            <w:shd w:val="clear" w:color="auto" w:fill="auto"/>
            <w:vAlign w:val="center"/>
            <w:hideMark/>
          </w:tcPr>
          <w:p w14:paraId="410C9400"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12 524</w:t>
            </w:r>
          </w:p>
        </w:tc>
        <w:tc>
          <w:tcPr>
            <w:tcW w:w="960" w:type="dxa"/>
            <w:tcBorders>
              <w:top w:val="nil"/>
              <w:left w:val="nil"/>
              <w:bottom w:val="nil"/>
              <w:right w:val="nil"/>
            </w:tcBorders>
            <w:shd w:val="clear" w:color="auto" w:fill="auto"/>
            <w:vAlign w:val="center"/>
            <w:hideMark/>
          </w:tcPr>
          <w:p w14:paraId="1A96AC4E"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113</w:t>
            </w:r>
          </w:p>
        </w:tc>
        <w:tc>
          <w:tcPr>
            <w:tcW w:w="960" w:type="dxa"/>
            <w:tcBorders>
              <w:top w:val="nil"/>
              <w:left w:val="nil"/>
              <w:bottom w:val="nil"/>
              <w:right w:val="nil"/>
            </w:tcBorders>
            <w:shd w:val="clear" w:color="auto" w:fill="auto"/>
            <w:vAlign w:val="center"/>
            <w:hideMark/>
          </w:tcPr>
          <w:p w14:paraId="215CD9D2"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111</w:t>
            </w:r>
          </w:p>
        </w:tc>
        <w:tc>
          <w:tcPr>
            <w:tcW w:w="960" w:type="dxa"/>
            <w:tcBorders>
              <w:top w:val="nil"/>
              <w:left w:val="nil"/>
              <w:bottom w:val="nil"/>
              <w:right w:val="nil"/>
            </w:tcBorders>
            <w:shd w:val="clear" w:color="auto" w:fill="auto"/>
            <w:vAlign w:val="center"/>
            <w:hideMark/>
          </w:tcPr>
          <w:p w14:paraId="021D0A96"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2</w:t>
            </w:r>
          </w:p>
        </w:tc>
      </w:tr>
      <w:tr w:rsidR="00AE767B" w:rsidRPr="00BD1228" w14:paraId="2B5034FD"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3C6F0A72"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2013</w:t>
            </w:r>
          </w:p>
        </w:tc>
        <w:tc>
          <w:tcPr>
            <w:tcW w:w="960" w:type="dxa"/>
            <w:tcBorders>
              <w:top w:val="nil"/>
              <w:left w:val="nil"/>
              <w:bottom w:val="nil"/>
              <w:right w:val="nil"/>
            </w:tcBorders>
            <w:shd w:val="clear" w:color="auto" w:fill="auto"/>
            <w:noWrap/>
            <w:vAlign w:val="center"/>
            <w:hideMark/>
          </w:tcPr>
          <w:p w14:paraId="0AF080FF"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42 927</w:t>
            </w:r>
          </w:p>
        </w:tc>
        <w:tc>
          <w:tcPr>
            <w:tcW w:w="960" w:type="dxa"/>
            <w:tcBorders>
              <w:top w:val="nil"/>
              <w:left w:val="nil"/>
              <w:bottom w:val="nil"/>
              <w:right w:val="nil"/>
            </w:tcBorders>
            <w:shd w:val="clear" w:color="auto" w:fill="auto"/>
            <w:noWrap/>
            <w:vAlign w:val="center"/>
            <w:hideMark/>
          </w:tcPr>
          <w:p w14:paraId="47917859"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30 418</w:t>
            </w:r>
          </w:p>
        </w:tc>
        <w:tc>
          <w:tcPr>
            <w:tcW w:w="960" w:type="dxa"/>
            <w:tcBorders>
              <w:top w:val="nil"/>
              <w:left w:val="nil"/>
              <w:bottom w:val="nil"/>
              <w:right w:val="single" w:sz="4" w:space="0" w:color="auto"/>
            </w:tcBorders>
            <w:shd w:val="clear" w:color="auto" w:fill="auto"/>
            <w:noWrap/>
            <w:vAlign w:val="center"/>
            <w:hideMark/>
          </w:tcPr>
          <w:p w14:paraId="32C2D3A3"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12 509</w:t>
            </w:r>
          </w:p>
        </w:tc>
        <w:tc>
          <w:tcPr>
            <w:tcW w:w="960" w:type="dxa"/>
            <w:tcBorders>
              <w:top w:val="nil"/>
              <w:left w:val="nil"/>
              <w:bottom w:val="nil"/>
              <w:right w:val="nil"/>
            </w:tcBorders>
            <w:shd w:val="clear" w:color="auto" w:fill="auto"/>
            <w:noWrap/>
            <w:vAlign w:val="center"/>
            <w:hideMark/>
          </w:tcPr>
          <w:p w14:paraId="773DDDDE"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42 355</w:t>
            </w:r>
          </w:p>
        </w:tc>
        <w:tc>
          <w:tcPr>
            <w:tcW w:w="960" w:type="dxa"/>
            <w:tcBorders>
              <w:top w:val="nil"/>
              <w:left w:val="nil"/>
              <w:bottom w:val="nil"/>
              <w:right w:val="nil"/>
            </w:tcBorders>
            <w:shd w:val="clear" w:color="auto" w:fill="auto"/>
            <w:vAlign w:val="center"/>
            <w:hideMark/>
          </w:tcPr>
          <w:p w14:paraId="1B757CB2"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29 955</w:t>
            </w:r>
          </w:p>
        </w:tc>
        <w:tc>
          <w:tcPr>
            <w:tcW w:w="960" w:type="dxa"/>
            <w:tcBorders>
              <w:top w:val="nil"/>
              <w:left w:val="nil"/>
              <w:bottom w:val="nil"/>
              <w:right w:val="single" w:sz="4" w:space="0" w:color="auto"/>
            </w:tcBorders>
            <w:shd w:val="clear" w:color="auto" w:fill="auto"/>
            <w:vAlign w:val="center"/>
            <w:hideMark/>
          </w:tcPr>
          <w:p w14:paraId="053D73A3"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12 400</w:t>
            </w:r>
          </w:p>
        </w:tc>
        <w:tc>
          <w:tcPr>
            <w:tcW w:w="960" w:type="dxa"/>
            <w:tcBorders>
              <w:top w:val="nil"/>
              <w:left w:val="nil"/>
              <w:bottom w:val="nil"/>
              <w:right w:val="nil"/>
            </w:tcBorders>
            <w:shd w:val="clear" w:color="auto" w:fill="auto"/>
            <w:vAlign w:val="center"/>
            <w:hideMark/>
          </w:tcPr>
          <w:p w14:paraId="2189E5D2"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113</w:t>
            </w:r>
          </w:p>
        </w:tc>
        <w:tc>
          <w:tcPr>
            <w:tcW w:w="960" w:type="dxa"/>
            <w:tcBorders>
              <w:top w:val="nil"/>
              <w:left w:val="nil"/>
              <w:bottom w:val="nil"/>
              <w:right w:val="nil"/>
            </w:tcBorders>
            <w:shd w:val="clear" w:color="auto" w:fill="auto"/>
            <w:vAlign w:val="center"/>
            <w:hideMark/>
          </w:tcPr>
          <w:p w14:paraId="42426635"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106</w:t>
            </w:r>
          </w:p>
        </w:tc>
        <w:tc>
          <w:tcPr>
            <w:tcW w:w="960" w:type="dxa"/>
            <w:tcBorders>
              <w:top w:val="nil"/>
              <w:left w:val="nil"/>
              <w:bottom w:val="nil"/>
              <w:right w:val="nil"/>
            </w:tcBorders>
            <w:shd w:val="clear" w:color="auto" w:fill="auto"/>
            <w:vAlign w:val="center"/>
            <w:hideMark/>
          </w:tcPr>
          <w:p w14:paraId="0857CC95"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7</w:t>
            </w:r>
          </w:p>
        </w:tc>
      </w:tr>
      <w:tr w:rsidR="00AE767B" w:rsidRPr="00BD1228" w14:paraId="65AD52BA"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3F0DA4FA"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2014</w:t>
            </w:r>
          </w:p>
        </w:tc>
        <w:tc>
          <w:tcPr>
            <w:tcW w:w="960" w:type="dxa"/>
            <w:tcBorders>
              <w:top w:val="nil"/>
              <w:left w:val="nil"/>
              <w:bottom w:val="nil"/>
              <w:right w:val="nil"/>
            </w:tcBorders>
            <w:shd w:val="clear" w:color="auto" w:fill="auto"/>
            <w:vAlign w:val="center"/>
            <w:hideMark/>
          </w:tcPr>
          <w:p w14:paraId="097EE736"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45 058</w:t>
            </w:r>
          </w:p>
        </w:tc>
        <w:tc>
          <w:tcPr>
            <w:tcW w:w="960" w:type="dxa"/>
            <w:tcBorders>
              <w:top w:val="nil"/>
              <w:left w:val="nil"/>
              <w:bottom w:val="nil"/>
              <w:right w:val="nil"/>
            </w:tcBorders>
            <w:shd w:val="clear" w:color="auto" w:fill="auto"/>
            <w:noWrap/>
            <w:vAlign w:val="center"/>
            <w:hideMark/>
          </w:tcPr>
          <w:p w14:paraId="6478B4A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31 737</w:t>
            </w:r>
          </w:p>
        </w:tc>
        <w:tc>
          <w:tcPr>
            <w:tcW w:w="960" w:type="dxa"/>
            <w:tcBorders>
              <w:top w:val="nil"/>
              <w:left w:val="nil"/>
              <w:bottom w:val="nil"/>
              <w:right w:val="single" w:sz="4" w:space="0" w:color="auto"/>
            </w:tcBorders>
            <w:shd w:val="clear" w:color="auto" w:fill="auto"/>
            <w:noWrap/>
            <w:vAlign w:val="center"/>
            <w:hideMark/>
          </w:tcPr>
          <w:p w14:paraId="05B7EADA"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13 321</w:t>
            </w:r>
          </w:p>
        </w:tc>
        <w:tc>
          <w:tcPr>
            <w:tcW w:w="960" w:type="dxa"/>
            <w:tcBorders>
              <w:top w:val="nil"/>
              <w:left w:val="nil"/>
              <w:bottom w:val="nil"/>
              <w:right w:val="nil"/>
            </w:tcBorders>
            <w:shd w:val="clear" w:color="auto" w:fill="auto"/>
            <w:noWrap/>
            <w:vAlign w:val="center"/>
            <w:hideMark/>
          </w:tcPr>
          <w:p w14:paraId="7BB961C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44 301</w:t>
            </w:r>
          </w:p>
        </w:tc>
        <w:tc>
          <w:tcPr>
            <w:tcW w:w="960" w:type="dxa"/>
            <w:tcBorders>
              <w:top w:val="nil"/>
              <w:left w:val="nil"/>
              <w:bottom w:val="nil"/>
              <w:right w:val="nil"/>
            </w:tcBorders>
            <w:shd w:val="clear" w:color="auto" w:fill="auto"/>
            <w:vAlign w:val="center"/>
            <w:hideMark/>
          </w:tcPr>
          <w:p w14:paraId="11E99638"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31 188</w:t>
            </w:r>
          </w:p>
        </w:tc>
        <w:tc>
          <w:tcPr>
            <w:tcW w:w="960" w:type="dxa"/>
            <w:tcBorders>
              <w:top w:val="nil"/>
              <w:left w:val="nil"/>
              <w:bottom w:val="nil"/>
              <w:right w:val="single" w:sz="4" w:space="0" w:color="auto"/>
            </w:tcBorders>
            <w:shd w:val="clear" w:color="auto" w:fill="auto"/>
            <w:vAlign w:val="center"/>
            <w:hideMark/>
          </w:tcPr>
          <w:p w14:paraId="4934A45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13 113</w:t>
            </w:r>
          </w:p>
        </w:tc>
        <w:tc>
          <w:tcPr>
            <w:tcW w:w="960" w:type="dxa"/>
            <w:tcBorders>
              <w:top w:val="nil"/>
              <w:left w:val="nil"/>
              <w:bottom w:val="nil"/>
              <w:right w:val="nil"/>
            </w:tcBorders>
            <w:shd w:val="clear" w:color="auto" w:fill="auto"/>
            <w:vAlign w:val="center"/>
            <w:hideMark/>
          </w:tcPr>
          <w:p w14:paraId="039211E0"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117</w:t>
            </w:r>
          </w:p>
        </w:tc>
        <w:tc>
          <w:tcPr>
            <w:tcW w:w="960" w:type="dxa"/>
            <w:tcBorders>
              <w:top w:val="nil"/>
              <w:left w:val="nil"/>
              <w:bottom w:val="nil"/>
              <w:right w:val="nil"/>
            </w:tcBorders>
            <w:shd w:val="clear" w:color="auto" w:fill="auto"/>
            <w:vAlign w:val="center"/>
            <w:hideMark/>
          </w:tcPr>
          <w:p w14:paraId="15C4778C"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115</w:t>
            </w:r>
          </w:p>
        </w:tc>
        <w:tc>
          <w:tcPr>
            <w:tcW w:w="960" w:type="dxa"/>
            <w:tcBorders>
              <w:top w:val="nil"/>
              <w:left w:val="nil"/>
              <w:bottom w:val="nil"/>
              <w:right w:val="nil"/>
            </w:tcBorders>
            <w:shd w:val="clear" w:color="auto" w:fill="auto"/>
            <w:vAlign w:val="center"/>
            <w:hideMark/>
          </w:tcPr>
          <w:p w14:paraId="2D2B000A"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2</w:t>
            </w:r>
          </w:p>
        </w:tc>
      </w:tr>
      <w:tr w:rsidR="00AE767B" w:rsidRPr="00BD1228" w14:paraId="5A266680"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454B9445"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2015</w:t>
            </w:r>
          </w:p>
        </w:tc>
        <w:tc>
          <w:tcPr>
            <w:tcW w:w="960" w:type="dxa"/>
            <w:tcBorders>
              <w:top w:val="nil"/>
              <w:left w:val="nil"/>
              <w:bottom w:val="nil"/>
              <w:right w:val="nil"/>
            </w:tcBorders>
            <w:shd w:val="clear" w:color="auto" w:fill="auto"/>
            <w:noWrap/>
            <w:vAlign w:val="center"/>
            <w:hideMark/>
          </w:tcPr>
          <w:p w14:paraId="7F83E7B7"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46 331</w:t>
            </w:r>
          </w:p>
        </w:tc>
        <w:tc>
          <w:tcPr>
            <w:tcW w:w="960" w:type="dxa"/>
            <w:tcBorders>
              <w:top w:val="nil"/>
              <w:left w:val="nil"/>
              <w:bottom w:val="nil"/>
              <w:right w:val="nil"/>
            </w:tcBorders>
            <w:shd w:val="clear" w:color="auto" w:fill="auto"/>
            <w:noWrap/>
            <w:vAlign w:val="center"/>
            <w:hideMark/>
          </w:tcPr>
          <w:p w14:paraId="025D50B8"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32 117</w:t>
            </w:r>
          </w:p>
        </w:tc>
        <w:tc>
          <w:tcPr>
            <w:tcW w:w="960" w:type="dxa"/>
            <w:tcBorders>
              <w:top w:val="nil"/>
              <w:left w:val="nil"/>
              <w:bottom w:val="nil"/>
              <w:right w:val="single" w:sz="4" w:space="0" w:color="auto"/>
            </w:tcBorders>
            <w:shd w:val="clear" w:color="auto" w:fill="auto"/>
            <w:noWrap/>
            <w:vAlign w:val="center"/>
            <w:hideMark/>
          </w:tcPr>
          <w:p w14:paraId="50EE526C"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14 214</w:t>
            </w:r>
          </w:p>
        </w:tc>
        <w:tc>
          <w:tcPr>
            <w:tcW w:w="960" w:type="dxa"/>
            <w:tcBorders>
              <w:top w:val="nil"/>
              <w:left w:val="nil"/>
              <w:bottom w:val="nil"/>
              <w:right w:val="nil"/>
            </w:tcBorders>
            <w:shd w:val="clear" w:color="auto" w:fill="auto"/>
            <w:noWrap/>
            <w:vAlign w:val="center"/>
            <w:hideMark/>
          </w:tcPr>
          <w:p w14:paraId="61DCE030"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45 621</w:t>
            </w:r>
          </w:p>
        </w:tc>
        <w:tc>
          <w:tcPr>
            <w:tcW w:w="960" w:type="dxa"/>
            <w:tcBorders>
              <w:top w:val="nil"/>
              <w:left w:val="nil"/>
              <w:bottom w:val="nil"/>
              <w:right w:val="nil"/>
            </w:tcBorders>
            <w:shd w:val="clear" w:color="auto" w:fill="auto"/>
            <w:vAlign w:val="center"/>
            <w:hideMark/>
          </w:tcPr>
          <w:p w14:paraId="719171F1"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31 605</w:t>
            </w:r>
          </w:p>
        </w:tc>
        <w:tc>
          <w:tcPr>
            <w:tcW w:w="960" w:type="dxa"/>
            <w:tcBorders>
              <w:top w:val="nil"/>
              <w:left w:val="nil"/>
              <w:bottom w:val="nil"/>
              <w:right w:val="single" w:sz="4" w:space="0" w:color="auto"/>
            </w:tcBorders>
            <w:shd w:val="clear" w:color="auto" w:fill="auto"/>
            <w:vAlign w:val="center"/>
            <w:hideMark/>
          </w:tcPr>
          <w:p w14:paraId="73CD28F4"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14 016</w:t>
            </w:r>
          </w:p>
        </w:tc>
        <w:tc>
          <w:tcPr>
            <w:tcW w:w="960" w:type="dxa"/>
            <w:tcBorders>
              <w:top w:val="nil"/>
              <w:left w:val="nil"/>
              <w:bottom w:val="nil"/>
              <w:right w:val="nil"/>
            </w:tcBorders>
            <w:shd w:val="clear" w:color="auto" w:fill="auto"/>
            <w:vAlign w:val="center"/>
            <w:hideMark/>
          </w:tcPr>
          <w:p w14:paraId="20A902F7"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131</w:t>
            </w:r>
          </w:p>
        </w:tc>
        <w:tc>
          <w:tcPr>
            <w:tcW w:w="960" w:type="dxa"/>
            <w:tcBorders>
              <w:top w:val="nil"/>
              <w:left w:val="nil"/>
              <w:bottom w:val="nil"/>
              <w:right w:val="nil"/>
            </w:tcBorders>
            <w:shd w:val="clear" w:color="auto" w:fill="auto"/>
            <w:vAlign w:val="center"/>
            <w:hideMark/>
          </w:tcPr>
          <w:p w14:paraId="0EE38DF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120</w:t>
            </w:r>
          </w:p>
        </w:tc>
        <w:tc>
          <w:tcPr>
            <w:tcW w:w="960" w:type="dxa"/>
            <w:tcBorders>
              <w:top w:val="nil"/>
              <w:left w:val="nil"/>
              <w:bottom w:val="nil"/>
              <w:right w:val="nil"/>
            </w:tcBorders>
            <w:shd w:val="clear" w:color="auto" w:fill="auto"/>
            <w:vAlign w:val="center"/>
            <w:hideMark/>
          </w:tcPr>
          <w:p w14:paraId="4ACA9E44"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11</w:t>
            </w:r>
          </w:p>
        </w:tc>
      </w:tr>
      <w:tr w:rsidR="00AE767B" w:rsidRPr="00BD1228" w14:paraId="1DC6D94B"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0E372780"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2016</w:t>
            </w:r>
          </w:p>
        </w:tc>
        <w:tc>
          <w:tcPr>
            <w:tcW w:w="960" w:type="dxa"/>
            <w:tcBorders>
              <w:top w:val="nil"/>
              <w:left w:val="nil"/>
              <w:bottom w:val="nil"/>
              <w:right w:val="nil"/>
            </w:tcBorders>
            <w:shd w:val="clear" w:color="auto" w:fill="auto"/>
            <w:noWrap/>
            <w:vAlign w:val="center"/>
            <w:hideMark/>
          </w:tcPr>
          <w:p w14:paraId="74F31BA9"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47 379</w:t>
            </w:r>
          </w:p>
        </w:tc>
        <w:tc>
          <w:tcPr>
            <w:tcW w:w="960" w:type="dxa"/>
            <w:tcBorders>
              <w:top w:val="nil"/>
              <w:left w:val="nil"/>
              <w:bottom w:val="nil"/>
              <w:right w:val="nil"/>
            </w:tcBorders>
            <w:shd w:val="clear" w:color="auto" w:fill="auto"/>
            <w:noWrap/>
            <w:vAlign w:val="center"/>
            <w:hideMark/>
          </w:tcPr>
          <w:p w14:paraId="2D790B25"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32 592</w:t>
            </w:r>
          </w:p>
        </w:tc>
        <w:tc>
          <w:tcPr>
            <w:tcW w:w="960" w:type="dxa"/>
            <w:tcBorders>
              <w:top w:val="nil"/>
              <w:left w:val="nil"/>
              <w:bottom w:val="nil"/>
              <w:right w:val="single" w:sz="4" w:space="0" w:color="auto"/>
            </w:tcBorders>
            <w:shd w:val="clear" w:color="auto" w:fill="auto"/>
            <w:noWrap/>
            <w:vAlign w:val="center"/>
            <w:hideMark/>
          </w:tcPr>
          <w:p w14:paraId="17AD61E3"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14 787</w:t>
            </w:r>
          </w:p>
        </w:tc>
        <w:tc>
          <w:tcPr>
            <w:tcW w:w="960" w:type="dxa"/>
            <w:tcBorders>
              <w:top w:val="nil"/>
              <w:left w:val="nil"/>
              <w:bottom w:val="nil"/>
              <w:right w:val="nil"/>
            </w:tcBorders>
            <w:shd w:val="clear" w:color="auto" w:fill="auto"/>
            <w:noWrap/>
            <w:vAlign w:val="center"/>
            <w:hideMark/>
          </w:tcPr>
          <w:p w14:paraId="7190F3F7"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46 713</w:t>
            </w:r>
          </w:p>
        </w:tc>
        <w:tc>
          <w:tcPr>
            <w:tcW w:w="960" w:type="dxa"/>
            <w:tcBorders>
              <w:top w:val="nil"/>
              <w:left w:val="nil"/>
              <w:bottom w:val="nil"/>
              <w:right w:val="nil"/>
            </w:tcBorders>
            <w:shd w:val="clear" w:color="auto" w:fill="auto"/>
            <w:vAlign w:val="center"/>
            <w:hideMark/>
          </w:tcPr>
          <w:p w14:paraId="60EC34E7"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32 102</w:t>
            </w:r>
          </w:p>
        </w:tc>
        <w:tc>
          <w:tcPr>
            <w:tcW w:w="960" w:type="dxa"/>
            <w:tcBorders>
              <w:top w:val="nil"/>
              <w:left w:val="nil"/>
              <w:bottom w:val="nil"/>
              <w:right w:val="single" w:sz="4" w:space="0" w:color="auto"/>
            </w:tcBorders>
            <w:shd w:val="clear" w:color="auto" w:fill="auto"/>
            <w:vAlign w:val="center"/>
            <w:hideMark/>
          </w:tcPr>
          <w:p w14:paraId="60B66A97"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14 611</w:t>
            </w:r>
          </w:p>
        </w:tc>
        <w:tc>
          <w:tcPr>
            <w:tcW w:w="960" w:type="dxa"/>
            <w:tcBorders>
              <w:top w:val="nil"/>
              <w:left w:val="nil"/>
              <w:bottom w:val="nil"/>
              <w:right w:val="nil"/>
            </w:tcBorders>
            <w:shd w:val="clear" w:color="auto" w:fill="auto"/>
            <w:vAlign w:val="center"/>
            <w:hideMark/>
          </w:tcPr>
          <w:p w14:paraId="5124198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104</w:t>
            </w:r>
          </w:p>
        </w:tc>
        <w:tc>
          <w:tcPr>
            <w:tcW w:w="960" w:type="dxa"/>
            <w:tcBorders>
              <w:top w:val="nil"/>
              <w:left w:val="nil"/>
              <w:bottom w:val="nil"/>
              <w:right w:val="nil"/>
            </w:tcBorders>
            <w:shd w:val="clear" w:color="auto" w:fill="auto"/>
            <w:vAlign w:val="center"/>
            <w:hideMark/>
          </w:tcPr>
          <w:p w14:paraId="70F4B88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101</w:t>
            </w:r>
          </w:p>
        </w:tc>
        <w:tc>
          <w:tcPr>
            <w:tcW w:w="960" w:type="dxa"/>
            <w:tcBorders>
              <w:top w:val="nil"/>
              <w:left w:val="nil"/>
              <w:bottom w:val="nil"/>
              <w:right w:val="nil"/>
            </w:tcBorders>
            <w:shd w:val="clear" w:color="auto" w:fill="auto"/>
            <w:vAlign w:val="center"/>
            <w:hideMark/>
          </w:tcPr>
          <w:p w14:paraId="77589E89"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w:t>
            </w:r>
          </w:p>
        </w:tc>
      </w:tr>
      <w:tr w:rsidR="00AE767B" w:rsidRPr="00BD1228" w14:paraId="5099DF48"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708ADEE5"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2017</w:t>
            </w:r>
          </w:p>
        </w:tc>
        <w:tc>
          <w:tcPr>
            <w:tcW w:w="960" w:type="dxa"/>
            <w:tcBorders>
              <w:top w:val="nil"/>
              <w:left w:val="nil"/>
              <w:bottom w:val="nil"/>
              <w:right w:val="nil"/>
            </w:tcBorders>
            <w:shd w:val="clear" w:color="auto" w:fill="auto"/>
            <w:vAlign w:val="center"/>
            <w:hideMark/>
          </w:tcPr>
          <w:p w14:paraId="1A95F06E"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47 491</w:t>
            </w:r>
          </w:p>
        </w:tc>
        <w:tc>
          <w:tcPr>
            <w:tcW w:w="960" w:type="dxa"/>
            <w:tcBorders>
              <w:top w:val="nil"/>
              <w:left w:val="nil"/>
              <w:bottom w:val="nil"/>
              <w:right w:val="nil"/>
            </w:tcBorders>
            <w:shd w:val="clear" w:color="auto" w:fill="auto"/>
            <w:noWrap/>
            <w:vAlign w:val="center"/>
            <w:hideMark/>
          </w:tcPr>
          <w:p w14:paraId="05355B8B"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32 575</w:t>
            </w:r>
          </w:p>
        </w:tc>
        <w:tc>
          <w:tcPr>
            <w:tcW w:w="960" w:type="dxa"/>
            <w:tcBorders>
              <w:top w:val="nil"/>
              <w:left w:val="nil"/>
              <w:bottom w:val="nil"/>
              <w:right w:val="single" w:sz="4" w:space="0" w:color="auto"/>
            </w:tcBorders>
            <w:shd w:val="clear" w:color="auto" w:fill="auto"/>
            <w:noWrap/>
            <w:vAlign w:val="center"/>
            <w:hideMark/>
          </w:tcPr>
          <w:p w14:paraId="6B05A415"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14 916</w:t>
            </w:r>
          </w:p>
        </w:tc>
        <w:tc>
          <w:tcPr>
            <w:tcW w:w="960" w:type="dxa"/>
            <w:tcBorders>
              <w:top w:val="nil"/>
              <w:left w:val="nil"/>
              <w:bottom w:val="nil"/>
              <w:right w:val="nil"/>
            </w:tcBorders>
            <w:shd w:val="clear" w:color="auto" w:fill="auto"/>
            <w:noWrap/>
            <w:vAlign w:val="center"/>
            <w:hideMark/>
          </w:tcPr>
          <w:p w14:paraId="5274A97F"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46 870</w:t>
            </w:r>
          </w:p>
        </w:tc>
        <w:tc>
          <w:tcPr>
            <w:tcW w:w="960" w:type="dxa"/>
            <w:tcBorders>
              <w:top w:val="nil"/>
              <w:left w:val="nil"/>
              <w:bottom w:val="nil"/>
              <w:right w:val="nil"/>
            </w:tcBorders>
            <w:shd w:val="clear" w:color="auto" w:fill="auto"/>
            <w:vAlign w:val="center"/>
            <w:hideMark/>
          </w:tcPr>
          <w:p w14:paraId="60974E51"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32 120</w:t>
            </w:r>
          </w:p>
        </w:tc>
        <w:tc>
          <w:tcPr>
            <w:tcW w:w="960" w:type="dxa"/>
            <w:tcBorders>
              <w:top w:val="nil"/>
              <w:left w:val="nil"/>
              <w:bottom w:val="nil"/>
              <w:right w:val="single" w:sz="4" w:space="0" w:color="auto"/>
            </w:tcBorders>
            <w:shd w:val="clear" w:color="auto" w:fill="auto"/>
            <w:vAlign w:val="center"/>
            <w:hideMark/>
          </w:tcPr>
          <w:p w14:paraId="27A469D2"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14 750</w:t>
            </w:r>
          </w:p>
        </w:tc>
        <w:tc>
          <w:tcPr>
            <w:tcW w:w="960" w:type="dxa"/>
            <w:tcBorders>
              <w:top w:val="nil"/>
              <w:left w:val="nil"/>
              <w:bottom w:val="nil"/>
              <w:right w:val="nil"/>
            </w:tcBorders>
            <w:shd w:val="clear" w:color="auto" w:fill="auto"/>
            <w:vAlign w:val="center"/>
            <w:hideMark/>
          </w:tcPr>
          <w:p w14:paraId="697C6272"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95</w:t>
            </w:r>
          </w:p>
        </w:tc>
        <w:tc>
          <w:tcPr>
            <w:tcW w:w="960" w:type="dxa"/>
            <w:tcBorders>
              <w:top w:val="nil"/>
              <w:left w:val="nil"/>
              <w:bottom w:val="nil"/>
              <w:right w:val="nil"/>
            </w:tcBorders>
            <w:shd w:val="clear" w:color="auto" w:fill="auto"/>
            <w:vAlign w:val="center"/>
            <w:hideMark/>
          </w:tcPr>
          <w:p w14:paraId="63D9A25A"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91</w:t>
            </w:r>
          </w:p>
        </w:tc>
        <w:tc>
          <w:tcPr>
            <w:tcW w:w="960" w:type="dxa"/>
            <w:tcBorders>
              <w:top w:val="nil"/>
              <w:left w:val="nil"/>
              <w:bottom w:val="nil"/>
              <w:right w:val="nil"/>
            </w:tcBorders>
            <w:shd w:val="clear" w:color="auto" w:fill="auto"/>
            <w:vAlign w:val="center"/>
            <w:hideMark/>
          </w:tcPr>
          <w:p w14:paraId="2F3648F6"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w:t>
            </w:r>
          </w:p>
        </w:tc>
      </w:tr>
      <w:tr w:rsidR="00AE767B" w:rsidRPr="00BD1228" w14:paraId="2E4EF511"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3A17A5CC"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2018</w:t>
            </w:r>
          </w:p>
        </w:tc>
        <w:tc>
          <w:tcPr>
            <w:tcW w:w="960" w:type="dxa"/>
            <w:tcBorders>
              <w:top w:val="nil"/>
              <w:left w:val="nil"/>
              <w:bottom w:val="nil"/>
              <w:right w:val="nil"/>
            </w:tcBorders>
            <w:shd w:val="clear" w:color="auto" w:fill="auto"/>
            <w:noWrap/>
            <w:vAlign w:val="center"/>
            <w:hideMark/>
          </w:tcPr>
          <w:p w14:paraId="38405861"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46 223</w:t>
            </w:r>
          </w:p>
        </w:tc>
        <w:tc>
          <w:tcPr>
            <w:tcW w:w="960" w:type="dxa"/>
            <w:tcBorders>
              <w:top w:val="nil"/>
              <w:left w:val="nil"/>
              <w:bottom w:val="nil"/>
              <w:right w:val="nil"/>
            </w:tcBorders>
            <w:shd w:val="clear" w:color="auto" w:fill="auto"/>
            <w:vAlign w:val="center"/>
            <w:hideMark/>
          </w:tcPr>
          <w:p w14:paraId="178B4FD7"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31 340</w:t>
            </w:r>
          </w:p>
        </w:tc>
        <w:tc>
          <w:tcPr>
            <w:tcW w:w="960" w:type="dxa"/>
            <w:tcBorders>
              <w:top w:val="nil"/>
              <w:left w:val="nil"/>
              <w:bottom w:val="nil"/>
              <w:right w:val="single" w:sz="4" w:space="0" w:color="auto"/>
            </w:tcBorders>
            <w:shd w:val="clear" w:color="auto" w:fill="auto"/>
            <w:vAlign w:val="center"/>
            <w:hideMark/>
          </w:tcPr>
          <w:p w14:paraId="5682B356"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14 883</w:t>
            </w:r>
          </w:p>
        </w:tc>
        <w:tc>
          <w:tcPr>
            <w:tcW w:w="960" w:type="dxa"/>
            <w:tcBorders>
              <w:top w:val="nil"/>
              <w:left w:val="nil"/>
              <w:bottom w:val="nil"/>
              <w:right w:val="nil"/>
            </w:tcBorders>
            <w:shd w:val="clear" w:color="auto" w:fill="auto"/>
            <w:noWrap/>
            <w:vAlign w:val="center"/>
            <w:hideMark/>
          </w:tcPr>
          <w:p w14:paraId="6F26C7FA"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45 666</w:t>
            </w:r>
          </w:p>
        </w:tc>
        <w:tc>
          <w:tcPr>
            <w:tcW w:w="960" w:type="dxa"/>
            <w:tcBorders>
              <w:top w:val="nil"/>
              <w:left w:val="nil"/>
              <w:bottom w:val="nil"/>
              <w:right w:val="nil"/>
            </w:tcBorders>
            <w:shd w:val="clear" w:color="auto" w:fill="auto"/>
            <w:vAlign w:val="center"/>
            <w:hideMark/>
          </w:tcPr>
          <w:p w14:paraId="3DD2A494"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30 947</w:t>
            </w:r>
          </w:p>
        </w:tc>
        <w:tc>
          <w:tcPr>
            <w:tcW w:w="960" w:type="dxa"/>
            <w:tcBorders>
              <w:top w:val="nil"/>
              <w:left w:val="nil"/>
              <w:bottom w:val="nil"/>
              <w:right w:val="single" w:sz="4" w:space="0" w:color="auto"/>
            </w:tcBorders>
            <w:shd w:val="clear" w:color="auto" w:fill="auto"/>
            <w:vAlign w:val="center"/>
            <w:hideMark/>
          </w:tcPr>
          <w:p w14:paraId="550084D3"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14 719</w:t>
            </w:r>
          </w:p>
        </w:tc>
        <w:tc>
          <w:tcPr>
            <w:tcW w:w="960" w:type="dxa"/>
            <w:tcBorders>
              <w:top w:val="nil"/>
              <w:left w:val="nil"/>
              <w:bottom w:val="nil"/>
              <w:right w:val="nil"/>
            </w:tcBorders>
            <w:shd w:val="clear" w:color="auto" w:fill="auto"/>
            <w:vAlign w:val="center"/>
            <w:hideMark/>
          </w:tcPr>
          <w:p w14:paraId="0FF4824C"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123</w:t>
            </w:r>
          </w:p>
        </w:tc>
        <w:tc>
          <w:tcPr>
            <w:tcW w:w="960" w:type="dxa"/>
            <w:tcBorders>
              <w:top w:val="nil"/>
              <w:left w:val="nil"/>
              <w:bottom w:val="nil"/>
              <w:right w:val="nil"/>
            </w:tcBorders>
            <w:shd w:val="clear" w:color="auto" w:fill="auto"/>
            <w:vAlign w:val="center"/>
            <w:hideMark/>
          </w:tcPr>
          <w:p w14:paraId="323769D0"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117</w:t>
            </w:r>
          </w:p>
        </w:tc>
        <w:tc>
          <w:tcPr>
            <w:tcW w:w="960" w:type="dxa"/>
            <w:tcBorders>
              <w:top w:val="nil"/>
              <w:left w:val="nil"/>
              <w:bottom w:val="nil"/>
              <w:right w:val="nil"/>
            </w:tcBorders>
            <w:shd w:val="clear" w:color="auto" w:fill="auto"/>
            <w:vAlign w:val="center"/>
            <w:hideMark/>
          </w:tcPr>
          <w:p w14:paraId="12E31FFD"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6</w:t>
            </w:r>
          </w:p>
        </w:tc>
      </w:tr>
      <w:tr w:rsidR="00AE767B" w:rsidRPr="00BD1228" w14:paraId="69E9CD01"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261C63F2"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2019</w:t>
            </w:r>
          </w:p>
        </w:tc>
        <w:tc>
          <w:tcPr>
            <w:tcW w:w="960" w:type="dxa"/>
            <w:tcBorders>
              <w:top w:val="nil"/>
              <w:left w:val="nil"/>
              <w:bottom w:val="nil"/>
              <w:right w:val="nil"/>
            </w:tcBorders>
            <w:shd w:val="clear" w:color="auto" w:fill="auto"/>
            <w:noWrap/>
            <w:vAlign w:val="center"/>
            <w:hideMark/>
          </w:tcPr>
          <w:p w14:paraId="2A32FB6E"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44 552</w:t>
            </w:r>
          </w:p>
        </w:tc>
        <w:tc>
          <w:tcPr>
            <w:tcW w:w="960" w:type="dxa"/>
            <w:tcBorders>
              <w:top w:val="nil"/>
              <w:left w:val="nil"/>
              <w:bottom w:val="nil"/>
              <w:right w:val="nil"/>
            </w:tcBorders>
            <w:shd w:val="clear" w:color="auto" w:fill="auto"/>
            <w:vAlign w:val="center"/>
            <w:hideMark/>
          </w:tcPr>
          <w:p w14:paraId="00E46D80"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30 068</w:t>
            </w:r>
          </w:p>
        </w:tc>
        <w:tc>
          <w:tcPr>
            <w:tcW w:w="960" w:type="dxa"/>
            <w:tcBorders>
              <w:top w:val="nil"/>
              <w:left w:val="nil"/>
              <w:bottom w:val="nil"/>
              <w:right w:val="single" w:sz="4" w:space="0" w:color="auto"/>
            </w:tcBorders>
            <w:shd w:val="clear" w:color="auto" w:fill="auto"/>
            <w:vAlign w:val="center"/>
            <w:hideMark/>
          </w:tcPr>
          <w:p w14:paraId="5649865D"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14 484</w:t>
            </w:r>
          </w:p>
        </w:tc>
        <w:tc>
          <w:tcPr>
            <w:tcW w:w="960" w:type="dxa"/>
            <w:tcBorders>
              <w:top w:val="nil"/>
              <w:left w:val="nil"/>
              <w:bottom w:val="nil"/>
              <w:right w:val="nil"/>
            </w:tcBorders>
            <w:shd w:val="clear" w:color="auto" w:fill="auto"/>
            <w:noWrap/>
            <w:vAlign w:val="center"/>
            <w:hideMark/>
          </w:tcPr>
          <w:p w14:paraId="5DB486D6"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43 959</w:t>
            </w:r>
          </w:p>
        </w:tc>
        <w:tc>
          <w:tcPr>
            <w:tcW w:w="960" w:type="dxa"/>
            <w:tcBorders>
              <w:top w:val="nil"/>
              <w:left w:val="nil"/>
              <w:bottom w:val="nil"/>
              <w:right w:val="nil"/>
            </w:tcBorders>
            <w:shd w:val="clear" w:color="auto" w:fill="auto"/>
            <w:vAlign w:val="center"/>
            <w:hideMark/>
          </w:tcPr>
          <w:p w14:paraId="71A59801"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29 663</w:t>
            </w:r>
          </w:p>
        </w:tc>
        <w:tc>
          <w:tcPr>
            <w:tcW w:w="960" w:type="dxa"/>
            <w:tcBorders>
              <w:top w:val="nil"/>
              <w:left w:val="nil"/>
              <w:bottom w:val="nil"/>
              <w:right w:val="single" w:sz="4" w:space="0" w:color="auto"/>
            </w:tcBorders>
            <w:shd w:val="clear" w:color="auto" w:fill="auto"/>
            <w:vAlign w:val="center"/>
            <w:hideMark/>
          </w:tcPr>
          <w:p w14:paraId="78C55D83"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14 296</w:t>
            </w:r>
          </w:p>
        </w:tc>
        <w:tc>
          <w:tcPr>
            <w:tcW w:w="960" w:type="dxa"/>
            <w:tcBorders>
              <w:top w:val="nil"/>
              <w:left w:val="nil"/>
              <w:bottom w:val="nil"/>
              <w:right w:val="nil"/>
            </w:tcBorders>
            <w:shd w:val="clear" w:color="auto" w:fill="auto"/>
            <w:vAlign w:val="center"/>
            <w:hideMark/>
          </w:tcPr>
          <w:p w14:paraId="46A1743C"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92</w:t>
            </w:r>
          </w:p>
        </w:tc>
        <w:tc>
          <w:tcPr>
            <w:tcW w:w="960" w:type="dxa"/>
            <w:tcBorders>
              <w:top w:val="nil"/>
              <w:left w:val="nil"/>
              <w:bottom w:val="nil"/>
              <w:right w:val="nil"/>
            </w:tcBorders>
            <w:shd w:val="clear" w:color="auto" w:fill="auto"/>
            <w:vAlign w:val="center"/>
            <w:hideMark/>
          </w:tcPr>
          <w:p w14:paraId="3AF4EF33"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87</w:t>
            </w:r>
          </w:p>
        </w:tc>
        <w:tc>
          <w:tcPr>
            <w:tcW w:w="960" w:type="dxa"/>
            <w:tcBorders>
              <w:top w:val="nil"/>
              <w:left w:val="nil"/>
              <w:bottom w:val="nil"/>
              <w:right w:val="nil"/>
            </w:tcBorders>
            <w:shd w:val="clear" w:color="auto" w:fill="auto"/>
            <w:vAlign w:val="center"/>
            <w:hideMark/>
          </w:tcPr>
          <w:p w14:paraId="6189435A"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5</w:t>
            </w:r>
          </w:p>
        </w:tc>
      </w:tr>
      <w:tr w:rsidR="00AE767B" w:rsidRPr="00BD1228" w14:paraId="298064B4" w14:textId="77777777" w:rsidTr="00C13658">
        <w:trPr>
          <w:trHeight w:val="300"/>
        </w:trPr>
        <w:tc>
          <w:tcPr>
            <w:tcW w:w="960" w:type="dxa"/>
            <w:tcBorders>
              <w:top w:val="nil"/>
              <w:left w:val="nil"/>
              <w:bottom w:val="nil"/>
              <w:right w:val="single" w:sz="4" w:space="0" w:color="auto"/>
            </w:tcBorders>
            <w:shd w:val="clear" w:color="auto" w:fill="auto"/>
            <w:vAlign w:val="center"/>
            <w:hideMark/>
          </w:tcPr>
          <w:p w14:paraId="496A7C20" w14:textId="77777777" w:rsidR="00AE767B" w:rsidRPr="00BD1228" w:rsidRDefault="00AE767B" w:rsidP="00C13658">
            <w:pPr>
              <w:spacing w:after="0" w:line="240" w:lineRule="auto"/>
              <w:jc w:val="center"/>
              <w:rPr>
                <w:rFonts w:cs="Arial"/>
                <w:color w:val="000000"/>
                <w:sz w:val="16"/>
                <w:szCs w:val="16"/>
              </w:rPr>
            </w:pPr>
            <w:r w:rsidRPr="00BD1228">
              <w:rPr>
                <w:rFonts w:cs="Arial"/>
                <w:color w:val="000000"/>
                <w:sz w:val="16"/>
                <w:szCs w:val="16"/>
              </w:rPr>
              <w:t>2020</w:t>
            </w:r>
          </w:p>
        </w:tc>
        <w:tc>
          <w:tcPr>
            <w:tcW w:w="960" w:type="dxa"/>
            <w:tcBorders>
              <w:top w:val="nil"/>
              <w:left w:val="nil"/>
              <w:bottom w:val="nil"/>
              <w:right w:val="nil"/>
            </w:tcBorders>
            <w:shd w:val="clear" w:color="auto" w:fill="auto"/>
            <w:noWrap/>
            <w:vAlign w:val="center"/>
            <w:hideMark/>
          </w:tcPr>
          <w:p w14:paraId="1528AC86"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41 358</w:t>
            </w:r>
          </w:p>
        </w:tc>
        <w:tc>
          <w:tcPr>
            <w:tcW w:w="960" w:type="dxa"/>
            <w:tcBorders>
              <w:top w:val="nil"/>
              <w:left w:val="nil"/>
              <w:bottom w:val="nil"/>
              <w:right w:val="nil"/>
            </w:tcBorders>
            <w:shd w:val="clear" w:color="auto" w:fill="auto"/>
            <w:vAlign w:val="center"/>
            <w:hideMark/>
          </w:tcPr>
          <w:p w14:paraId="546F3C70"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28 681</w:t>
            </w:r>
          </w:p>
        </w:tc>
        <w:tc>
          <w:tcPr>
            <w:tcW w:w="960" w:type="dxa"/>
            <w:tcBorders>
              <w:top w:val="nil"/>
              <w:left w:val="nil"/>
              <w:bottom w:val="nil"/>
              <w:right w:val="single" w:sz="4" w:space="0" w:color="auto"/>
            </w:tcBorders>
            <w:shd w:val="clear" w:color="auto" w:fill="auto"/>
            <w:vAlign w:val="center"/>
            <w:hideMark/>
          </w:tcPr>
          <w:p w14:paraId="4A6E7186"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12 677</w:t>
            </w:r>
          </w:p>
        </w:tc>
        <w:tc>
          <w:tcPr>
            <w:tcW w:w="960" w:type="dxa"/>
            <w:tcBorders>
              <w:top w:val="nil"/>
              <w:left w:val="nil"/>
              <w:bottom w:val="nil"/>
              <w:right w:val="nil"/>
            </w:tcBorders>
            <w:shd w:val="clear" w:color="auto" w:fill="auto"/>
            <w:noWrap/>
            <w:vAlign w:val="center"/>
            <w:hideMark/>
          </w:tcPr>
          <w:p w14:paraId="0A05FD8C"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40 569</w:t>
            </w:r>
          </w:p>
        </w:tc>
        <w:tc>
          <w:tcPr>
            <w:tcW w:w="960" w:type="dxa"/>
            <w:tcBorders>
              <w:top w:val="nil"/>
              <w:left w:val="nil"/>
              <w:bottom w:val="nil"/>
              <w:right w:val="nil"/>
            </w:tcBorders>
            <w:shd w:val="clear" w:color="auto" w:fill="auto"/>
            <w:vAlign w:val="center"/>
            <w:hideMark/>
          </w:tcPr>
          <w:p w14:paraId="22DC8B80"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28 104</w:t>
            </w:r>
          </w:p>
        </w:tc>
        <w:tc>
          <w:tcPr>
            <w:tcW w:w="960" w:type="dxa"/>
            <w:tcBorders>
              <w:top w:val="nil"/>
              <w:left w:val="nil"/>
              <w:bottom w:val="nil"/>
              <w:right w:val="single" w:sz="4" w:space="0" w:color="auto"/>
            </w:tcBorders>
            <w:shd w:val="clear" w:color="auto" w:fill="auto"/>
            <w:vAlign w:val="center"/>
            <w:hideMark/>
          </w:tcPr>
          <w:p w14:paraId="01E0645A"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12 465</w:t>
            </w:r>
          </w:p>
        </w:tc>
        <w:tc>
          <w:tcPr>
            <w:tcW w:w="960" w:type="dxa"/>
            <w:tcBorders>
              <w:top w:val="nil"/>
              <w:left w:val="nil"/>
              <w:bottom w:val="nil"/>
              <w:right w:val="nil"/>
            </w:tcBorders>
            <w:shd w:val="clear" w:color="auto" w:fill="auto"/>
            <w:vAlign w:val="center"/>
            <w:hideMark/>
          </w:tcPr>
          <w:p w14:paraId="187682AD"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108</w:t>
            </w:r>
          </w:p>
        </w:tc>
        <w:tc>
          <w:tcPr>
            <w:tcW w:w="960" w:type="dxa"/>
            <w:tcBorders>
              <w:top w:val="nil"/>
              <w:left w:val="nil"/>
              <w:bottom w:val="nil"/>
              <w:right w:val="nil"/>
            </w:tcBorders>
            <w:shd w:val="clear" w:color="auto" w:fill="auto"/>
            <w:vAlign w:val="center"/>
            <w:hideMark/>
          </w:tcPr>
          <w:p w14:paraId="157FE03F"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105</w:t>
            </w:r>
          </w:p>
        </w:tc>
        <w:tc>
          <w:tcPr>
            <w:tcW w:w="960" w:type="dxa"/>
            <w:tcBorders>
              <w:top w:val="nil"/>
              <w:left w:val="nil"/>
              <w:bottom w:val="nil"/>
              <w:right w:val="nil"/>
            </w:tcBorders>
            <w:shd w:val="clear" w:color="auto" w:fill="auto"/>
            <w:vAlign w:val="center"/>
            <w:hideMark/>
          </w:tcPr>
          <w:p w14:paraId="65CAA09C" w14:textId="77777777" w:rsidR="00AE767B" w:rsidRPr="00BD1228" w:rsidRDefault="00AE767B" w:rsidP="00C13658">
            <w:pPr>
              <w:spacing w:after="0" w:line="240" w:lineRule="auto"/>
              <w:jc w:val="right"/>
              <w:rPr>
                <w:rFonts w:cs="Arial"/>
                <w:color w:val="000000"/>
                <w:sz w:val="16"/>
                <w:szCs w:val="16"/>
              </w:rPr>
            </w:pPr>
            <w:r w:rsidRPr="00BD1228">
              <w:rPr>
                <w:rFonts w:cs="Arial"/>
                <w:color w:val="000000"/>
                <w:sz w:val="16"/>
                <w:szCs w:val="16"/>
              </w:rPr>
              <w:t>3</w:t>
            </w:r>
          </w:p>
        </w:tc>
      </w:tr>
      <w:tr w:rsidR="00AE767B" w:rsidRPr="00BD1228" w14:paraId="71F76496" w14:textId="77777777" w:rsidTr="00AE767B">
        <w:trPr>
          <w:trHeight w:val="300"/>
        </w:trPr>
        <w:tc>
          <w:tcPr>
            <w:tcW w:w="960" w:type="dxa"/>
            <w:tcBorders>
              <w:top w:val="nil"/>
              <w:left w:val="nil"/>
              <w:bottom w:val="nil"/>
              <w:right w:val="single" w:sz="4" w:space="0" w:color="auto"/>
            </w:tcBorders>
            <w:shd w:val="clear" w:color="auto" w:fill="auto"/>
            <w:vAlign w:val="center"/>
            <w:hideMark/>
          </w:tcPr>
          <w:p w14:paraId="3DA413AD" w14:textId="77777777" w:rsidR="00AE767B" w:rsidRPr="00BD1228" w:rsidRDefault="00AE767B" w:rsidP="00AE767B">
            <w:pPr>
              <w:spacing w:after="0" w:line="240" w:lineRule="auto"/>
              <w:jc w:val="center"/>
              <w:rPr>
                <w:rFonts w:cs="Arial"/>
                <w:color w:val="000000"/>
                <w:sz w:val="16"/>
                <w:szCs w:val="16"/>
              </w:rPr>
            </w:pPr>
            <w:r w:rsidRPr="00BD1228">
              <w:rPr>
                <w:rFonts w:cs="Arial"/>
                <w:color w:val="000000"/>
                <w:sz w:val="16"/>
                <w:szCs w:val="16"/>
              </w:rPr>
              <w:t>2021</w:t>
            </w:r>
          </w:p>
        </w:tc>
        <w:tc>
          <w:tcPr>
            <w:tcW w:w="960" w:type="dxa"/>
            <w:tcBorders>
              <w:top w:val="nil"/>
              <w:left w:val="nil"/>
              <w:bottom w:val="nil"/>
              <w:right w:val="nil"/>
            </w:tcBorders>
            <w:shd w:val="clear" w:color="auto" w:fill="auto"/>
            <w:noWrap/>
            <w:vAlign w:val="center"/>
            <w:hideMark/>
          </w:tcPr>
          <w:p w14:paraId="5A9395DC"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44 933</w:t>
            </w:r>
          </w:p>
        </w:tc>
        <w:tc>
          <w:tcPr>
            <w:tcW w:w="960" w:type="dxa"/>
            <w:tcBorders>
              <w:top w:val="nil"/>
              <w:left w:val="nil"/>
              <w:bottom w:val="nil"/>
              <w:right w:val="nil"/>
            </w:tcBorders>
            <w:shd w:val="clear" w:color="auto" w:fill="auto"/>
            <w:vAlign w:val="center"/>
            <w:hideMark/>
          </w:tcPr>
          <w:p w14:paraId="6AE8F3BC"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31 115</w:t>
            </w:r>
          </w:p>
        </w:tc>
        <w:tc>
          <w:tcPr>
            <w:tcW w:w="960" w:type="dxa"/>
            <w:tcBorders>
              <w:top w:val="nil"/>
              <w:left w:val="nil"/>
              <w:bottom w:val="nil"/>
              <w:right w:val="single" w:sz="4" w:space="0" w:color="auto"/>
            </w:tcBorders>
            <w:shd w:val="clear" w:color="auto" w:fill="auto"/>
            <w:vAlign w:val="center"/>
            <w:hideMark/>
          </w:tcPr>
          <w:p w14:paraId="05DB52D6"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13 818</w:t>
            </w:r>
          </w:p>
        </w:tc>
        <w:tc>
          <w:tcPr>
            <w:tcW w:w="960" w:type="dxa"/>
            <w:tcBorders>
              <w:top w:val="nil"/>
              <w:left w:val="nil"/>
              <w:bottom w:val="nil"/>
              <w:right w:val="nil"/>
            </w:tcBorders>
            <w:shd w:val="clear" w:color="auto" w:fill="auto"/>
            <w:noWrap/>
            <w:vAlign w:val="center"/>
            <w:hideMark/>
          </w:tcPr>
          <w:p w14:paraId="4A057FA2"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43 980</w:t>
            </w:r>
          </w:p>
        </w:tc>
        <w:tc>
          <w:tcPr>
            <w:tcW w:w="960" w:type="dxa"/>
            <w:tcBorders>
              <w:top w:val="nil"/>
              <w:left w:val="nil"/>
              <w:bottom w:val="nil"/>
              <w:right w:val="nil"/>
            </w:tcBorders>
            <w:shd w:val="clear" w:color="auto" w:fill="auto"/>
            <w:vAlign w:val="center"/>
            <w:hideMark/>
          </w:tcPr>
          <w:p w14:paraId="4FFE43EA"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30 411</w:t>
            </w:r>
          </w:p>
        </w:tc>
        <w:tc>
          <w:tcPr>
            <w:tcW w:w="960" w:type="dxa"/>
            <w:tcBorders>
              <w:top w:val="nil"/>
              <w:left w:val="nil"/>
              <w:bottom w:val="nil"/>
              <w:right w:val="single" w:sz="4" w:space="0" w:color="auto"/>
            </w:tcBorders>
            <w:shd w:val="clear" w:color="auto" w:fill="auto"/>
            <w:vAlign w:val="center"/>
            <w:hideMark/>
          </w:tcPr>
          <w:p w14:paraId="68804E95"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13 569</w:t>
            </w:r>
          </w:p>
        </w:tc>
        <w:tc>
          <w:tcPr>
            <w:tcW w:w="960" w:type="dxa"/>
            <w:tcBorders>
              <w:top w:val="nil"/>
              <w:left w:val="nil"/>
              <w:bottom w:val="nil"/>
              <w:right w:val="nil"/>
            </w:tcBorders>
            <w:shd w:val="clear" w:color="auto" w:fill="auto"/>
            <w:vAlign w:val="center"/>
            <w:hideMark/>
          </w:tcPr>
          <w:p w14:paraId="1D539D85"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88</w:t>
            </w:r>
          </w:p>
        </w:tc>
        <w:tc>
          <w:tcPr>
            <w:tcW w:w="960" w:type="dxa"/>
            <w:tcBorders>
              <w:top w:val="nil"/>
              <w:left w:val="nil"/>
              <w:bottom w:val="nil"/>
              <w:right w:val="nil"/>
            </w:tcBorders>
            <w:shd w:val="clear" w:color="auto" w:fill="auto"/>
            <w:vAlign w:val="center"/>
            <w:hideMark/>
          </w:tcPr>
          <w:p w14:paraId="2BCEC6AB"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82</w:t>
            </w:r>
          </w:p>
        </w:tc>
        <w:tc>
          <w:tcPr>
            <w:tcW w:w="960" w:type="dxa"/>
            <w:tcBorders>
              <w:top w:val="nil"/>
              <w:left w:val="nil"/>
              <w:bottom w:val="nil"/>
              <w:right w:val="nil"/>
            </w:tcBorders>
            <w:shd w:val="clear" w:color="auto" w:fill="auto"/>
            <w:vAlign w:val="center"/>
            <w:hideMark/>
          </w:tcPr>
          <w:p w14:paraId="36A84F4F" w14:textId="77777777" w:rsidR="00AE767B" w:rsidRPr="00BD1228" w:rsidRDefault="00AE767B" w:rsidP="00AE767B">
            <w:pPr>
              <w:spacing w:after="0" w:line="240" w:lineRule="auto"/>
              <w:jc w:val="right"/>
              <w:rPr>
                <w:rFonts w:cs="Arial"/>
                <w:color w:val="000000"/>
                <w:sz w:val="16"/>
                <w:szCs w:val="16"/>
              </w:rPr>
            </w:pPr>
            <w:r w:rsidRPr="00BD1228">
              <w:rPr>
                <w:rFonts w:cs="Arial"/>
                <w:color w:val="000000"/>
                <w:sz w:val="16"/>
                <w:szCs w:val="16"/>
              </w:rPr>
              <w:t>6</w:t>
            </w:r>
          </w:p>
        </w:tc>
      </w:tr>
      <w:tr w:rsidR="00BD1228" w:rsidRPr="00BD1228" w14:paraId="0F1F5699" w14:textId="77777777" w:rsidTr="00BD1228">
        <w:trPr>
          <w:trHeight w:val="300"/>
        </w:trPr>
        <w:tc>
          <w:tcPr>
            <w:tcW w:w="960" w:type="dxa"/>
            <w:tcBorders>
              <w:top w:val="nil"/>
              <w:left w:val="nil"/>
              <w:bottom w:val="nil"/>
              <w:right w:val="single" w:sz="4" w:space="0" w:color="auto"/>
            </w:tcBorders>
            <w:shd w:val="clear" w:color="auto" w:fill="auto"/>
            <w:vAlign w:val="center"/>
          </w:tcPr>
          <w:p w14:paraId="18CB38CA" w14:textId="497C0FC8" w:rsidR="00BD1228" w:rsidRPr="00BD1228" w:rsidRDefault="00BD1228" w:rsidP="00BD1228">
            <w:pPr>
              <w:spacing w:after="0" w:line="240" w:lineRule="auto"/>
              <w:jc w:val="center"/>
              <w:rPr>
                <w:rFonts w:cs="Arial"/>
                <w:color w:val="000000"/>
                <w:sz w:val="16"/>
                <w:szCs w:val="16"/>
              </w:rPr>
            </w:pPr>
            <w:r w:rsidRPr="00BD1228">
              <w:rPr>
                <w:rFonts w:cs="Arial"/>
                <w:color w:val="000000"/>
                <w:sz w:val="16"/>
                <w:szCs w:val="16"/>
              </w:rPr>
              <w:t>2022</w:t>
            </w:r>
          </w:p>
        </w:tc>
        <w:tc>
          <w:tcPr>
            <w:tcW w:w="960" w:type="dxa"/>
            <w:tcBorders>
              <w:top w:val="nil"/>
              <w:left w:val="nil"/>
              <w:bottom w:val="nil"/>
              <w:right w:val="nil"/>
            </w:tcBorders>
            <w:shd w:val="clear" w:color="auto" w:fill="auto"/>
            <w:noWrap/>
            <w:vAlign w:val="center"/>
          </w:tcPr>
          <w:p w14:paraId="474E6025" w14:textId="37764D4A"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44 608</w:t>
            </w:r>
          </w:p>
        </w:tc>
        <w:tc>
          <w:tcPr>
            <w:tcW w:w="960" w:type="dxa"/>
            <w:tcBorders>
              <w:top w:val="nil"/>
              <w:left w:val="nil"/>
              <w:bottom w:val="nil"/>
              <w:right w:val="nil"/>
            </w:tcBorders>
            <w:shd w:val="clear" w:color="auto" w:fill="auto"/>
            <w:vAlign w:val="center"/>
          </w:tcPr>
          <w:p w14:paraId="24CB3F37" w14:textId="507FDD5C"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29 904</w:t>
            </w:r>
          </w:p>
        </w:tc>
        <w:tc>
          <w:tcPr>
            <w:tcW w:w="960" w:type="dxa"/>
            <w:tcBorders>
              <w:top w:val="nil"/>
              <w:left w:val="nil"/>
              <w:bottom w:val="nil"/>
              <w:right w:val="single" w:sz="4" w:space="0" w:color="auto"/>
            </w:tcBorders>
            <w:shd w:val="clear" w:color="auto" w:fill="auto"/>
            <w:vAlign w:val="center"/>
          </w:tcPr>
          <w:p w14:paraId="2444D74E" w14:textId="545BE537"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14 704</w:t>
            </w:r>
          </w:p>
        </w:tc>
        <w:tc>
          <w:tcPr>
            <w:tcW w:w="960" w:type="dxa"/>
            <w:tcBorders>
              <w:top w:val="nil"/>
              <w:left w:val="nil"/>
              <w:bottom w:val="nil"/>
              <w:right w:val="nil"/>
            </w:tcBorders>
            <w:shd w:val="clear" w:color="auto" w:fill="auto"/>
            <w:noWrap/>
            <w:vAlign w:val="center"/>
          </w:tcPr>
          <w:p w14:paraId="00049944" w14:textId="6475642B"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43 561</w:t>
            </w:r>
          </w:p>
        </w:tc>
        <w:tc>
          <w:tcPr>
            <w:tcW w:w="960" w:type="dxa"/>
            <w:tcBorders>
              <w:top w:val="nil"/>
              <w:left w:val="nil"/>
              <w:bottom w:val="nil"/>
              <w:right w:val="nil"/>
            </w:tcBorders>
            <w:shd w:val="clear" w:color="auto" w:fill="auto"/>
            <w:vAlign w:val="center"/>
          </w:tcPr>
          <w:p w14:paraId="4B787595" w14:textId="0690A2C3"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29 140</w:t>
            </w:r>
          </w:p>
        </w:tc>
        <w:tc>
          <w:tcPr>
            <w:tcW w:w="960" w:type="dxa"/>
            <w:tcBorders>
              <w:top w:val="nil"/>
              <w:left w:val="nil"/>
              <w:bottom w:val="nil"/>
              <w:right w:val="single" w:sz="4" w:space="0" w:color="auto"/>
            </w:tcBorders>
            <w:shd w:val="clear" w:color="auto" w:fill="auto"/>
            <w:vAlign w:val="center"/>
          </w:tcPr>
          <w:p w14:paraId="6743B197" w14:textId="75C0BDD9"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14 421</w:t>
            </w:r>
          </w:p>
        </w:tc>
        <w:tc>
          <w:tcPr>
            <w:tcW w:w="960" w:type="dxa"/>
            <w:tcBorders>
              <w:top w:val="nil"/>
              <w:left w:val="nil"/>
              <w:bottom w:val="nil"/>
              <w:right w:val="nil"/>
            </w:tcBorders>
            <w:shd w:val="clear" w:color="auto" w:fill="auto"/>
            <w:vAlign w:val="center"/>
          </w:tcPr>
          <w:p w14:paraId="2B00DB1A" w14:textId="7E4011B5"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88</w:t>
            </w:r>
          </w:p>
        </w:tc>
        <w:tc>
          <w:tcPr>
            <w:tcW w:w="960" w:type="dxa"/>
            <w:tcBorders>
              <w:top w:val="nil"/>
              <w:left w:val="nil"/>
              <w:bottom w:val="nil"/>
              <w:right w:val="nil"/>
            </w:tcBorders>
            <w:shd w:val="clear" w:color="auto" w:fill="auto"/>
            <w:vAlign w:val="center"/>
          </w:tcPr>
          <w:p w14:paraId="5AE247D7" w14:textId="7AF451E6"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83</w:t>
            </w:r>
          </w:p>
        </w:tc>
        <w:tc>
          <w:tcPr>
            <w:tcW w:w="960" w:type="dxa"/>
            <w:tcBorders>
              <w:top w:val="nil"/>
              <w:left w:val="nil"/>
              <w:bottom w:val="nil"/>
              <w:right w:val="nil"/>
            </w:tcBorders>
            <w:shd w:val="clear" w:color="auto" w:fill="auto"/>
            <w:vAlign w:val="center"/>
          </w:tcPr>
          <w:p w14:paraId="35EAE350" w14:textId="09F6DC38" w:rsidR="00BD1228" w:rsidRPr="00BD1228" w:rsidRDefault="00BD1228" w:rsidP="00BD1228">
            <w:pPr>
              <w:spacing w:after="0" w:line="240" w:lineRule="auto"/>
              <w:jc w:val="right"/>
              <w:rPr>
                <w:rFonts w:cs="Arial"/>
                <w:color w:val="000000"/>
                <w:sz w:val="16"/>
                <w:szCs w:val="16"/>
              </w:rPr>
            </w:pPr>
            <w:r w:rsidRPr="00BD1228">
              <w:rPr>
                <w:rFonts w:cs="Arial"/>
                <w:color w:val="000000"/>
                <w:sz w:val="16"/>
                <w:szCs w:val="16"/>
              </w:rPr>
              <w:t>5</w:t>
            </w:r>
          </w:p>
        </w:tc>
      </w:tr>
    </w:tbl>
    <w:p w14:paraId="3ADAB4FF" w14:textId="77777777" w:rsidR="00AE767B" w:rsidRPr="00BD1228" w:rsidRDefault="00AE767B" w:rsidP="00AE767B">
      <w:pPr>
        <w:spacing w:before="120" w:after="120"/>
        <w:jc w:val="both"/>
        <w:rPr>
          <w:sz w:val="16"/>
        </w:rPr>
      </w:pPr>
      <w:r w:rsidRPr="00BD1228">
        <w:rPr>
          <w:sz w:val="16"/>
        </w:rPr>
        <w:t>Zdroj: ČSÚ, SÚIP</w:t>
      </w:r>
    </w:p>
    <w:p w14:paraId="52DDCC4C" w14:textId="37D674E2" w:rsidR="000010B9" w:rsidRPr="00166BEB" w:rsidRDefault="000010B9" w:rsidP="000010B9">
      <w:pPr>
        <w:spacing w:before="120" w:after="120"/>
        <w:jc w:val="both"/>
        <w:rPr>
          <w:rFonts w:cs="Arial"/>
          <w:b/>
          <w:highlight w:val="yellow"/>
        </w:rPr>
      </w:pPr>
      <w:r w:rsidRPr="00BD1228">
        <w:rPr>
          <w:rFonts w:cs="Arial"/>
        </w:rPr>
        <w:lastRenderedPageBreak/>
        <w:t xml:space="preserve">V pracovní úrazovosti je dlouhodobě patrný rozdíl mezi </w:t>
      </w:r>
      <w:r w:rsidRPr="00BD1228">
        <w:rPr>
          <w:rFonts w:cs="Arial"/>
          <w:b/>
        </w:rPr>
        <w:t>pohlavími</w:t>
      </w:r>
      <w:r w:rsidRPr="00BD1228">
        <w:rPr>
          <w:rFonts w:cs="Arial"/>
        </w:rPr>
        <w:t xml:space="preserve">, muži zde výrazně dominují. Z celkového počtu pracovních úrazů připadaly v roce 2022 na muže více než dvě třetiny (67 %), což je </w:t>
      </w:r>
      <w:r w:rsidRPr="00BD1228">
        <w:rPr>
          <w:rFonts w:cs="Arial"/>
          <w:b/>
        </w:rPr>
        <w:t>dáno</w:t>
      </w:r>
      <w:r w:rsidRPr="00BD1228">
        <w:rPr>
          <w:rFonts w:cs="Arial"/>
        </w:rPr>
        <w:t xml:space="preserve"> především</w:t>
      </w:r>
      <w:r w:rsidRPr="00BD1228">
        <w:rPr>
          <w:rFonts w:cs="Arial"/>
          <w:b/>
        </w:rPr>
        <w:t> odlišnou strukturou zaměstnanosti žen a mužů</w:t>
      </w:r>
      <w:r w:rsidRPr="00BD1228">
        <w:rPr>
          <w:rFonts w:cs="Arial"/>
        </w:rPr>
        <w:t xml:space="preserve">. V odvětvích rizikovějších na pracovní úrazy jako je např. </w:t>
      </w:r>
      <w:r w:rsidRPr="00BD1228">
        <w:t>T</w:t>
      </w:r>
      <w:r w:rsidRPr="00BD1228">
        <w:rPr>
          <w:rFonts w:cs="Arial"/>
        </w:rPr>
        <w:t>ěžba a dobývání, Zpracovatelský průmysl, S</w:t>
      </w:r>
      <w:r w:rsidRPr="00BD1228">
        <w:t xml:space="preserve">tavebnictví, Doprava a skladování </w:t>
      </w:r>
      <w:r w:rsidRPr="00BD1228">
        <w:rPr>
          <w:bCs/>
        </w:rPr>
        <w:t xml:space="preserve">či Zemědělství, lesnictví, rybářství </w:t>
      </w:r>
      <w:r w:rsidRPr="00BD1228">
        <w:t xml:space="preserve">mezi zaměstnanci převládají muži. Ještě výraznější rozdíl hodnot mezi pohlavími lze vidět u smrtelných pracovních úrazů. </w:t>
      </w:r>
      <w:r>
        <w:t>Stejně jako předchozí rok došlo opět k</w:t>
      </w:r>
      <w:r w:rsidRPr="00BD1228">
        <w:t xml:space="preserve"> 88 smrtelný</w:t>
      </w:r>
      <w:r>
        <w:t>m pracovním</w:t>
      </w:r>
      <w:r w:rsidRPr="00BD1228">
        <w:t xml:space="preserve"> úrazů</w:t>
      </w:r>
      <w:r>
        <w:t>m</w:t>
      </w:r>
      <w:r w:rsidRPr="00BD1228">
        <w:t xml:space="preserve">. </w:t>
      </w:r>
      <w:r>
        <w:t>U</w:t>
      </w:r>
      <w:r w:rsidR="00A5543F">
        <w:t> </w:t>
      </w:r>
      <w:r>
        <w:t>m</w:t>
      </w:r>
      <w:r w:rsidRPr="00BD1228">
        <w:t>už</w:t>
      </w:r>
      <w:r>
        <w:t>ů jich bylo</w:t>
      </w:r>
      <w:r w:rsidRPr="00BD1228">
        <w:t xml:space="preserve"> zaznamen</w:t>
      </w:r>
      <w:r>
        <w:t>áno</w:t>
      </w:r>
      <w:r w:rsidRPr="00BD1228">
        <w:t xml:space="preserve"> 83, což je meziročně o 1 </w:t>
      </w:r>
      <w:r>
        <w:t>více</w:t>
      </w:r>
      <w:r w:rsidRPr="00BD1228">
        <w:t>.</w:t>
      </w:r>
    </w:p>
    <w:p w14:paraId="336EABDD" w14:textId="2B3D0E7B" w:rsidR="00966E11" w:rsidRPr="00BD1228" w:rsidRDefault="00966E11" w:rsidP="00966E11">
      <w:pPr>
        <w:spacing w:before="120" w:after="120"/>
        <w:jc w:val="both"/>
        <w:rPr>
          <w:rFonts w:cs="Arial"/>
        </w:rPr>
      </w:pPr>
      <w:r w:rsidRPr="00BD1228">
        <w:rPr>
          <w:rFonts w:cs="Arial"/>
        </w:rPr>
        <w:t xml:space="preserve">Nadále se v této kapitole budeme věnovat </w:t>
      </w:r>
      <w:r w:rsidRPr="008764EB">
        <w:rPr>
          <w:rFonts w:cs="Arial"/>
          <w:b/>
          <w:bCs/>
        </w:rPr>
        <w:t>pracovním úrazům s pracovní neschopností delší než 3</w:t>
      </w:r>
      <w:r w:rsidR="00A5543F">
        <w:rPr>
          <w:rFonts w:cs="Arial"/>
          <w:b/>
          <w:bCs/>
        </w:rPr>
        <w:t> </w:t>
      </w:r>
      <w:r w:rsidRPr="008764EB">
        <w:rPr>
          <w:rFonts w:cs="Arial"/>
          <w:b/>
          <w:bCs/>
        </w:rPr>
        <w:t>kalendářní dny</w:t>
      </w:r>
      <w:r w:rsidRPr="00BD1228">
        <w:rPr>
          <w:rFonts w:cs="Arial"/>
        </w:rPr>
        <w:t>.</w:t>
      </w:r>
    </w:p>
    <w:p w14:paraId="3764DFAE" w14:textId="72194230" w:rsidR="00346833" w:rsidRDefault="00452B3F" w:rsidP="00346833">
      <w:pPr>
        <w:spacing w:before="120" w:after="120"/>
        <w:jc w:val="both"/>
      </w:pPr>
      <w:r w:rsidRPr="00012105">
        <w:t xml:space="preserve">Nejvyšší </w:t>
      </w:r>
      <w:r w:rsidR="00513684">
        <w:t>počet takovýchto pracovních úrazů</w:t>
      </w:r>
      <w:r w:rsidR="00513684" w:rsidRPr="00012105">
        <w:t xml:space="preserve"> </w:t>
      </w:r>
      <w:r w:rsidRPr="00012105">
        <w:t xml:space="preserve">v desetiletém období, a sice </w:t>
      </w:r>
      <w:r>
        <w:t>46,9</w:t>
      </w:r>
      <w:r w:rsidRPr="00012105">
        <w:t xml:space="preserve"> tis. byl zaznamenán v</w:t>
      </w:r>
      <w:r>
        <w:t> roce 2017</w:t>
      </w:r>
      <w:r w:rsidRPr="00012105">
        <w:t>.</w:t>
      </w:r>
      <w:r>
        <w:t xml:space="preserve"> Od té doby </w:t>
      </w:r>
      <w:r w:rsidR="00346833" w:rsidRPr="00452B3F">
        <w:t>došlo k celkovému poklesu počtu pracovních úrazů s DPN delší než 3</w:t>
      </w:r>
      <w:r w:rsidR="00B25EC1" w:rsidRPr="00452B3F">
        <w:t> </w:t>
      </w:r>
      <w:r w:rsidR="00BD1228" w:rsidRPr="00452B3F">
        <w:t>dny o 7</w:t>
      </w:r>
      <w:r w:rsidR="00346833" w:rsidRPr="00452B3F">
        <w:t xml:space="preserve"> %, přičemž výraznější byl pokles u</w:t>
      </w:r>
      <w:r w:rsidRPr="00452B3F">
        <w:t> </w:t>
      </w:r>
      <w:r w:rsidR="00BD1228" w:rsidRPr="00452B3F">
        <w:t>mužů</w:t>
      </w:r>
      <w:r w:rsidR="00346833" w:rsidRPr="00452B3F">
        <w:t xml:space="preserve"> (o </w:t>
      </w:r>
      <w:r w:rsidR="00BD1228" w:rsidRPr="00452B3F">
        <w:t>9</w:t>
      </w:r>
      <w:r w:rsidR="00346833" w:rsidRPr="00452B3F">
        <w:t xml:space="preserve"> %) než u </w:t>
      </w:r>
      <w:r w:rsidR="00BD1228" w:rsidRPr="00452B3F">
        <w:t>žen</w:t>
      </w:r>
      <w:r w:rsidR="00346833" w:rsidRPr="00452B3F">
        <w:t xml:space="preserve"> (o </w:t>
      </w:r>
      <w:r w:rsidR="00BD1228" w:rsidRPr="00452B3F">
        <w:t>2</w:t>
      </w:r>
      <w:r w:rsidR="00346833" w:rsidRPr="00452B3F">
        <w:t xml:space="preserve"> %). </w:t>
      </w:r>
      <w:r>
        <w:t>Přepočet</w:t>
      </w:r>
      <w:r w:rsidRPr="00452B3F">
        <w:t xml:space="preserve"> na 100 tisíc pojištěnců zobrazuje graf 5.1.</w:t>
      </w:r>
    </w:p>
    <w:p w14:paraId="2F37515D" w14:textId="7B3BDC94" w:rsidR="008C6283" w:rsidRPr="00BA6E7B" w:rsidRDefault="008C6283" w:rsidP="008C6283">
      <w:pPr>
        <w:spacing w:before="120" w:after="120"/>
        <w:jc w:val="both"/>
        <w:rPr>
          <w:b/>
        </w:rPr>
      </w:pPr>
      <w:r w:rsidRPr="00BA6E7B">
        <w:rPr>
          <w:rFonts w:cs="Arial"/>
          <w:bCs/>
          <w:color w:val="000000"/>
          <w:szCs w:val="20"/>
        </w:rPr>
        <w:t xml:space="preserve">V absolutním vyjádření </w:t>
      </w:r>
      <w:r w:rsidRPr="00BA6E7B">
        <w:rPr>
          <w:rFonts w:cs="Arial"/>
          <w:b/>
          <w:bCs/>
          <w:color w:val="000000"/>
          <w:szCs w:val="20"/>
        </w:rPr>
        <w:t>nejvíce pracovních úrazů</w:t>
      </w:r>
      <w:r w:rsidRPr="00BA6E7B">
        <w:rPr>
          <w:rFonts w:cs="Arial"/>
          <w:bCs/>
          <w:color w:val="000000"/>
          <w:szCs w:val="20"/>
        </w:rPr>
        <w:t xml:space="preserve"> s DPN delší než 3 dny se v roce </w:t>
      </w:r>
      <w:r w:rsidR="00513684">
        <w:rPr>
          <w:rFonts w:cs="Arial"/>
          <w:bCs/>
          <w:color w:val="000000"/>
          <w:szCs w:val="20"/>
        </w:rPr>
        <w:t>2022</w:t>
      </w:r>
      <w:r w:rsidR="00513684" w:rsidRPr="00BA6E7B">
        <w:rPr>
          <w:rFonts w:cs="Arial"/>
          <w:bCs/>
          <w:color w:val="000000"/>
          <w:szCs w:val="20"/>
        </w:rPr>
        <w:t xml:space="preserve"> </w:t>
      </w:r>
      <w:r w:rsidRPr="00BA6E7B">
        <w:rPr>
          <w:rFonts w:cs="Arial"/>
          <w:bCs/>
          <w:color w:val="000000"/>
          <w:szCs w:val="20"/>
        </w:rPr>
        <w:t xml:space="preserve">událo </w:t>
      </w:r>
      <w:r w:rsidRPr="00BA6E7B">
        <w:rPr>
          <w:rFonts w:cs="Arial"/>
          <w:b/>
          <w:bCs/>
          <w:color w:val="000000"/>
          <w:szCs w:val="20"/>
        </w:rPr>
        <w:t>ve Zpracovatelském průmyslu</w:t>
      </w:r>
      <w:r w:rsidRPr="00BA6E7B">
        <w:rPr>
          <w:rFonts w:cs="Arial"/>
          <w:bCs/>
          <w:color w:val="000000"/>
          <w:szCs w:val="20"/>
        </w:rPr>
        <w:t xml:space="preserve"> (16 848 případů), následují odvětví Velkoobchod a maloobchod, opravy a údržba motorových vozidel (5 256) a Doprava a skladování (4 280). Pokud však zohledníme zaměstnanost v jednotlivých odvětvích a pomineme míru zastoupení jednotlivých sekcí, je vhodné použít </w:t>
      </w:r>
      <w:r w:rsidRPr="00BA6E7B">
        <w:rPr>
          <w:rFonts w:cs="Arial"/>
          <w:b/>
          <w:bCs/>
          <w:color w:val="000000"/>
          <w:szCs w:val="20"/>
        </w:rPr>
        <w:t>relativní ukazatel</w:t>
      </w:r>
      <w:r w:rsidRPr="00BA6E7B">
        <w:rPr>
          <w:rFonts w:cs="Arial"/>
          <w:bCs/>
          <w:color w:val="000000"/>
          <w:szCs w:val="20"/>
        </w:rPr>
        <w:t xml:space="preserve"> vztažený na 100 tis. pojištěnců. </w:t>
      </w:r>
      <w:r w:rsidRPr="00BA6E7B">
        <w:rPr>
          <w:rFonts w:cs="Arial"/>
          <w:b/>
          <w:bCs/>
          <w:color w:val="000000"/>
          <w:szCs w:val="20"/>
        </w:rPr>
        <w:t>Nejrizikovějším</w:t>
      </w:r>
      <w:r w:rsidRPr="00BA6E7B">
        <w:rPr>
          <w:rFonts w:cs="Arial"/>
          <w:bCs/>
          <w:color w:val="000000"/>
          <w:szCs w:val="20"/>
        </w:rPr>
        <w:t xml:space="preserve"> odvětvím je pak </w:t>
      </w:r>
      <w:r w:rsidRPr="00BA6E7B">
        <w:rPr>
          <w:rFonts w:cs="Arial"/>
          <w:b/>
          <w:bCs/>
          <w:color w:val="000000"/>
          <w:szCs w:val="20"/>
        </w:rPr>
        <w:t>Zemědělství, lesnictví, rybářství</w:t>
      </w:r>
      <w:r w:rsidRPr="00BA6E7B">
        <w:rPr>
          <w:rFonts w:cs="Arial"/>
          <w:bCs/>
          <w:color w:val="000000"/>
          <w:szCs w:val="20"/>
        </w:rPr>
        <w:t xml:space="preserve"> (2 354 pracovních úrazů na 100 tis. pojištěnců), dále odvětví Zásobování vodou, činnosti související s odpady a sanacemi (1</w:t>
      </w:r>
      <w:r w:rsidR="00513684">
        <w:rPr>
          <w:rFonts w:cs="Arial"/>
          <w:bCs/>
          <w:color w:val="000000"/>
          <w:szCs w:val="20"/>
        </w:rPr>
        <w:t> </w:t>
      </w:r>
      <w:r w:rsidRPr="00BA6E7B">
        <w:rPr>
          <w:rFonts w:cs="Arial"/>
          <w:bCs/>
          <w:color w:val="000000"/>
          <w:szCs w:val="20"/>
        </w:rPr>
        <w:t>958), Těžba a dobývání (</w:t>
      </w:r>
      <w:r w:rsidR="00513684" w:rsidRPr="00BA6E7B">
        <w:rPr>
          <w:rFonts w:cs="Arial"/>
          <w:bCs/>
          <w:color w:val="000000"/>
          <w:szCs w:val="20"/>
        </w:rPr>
        <w:t>1</w:t>
      </w:r>
      <w:r w:rsidR="00513684">
        <w:rPr>
          <w:rFonts w:cs="Arial"/>
          <w:bCs/>
          <w:color w:val="000000"/>
          <w:szCs w:val="20"/>
        </w:rPr>
        <w:t> </w:t>
      </w:r>
      <w:r w:rsidRPr="00BA6E7B">
        <w:rPr>
          <w:rFonts w:cs="Arial"/>
          <w:bCs/>
          <w:color w:val="000000"/>
          <w:szCs w:val="20"/>
        </w:rPr>
        <w:t>831), Doprava a skladování (</w:t>
      </w:r>
      <w:r w:rsidR="00513684" w:rsidRPr="00BA6E7B">
        <w:rPr>
          <w:rFonts w:cs="Arial"/>
          <w:bCs/>
          <w:color w:val="000000"/>
          <w:szCs w:val="20"/>
        </w:rPr>
        <w:t>1</w:t>
      </w:r>
      <w:r w:rsidR="00513684">
        <w:rPr>
          <w:rFonts w:cs="Arial"/>
          <w:bCs/>
          <w:color w:val="000000"/>
          <w:szCs w:val="20"/>
        </w:rPr>
        <w:t> </w:t>
      </w:r>
      <w:r w:rsidRPr="00BA6E7B">
        <w:rPr>
          <w:rFonts w:cs="Arial"/>
          <w:bCs/>
          <w:color w:val="000000"/>
          <w:szCs w:val="20"/>
        </w:rPr>
        <w:t>458) a teprve poté následuje Zpracovatelský průmysl (</w:t>
      </w:r>
      <w:r w:rsidR="00513684" w:rsidRPr="00BA6E7B">
        <w:rPr>
          <w:rFonts w:cs="Arial"/>
          <w:bCs/>
          <w:color w:val="000000"/>
          <w:szCs w:val="20"/>
        </w:rPr>
        <w:t>1</w:t>
      </w:r>
      <w:r w:rsidR="00513684">
        <w:rPr>
          <w:rFonts w:cs="Arial"/>
          <w:bCs/>
          <w:color w:val="000000"/>
          <w:szCs w:val="20"/>
        </w:rPr>
        <w:t> </w:t>
      </w:r>
      <w:r w:rsidRPr="00BA6E7B">
        <w:rPr>
          <w:rFonts w:cs="Arial"/>
          <w:bCs/>
          <w:color w:val="000000"/>
          <w:szCs w:val="20"/>
        </w:rPr>
        <w:t xml:space="preserve">407). Průměrně na 100 tis. </w:t>
      </w:r>
      <w:proofErr w:type="spellStart"/>
      <w:r w:rsidRPr="00BA6E7B">
        <w:rPr>
          <w:rFonts w:cs="Arial"/>
          <w:bCs/>
          <w:color w:val="000000"/>
          <w:szCs w:val="20"/>
        </w:rPr>
        <w:t>nemocensky</w:t>
      </w:r>
      <w:proofErr w:type="spellEnd"/>
      <w:r w:rsidRPr="00BA6E7B">
        <w:rPr>
          <w:rFonts w:cs="Arial"/>
          <w:bCs/>
          <w:color w:val="000000"/>
          <w:szCs w:val="20"/>
        </w:rPr>
        <w:t xml:space="preserve"> pojištěných připadalo 917 pracovních úrazů s pracovní neschopností delší než 3 dny. Nejméně rizikovými se jeví odvětví Peněžnictví a pojišťovnictví a Informační a komunikační činnosti, které vykázaly 62 resp. 89 pracovních úrazů s 3denní a delší pracovní neschopností v přepočtu na 100 tis. pojištěnců.</w:t>
      </w:r>
    </w:p>
    <w:p w14:paraId="33E5DC32" w14:textId="3A503F1D" w:rsidR="00346833" w:rsidRPr="00452B3F" w:rsidRDefault="00346833" w:rsidP="00346833">
      <w:pPr>
        <w:spacing w:after="0"/>
        <w:jc w:val="both"/>
        <w:rPr>
          <w:rFonts w:cs="Arial"/>
          <w:b/>
        </w:rPr>
      </w:pPr>
      <w:r w:rsidRPr="00452B3F">
        <w:rPr>
          <w:rFonts w:cs="Arial"/>
          <w:b/>
        </w:rPr>
        <w:t>Graf 5.1: Pracovní úrazy s pracovní neschopností delší než 3 dny na 100 tis. pojištěnců podle pohlaví, 201</w:t>
      </w:r>
      <w:r w:rsidR="00452B3F" w:rsidRPr="00452B3F">
        <w:rPr>
          <w:rFonts w:cs="Arial"/>
          <w:b/>
        </w:rPr>
        <w:t>2–2022</w:t>
      </w:r>
    </w:p>
    <w:p w14:paraId="143D36AB" w14:textId="1F42476E" w:rsidR="00346833" w:rsidRPr="00166BEB" w:rsidRDefault="00452B3F" w:rsidP="00346833">
      <w:pPr>
        <w:spacing w:after="0"/>
        <w:jc w:val="both"/>
        <w:rPr>
          <w:rFonts w:cs="Arial"/>
          <w:b/>
          <w:highlight w:val="yellow"/>
        </w:rPr>
      </w:pPr>
      <w:r>
        <w:rPr>
          <w:noProof/>
        </w:rPr>
        <w:drawing>
          <wp:inline distT="0" distB="0" distL="0" distR="0" wp14:anchorId="4CBAFA96" wp14:editId="4108DF1D">
            <wp:extent cx="6066000" cy="2736000"/>
            <wp:effectExtent l="0" t="0" r="11430" b="7620"/>
            <wp:docPr id="17" name="Graf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0B67030F" w14:textId="77777777" w:rsidR="00346833" w:rsidRPr="00452B3F" w:rsidRDefault="00346833" w:rsidP="00346833">
      <w:pPr>
        <w:spacing w:after="120"/>
        <w:jc w:val="both"/>
        <w:rPr>
          <w:sz w:val="16"/>
        </w:rPr>
      </w:pPr>
      <w:r w:rsidRPr="00452B3F">
        <w:rPr>
          <w:sz w:val="16"/>
        </w:rPr>
        <w:t>Zdroj: ČSÚ</w:t>
      </w:r>
    </w:p>
    <w:p w14:paraId="001E2398" w14:textId="77777777" w:rsidR="000010B9" w:rsidRDefault="000010B9">
      <w:pPr>
        <w:spacing w:after="0" w:line="240" w:lineRule="auto"/>
        <w:rPr>
          <w:b/>
        </w:rPr>
      </w:pPr>
      <w:r>
        <w:rPr>
          <w:b/>
        </w:rPr>
        <w:br w:type="page"/>
      </w:r>
    </w:p>
    <w:p w14:paraId="497F7AD5" w14:textId="4075BE9B" w:rsidR="00DB10B3" w:rsidRPr="00BA6E7B" w:rsidRDefault="00DB10B3" w:rsidP="00DB10B3">
      <w:pPr>
        <w:spacing w:after="0"/>
        <w:jc w:val="both"/>
        <w:rPr>
          <w:b/>
        </w:rPr>
      </w:pPr>
      <w:r w:rsidRPr="00BA6E7B">
        <w:rPr>
          <w:b/>
        </w:rPr>
        <w:lastRenderedPageBreak/>
        <w:t>Graf 5.2: Pracovní úrazy s pracovní neschopností delší než 3 dny na 100 tis. pojištěnců pod</w:t>
      </w:r>
      <w:r w:rsidR="00BA6E7B" w:rsidRPr="00BA6E7B">
        <w:rPr>
          <w:b/>
        </w:rPr>
        <w:t>le odvětví (sekce CZ-NACE), 2022</w:t>
      </w:r>
    </w:p>
    <w:p w14:paraId="3A982096" w14:textId="08E83B20" w:rsidR="004C3917" w:rsidRPr="00166BEB" w:rsidRDefault="00BA6E7B" w:rsidP="004C3917">
      <w:pPr>
        <w:jc w:val="both"/>
        <w:rPr>
          <w:highlight w:val="yellow"/>
        </w:rPr>
      </w:pPr>
      <w:r>
        <w:rPr>
          <w:noProof/>
        </w:rPr>
        <w:drawing>
          <wp:inline distT="0" distB="0" distL="0" distR="0" wp14:anchorId="5030E5A2" wp14:editId="5607D3A5">
            <wp:extent cx="6076950" cy="4714875"/>
            <wp:effectExtent l="0" t="0" r="0" b="9525"/>
            <wp:docPr id="18" name="Graf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7926E0D9" w14:textId="77777777" w:rsidR="00DB10B3" w:rsidRPr="00BA6E7B" w:rsidRDefault="00DB10B3" w:rsidP="00DB10B3">
      <w:pPr>
        <w:spacing w:after="120"/>
        <w:jc w:val="both"/>
        <w:rPr>
          <w:sz w:val="16"/>
        </w:rPr>
      </w:pPr>
      <w:r w:rsidRPr="00BA6E7B">
        <w:rPr>
          <w:sz w:val="16"/>
        </w:rPr>
        <w:t>Zdroj: ČSÚ</w:t>
      </w:r>
    </w:p>
    <w:p w14:paraId="638CD42C" w14:textId="118D40DF" w:rsidR="00E267D1" w:rsidRPr="00DB4168" w:rsidRDefault="00E267D1" w:rsidP="00E267D1">
      <w:pPr>
        <w:spacing w:before="120" w:after="120"/>
        <w:jc w:val="both"/>
      </w:pPr>
      <w:r w:rsidRPr="00DB4168">
        <w:t xml:space="preserve">Z hlediska </w:t>
      </w:r>
      <w:r w:rsidRPr="00DB4168">
        <w:rPr>
          <w:b/>
        </w:rPr>
        <w:t>územního členění</w:t>
      </w:r>
      <w:r w:rsidRPr="00DB4168">
        <w:t xml:space="preserve"> bylo v roce 202</w:t>
      </w:r>
      <w:r w:rsidR="00BA6E7B" w:rsidRPr="00DB4168">
        <w:t>2</w:t>
      </w:r>
      <w:r w:rsidRPr="00DB4168">
        <w:t xml:space="preserve"> nejvíce případů pracovních úrazů s pracovní neschopností delší než 3 kalendářní dny na 100 tis. </w:t>
      </w:r>
      <w:proofErr w:type="spellStart"/>
      <w:r w:rsidRPr="00DB4168">
        <w:t>nemocensky</w:t>
      </w:r>
      <w:proofErr w:type="spellEnd"/>
      <w:r w:rsidRPr="00DB4168">
        <w:t xml:space="preserve"> pojištěných osob hlášeno v</w:t>
      </w:r>
      <w:r w:rsidR="00736928" w:rsidRPr="00DB4168">
        <w:t> Kraji Vysočina</w:t>
      </w:r>
      <w:r w:rsidRPr="00DB4168">
        <w:t xml:space="preserve"> (1 3</w:t>
      </w:r>
      <w:r w:rsidR="00736928" w:rsidRPr="00DB4168">
        <w:t>29</w:t>
      </w:r>
      <w:r w:rsidRPr="00DB4168">
        <w:t xml:space="preserve">), </w:t>
      </w:r>
      <w:r w:rsidR="00736928" w:rsidRPr="00DB4168">
        <w:t xml:space="preserve">Plzeňském (1 269) a </w:t>
      </w:r>
      <w:r w:rsidRPr="00DB4168">
        <w:t>Jihočeském kraji (1 25</w:t>
      </w:r>
      <w:r w:rsidR="00736928" w:rsidRPr="00DB4168">
        <w:t>9</w:t>
      </w:r>
      <w:r w:rsidRPr="00DB4168">
        <w:t xml:space="preserve">). Nejméně neschopností pak bylo zaznamenáno v Hlavním městě Praze, a sice 563 případů, což je </w:t>
      </w:r>
      <w:r w:rsidR="00736928" w:rsidRPr="00DB4168">
        <w:t xml:space="preserve">téměř </w:t>
      </w:r>
      <w:r w:rsidRPr="00DB4168">
        <w:t xml:space="preserve">2,5krát méně než na Vysočině. Klíčovým faktorem ovlivňujícím tuto skutečnost je </w:t>
      </w:r>
      <w:r w:rsidRPr="00DB4168">
        <w:rPr>
          <w:b/>
        </w:rPr>
        <w:t>odvětvová struktura</w:t>
      </w:r>
      <w:r w:rsidRPr="00DB4168">
        <w:t xml:space="preserve"> v jednotlivých krajích. Zatímco v Praze je vysoký podíl zaměstnaných pracujících ve službách, nejen na Vysočině, ale i ve zbylých krajích je tento podíl výrazně nižší. </w:t>
      </w:r>
      <w:r w:rsidR="00FD0EF8" w:rsidRPr="00DB4168">
        <w:t>Na Vysočině a v Jihočeském kraji je z celé republiky nejvyšší podíl pojištěnců v sekci Zemědělství, lesnictví, rybářství, které je z hlediska úrazovosti nejrizikovější. Na Vysočině představoval podíl pojištěnců v tomto odvětví 6 %, v Jihočeském kraji necelých 5</w:t>
      </w:r>
      <w:r w:rsidR="00FD0EF8">
        <w:t> </w:t>
      </w:r>
      <w:r w:rsidR="00FD0EF8" w:rsidRPr="00DB4168">
        <w:t>%. Celorepublikový průměr přitom činil 2 %.</w:t>
      </w:r>
      <w:r w:rsidR="00FD0EF8">
        <w:t xml:space="preserve"> </w:t>
      </w:r>
      <w:r w:rsidRPr="00DB4168">
        <w:t>Pod hranicí republikového průměru (9</w:t>
      </w:r>
      <w:r w:rsidR="00736928" w:rsidRPr="00DB4168">
        <w:t>17</w:t>
      </w:r>
      <w:r w:rsidRPr="00DB4168">
        <w:t xml:space="preserve"> </w:t>
      </w:r>
      <w:r w:rsidR="004B5F96" w:rsidRPr="00DB4168">
        <w:t xml:space="preserve">pracovních </w:t>
      </w:r>
      <w:r w:rsidRPr="00DB4168">
        <w:t xml:space="preserve">úrazů na 100 tis. </w:t>
      </w:r>
      <w:proofErr w:type="spellStart"/>
      <w:r w:rsidRPr="00DB4168">
        <w:t>nemocensky</w:t>
      </w:r>
      <w:proofErr w:type="spellEnd"/>
      <w:r w:rsidRPr="00DB4168">
        <w:t xml:space="preserve"> pojištěných osob) se nachází </w:t>
      </w:r>
      <w:r w:rsidR="00DB4168" w:rsidRPr="00DB4168">
        <w:t xml:space="preserve">kraje s největšími českými městy, čili </w:t>
      </w:r>
      <w:r w:rsidRPr="00DB4168">
        <w:t>již zmiňovan</w:t>
      </w:r>
      <w:r w:rsidR="00DB4168" w:rsidRPr="00DB4168">
        <w:t>á</w:t>
      </w:r>
      <w:r w:rsidRPr="00DB4168">
        <w:t xml:space="preserve"> Prah</w:t>
      </w:r>
      <w:r w:rsidR="00DB4168" w:rsidRPr="00DB4168">
        <w:t>a</w:t>
      </w:r>
      <w:r w:rsidRPr="00DB4168">
        <w:t xml:space="preserve"> </w:t>
      </w:r>
      <w:r w:rsidR="00DB4168" w:rsidRPr="00DB4168">
        <w:t>a</w:t>
      </w:r>
      <w:r w:rsidRPr="00DB4168">
        <w:t xml:space="preserve"> Jihomoravský kraj (8</w:t>
      </w:r>
      <w:r w:rsidR="00D51F6F" w:rsidRPr="00DB4168">
        <w:t>3</w:t>
      </w:r>
      <w:r w:rsidRPr="00DB4168">
        <w:t xml:space="preserve">3 </w:t>
      </w:r>
      <w:r w:rsidR="00513684" w:rsidRPr="00DB4168">
        <w:t xml:space="preserve">pracovních úrazů na 100 tis. </w:t>
      </w:r>
      <w:proofErr w:type="spellStart"/>
      <w:r w:rsidR="00513684" w:rsidRPr="00DB4168">
        <w:t>nemocensky</w:t>
      </w:r>
      <w:proofErr w:type="spellEnd"/>
      <w:r w:rsidR="00513684" w:rsidRPr="00DB4168">
        <w:t xml:space="preserve"> pojištěných</w:t>
      </w:r>
      <w:r w:rsidRPr="00DB4168">
        <w:t>)</w:t>
      </w:r>
      <w:r w:rsidR="00DB4168" w:rsidRPr="00DB4168">
        <w:t>. Kromě nich též Středočeský kraj (896)</w:t>
      </w:r>
      <w:r w:rsidRPr="00DB4168">
        <w:t xml:space="preserve">. </w:t>
      </w:r>
    </w:p>
    <w:p w14:paraId="2CB49931" w14:textId="77777777" w:rsidR="00E267D1" w:rsidRPr="00DB4168" w:rsidRDefault="00E267D1" w:rsidP="00E267D1">
      <w:pPr>
        <w:spacing w:before="120" w:after="120"/>
        <w:jc w:val="both"/>
      </w:pPr>
      <w:r w:rsidRPr="00DB4168">
        <w:t>Rozdíly výskytu pracovních úrazů podle územního členění jsou tedy do značné míry ovlivněny strukturou zaměstnanosti, charakterem převažující ekonomické činnosti a mírou nezaměstnanosti v daném regionu. Je nutné připomenout i metodiku zpracování dat, kdy krajská příslušnost vychází z údaje o sídle útvaru, který vede evidenci mezd zaměstnavateli osoby v pracovní neschopnosti.</w:t>
      </w:r>
    </w:p>
    <w:p w14:paraId="03C212F0" w14:textId="176A7693" w:rsidR="004229D4" w:rsidRPr="00DB4168" w:rsidRDefault="00E267D1" w:rsidP="00966E11">
      <w:pPr>
        <w:spacing w:before="120" w:after="120"/>
        <w:jc w:val="both"/>
        <w:rPr>
          <w:rFonts w:cs="Arial"/>
          <w:b/>
          <w:bCs/>
          <w:color w:val="000000"/>
          <w:szCs w:val="20"/>
        </w:rPr>
      </w:pPr>
      <w:r w:rsidRPr="00DB4168">
        <w:t>Graf 5.3 porovnává počet pracovních úrazů na 100 tis. pojištěnců v roce 202</w:t>
      </w:r>
      <w:r w:rsidR="00DB4168" w:rsidRPr="00DB4168">
        <w:t>2</w:t>
      </w:r>
      <w:r w:rsidRPr="00DB4168">
        <w:t xml:space="preserve"> s obdobím před pandemií. Nejvyšší nárůst zaznamenal Olomoucký kraj, kde přibylo </w:t>
      </w:r>
      <w:r w:rsidR="00DB4168" w:rsidRPr="00DB4168">
        <w:t>78</w:t>
      </w:r>
      <w:r w:rsidRPr="00DB4168">
        <w:t xml:space="preserve"> pracovních úrazů na 100 tis. pojištěnců, naopak úbytek </w:t>
      </w:r>
      <w:r w:rsidR="00DB4168" w:rsidRPr="00DB4168">
        <w:t>128</w:t>
      </w:r>
      <w:r w:rsidRPr="00DB4168">
        <w:t xml:space="preserve"> </w:t>
      </w:r>
      <w:r w:rsidR="00FD0EF8">
        <w:t xml:space="preserve">pracovních </w:t>
      </w:r>
      <w:r w:rsidRPr="00DB4168">
        <w:t>úrazů</w:t>
      </w:r>
      <w:r w:rsidR="00FD0EF8">
        <w:t xml:space="preserve"> na 100 tis. pojištenců</w:t>
      </w:r>
      <w:r w:rsidRPr="00DB4168">
        <w:t xml:space="preserve"> zaznamenal </w:t>
      </w:r>
      <w:r w:rsidR="00DB4168" w:rsidRPr="00DB4168">
        <w:t>Jihočeský a Královéhradecký</w:t>
      </w:r>
      <w:r w:rsidRPr="00DB4168">
        <w:t xml:space="preserve"> kraj.</w:t>
      </w:r>
    </w:p>
    <w:p w14:paraId="475D406D" w14:textId="0042E752" w:rsidR="00E267D1" w:rsidRPr="00DB4168" w:rsidRDefault="00E267D1" w:rsidP="00E267D1">
      <w:pPr>
        <w:spacing w:after="0" w:line="240" w:lineRule="auto"/>
        <w:rPr>
          <w:rFonts w:cs="Arial"/>
          <w:b/>
          <w:bCs/>
          <w:color w:val="000000"/>
          <w:szCs w:val="20"/>
        </w:rPr>
      </w:pPr>
      <w:r w:rsidRPr="00DB4168">
        <w:rPr>
          <w:rFonts w:cs="Arial"/>
          <w:b/>
          <w:bCs/>
          <w:color w:val="000000"/>
          <w:szCs w:val="20"/>
        </w:rPr>
        <w:lastRenderedPageBreak/>
        <w:t>Graf 5.3: Pracovní úrazy s pracovní neschopností delší než 3 dny na 100 tis. pojištěnců podle krajů ČR, 2019, 202</w:t>
      </w:r>
      <w:r w:rsidR="00DB4168" w:rsidRPr="00DB4168">
        <w:rPr>
          <w:rFonts w:cs="Arial"/>
          <w:b/>
          <w:bCs/>
          <w:color w:val="000000"/>
          <w:szCs w:val="20"/>
        </w:rPr>
        <w:t>2</w:t>
      </w:r>
    </w:p>
    <w:p w14:paraId="26C09252" w14:textId="64CC10D7" w:rsidR="00E07811" w:rsidRPr="00166BEB" w:rsidRDefault="00DB4168" w:rsidP="00F40B8C">
      <w:pPr>
        <w:rPr>
          <w:highlight w:val="yellow"/>
        </w:rPr>
      </w:pPr>
      <w:r>
        <w:rPr>
          <w:noProof/>
        </w:rPr>
        <w:drawing>
          <wp:inline distT="0" distB="0" distL="0" distR="0" wp14:anchorId="03AF06D0" wp14:editId="31D7C951">
            <wp:extent cx="6066000" cy="2736000"/>
            <wp:effectExtent l="0" t="0" r="11430" b="7620"/>
            <wp:docPr id="19" name="Graf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6BE9592F" w14:textId="77777777" w:rsidR="00E267D1" w:rsidRPr="00DB4168" w:rsidRDefault="00E267D1" w:rsidP="00E267D1">
      <w:pPr>
        <w:spacing w:after="120"/>
        <w:jc w:val="both"/>
        <w:rPr>
          <w:sz w:val="16"/>
        </w:rPr>
      </w:pPr>
      <w:r w:rsidRPr="00DB4168">
        <w:rPr>
          <w:sz w:val="16"/>
        </w:rPr>
        <w:t>Zdroj: ČSÚ</w:t>
      </w:r>
    </w:p>
    <w:p w14:paraId="720F42C1" w14:textId="5B81FBC9" w:rsidR="00C13658" w:rsidRPr="00C42FD6" w:rsidRDefault="00C13658" w:rsidP="00C42FD6">
      <w:pPr>
        <w:pStyle w:val="Nadpis3"/>
      </w:pPr>
      <w:bookmarkStart w:id="22" w:name="_Toc70950136"/>
      <w:bookmarkStart w:id="23" w:name="_Toc136412157"/>
      <w:r w:rsidRPr="00C42FD6">
        <w:t>4.</w:t>
      </w:r>
      <w:r w:rsidR="006967EA" w:rsidRPr="00C42FD6">
        <w:t>6</w:t>
      </w:r>
      <w:r w:rsidRPr="00C42FD6">
        <w:t xml:space="preserve"> Evropská statistika pracovních úrazů (ESAW)</w:t>
      </w:r>
      <w:bookmarkEnd w:id="22"/>
      <w:bookmarkEnd w:id="23"/>
    </w:p>
    <w:p w14:paraId="4E80C87E" w14:textId="77777777" w:rsidR="00C13658" w:rsidRPr="00EE492E" w:rsidRDefault="00C13658" w:rsidP="00C13658">
      <w:pPr>
        <w:spacing w:after="120"/>
        <w:jc w:val="both"/>
      </w:pPr>
      <w:r w:rsidRPr="00EE492E">
        <w:rPr>
          <w:rFonts w:cs="Arial"/>
          <w:szCs w:val="20"/>
        </w:rPr>
        <w:t xml:space="preserve">Evropská statistika pracovních úrazů – systém </w:t>
      </w:r>
      <w:r w:rsidRPr="00EE492E">
        <w:rPr>
          <w:rFonts w:cs="Arial"/>
          <w:b/>
          <w:szCs w:val="20"/>
        </w:rPr>
        <w:t>ESAW</w:t>
      </w:r>
      <w:r w:rsidRPr="00EE492E">
        <w:rPr>
          <w:rFonts w:cs="Arial"/>
          <w:szCs w:val="20"/>
        </w:rPr>
        <w:t xml:space="preserve"> (</w:t>
      </w:r>
      <w:proofErr w:type="spellStart"/>
      <w:r w:rsidRPr="00EE492E">
        <w:rPr>
          <w:rFonts w:cs="Arial"/>
          <w:szCs w:val="20"/>
        </w:rPr>
        <w:t>European</w:t>
      </w:r>
      <w:proofErr w:type="spellEnd"/>
      <w:r w:rsidRPr="00EE492E">
        <w:rPr>
          <w:rFonts w:cs="Arial"/>
          <w:szCs w:val="20"/>
        </w:rPr>
        <w:t xml:space="preserve"> </w:t>
      </w:r>
      <w:proofErr w:type="spellStart"/>
      <w:r w:rsidRPr="00EE492E">
        <w:rPr>
          <w:rFonts w:cs="Arial"/>
          <w:szCs w:val="20"/>
        </w:rPr>
        <w:t>Statistics</w:t>
      </w:r>
      <w:proofErr w:type="spellEnd"/>
      <w:r w:rsidRPr="00EE492E">
        <w:rPr>
          <w:rFonts w:cs="Arial"/>
          <w:szCs w:val="20"/>
        </w:rPr>
        <w:t xml:space="preserve"> on </w:t>
      </w:r>
      <w:proofErr w:type="spellStart"/>
      <w:r w:rsidRPr="00EE492E">
        <w:rPr>
          <w:rFonts w:cs="Arial"/>
          <w:szCs w:val="20"/>
        </w:rPr>
        <w:t>Accidents</w:t>
      </w:r>
      <w:proofErr w:type="spellEnd"/>
      <w:r w:rsidRPr="00EE492E">
        <w:rPr>
          <w:rFonts w:cs="Arial"/>
          <w:szCs w:val="20"/>
        </w:rPr>
        <w:t xml:space="preserve"> </w:t>
      </w:r>
      <w:proofErr w:type="spellStart"/>
      <w:r w:rsidRPr="00EE492E">
        <w:rPr>
          <w:rFonts w:cs="Arial"/>
          <w:szCs w:val="20"/>
        </w:rPr>
        <w:t>at</w:t>
      </w:r>
      <w:proofErr w:type="spellEnd"/>
      <w:r w:rsidRPr="00EE492E">
        <w:rPr>
          <w:rFonts w:cs="Arial"/>
          <w:szCs w:val="20"/>
        </w:rPr>
        <w:t xml:space="preserve"> </w:t>
      </w:r>
      <w:proofErr w:type="spellStart"/>
      <w:r w:rsidRPr="00EE492E">
        <w:rPr>
          <w:rFonts w:cs="Arial"/>
          <w:szCs w:val="20"/>
        </w:rPr>
        <w:t>Work</w:t>
      </w:r>
      <w:proofErr w:type="spellEnd"/>
      <w:r w:rsidRPr="00EE492E">
        <w:rPr>
          <w:rFonts w:cs="Arial"/>
          <w:szCs w:val="20"/>
        </w:rPr>
        <w:t xml:space="preserve">) – umožňuje sledovat pracovní úrazovost na základě jednotné metodiky, kterou připravil </w:t>
      </w:r>
      <w:proofErr w:type="spellStart"/>
      <w:r w:rsidRPr="00EE492E">
        <w:rPr>
          <w:rFonts w:cs="Arial"/>
          <w:szCs w:val="20"/>
        </w:rPr>
        <w:t>Eurostat</w:t>
      </w:r>
      <w:proofErr w:type="spellEnd"/>
      <w:r w:rsidRPr="00EE492E">
        <w:rPr>
          <w:rFonts w:cs="Arial"/>
          <w:szCs w:val="20"/>
        </w:rPr>
        <w:t xml:space="preserve">. Hlavním cílem je </w:t>
      </w:r>
      <w:r w:rsidRPr="00EE492E">
        <w:rPr>
          <w:rFonts w:cs="Arial"/>
          <w:b/>
          <w:szCs w:val="20"/>
        </w:rPr>
        <w:t>snížit</w:t>
      </w:r>
      <w:r w:rsidRPr="00EE492E">
        <w:rPr>
          <w:rFonts w:cs="Arial"/>
          <w:szCs w:val="20"/>
        </w:rPr>
        <w:t xml:space="preserve"> jak </w:t>
      </w:r>
      <w:r w:rsidRPr="00EE492E">
        <w:rPr>
          <w:rFonts w:cs="Arial"/>
          <w:b/>
          <w:szCs w:val="20"/>
        </w:rPr>
        <w:t>výskyt pracovních úrazů</w:t>
      </w:r>
      <w:r w:rsidRPr="00EE492E">
        <w:rPr>
          <w:rFonts w:cs="Arial"/>
          <w:szCs w:val="20"/>
        </w:rPr>
        <w:t xml:space="preserve">, tak dopady s nimi spojené (sociální problémy, ekonomické ztráty). Projekt ESAW na evropské úrovni svými výsledky významnou měrou přispívá k hlavnímu cíli statistiky pracovních úrazů, tj. </w:t>
      </w:r>
      <w:r w:rsidRPr="00EE492E">
        <w:rPr>
          <w:rFonts w:cs="Arial"/>
          <w:b/>
          <w:szCs w:val="20"/>
        </w:rPr>
        <w:t>vytvoření</w:t>
      </w:r>
      <w:r w:rsidRPr="00EE492E">
        <w:rPr>
          <w:rFonts w:cs="Arial"/>
          <w:szCs w:val="20"/>
        </w:rPr>
        <w:t xml:space="preserve"> dostatečného </w:t>
      </w:r>
      <w:r w:rsidRPr="00EE492E">
        <w:rPr>
          <w:rFonts w:cs="Arial"/>
          <w:b/>
          <w:szCs w:val="20"/>
        </w:rPr>
        <w:t>objemu údajů</w:t>
      </w:r>
      <w:r w:rsidRPr="00EE492E">
        <w:rPr>
          <w:rFonts w:cs="Arial"/>
          <w:szCs w:val="20"/>
        </w:rPr>
        <w:t xml:space="preserve"> o pracovní úrazovosti, na jejichž základě je zvyšována bezpečnost a ochrana zdraví při práci prostřednictvím účinných opatření, která umožňují aktivním způsobem předcházet pracovním úrazům, a tak snižovat jejich počet</w:t>
      </w:r>
      <w:r w:rsidRPr="00EE492E">
        <w:t>.</w:t>
      </w:r>
    </w:p>
    <w:p w14:paraId="3D9876A5" w14:textId="77777777" w:rsidR="00C13658" w:rsidRPr="00EE492E" w:rsidRDefault="00C13658" w:rsidP="00C13658">
      <w:pPr>
        <w:spacing w:after="120"/>
        <w:jc w:val="both"/>
        <w:rPr>
          <w:rFonts w:cs="Arial"/>
          <w:szCs w:val="20"/>
        </w:rPr>
      </w:pPr>
      <w:r w:rsidRPr="00EE492E">
        <w:rPr>
          <w:rFonts w:cs="Arial"/>
          <w:szCs w:val="20"/>
        </w:rPr>
        <w:t>Rámcová směrnice 89/391/EHS týkající se opatření pro zlepšení bezpečnosti a ochrany zdraví zaměstnanců při práci zavedla povinnost pro zaměstnavatele vést seznam pracovních úrazů, které měly za následek pracovní neschopnost delší než 3 pracovní dny</w:t>
      </w:r>
      <w:r w:rsidR="00CF4293" w:rsidRPr="00EE492E">
        <w:rPr>
          <w:rFonts w:cs="Arial"/>
          <w:szCs w:val="20"/>
        </w:rPr>
        <w:t>,</w:t>
      </w:r>
      <w:r w:rsidRPr="00EE492E">
        <w:rPr>
          <w:rFonts w:cs="Arial"/>
          <w:szCs w:val="20"/>
        </w:rPr>
        <w:t xml:space="preserve"> a vypracovávat v souladu s vnitrostátními právními předpisy nebo zvyklostmi zprávy o pracovních úrazech, které utrpěli jeho zaměstnanci. Na tomto základě byl v roce 1990 zahájen projekt evropské statistiky pracovních úrazů s cílem harmonizovat údaje o všech pracovních úrazech, které měly za následek delší než třídenní pracovní neschopnost. Nařízení Evropského parlamentu a Rady (ES) č. 1338/2008 ze dne 16. prosince 2008 o statistice Společenství v oblasti veřejného zdraví a bezpečnosti a ochrany zdraví při práci stanoví povinnost poskytovat statistiky pracovních úrazů Komisi (</w:t>
      </w:r>
      <w:proofErr w:type="spellStart"/>
      <w:r w:rsidRPr="00EE492E">
        <w:rPr>
          <w:rFonts w:cs="Arial"/>
          <w:szCs w:val="20"/>
        </w:rPr>
        <w:t>Eurostatu</w:t>
      </w:r>
      <w:proofErr w:type="spellEnd"/>
      <w:r w:rsidRPr="00EE492E">
        <w:rPr>
          <w:rFonts w:cs="Arial"/>
          <w:szCs w:val="20"/>
        </w:rPr>
        <w:t xml:space="preserve">). </w:t>
      </w:r>
    </w:p>
    <w:p w14:paraId="1D0C6EDC" w14:textId="77777777" w:rsidR="00C13658" w:rsidRPr="00844F02" w:rsidRDefault="00C13658" w:rsidP="00C13658">
      <w:pPr>
        <w:spacing w:after="120"/>
        <w:jc w:val="both"/>
        <w:rPr>
          <w:rFonts w:cs="Arial"/>
          <w:szCs w:val="20"/>
        </w:rPr>
      </w:pPr>
      <w:r w:rsidRPr="00844F02">
        <w:rPr>
          <w:rFonts w:cs="Arial"/>
          <w:szCs w:val="20"/>
        </w:rPr>
        <w:t xml:space="preserve">V České republice byl rozhodnutím Ministerstva práce a sociálních věcí zpracováním Zprávy o pracovní úrazovosti v České republice a správou databáze statistických údajů o pracovních úrazech ve formátu ESAW k zaslání do </w:t>
      </w:r>
      <w:proofErr w:type="spellStart"/>
      <w:r w:rsidRPr="00844F02">
        <w:rPr>
          <w:rFonts w:cs="Arial"/>
          <w:szCs w:val="20"/>
        </w:rPr>
        <w:t>Eurostatu</w:t>
      </w:r>
      <w:proofErr w:type="spellEnd"/>
      <w:r w:rsidRPr="00844F02">
        <w:rPr>
          <w:rFonts w:cs="Arial"/>
          <w:szCs w:val="20"/>
        </w:rPr>
        <w:t xml:space="preserve"> pověřen </w:t>
      </w:r>
      <w:r w:rsidRPr="00844F02">
        <w:rPr>
          <w:rFonts w:cs="Arial"/>
          <w:b/>
          <w:szCs w:val="20"/>
        </w:rPr>
        <w:t>Státní úřad inspekce práce</w:t>
      </w:r>
      <w:r w:rsidRPr="00844F02">
        <w:rPr>
          <w:rFonts w:cs="Arial"/>
          <w:szCs w:val="20"/>
        </w:rPr>
        <w:t>. Státní úřad inspekce práce (SÚIP) v této oblasti úzce spolupracuje s Českým báňským úřadem (ČBÚ) a ČSÚ.</w:t>
      </w:r>
    </w:p>
    <w:p w14:paraId="0105BC60" w14:textId="4620F000" w:rsidR="00C13658" w:rsidRPr="00844F02" w:rsidRDefault="00C13658" w:rsidP="00C13658">
      <w:pPr>
        <w:spacing w:after="120"/>
        <w:jc w:val="both"/>
        <w:rPr>
          <w:rFonts w:cs="Arial"/>
          <w:szCs w:val="20"/>
        </w:rPr>
      </w:pPr>
      <w:r w:rsidRPr="00844F02">
        <w:rPr>
          <w:rFonts w:cs="Arial"/>
          <w:b/>
          <w:szCs w:val="20"/>
        </w:rPr>
        <w:t>Statistiky</w:t>
      </w:r>
      <w:r w:rsidRPr="00844F02">
        <w:rPr>
          <w:rFonts w:cs="Arial"/>
          <w:szCs w:val="20"/>
        </w:rPr>
        <w:t xml:space="preserve"> se </w:t>
      </w:r>
      <w:proofErr w:type="spellStart"/>
      <w:r w:rsidRPr="00844F02">
        <w:rPr>
          <w:rFonts w:cs="Arial"/>
          <w:szCs w:val="20"/>
        </w:rPr>
        <w:t>Eurostatu</w:t>
      </w:r>
      <w:proofErr w:type="spellEnd"/>
      <w:r w:rsidRPr="00844F02">
        <w:rPr>
          <w:rFonts w:cs="Arial"/>
          <w:szCs w:val="20"/>
        </w:rPr>
        <w:t xml:space="preserve"> poskytují </w:t>
      </w:r>
      <w:r w:rsidRPr="00844F02">
        <w:rPr>
          <w:rFonts w:cs="Arial"/>
          <w:b/>
          <w:szCs w:val="20"/>
        </w:rPr>
        <w:t>každoročně</w:t>
      </w:r>
      <w:r w:rsidRPr="00844F02">
        <w:rPr>
          <w:rFonts w:cs="Arial"/>
          <w:szCs w:val="20"/>
        </w:rPr>
        <w:t xml:space="preserve"> a předkládají se nejpozději 18 měsíců po skončení referenčního roku. </w:t>
      </w:r>
      <w:proofErr w:type="spellStart"/>
      <w:r w:rsidRPr="00844F02">
        <w:rPr>
          <w:rFonts w:cs="Arial"/>
          <w:szCs w:val="20"/>
        </w:rPr>
        <w:t>Eurostat</w:t>
      </w:r>
      <w:proofErr w:type="spellEnd"/>
      <w:r w:rsidRPr="00844F02">
        <w:rPr>
          <w:rFonts w:cs="Arial"/>
          <w:szCs w:val="20"/>
        </w:rPr>
        <w:t xml:space="preserve"> zveřejňuje na svých stránkách výsledky zpracování dat za členské země EU, a to podle závažnosti pracovního úrazu, samostatně za smrtelné pracovní úrazy a za ostatní pracovní úrazy, které mají za následek pracovní neschopnost delší než 3 dny. K dispozici jsou dva základní ukazatele </w:t>
      </w:r>
      <w:r w:rsidRPr="00844F02">
        <w:rPr>
          <w:rFonts w:cs="Arial"/>
          <w:szCs w:val="20"/>
        </w:rPr>
        <w:br/>
      </w:r>
      <w:r w:rsidRPr="00844F02">
        <w:rPr>
          <w:rFonts w:cs="Arial"/>
          <w:szCs w:val="20"/>
        </w:rPr>
        <w:lastRenderedPageBreak/>
        <w:t>– absolutní ukazatel počtu pracovních úrazů a relativní ukazatel standardizovaná míra výskytu. Data jsou tříděna podle pohlaví, věku, zaměstnání pojištěnce, ekonomické činnosti zaměstnavatele a dalších kritérií</w:t>
      </w:r>
      <w:r w:rsidRPr="00844F02">
        <w:rPr>
          <w:rStyle w:val="Znakapoznpodarou"/>
          <w:rFonts w:cs="Arial"/>
          <w:szCs w:val="20"/>
        </w:rPr>
        <w:footnoteReference w:id="17"/>
      </w:r>
      <w:r w:rsidRPr="00844F02">
        <w:rPr>
          <w:rFonts w:cs="Arial"/>
          <w:szCs w:val="20"/>
        </w:rPr>
        <w:t>.</w:t>
      </w:r>
    </w:p>
    <w:p w14:paraId="5418692B" w14:textId="564669BA" w:rsidR="00C13658" w:rsidRPr="00844F02" w:rsidRDefault="00C13658" w:rsidP="00C13658">
      <w:pPr>
        <w:spacing w:after="120"/>
        <w:jc w:val="both"/>
      </w:pPr>
      <w:r w:rsidRPr="00844F02">
        <w:t xml:space="preserve">Pro mezinárodní srovnání za členské státy EU byl v této publikaci použit relativní ukazatel – </w:t>
      </w:r>
      <w:r w:rsidRPr="00844F02">
        <w:rPr>
          <w:b/>
        </w:rPr>
        <w:t>standardizovaná míra výskytu pracovních úrazů</w:t>
      </w:r>
      <w:r w:rsidRPr="00844F02">
        <w:t xml:space="preserve"> na 100 tis. zaměstnaných osob, který je pro srovnání zemí různé velikosti vhodnějším ukazatelem než absolutní</w:t>
      </w:r>
      <w:r w:rsidR="00102EAE" w:rsidRPr="00844F02">
        <w:t xml:space="preserve"> počet pracovních úrazů</w:t>
      </w:r>
      <w:r w:rsidRPr="00844F02">
        <w:t>. Navíc ošetřuje problém rozdílné odvětvové struktury v jednotlivých zemích. Pro zachycení vývoje míry úrazovosti v členských zemích EU byly využity údaje za roky 2011–20</w:t>
      </w:r>
      <w:r w:rsidR="00844F02">
        <w:t>20</w:t>
      </w:r>
      <w:r w:rsidRPr="00844F02">
        <w:t>.</w:t>
      </w:r>
    </w:p>
    <w:p w14:paraId="47877C99" w14:textId="77777777" w:rsidR="00C13658" w:rsidRPr="00844F02" w:rsidRDefault="00C13658" w:rsidP="00C13658">
      <w:pPr>
        <w:spacing w:after="120"/>
        <w:jc w:val="both"/>
      </w:pPr>
      <w:r w:rsidRPr="00844F02">
        <w:t xml:space="preserve">Je však nutné upozornit na skutečnost, že vnitrostátní legislativa nebo zvyklosti v oblasti pracovní úrazovosti se mohou v jednotlivých zemích poměrně značně lišit, a tak i data předávaná do </w:t>
      </w:r>
      <w:proofErr w:type="spellStart"/>
      <w:r w:rsidRPr="00844F02">
        <w:t>Eurostatu</w:t>
      </w:r>
      <w:proofErr w:type="spellEnd"/>
      <w:r w:rsidRPr="00844F02">
        <w:t>, přes veškerou snahu statistiků o harmonizaci a standardizaci, nemusí být zcela srovnatelná.</w:t>
      </w:r>
    </w:p>
    <w:p w14:paraId="33C3E70E" w14:textId="6F824522" w:rsidR="00C13658" w:rsidRPr="00844F02" w:rsidRDefault="00C13658" w:rsidP="00C13658">
      <w:pPr>
        <w:pStyle w:val="Box1"/>
        <w:spacing w:before="120" w:after="120"/>
        <w:ind w:left="0"/>
        <w:jc w:val="both"/>
        <w:rPr>
          <w:i/>
        </w:rPr>
      </w:pPr>
      <w:r w:rsidRPr="00844F02">
        <w:rPr>
          <w:b/>
          <w:i/>
        </w:rPr>
        <w:t xml:space="preserve">Míra výskytu (četnost) </w:t>
      </w:r>
      <w:r w:rsidRPr="00844F02">
        <w:rPr>
          <w:i/>
        </w:rPr>
        <w:t xml:space="preserve">– ukazatel vyjadřuje počet pracovních úrazů na 100 000 zaměstnaných osob. Samostatné míry výskytu se počítají u smrtelných pracovních úrazů a pracovních úrazů, které mají za následek pracovní neschopnost delší než 3 dny. </w:t>
      </w:r>
    </w:p>
    <w:p w14:paraId="7D83C605" w14:textId="77777777" w:rsidR="00C13658" w:rsidRPr="00844F02" w:rsidRDefault="00C13658" w:rsidP="00C13658">
      <w:pPr>
        <w:pStyle w:val="Box1"/>
        <w:ind w:left="0"/>
        <w:jc w:val="both"/>
        <w:rPr>
          <w:i/>
          <w:u w:val="single"/>
        </w:rPr>
      </w:pPr>
      <w:r w:rsidRPr="00844F02">
        <w:rPr>
          <w:i/>
          <w:u w:val="single"/>
        </w:rPr>
        <w:t>Způsob výpočtu:</w:t>
      </w:r>
    </w:p>
    <w:p w14:paraId="4350A806" w14:textId="77777777" w:rsidR="00C13658" w:rsidRPr="00844F02" w:rsidRDefault="00C13658" w:rsidP="00C13658">
      <w:pPr>
        <w:pStyle w:val="Box1"/>
        <w:spacing w:before="120" w:after="120"/>
        <w:ind w:left="0"/>
        <w:contextualSpacing w:val="0"/>
        <w:jc w:val="both"/>
        <w:rPr>
          <w:i/>
          <w:sz w:val="16"/>
          <w:szCs w:val="16"/>
        </w:rPr>
      </w:pPr>
      <w:r w:rsidRPr="00844F02">
        <w:rPr>
          <w:i/>
        </w:rPr>
        <w:t>Míra výskytu = počet úrazů (smrtelných nebo ostatních) / počet zaměstnaných osob ve sledované populaci x 100 000.</w:t>
      </w:r>
    </w:p>
    <w:p w14:paraId="084AD1EA" w14:textId="12F14BA1" w:rsidR="00C13658" w:rsidRPr="00844F02" w:rsidRDefault="00C13658" w:rsidP="00C13658">
      <w:pPr>
        <w:pStyle w:val="Box1"/>
        <w:spacing w:before="120" w:after="120"/>
        <w:ind w:left="0"/>
        <w:contextualSpacing w:val="0"/>
        <w:jc w:val="both"/>
        <w:rPr>
          <w:i/>
        </w:rPr>
      </w:pPr>
      <w:r w:rsidRPr="00844F02">
        <w:rPr>
          <w:b/>
          <w:i/>
        </w:rPr>
        <w:t>Standardizovaná míra výskytu</w:t>
      </w:r>
      <w:r w:rsidRPr="00844F02">
        <w:rPr>
          <w:i/>
        </w:rPr>
        <w:t xml:space="preserve"> – standardizovaný počet pracovních úrazů na 100 000 zaměstnaných osob spočívající v použití stejné (standardizované) váhy v každém odvětví v každé zemi, jako je celková v rámci EU („standardizovaná“ míra úrazovosti). Použití standardizovaného ukazatele řeší problém častějšího výskytu pracovních úrazů v některých zaměstnáních v závislosti na vyšším podílu vysoce rizikových odvětví v průmyslové struktuře země. Standardizovaná míra pokrývá následující sekce klasifikace NACE: </w:t>
      </w:r>
      <w:proofErr w:type="gramStart"/>
      <w:r w:rsidRPr="00844F02">
        <w:rPr>
          <w:i/>
        </w:rPr>
        <w:t>A, C–N</w:t>
      </w:r>
      <w:r w:rsidR="00844F02">
        <w:rPr>
          <w:i/>
        </w:rPr>
        <w:t>,</w:t>
      </w:r>
      <w:r w:rsidRPr="00844F02">
        <w:rPr>
          <w:i/>
        </w:rPr>
        <w:t xml:space="preserve"> tj.</w:t>
      </w:r>
      <w:proofErr w:type="gramEnd"/>
      <w:r w:rsidRPr="00844F02">
        <w:rPr>
          <w:i/>
        </w:rPr>
        <w:t> bez sekcí B (Těžba a dobývání) a O–U (zahrnující některé služby).</w:t>
      </w:r>
    </w:p>
    <w:p w14:paraId="07EB9E4C" w14:textId="3C0BD263" w:rsidR="004C6D93" w:rsidRDefault="00C13658" w:rsidP="00C13658">
      <w:pPr>
        <w:spacing w:after="120"/>
        <w:jc w:val="both"/>
      </w:pPr>
      <w:r w:rsidRPr="00844F02">
        <w:t xml:space="preserve">Co se týče </w:t>
      </w:r>
      <w:r w:rsidRPr="00844F02">
        <w:rPr>
          <w:b/>
        </w:rPr>
        <w:t>pracovních úrazů</w:t>
      </w:r>
      <w:r w:rsidRPr="00844F02">
        <w:t xml:space="preserve">, které si vyžádaly </w:t>
      </w:r>
      <w:r w:rsidRPr="00844F02">
        <w:rPr>
          <w:b/>
        </w:rPr>
        <w:t xml:space="preserve">pracovní neschopnost delší </w:t>
      </w:r>
      <w:r w:rsidRPr="00E62CEB">
        <w:rPr>
          <w:b/>
        </w:rPr>
        <w:t>než 3 dny</w:t>
      </w:r>
      <w:r w:rsidRPr="00032041">
        <w:t xml:space="preserve">, se </w:t>
      </w:r>
      <w:r w:rsidRPr="00032041">
        <w:rPr>
          <w:b/>
        </w:rPr>
        <w:t>Česká republika</w:t>
      </w:r>
      <w:r w:rsidRPr="00032041">
        <w:t xml:space="preserve"> s</w:t>
      </w:r>
      <w:r w:rsidR="008E4D7E">
        <w:t> </w:t>
      </w:r>
      <w:r w:rsidRPr="00032041">
        <w:t>hodnotou</w:t>
      </w:r>
      <w:r w:rsidR="008E4D7E">
        <w:t xml:space="preserve"> standardizované míry</w:t>
      </w:r>
      <w:r w:rsidRPr="00032041">
        <w:t xml:space="preserve"> </w:t>
      </w:r>
      <w:r w:rsidR="00844F02" w:rsidRPr="00032041">
        <w:t>720</w:t>
      </w:r>
      <w:r w:rsidRPr="00032041">
        <w:t xml:space="preserve"> pracovních úrazů na 100 tis. zaměstnaných osob v roce 20</w:t>
      </w:r>
      <w:r w:rsidR="00844F02" w:rsidRPr="00032041">
        <w:t>20</w:t>
      </w:r>
      <w:r w:rsidRPr="00032041">
        <w:t xml:space="preserve"> řadila </w:t>
      </w:r>
      <w:r w:rsidR="00844F02" w:rsidRPr="00032041">
        <w:t xml:space="preserve">stejně jako v předchozím roce </w:t>
      </w:r>
      <w:r w:rsidR="004C6D93">
        <w:t xml:space="preserve">2019 </w:t>
      </w:r>
      <w:r w:rsidRPr="00032041">
        <w:t xml:space="preserve">na </w:t>
      </w:r>
      <w:r w:rsidRPr="00032041">
        <w:rPr>
          <w:b/>
        </w:rPr>
        <w:t xml:space="preserve">16. místo </w:t>
      </w:r>
      <w:r w:rsidRPr="00032041">
        <w:t xml:space="preserve">v rámci </w:t>
      </w:r>
      <w:r w:rsidRPr="00032041">
        <w:rPr>
          <w:b/>
        </w:rPr>
        <w:t>EU2</w:t>
      </w:r>
      <w:r w:rsidR="007E0FFD" w:rsidRPr="00032041">
        <w:rPr>
          <w:b/>
        </w:rPr>
        <w:t>7</w:t>
      </w:r>
      <w:r w:rsidRPr="00032041">
        <w:t xml:space="preserve">. Nejvyšší míra pracovní úrazovosti je podle </w:t>
      </w:r>
      <w:proofErr w:type="spellStart"/>
      <w:r w:rsidRPr="00032041">
        <w:t>Eurostatu</w:t>
      </w:r>
      <w:proofErr w:type="spellEnd"/>
      <w:r w:rsidRPr="00032041">
        <w:t xml:space="preserve"> dlouhodobě v </w:t>
      </w:r>
      <w:r w:rsidR="00844F02" w:rsidRPr="00032041">
        <w:t>Portugalsku</w:t>
      </w:r>
      <w:r w:rsidR="007E0FFD" w:rsidRPr="00032041">
        <w:t xml:space="preserve">, </w:t>
      </w:r>
      <w:r w:rsidRPr="00032041">
        <w:t>Francii</w:t>
      </w:r>
      <w:r w:rsidR="007E0FFD" w:rsidRPr="00032041">
        <w:t xml:space="preserve"> a</w:t>
      </w:r>
      <w:r w:rsidR="00B25EC1" w:rsidRPr="00032041">
        <w:t> </w:t>
      </w:r>
      <w:r w:rsidR="00844F02" w:rsidRPr="00032041">
        <w:t>ve Španělsku</w:t>
      </w:r>
      <w:r w:rsidRPr="00032041">
        <w:t>. V roce 20</w:t>
      </w:r>
      <w:r w:rsidR="00844F02" w:rsidRPr="00032041">
        <w:t>20</w:t>
      </w:r>
      <w:r w:rsidRPr="00032041">
        <w:t xml:space="preserve"> činila </w:t>
      </w:r>
      <w:r w:rsidR="007E0FFD" w:rsidRPr="00032041">
        <w:t xml:space="preserve">v těchto zemích </w:t>
      </w:r>
      <w:r w:rsidRPr="00032041">
        <w:t xml:space="preserve">více než </w:t>
      </w:r>
      <w:r w:rsidR="00844F02" w:rsidRPr="00032041">
        <w:t>2</w:t>
      </w:r>
      <w:r w:rsidR="00A5543F">
        <w:t> </w:t>
      </w:r>
      <w:r w:rsidR="00844F02" w:rsidRPr="00032041">
        <w:t>300</w:t>
      </w:r>
      <w:r w:rsidR="00B25EC1" w:rsidRPr="00032041">
        <w:t xml:space="preserve"> </w:t>
      </w:r>
      <w:r w:rsidRPr="00032041">
        <w:t xml:space="preserve">pracovních úrazů na 100 tis. zaměstnaných osob. S odstupem následovalo </w:t>
      </w:r>
      <w:r w:rsidR="00844F02" w:rsidRPr="00032041">
        <w:t xml:space="preserve">Dánsko (1 902), Německo (1 782) a </w:t>
      </w:r>
      <w:r w:rsidRPr="00032041">
        <w:t xml:space="preserve">Lucembursko </w:t>
      </w:r>
      <w:r w:rsidR="00844F02" w:rsidRPr="00032041">
        <w:t>(1 748).</w:t>
      </w:r>
      <w:r w:rsidRPr="00032041">
        <w:t xml:space="preserve"> </w:t>
      </w:r>
      <w:r w:rsidR="00844F02" w:rsidRPr="00032041">
        <w:t xml:space="preserve">Průměr za státy EU27 činil 1 466 pracovních úrazů </w:t>
      </w:r>
      <w:r w:rsidR="004C6D93">
        <w:t xml:space="preserve">s </w:t>
      </w:r>
      <w:r w:rsidR="00844F02" w:rsidRPr="00032041">
        <w:t xml:space="preserve">minimálně 3denní pracovní neschopností na 100 tis. zaměstnaných osob. </w:t>
      </w:r>
      <w:r w:rsidRPr="00032041">
        <w:t xml:space="preserve">Nejnižší míra pracovní úrazovosti (pod hranicí </w:t>
      </w:r>
      <w:r w:rsidR="004C6D93">
        <w:t>400</w:t>
      </w:r>
      <w:r w:rsidR="00A5543F">
        <w:t> </w:t>
      </w:r>
      <w:r w:rsidRPr="00032041">
        <w:t>pr</w:t>
      </w:r>
      <w:r w:rsidR="007E0FFD" w:rsidRPr="00032041">
        <w:t>acovních úrazů) byla v roce 20</w:t>
      </w:r>
      <w:r w:rsidR="00032041" w:rsidRPr="00032041">
        <w:t>20</w:t>
      </w:r>
      <w:r w:rsidRPr="00032041">
        <w:t xml:space="preserve"> vykázána v</w:t>
      </w:r>
      <w:r w:rsidR="00032041" w:rsidRPr="00032041">
        <w:t xml:space="preserve"> Bulharsku, </w:t>
      </w:r>
      <w:r w:rsidR="007E0FFD" w:rsidRPr="00032041">
        <w:t xml:space="preserve">Rumunsku, </w:t>
      </w:r>
      <w:r w:rsidRPr="00032041">
        <w:t>Řecku, Lotyšsku a Litvě. V </w:t>
      </w:r>
      <w:r w:rsidR="00032041" w:rsidRPr="00032041">
        <w:t xml:space="preserve">Bulharsku </w:t>
      </w:r>
      <w:r w:rsidRPr="00032041">
        <w:t xml:space="preserve">bylo na 100 000 zaměstnaných hlášeno pouze </w:t>
      </w:r>
      <w:r w:rsidR="00032041" w:rsidRPr="00032041">
        <w:t>77</w:t>
      </w:r>
      <w:r w:rsidRPr="00032041">
        <w:t xml:space="preserve"> pracovních úrazů s pracovní neschopností </w:t>
      </w:r>
      <w:r w:rsidR="007E0FFD" w:rsidRPr="00032041">
        <w:t>delší než 3 dny, v</w:t>
      </w:r>
      <w:r w:rsidR="00032041" w:rsidRPr="00032041">
        <w:t xml:space="preserve"> Rumunsku </w:t>
      </w:r>
      <w:r w:rsidR="007E0FFD" w:rsidRPr="00032041">
        <w:t>8</w:t>
      </w:r>
      <w:r w:rsidR="00032041" w:rsidRPr="00032041">
        <w:t>1</w:t>
      </w:r>
      <w:r w:rsidRPr="00032041">
        <w:t>.</w:t>
      </w:r>
      <w:r w:rsidR="004C6D93" w:rsidRPr="004C6D93">
        <w:t xml:space="preserve"> </w:t>
      </w:r>
    </w:p>
    <w:p w14:paraId="3963A86B" w14:textId="5FB04248" w:rsidR="00C13658" w:rsidRDefault="004C6D93" w:rsidP="00C13658">
      <w:pPr>
        <w:spacing w:after="120"/>
        <w:jc w:val="both"/>
      </w:pPr>
      <w:r w:rsidRPr="00F953EA">
        <w:t xml:space="preserve">Podle informací </w:t>
      </w:r>
      <w:proofErr w:type="spellStart"/>
      <w:r w:rsidRPr="00F953EA">
        <w:t>Eurostatu</w:t>
      </w:r>
      <w:proofErr w:type="spellEnd"/>
      <w:r w:rsidRPr="00F953EA">
        <w:t xml:space="preserve"> je v zemích s nejvyšší mírou výskytu pracovních úrazů (Španělsko, Francie, či Portugalsko) zaveden systém hlášení úrazů na základě pojištění. Osoba postižená úrazem obdrží při nahlášení úrazu významnou peněžní kompenzaci od pojišťovny. V zemích východní Evropy pracovní úrazovost nejčastěji spadá do systému sociálního zabezpečení. Z těchto zemí jedině Slovinsko a Estonsko vykázalo více než 1 000 pracovních úrazů s pracovní neschopností delší než 3 dny na 100 000 zaměstnaných osob. Dlouhodobě nejnižší míra</w:t>
      </w:r>
      <w:r>
        <w:t xml:space="preserve"> </w:t>
      </w:r>
      <w:r w:rsidRPr="00F953EA">
        <w:t>v Rumunsku a Bulharsku</w:t>
      </w:r>
      <w:r>
        <w:t>, navíc s odstupem za ostatními státy,</w:t>
      </w:r>
      <w:r w:rsidRPr="00F953EA">
        <w:t xml:space="preserve"> patrně do značné míry odráží vysoký podíl nenahlášených pracovních úrazů.</w:t>
      </w:r>
    </w:p>
    <w:p w14:paraId="0B225A95" w14:textId="69189D7E" w:rsidR="00032041" w:rsidRPr="00166BEB" w:rsidRDefault="00032041" w:rsidP="00C13658">
      <w:pPr>
        <w:spacing w:after="120"/>
        <w:jc w:val="both"/>
        <w:rPr>
          <w:highlight w:val="yellow"/>
        </w:rPr>
      </w:pPr>
      <w:r>
        <w:t xml:space="preserve">Jedná se o první data ze statistiky ESAW mapující období onemocnění covid-19. Vyjma Maďarska a Lotyšska (kde došlo k mírnému meziročnímu nárůstu) a Rumunska (které zažilo stagnaci) v ostatních zemích došlo k poklesu počtu pracovních úrazů. Největší </w:t>
      </w:r>
      <w:r w:rsidR="00095759">
        <w:t xml:space="preserve">absolutní </w:t>
      </w:r>
      <w:r>
        <w:t>pokles zaznamenalo Řecko (−1 313) a Francie (−809)</w:t>
      </w:r>
      <w:r w:rsidR="00095759">
        <w:t xml:space="preserve">, v relativním vyjádření Španělsko (−36 %) a Malta (−30 %). Je však potřeba dodat, že míra rozšíření nemoci </w:t>
      </w:r>
      <w:r w:rsidR="004C6D93">
        <w:t xml:space="preserve">covid-19 </w:t>
      </w:r>
      <w:r w:rsidR="00095759">
        <w:t>a s ní související opatření, která měla dopad i na pracovní úrazovost, se lišila napříč zeměmi.</w:t>
      </w:r>
    </w:p>
    <w:p w14:paraId="61EAAA7C" w14:textId="556DAFA3" w:rsidR="005C2B7D" w:rsidRPr="00095759" w:rsidRDefault="005C2B7D" w:rsidP="00B25EC1">
      <w:pPr>
        <w:spacing w:after="0" w:line="240" w:lineRule="auto"/>
        <w:jc w:val="both"/>
      </w:pPr>
      <w:r w:rsidRPr="00095759">
        <w:rPr>
          <w:rFonts w:cs="Arial"/>
          <w:b/>
          <w:bCs/>
          <w:color w:val="000000"/>
          <w:szCs w:val="20"/>
        </w:rPr>
        <w:lastRenderedPageBreak/>
        <w:t xml:space="preserve">Graf 6.1: Pracovní úrazy s pracovní neschopností delší než </w:t>
      </w:r>
      <w:r w:rsidRPr="008764EB">
        <w:rPr>
          <w:rFonts w:cs="Arial"/>
          <w:b/>
          <w:bCs/>
          <w:color w:val="000000"/>
          <w:szCs w:val="20"/>
        </w:rPr>
        <w:t>3 dny v</w:t>
      </w:r>
      <w:r w:rsidRPr="00095759">
        <w:rPr>
          <w:rFonts w:cs="Arial"/>
          <w:b/>
          <w:bCs/>
          <w:color w:val="000000"/>
          <w:szCs w:val="20"/>
        </w:rPr>
        <w:t xml:space="preserve"> zemích EU (standardizovaná míra výskytu na 100 tis. zaměstnaných osob), </w:t>
      </w:r>
      <w:r w:rsidR="00032041" w:rsidRPr="00095759">
        <w:rPr>
          <w:rFonts w:cs="Arial"/>
          <w:b/>
          <w:bCs/>
          <w:color w:val="000000"/>
          <w:szCs w:val="20"/>
        </w:rPr>
        <w:t>2020</w:t>
      </w:r>
    </w:p>
    <w:p w14:paraId="029B4D4A" w14:textId="5F8825D6" w:rsidR="00C13658" w:rsidRPr="00166BEB" w:rsidRDefault="00095759" w:rsidP="00C13658">
      <w:pPr>
        <w:spacing w:after="120"/>
        <w:jc w:val="both"/>
        <w:rPr>
          <w:highlight w:val="yellow"/>
        </w:rPr>
      </w:pPr>
      <w:r>
        <w:rPr>
          <w:noProof/>
        </w:rPr>
        <w:drawing>
          <wp:inline distT="0" distB="0" distL="0" distR="0" wp14:anchorId="05206354" wp14:editId="37A020DB">
            <wp:extent cx="6066000" cy="5040000"/>
            <wp:effectExtent l="0" t="0" r="11430" b="8255"/>
            <wp:docPr id="21" name="Graf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1AF0B520" w14:textId="77777777" w:rsidR="005C2B7D" w:rsidRPr="00095759" w:rsidRDefault="005C2B7D" w:rsidP="005C2B7D">
      <w:pPr>
        <w:spacing w:after="120"/>
        <w:jc w:val="both"/>
        <w:rPr>
          <w:sz w:val="16"/>
        </w:rPr>
      </w:pPr>
      <w:r w:rsidRPr="00095759">
        <w:rPr>
          <w:sz w:val="16"/>
        </w:rPr>
        <w:t xml:space="preserve">Zdroj: </w:t>
      </w:r>
      <w:proofErr w:type="spellStart"/>
      <w:r w:rsidRPr="00095759">
        <w:rPr>
          <w:sz w:val="16"/>
        </w:rPr>
        <w:t>Eurostat</w:t>
      </w:r>
      <w:proofErr w:type="spellEnd"/>
      <w:r w:rsidRPr="00095759">
        <w:rPr>
          <w:sz w:val="16"/>
        </w:rPr>
        <w:t xml:space="preserve"> (ESAW)</w:t>
      </w:r>
    </w:p>
    <w:p w14:paraId="76519F49" w14:textId="77777777" w:rsidR="008764EB" w:rsidRDefault="008764EB">
      <w:pPr>
        <w:spacing w:after="0" w:line="240" w:lineRule="auto"/>
        <w:rPr>
          <w:rFonts w:cs="Arial"/>
          <w:b/>
          <w:bCs/>
          <w:color w:val="000000"/>
          <w:szCs w:val="20"/>
        </w:rPr>
      </w:pPr>
      <w:r>
        <w:rPr>
          <w:rFonts w:cs="Arial"/>
          <w:b/>
          <w:bCs/>
          <w:color w:val="000000"/>
          <w:szCs w:val="20"/>
        </w:rPr>
        <w:br w:type="page"/>
      </w:r>
    </w:p>
    <w:p w14:paraId="5B23DE2B" w14:textId="0CF22017" w:rsidR="00C13658" w:rsidRPr="00166BEB" w:rsidRDefault="0083282F" w:rsidP="004229D4">
      <w:pPr>
        <w:spacing w:after="0" w:line="240" w:lineRule="auto"/>
        <w:jc w:val="both"/>
        <w:rPr>
          <w:rFonts w:cs="Arial"/>
          <w:szCs w:val="20"/>
          <w:highlight w:val="yellow"/>
        </w:rPr>
      </w:pPr>
      <w:r w:rsidRPr="00355A4B">
        <w:rPr>
          <w:rFonts w:cs="Arial"/>
          <w:b/>
          <w:bCs/>
          <w:color w:val="000000"/>
          <w:szCs w:val="20"/>
        </w:rPr>
        <w:lastRenderedPageBreak/>
        <w:t xml:space="preserve">Tab. 6.1: Pracovní úrazy s pracovní neschopností delší než </w:t>
      </w:r>
      <w:r w:rsidRPr="008764EB">
        <w:rPr>
          <w:rFonts w:cs="Arial"/>
          <w:b/>
          <w:bCs/>
          <w:color w:val="000000"/>
          <w:szCs w:val="20"/>
        </w:rPr>
        <w:t xml:space="preserve">3 dny </w:t>
      </w:r>
      <w:r w:rsidRPr="00355A4B">
        <w:rPr>
          <w:rFonts w:cs="Arial"/>
          <w:b/>
          <w:bCs/>
          <w:color w:val="000000"/>
          <w:szCs w:val="20"/>
        </w:rPr>
        <w:t>v zemích EU (standardizovaná míra výskytu na 100 ti</w:t>
      </w:r>
      <w:r w:rsidR="00095759" w:rsidRPr="00355A4B">
        <w:rPr>
          <w:rFonts w:cs="Arial"/>
          <w:b/>
          <w:bCs/>
          <w:color w:val="000000"/>
          <w:szCs w:val="20"/>
        </w:rPr>
        <w:t>s. zaměstnaných osob), 2011–2020</w:t>
      </w:r>
    </w:p>
    <w:tbl>
      <w:tblPr>
        <w:tblW w:w="10263" w:type="dxa"/>
        <w:tblCellMar>
          <w:left w:w="70" w:type="dxa"/>
          <w:right w:w="70" w:type="dxa"/>
        </w:tblCellMar>
        <w:tblLook w:val="04A0" w:firstRow="1" w:lastRow="0" w:firstColumn="1" w:lastColumn="0" w:noHBand="0" w:noVBand="1"/>
      </w:tblPr>
      <w:tblGrid>
        <w:gridCol w:w="1368"/>
        <w:gridCol w:w="822"/>
        <w:gridCol w:w="822"/>
        <w:gridCol w:w="822"/>
        <w:gridCol w:w="822"/>
        <w:gridCol w:w="822"/>
        <w:gridCol w:w="822"/>
        <w:gridCol w:w="822"/>
        <w:gridCol w:w="822"/>
        <w:gridCol w:w="822"/>
        <w:gridCol w:w="822"/>
        <w:gridCol w:w="675"/>
      </w:tblGrid>
      <w:tr w:rsidR="00095759" w:rsidRPr="00166BEB" w14:paraId="571E6577" w14:textId="6714E987" w:rsidTr="00095759">
        <w:trPr>
          <w:gridAfter w:val="1"/>
          <w:wAfter w:w="675" w:type="dxa"/>
          <w:trHeight w:val="300"/>
        </w:trPr>
        <w:tc>
          <w:tcPr>
            <w:tcW w:w="0" w:type="auto"/>
            <w:tcBorders>
              <w:top w:val="single" w:sz="4" w:space="0" w:color="000000"/>
              <w:left w:val="nil"/>
              <w:bottom w:val="single" w:sz="4" w:space="0" w:color="000000"/>
              <w:right w:val="single" w:sz="4" w:space="0" w:color="000000"/>
            </w:tcBorders>
            <w:shd w:val="clear" w:color="000000" w:fill="F5DADD"/>
            <w:noWrap/>
            <w:vAlign w:val="center"/>
            <w:hideMark/>
          </w:tcPr>
          <w:p w14:paraId="0A0EF536" w14:textId="7F5A14E8" w:rsidR="00095759" w:rsidRPr="00166BEB" w:rsidRDefault="00095759" w:rsidP="00095759">
            <w:pPr>
              <w:spacing w:after="0" w:line="240" w:lineRule="auto"/>
              <w:rPr>
                <w:rFonts w:cs="Arial"/>
                <w:sz w:val="16"/>
                <w:szCs w:val="16"/>
                <w:highlight w:val="yellow"/>
              </w:rPr>
            </w:pPr>
            <w:r>
              <w:rPr>
                <w:rFonts w:cs="Arial"/>
                <w:sz w:val="16"/>
                <w:szCs w:val="16"/>
              </w:rPr>
              <w:t>Členské státy EU</w:t>
            </w:r>
          </w:p>
        </w:tc>
        <w:tc>
          <w:tcPr>
            <w:tcW w:w="822" w:type="dxa"/>
            <w:tcBorders>
              <w:top w:val="single" w:sz="4" w:space="0" w:color="000000"/>
              <w:left w:val="nil"/>
              <w:bottom w:val="single" w:sz="4" w:space="0" w:color="auto"/>
              <w:right w:val="nil"/>
            </w:tcBorders>
            <w:shd w:val="clear" w:color="000000" w:fill="F5DADD"/>
            <w:noWrap/>
            <w:vAlign w:val="center"/>
            <w:hideMark/>
          </w:tcPr>
          <w:p w14:paraId="7AE1C712" w14:textId="7C2F18E1" w:rsidR="00095759" w:rsidRPr="00166BEB" w:rsidRDefault="00095759" w:rsidP="00095759">
            <w:pPr>
              <w:spacing w:after="0" w:line="240" w:lineRule="auto"/>
              <w:jc w:val="center"/>
              <w:rPr>
                <w:rFonts w:cs="Arial"/>
                <w:sz w:val="16"/>
                <w:szCs w:val="16"/>
                <w:highlight w:val="yellow"/>
              </w:rPr>
            </w:pPr>
            <w:r>
              <w:rPr>
                <w:rFonts w:cs="Arial"/>
                <w:sz w:val="16"/>
                <w:szCs w:val="16"/>
              </w:rPr>
              <w:t>2011</w:t>
            </w:r>
          </w:p>
        </w:tc>
        <w:tc>
          <w:tcPr>
            <w:tcW w:w="822" w:type="dxa"/>
            <w:tcBorders>
              <w:top w:val="single" w:sz="4" w:space="0" w:color="000000"/>
              <w:left w:val="nil"/>
              <w:bottom w:val="single" w:sz="4" w:space="0" w:color="auto"/>
              <w:right w:val="nil"/>
            </w:tcBorders>
            <w:shd w:val="clear" w:color="000000" w:fill="F5DADD"/>
            <w:noWrap/>
            <w:vAlign w:val="center"/>
            <w:hideMark/>
          </w:tcPr>
          <w:p w14:paraId="429EEF0E" w14:textId="156D401A" w:rsidR="00095759" w:rsidRPr="00166BEB" w:rsidRDefault="00095759" w:rsidP="00095759">
            <w:pPr>
              <w:spacing w:after="0" w:line="240" w:lineRule="auto"/>
              <w:jc w:val="center"/>
              <w:rPr>
                <w:rFonts w:cs="Arial"/>
                <w:sz w:val="16"/>
                <w:szCs w:val="16"/>
                <w:highlight w:val="yellow"/>
              </w:rPr>
            </w:pPr>
            <w:r>
              <w:rPr>
                <w:rFonts w:cs="Arial"/>
                <w:sz w:val="16"/>
                <w:szCs w:val="16"/>
              </w:rPr>
              <w:t>2012</w:t>
            </w:r>
          </w:p>
        </w:tc>
        <w:tc>
          <w:tcPr>
            <w:tcW w:w="822" w:type="dxa"/>
            <w:tcBorders>
              <w:top w:val="single" w:sz="4" w:space="0" w:color="000000"/>
              <w:left w:val="nil"/>
              <w:bottom w:val="single" w:sz="4" w:space="0" w:color="auto"/>
              <w:right w:val="nil"/>
            </w:tcBorders>
            <w:shd w:val="clear" w:color="000000" w:fill="F5DADD"/>
            <w:noWrap/>
            <w:vAlign w:val="center"/>
            <w:hideMark/>
          </w:tcPr>
          <w:p w14:paraId="6645CD1E" w14:textId="20AC5478" w:rsidR="00095759" w:rsidRPr="00166BEB" w:rsidRDefault="00095759" w:rsidP="00095759">
            <w:pPr>
              <w:spacing w:after="0" w:line="240" w:lineRule="auto"/>
              <w:jc w:val="center"/>
              <w:rPr>
                <w:rFonts w:cs="Arial"/>
                <w:sz w:val="16"/>
                <w:szCs w:val="16"/>
                <w:highlight w:val="yellow"/>
              </w:rPr>
            </w:pPr>
            <w:r>
              <w:rPr>
                <w:rFonts w:cs="Arial"/>
                <w:sz w:val="16"/>
                <w:szCs w:val="16"/>
              </w:rPr>
              <w:t>2013</w:t>
            </w:r>
          </w:p>
        </w:tc>
        <w:tc>
          <w:tcPr>
            <w:tcW w:w="822" w:type="dxa"/>
            <w:tcBorders>
              <w:top w:val="single" w:sz="4" w:space="0" w:color="000000"/>
              <w:left w:val="nil"/>
              <w:bottom w:val="single" w:sz="4" w:space="0" w:color="auto"/>
              <w:right w:val="nil"/>
            </w:tcBorders>
            <w:shd w:val="clear" w:color="000000" w:fill="F5DADD"/>
            <w:noWrap/>
            <w:vAlign w:val="center"/>
            <w:hideMark/>
          </w:tcPr>
          <w:p w14:paraId="1EDADA5B" w14:textId="155233BC" w:rsidR="00095759" w:rsidRPr="00166BEB" w:rsidRDefault="00095759" w:rsidP="00095759">
            <w:pPr>
              <w:spacing w:after="0" w:line="240" w:lineRule="auto"/>
              <w:jc w:val="center"/>
              <w:rPr>
                <w:rFonts w:cs="Arial"/>
                <w:sz w:val="16"/>
                <w:szCs w:val="16"/>
                <w:highlight w:val="yellow"/>
              </w:rPr>
            </w:pPr>
            <w:r>
              <w:rPr>
                <w:rFonts w:cs="Arial"/>
                <w:sz w:val="16"/>
                <w:szCs w:val="16"/>
              </w:rPr>
              <w:t>2014</w:t>
            </w:r>
          </w:p>
        </w:tc>
        <w:tc>
          <w:tcPr>
            <w:tcW w:w="822" w:type="dxa"/>
            <w:tcBorders>
              <w:top w:val="single" w:sz="4" w:space="0" w:color="000000"/>
              <w:left w:val="nil"/>
              <w:bottom w:val="single" w:sz="4" w:space="0" w:color="auto"/>
              <w:right w:val="nil"/>
            </w:tcBorders>
            <w:shd w:val="clear" w:color="000000" w:fill="F5DADD"/>
            <w:noWrap/>
            <w:vAlign w:val="center"/>
            <w:hideMark/>
          </w:tcPr>
          <w:p w14:paraId="4CF7A276" w14:textId="03C1B1F1" w:rsidR="00095759" w:rsidRPr="00166BEB" w:rsidRDefault="00095759" w:rsidP="00095759">
            <w:pPr>
              <w:spacing w:after="0" w:line="240" w:lineRule="auto"/>
              <w:jc w:val="center"/>
              <w:rPr>
                <w:rFonts w:cs="Arial"/>
                <w:sz w:val="16"/>
                <w:szCs w:val="16"/>
                <w:highlight w:val="yellow"/>
              </w:rPr>
            </w:pPr>
            <w:r>
              <w:rPr>
                <w:rFonts w:cs="Arial"/>
                <w:sz w:val="16"/>
                <w:szCs w:val="16"/>
              </w:rPr>
              <w:t>2015</w:t>
            </w:r>
          </w:p>
        </w:tc>
        <w:tc>
          <w:tcPr>
            <w:tcW w:w="822" w:type="dxa"/>
            <w:tcBorders>
              <w:top w:val="single" w:sz="4" w:space="0" w:color="000000"/>
              <w:left w:val="nil"/>
              <w:bottom w:val="single" w:sz="4" w:space="0" w:color="auto"/>
              <w:right w:val="nil"/>
            </w:tcBorders>
            <w:shd w:val="clear" w:color="000000" w:fill="F5DADD"/>
            <w:noWrap/>
            <w:vAlign w:val="center"/>
            <w:hideMark/>
          </w:tcPr>
          <w:p w14:paraId="532054B2" w14:textId="3E039388" w:rsidR="00095759" w:rsidRPr="00166BEB" w:rsidRDefault="00095759" w:rsidP="00095759">
            <w:pPr>
              <w:spacing w:after="0" w:line="240" w:lineRule="auto"/>
              <w:jc w:val="center"/>
              <w:rPr>
                <w:rFonts w:cs="Arial"/>
                <w:sz w:val="16"/>
                <w:szCs w:val="16"/>
                <w:highlight w:val="yellow"/>
              </w:rPr>
            </w:pPr>
            <w:r>
              <w:rPr>
                <w:rFonts w:cs="Arial"/>
                <w:sz w:val="16"/>
                <w:szCs w:val="16"/>
              </w:rPr>
              <w:t>2016</w:t>
            </w:r>
          </w:p>
        </w:tc>
        <w:tc>
          <w:tcPr>
            <w:tcW w:w="822" w:type="dxa"/>
            <w:tcBorders>
              <w:top w:val="single" w:sz="4" w:space="0" w:color="000000"/>
              <w:left w:val="nil"/>
              <w:bottom w:val="single" w:sz="4" w:space="0" w:color="auto"/>
              <w:right w:val="nil"/>
            </w:tcBorders>
            <w:shd w:val="clear" w:color="000000" w:fill="F5DADD"/>
            <w:noWrap/>
            <w:vAlign w:val="center"/>
            <w:hideMark/>
          </w:tcPr>
          <w:p w14:paraId="1A5E039D" w14:textId="6700B3E4" w:rsidR="00095759" w:rsidRPr="00166BEB" w:rsidRDefault="00095759" w:rsidP="00095759">
            <w:pPr>
              <w:spacing w:after="0" w:line="240" w:lineRule="auto"/>
              <w:jc w:val="center"/>
              <w:rPr>
                <w:rFonts w:cs="Arial"/>
                <w:sz w:val="16"/>
                <w:szCs w:val="16"/>
                <w:highlight w:val="yellow"/>
              </w:rPr>
            </w:pPr>
            <w:r>
              <w:rPr>
                <w:rFonts w:cs="Arial"/>
                <w:sz w:val="16"/>
                <w:szCs w:val="16"/>
              </w:rPr>
              <w:t>2017</w:t>
            </w:r>
          </w:p>
        </w:tc>
        <w:tc>
          <w:tcPr>
            <w:tcW w:w="822" w:type="dxa"/>
            <w:tcBorders>
              <w:top w:val="single" w:sz="4" w:space="0" w:color="000000"/>
              <w:left w:val="nil"/>
              <w:bottom w:val="single" w:sz="4" w:space="0" w:color="auto"/>
              <w:right w:val="nil"/>
            </w:tcBorders>
            <w:shd w:val="clear" w:color="000000" w:fill="F5DADD"/>
            <w:noWrap/>
            <w:vAlign w:val="center"/>
            <w:hideMark/>
          </w:tcPr>
          <w:p w14:paraId="23BD546F" w14:textId="6B129C6A" w:rsidR="00095759" w:rsidRPr="00166BEB" w:rsidRDefault="00095759" w:rsidP="00095759">
            <w:pPr>
              <w:spacing w:after="0" w:line="240" w:lineRule="auto"/>
              <w:jc w:val="center"/>
              <w:rPr>
                <w:rFonts w:cs="Arial"/>
                <w:sz w:val="16"/>
                <w:szCs w:val="16"/>
                <w:highlight w:val="yellow"/>
              </w:rPr>
            </w:pPr>
            <w:r>
              <w:rPr>
                <w:rFonts w:cs="Arial"/>
                <w:sz w:val="16"/>
                <w:szCs w:val="16"/>
              </w:rPr>
              <w:t>2018</w:t>
            </w:r>
          </w:p>
        </w:tc>
        <w:tc>
          <w:tcPr>
            <w:tcW w:w="822" w:type="dxa"/>
            <w:tcBorders>
              <w:top w:val="single" w:sz="4" w:space="0" w:color="000000"/>
              <w:left w:val="nil"/>
              <w:bottom w:val="single" w:sz="4" w:space="0" w:color="auto"/>
              <w:right w:val="nil"/>
            </w:tcBorders>
            <w:shd w:val="clear" w:color="000000" w:fill="F5DADD"/>
            <w:noWrap/>
            <w:vAlign w:val="center"/>
            <w:hideMark/>
          </w:tcPr>
          <w:p w14:paraId="315CFB38" w14:textId="6E00F035" w:rsidR="00095759" w:rsidRPr="00166BEB" w:rsidRDefault="00095759" w:rsidP="00095759">
            <w:pPr>
              <w:spacing w:after="0" w:line="240" w:lineRule="auto"/>
              <w:jc w:val="center"/>
              <w:rPr>
                <w:rFonts w:cs="Arial"/>
                <w:sz w:val="16"/>
                <w:szCs w:val="16"/>
                <w:highlight w:val="yellow"/>
              </w:rPr>
            </w:pPr>
            <w:r>
              <w:rPr>
                <w:rFonts w:cs="Arial"/>
                <w:sz w:val="16"/>
                <w:szCs w:val="16"/>
              </w:rPr>
              <w:t>2019</w:t>
            </w:r>
          </w:p>
        </w:tc>
        <w:tc>
          <w:tcPr>
            <w:tcW w:w="822" w:type="dxa"/>
            <w:tcBorders>
              <w:top w:val="single" w:sz="4" w:space="0" w:color="000000"/>
              <w:left w:val="nil"/>
              <w:bottom w:val="single" w:sz="4" w:space="0" w:color="auto"/>
              <w:right w:val="nil"/>
            </w:tcBorders>
            <w:shd w:val="clear" w:color="000000" w:fill="F5DADD"/>
            <w:vAlign w:val="center"/>
          </w:tcPr>
          <w:p w14:paraId="3C526EAC" w14:textId="1E7E986C" w:rsidR="00095759" w:rsidRDefault="00095759" w:rsidP="00095759">
            <w:pPr>
              <w:spacing w:after="0" w:line="240" w:lineRule="auto"/>
              <w:jc w:val="center"/>
              <w:rPr>
                <w:rFonts w:cs="Arial"/>
                <w:sz w:val="16"/>
                <w:szCs w:val="16"/>
              </w:rPr>
            </w:pPr>
            <w:r>
              <w:rPr>
                <w:rFonts w:cs="Arial"/>
                <w:sz w:val="16"/>
                <w:szCs w:val="16"/>
              </w:rPr>
              <w:t>2020</w:t>
            </w:r>
          </w:p>
        </w:tc>
      </w:tr>
      <w:tr w:rsidR="00095759" w:rsidRPr="00166BEB" w14:paraId="0216F360" w14:textId="19C274ED" w:rsidTr="00095759">
        <w:trPr>
          <w:trHeight w:val="300"/>
        </w:trPr>
        <w:tc>
          <w:tcPr>
            <w:tcW w:w="0" w:type="auto"/>
            <w:tcBorders>
              <w:top w:val="nil"/>
              <w:left w:val="nil"/>
              <w:bottom w:val="nil"/>
              <w:right w:val="nil"/>
            </w:tcBorders>
            <w:shd w:val="clear" w:color="auto" w:fill="auto"/>
            <w:noWrap/>
            <w:vAlign w:val="center"/>
            <w:hideMark/>
          </w:tcPr>
          <w:p w14:paraId="44276311" w14:textId="2C61035B" w:rsidR="00095759" w:rsidRPr="00166BEB" w:rsidRDefault="00095759" w:rsidP="00095759">
            <w:pPr>
              <w:spacing w:after="0" w:line="240" w:lineRule="auto"/>
              <w:rPr>
                <w:rFonts w:cs="Arial"/>
                <w:b/>
                <w:bCs/>
                <w:sz w:val="16"/>
                <w:szCs w:val="16"/>
                <w:highlight w:val="yellow"/>
              </w:rPr>
            </w:pPr>
            <w:r>
              <w:rPr>
                <w:rFonts w:cs="Arial"/>
                <w:b/>
                <w:bCs/>
                <w:sz w:val="16"/>
                <w:szCs w:val="16"/>
              </w:rPr>
              <w:t>EU27</w:t>
            </w:r>
          </w:p>
        </w:tc>
        <w:tc>
          <w:tcPr>
            <w:tcW w:w="822" w:type="dxa"/>
            <w:tcBorders>
              <w:top w:val="nil"/>
              <w:left w:val="single" w:sz="4" w:space="0" w:color="000000"/>
              <w:bottom w:val="nil"/>
              <w:right w:val="nil"/>
            </w:tcBorders>
            <w:shd w:val="clear" w:color="auto" w:fill="auto"/>
            <w:noWrap/>
            <w:vAlign w:val="center"/>
            <w:hideMark/>
          </w:tcPr>
          <w:p w14:paraId="36105F0A" w14:textId="12CFFBD0" w:rsidR="00095759" w:rsidRPr="00166BEB" w:rsidRDefault="00095759" w:rsidP="00095759">
            <w:pPr>
              <w:spacing w:after="0" w:line="240" w:lineRule="auto"/>
              <w:jc w:val="right"/>
              <w:rPr>
                <w:rFonts w:cs="Arial"/>
                <w:b/>
                <w:bCs/>
                <w:sz w:val="16"/>
                <w:szCs w:val="16"/>
                <w:highlight w:val="yellow"/>
              </w:rPr>
            </w:pPr>
            <w:r>
              <w:rPr>
                <w:rFonts w:cs="Arial"/>
                <w:b/>
                <w:bCs/>
                <w:sz w:val="16"/>
                <w:szCs w:val="16"/>
              </w:rPr>
              <w:t>2 029,4</w:t>
            </w:r>
          </w:p>
        </w:tc>
        <w:tc>
          <w:tcPr>
            <w:tcW w:w="822" w:type="dxa"/>
            <w:tcBorders>
              <w:top w:val="nil"/>
              <w:left w:val="nil"/>
              <w:bottom w:val="nil"/>
              <w:right w:val="nil"/>
            </w:tcBorders>
            <w:shd w:val="clear" w:color="auto" w:fill="auto"/>
            <w:noWrap/>
            <w:vAlign w:val="center"/>
            <w:hideMark/>
          </w:tcPr>
          <w:p w14:paraId="2D1AD0A2" w14:textId="14CA3AC3"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1 862,4</w:t>
            </w:r>
          </w:p>
        </w:tc>
        <w:tc>
          <w:tcPr>
            <w:tcW w:w="822" w:type="dxa"/>
            <w:tcBorders>
              <w:top w:val="nil"/>
              <w:left w:val="nil"/>
              <w:bottom w:val="nil"/>
              <w:right w:val="nil"/>
            </w:tcBorders>
            <w:shd w:val="clear" w:color="auto" w:fill="auto"/>
            <w:noWrap/>
            <w:vAlign w:val="center"/>
            <w:hideMark/>
          </w:tcPr>
          <w:p w14:paraId="78C2B40F" w14:textId="1B39B577"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1 815,8</w:t>
            </w:r>
          </w:p>
        </w:tc>
        <w:tc>
          <w:tcPr>
            <w:tcW w:w="822" w:type="dxa"/>
            <w:tcBorders>
              <w:top w:val="nil"/>
              <w:left w:val="nil"/>
              <w:bottom w:val="nil"/>
              <w:right w:val="nil"/>
            </w:tcBorders>
            <w:shd w:val="clear" w:color="auto" w:fill="auto"/>
            <w:noWrap/>
            <w:vAlign w:val="center"/>
            <w:hideMark/>
          </w:tcPr>
          <w:p w14:paraId="6082A227" w14:textId="078FA631"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1 768,5</w:t>
            </w:r>
          </w:p>
        </w:tc>
        <w:tc>
          <w:tcPr>
            <w:tcW w:w="822" w:type="dxa"/>
            <w:tcBorders>
              <w:top w:val="nil"/>
              <w:left w:val="nil"/>
              <w:bottom w:val="nil"/>
              <w:right w:val="nil"/>
            </w:tcBorders>
            <w:shd w:val="clear" w:color="auto" w:fill="auto"/>
            <w:noWrap/>
            <w:vAlign w:val="center"/>
            <w:hideMark/>
          </w:tcPr>
          <w:p w14:paraId="0E939201" w14:textId="41E2EFC4"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1 761,9</w:t>
            </w:r>
          </w:p>
        </w:tc>
        <w:tc>
          <w:tcPr>
            <w:tcW w:w="822" w:type="dxa"/>
            <w:tcBorders>
              <w:top w:val="nil"/>
              <w:left w:val="nil"/>
              <w:bottom w:val="nil"/>
              <w:right w:val="nil"/>
            </w:tcBorders>
            <w:shd w:val="clear" w:color="auto" w:fill="auto"/>
            <w:noWrap/>
            <w:vAlign w:val="center"/>
            <w:hideMark/>
          </w:tcPr>
          <w:p w14:paraId="4E54F00D" w14:textId="56BD99AC"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1 772,4</w:t>
            </w:r>
          </w:p>
        </w:tc>
        <w:tc>
          <w:tcPr>
            <w:tcW w:w="822" w:type="dxa"/>
            <w:tcBorders>
              <w:top w:val="nil"/>
              <w:left w:val="nil"/>
              <w:bottom w:val="nil"/>
              <w:right w:val="nil"/>
            </w:tcBorders>
            <w:shd w:val="clear" w:color="auto" w:fill="auto"/>
            <w:noWrap/>
            <w:vAlign w:val="center"/>
            <w:hideMark/>
          </w:tcPr>
          <w:p w14:paraId="2B8A0BB3" w14:textId="71FB0891"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1 801,0</w:t>
            </w:r>
          </w:p>
        </w:tc>
        <w:tc>
          <w:tcPr>
            <w:tcW w:w="822" w:type="dxa"/>
            <w:tcBorders>
              <w:top w:val="nil"/>
              <w:left w:val="nil"/>
              <w:bottom w:val="nil"/>
              <w:right w:val="nil"/>
            </w:tcBorders>
            <w:shd w:val="clear" w:color="auto" w:fill="auto"/>
            <w:noWrap/>
            <w:vAlign w:val="center"/>
            <w:hideMark/>
          </w:tcPr>
          <w:p w14:paraId="69EF97DC" w14:textId="6A74B761"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1 768,9</w:t>
            </w:r>
          </w:p>
        </w:tc>
        <w:tc>
          <w:tcPr>
            <w:tcW w:w="822" w:type="dxa"/>
            <w:tcBorders>
              <w:top w:val="nil"/>
              <w:left w:val="nil"/>
              <w:bottom w:val="nil"/>
              <w:right w:val="nil"/>
            </w:tcBorders>
            <w:shd w:val="clear" w:color="auto" w:fill="auto"/>
            <w:noWrap/>
            <w:vAlign w:val="center"/>
            <w:hideMark/>
          </w:tcPr>
          <w:p w14:paraId="27A1B7DA" w14:textId="543054DA" w:rsidR="00095759" w:rsidRPr="00166BEB" w:rsidRDefault="00095759" w:rsidP="00095759">
            <w:pPr>
              <w:spacing w:after="0" w:line="240" w:lineRule="auto"/>
              <w:jc w:val="right"/>
              <w:rPr>
                <w:rFonts w:cs="Arial"/>
                <w:b/>
                <w:bCs/>
                <w:sz w:val="16"/>
                <w:szCs w:val="16"/>
                <w:highlight w:val="yellow"/>
              </w:rPr>
            </w:pPr>
            <w:r>
              <w:rPr>
                <w:rFonts w:cs="Arial"/>
                <w:b/>
                <w:bCs/>
                <w:sz w:val="16"/>
                <w:szCs w:val="16"/>
              </w:rPr>
              <w:t>1 712,5</w:t>
            </w:r>
          </w:p>
        </w:tc>
        <w:tc>
          <w:tcPr>
            <w:tcW w:w="822" w:type="dxa"/>
            <w:tcBorders>
              <w:top w:val="nil"/>
              <w:left w:val="nil"/>
              <w:bottom w:val="nil"/>
              <w:right w:val="nil"/>
            </w:tcBorders>
            <w:shd w:val="clear" w:color="auto" w:fill="D9D9D9"/>
            <w:vAlign w:val="center"/>
          </w:tcPr>
          <w:p w14:paraId="7D70E417" w14:textId="79AA26B2" w:rsidR="00095759" w:rsidRDefault="00095759" w:rsidP="00095759">
            <w:pPr>
              <w:spacing w:after="0" w:line="240" w:lineRule="auto"/>
              <w:jc w:val="right"/>
              <w:rPr>
                <w:rFonts w:cs="Arial"/>
                <w:b/>
                <w:bCs/>
                <w:sz w:val="16"/>
                <w:szCs w:val="16"/>
              </w:rPr>
            </w:pPr>
            <w:r>
              <w:rPr>
                <w:rFonts w:cs="Arial"/>
                <w:b/>
                <w:bCs/>
                <w:sz w:val="16"/>
                <w:szCs w:val="16"/>
              </w:rPr>
              <w:t>1 466,3</w:t>
            </w:r>
          </w:p>
        </w:tc>
        <w:tc>
          <w:tcPr>
            <w:tcW w:w="675" w:type="dxa"/>
            <w:tcBorders>
              <w:top w:val="nil"/>
              <w:left w:val="nil"/>
              <w:bottom w:val="nil"/>
              <w:right w:val="nil"/>
            </w:tcBorders>
          </w:tcPr>
          <w:p w14:paraId="540C64DD" w14:textId="416C93DA" w:rsidR="00095759" w:rsidRDefault="00095759" w:rsidP="00095759">
            <w:pPr>
              <w:spacing w:after="0" w:line="240" w:lineRule="auto"/>
              <w:jc w:val="right"/>
              <w:rPr>
                <w:rFonts w:cs="Arial"/>
                <w:b/>
                <w:bCs/>
                <w:sz w:val="16"/>
                <w:szCs w:val="16"/>
              </w:rPr>
            </w:pPr>
          </w:p>
        </w:tc>
      </w:tr>
      <w:tr w:rsidR="00095759" w:rsidRPr="00166BEB" w14:paraId="0F69064E" w14:textId="7A865809" w:rsidTr="00095759">
        <w:trPr>
          <w:trHeight w:val="300"/>
        </w:trPr>
        <w:tc>
          <w:tcPr>
            <w:tcW w:w="0" w:type="auto"/>
            <w:tcBorders>
              <w:top w:val="nil"/>
              <w:left w:val="nil"/>
              <w:bottom w:val="nil"/>
              <w:right w:val="nil"/>
            </w:tcBorders>
            <w:shd w:val="clear" w:color="auto" w:fill="auto"/>
            <w:noWrap/>
            <w:vAlign w:val="center"/>
            <w:hideMark/>
          </w:tcPr>
          <w:p w14:paraId="458360CC" w14:textId="30D8499B"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Belgie</w:t>
            </w:r>
          </w:p>
        </w:tc>
        <w:tc>
          <w:tcPr>
            <w:tcW w:w="822" w:type="dxa"/>
            <w:tcBorders>
              <w:top w:val="nil"/>
              <w:left w:val="single" w:sz="4" w:space="0" w:color="000000"/>
              <w:bottom w:val="nil"/>
              <w:right w:val="nil"/>
            </w:tcBorders>
            <w:shd w:val="clear" w:color="auto" w:fill="auto"/>
            <w:noWrap/>
            <w:vAlign w:val="center"/>
            <w:hideMark/>
          </w:tcPr>
          <w:p w14:paraId="5C25516B" w14:textId="4F46CAB6" w:rsidR="00095759" w:rsidRPr="00166BEB" w:rsidRDefault="00095759" w:rsidP="00095759">
            <w:pPr>
              <w:spacing w:after="0" w:line="240" w:lineRule="auto"/>
              <w:jc w:val="right"/>
              <w:rPr>
                <w:rFonts w:cs="Arial"/>
                <w:sz w:val="16"/>
                <w:szCs w:val="16"/>
                <w:highlight w:val="yellow"/>
              </w:rPr>
            </w:pPr>
            <w:r>
              <w:rPr>
                <w:rFonts w:cs="Arial"/>
                <w:sz w:val="16"/>
                <w:szCs w:val="16"/>
              </w:rPr>
              <w:t>2 523,4</w:t>
            </w:r>
          </w:p>
        </w:tc>
        <w:tc>
          <w:tcPr>
            <w:tcW w:w="822" w:type="dxa"/>
            <w:tcBorders>
              <w:top w:val="nil"/>
              <w:left w:val="nil"/>
              <w:bottom w:val="nil"/>
              <w:right w:val="nil"/>
            </w:tcBorders>
            <w:shd w:val="clear" w:color="auto" w:fill="auto"/>
            <w:noWrap/>
            <w:vAlign w:val="center"/>
            <w:hideMark/>
          </w:tcPr>
          <w:p w14:paraId="1EB16884" w14:textId="25DE9CA0" w:rsidR="00095759" w:rsidRPr="00166BEB" w:rsidRDefault="00095759" w:rsidP="00095759">
            <w:pPr>
              <w:spacing w:after="0" w:line="240" w:lineRule="auto"/>
              <w:jc w:val="right"/>
              <w:rPr>
                <w:rFonts w:cs="Arial"/>
                <w:sz w:val="16"/>
                <w:szCs w:val="16"/>
                <w:highlight w:val="yellow"/>
              </w:rPr>
            </w:pPr>
            <w:r>
              <w:rPr>
                <w:rFonts w:cs="Arial"/>
                <w:sz w:val="16"/>
                <w:szCs w:val="16"/>
              </w:rPr>
              <w:t>2 197,3</w:t>
            </w:r>
          </w:p>
        </w:tc>
        <w:tc>
          <w:tcPr>
            <w:tcW w:w="822" w:type="dxa"/>
            <w:tcBorders>
              <w:top w:val="nil"/>
              <w:left w:val="nil"/>
              <w:bottom w:val="nil"/>
              <w:right w:val="nil"/>
            </w:tcBorders>
            <w:shd w:val="clear" w:color="auto" w:fill="auto"/>
            <w:noWrap/>
            <w:vAlign w:val="center"/>
            <w:hideMark/>
          </w:tcPr>
          <w:p w14:paraId="17033FFC" w14:textId="64CB1B94" w:rsidR="00095759" w:rsidRPr="00166BEB" w:rsidRDefault="00095759" w:rsidP="00095759">
            <w:pPr>
              <w:spacing w:after="0" w:line="240" w:lineRule="auto"/>
              <w:jc w:val="right"/>
              <w:rPr>
                <w:rFonts w:cs="Arial"/>
                <w:sz w:val="16"/>
                <w:szCs w:val="16"/>
                <w:highlight w:val="yellow"/>
              </w:rPr>
            </w:pPr>
            <w:r>
              <w:rPr>
                <w:rFonts w:cs="Arial"/>
                <w:sz w:val="16"/>
                <w:szCs w:val="16"/>
              </w:rPr>
              <w:t>2 147,3</w:t>
            </w:r>
          </w:p>
        </w:tc>
        <w:tc>
          <w:tcPr>
            <w:tcW w:w="822" w:type="dxa"/>
            <w:tcBorders>
              <w:top w:val="nil"/>
              <w:left w:val="nil"/>
              <w:bottom w:val="nil"/>
              <w:right w:val="nil"/>
            </w:tcBorders>
            <w:shd w:val="clear" w:color="000000" w:fill="D9D9D9"/>
            <w:noWrap/>
            <w:vAlign w:val="center"/>
            <w:hideMark/>
          </w:tcPr>
          <w:p w14:paraId="72BA6A94" w14:textId="667F7C45" w:rsidR="00095759" w:rsidRPr="00166BEB" w:rsidRDefault="00095759" w:rsidP="00095759">
            <w:pPr>
              <w:spacing w:after="0" w:line="240" w:lineRule="auto"/>
              <w:jc w:val="right"/>
              <w:rPr>
                <w:rFonts w:cs="Arial"/>
                <w:sz w:val="16"/>
                <w:szCs w:val="16"/>
                <w:highlight w:val="yellow"/>
              </w:rPr>
            </w:pPr>
            <w:r>
              <w:rPr>
                <w:rFonts w:cs="Arial"/>
                <w:sz w:val="16"/>
                <w:szCs w:val="16"/>
              </w:rPr>
              <w:t>1 724,4</w:t>
            </w:r>
          </w:p>
        </w:tc>
        <w:tc>
          <w:tcPr>
            <w:tcW w:w="822" w:type="dxa"/>
            <w:tcBorders>
              <w:top w:val="nil"/>
              <w:left w:val="nil"/>
              <w:bottom w:val="nil"/>
              <w:right w:val="nil"/>
            </w:tcBorders>
            <w:shd w:val="clear" w:color="auto" w:fill="auto"/>
            <w:noWrap/>
            <w:vAlign w:val="center"/>
            <w:hideMark/>
          </w:tcPr>
          <w:p w14:paraId="7497AD45" w14:textId="03D5BA20" w:rsidR="00095759" w:rsidRPr="00166BEB" w:rsidRDefault="00095759" w:rsidP="00095759">
            <w:pPr>
              <w:spacing w:after="0" w:line="240" w:lineRule="auto"/>
              <w:jc w:val="right"/>
              <w:rPr>
                <w:rFonts w:cs="Arial"/>
                <w:sz w:val="16"/>
                <w:szCs w:val="16"/>
                <w:highlight w:val="yellow"/>
              </w:rPr>
            </w:pPr>
            <w:r>
              <w:rPr>
                <w:rFonts w:cs="Arial"/>
                <w:sz w:val="16"/>
                <w:szCs w:val="16"/>
              </w:rPr>
              <w:t>1 518,6</w:t>
            </w:r>
          </w:p>
        </w:tc>
        <w:tc>
          <w:tcPr>
            <w:tcW w:w="822" w:type="dxa"/>
            <w:tcBorders>
              <w:top w:val="nil"/>
              <w:left w:val="nil"/>
              <w:bottom w:val="nil"/>
              <w:right w:val="nil"/>
            </w:tcBorders>
            <w:shd w:val="clear" w:color="auto" w:fill="auto"/>
            <w:noWrap/>
            <w:vAlign w:val="center"/>
            <w:hideMark/>
          </w:tcPr>
          <w:p w14:paraId="79DF137E" w14:textId="1BD72A96" w:rsidR="00095759" w:rsidRPr="00166BEB" w:rsidRDefault="00095759" w:rsidP="00095759">
            <w:pPr>
              <w:spacing w:after="0" w:line="240" w:lineRule="auto"/>
              <w:jc w:val="right"/>
              <w:rPr>
                <w:rFonts w:cs="Arial"/>
                <w:sz w:val="16"/>
                <w:szCs w:val="16"/>
                <w:highlight w:val="yellow"/>
              </w:rPr>
            </w:pPr>
            <w:r>
              <w:rPr>
                <w:rFonts w:cs="Arial"/>
                <w:sz w:val="16"/>
                <w:szCs w:val="16"/>
              </w:rPr>
              <w:t>1 972,2</w:t>
            </w:r>
          </w:p>
        </w:tc>
        <w:tc>
          <w:tcPr>
            <w:tcW w:w="822" w:type="dxa"/>
            <w:tcBorders>
              <w:top w:val="nil"/>
              <w:left w:val="nil"/>
              <w:bottom w:val="nil"/>
              <w:right w:val="nil"/>
            </w:tcBorders>
            <w:shd w:val="clear" w:color="auto" w:fill="auto"/>
            <w:noWrap/>
            <w:vAlign w:val="center"/>
            <w:hideMark/>
          </w:tcPr>
          <w:p w14:paraId="7DFBCA79" w14:textId="3DAA36F8" w:rsidR="00095759" w:rsidRPr="00166BEB" w:rsidRDefault="00095759" w:rsidP="00095759">
            <w:pPr>
              <w:spacing w:after="0" w:line="240" w:lineRule="auto"/>
              <w:jc w:val="right"/>
              <w:rPr>
                <w:rFonts w:cs="Arial"/>
                <w:sz w:val="16"/>
                <w:szCs w:val="16"/>
                <w:highlight w:val="yellow"/>
              </w:rPr>
            </w:pPr>
            <w:r>
              <w:rPr>
                <w:rFonts w:cs="Arial"/>
                <w:sz w:val="16"/>
                <w:szCs w:val="16"/>
              </w:rPr>
              <w:t>1 946,3</w:t>
            </w:r>
          </w:p>
        </w:tc>
        <w:tc>
          <w:tcPr>
            <w:tcW w:w="822" w:type="dxa"/>
            <w:tcBorders>
              <w:top w:val="nil"/>
              <w:left w:val="nil"/>
              <w:bottom w:val="nil"/>
              <w:right w:val="nil"/>
            </w:tcBorders>
            <w:shd w:val="clear" w:color="auto" w:fill="auto"/>
            <w:noWrap/>
            <w:vAlign w:val="center"/>
            <w:hideMark/>
          </w:tcPr>
          <w:p w14:paraId="3F936DFB" w14:textId="4897D0C1" w:rsidR="00095759" w:rsidRPr="00166BEB" w:rsidRDefault="00095759" w:rsidP="00095759">
            <w:pPr>
              <w:spacing w:after="0" w:line="240" w:lineRule="auto"/>
              <w:jc w:val="right"/>
              <w:rPr>
                <w:rFonts w:cs="Arial"/>
                <w:sz w:val="16"/>
                <w:szCs w:val="16"/>
                <w:highlight w:val="yellow"/>
              </w:rPr>
            </w:pPr>
            <w:r>
              <w:rPr>
                <w:rFonts w:cs="Arial"/>
                <w:sz w:val="16"/>
                <w:szCs w:val="16"/>
              </w:rPr>
              <w:t>1 866,3</w:t>
            </w:r>
          </w:p>
        </w:tc>
        <w:tc>
          <w:tcPr>
            <w:tcW w:w="822" w:type="dxa"/>
            <w:tcBorders>
              <w:top w:val="nil"/>
              <w:left w:val="nil"/>
              <w:bottom w:val="nil"/>
              <w:right w:val="nil"/>
            </w:tcBorders>
            <w:shd w:val="clear" w:color="auto" w:fill="auto"/>
            <w:noWrap/>
            <w:vAlign w:val="center"/>
            <w:hideMark/>
          </w:tcPr>
          <w:p w14:paraId="15EF10ED" w14:textId="6EE2D462" w:rsidR="00095759" w:rsidRPr="00166BEB" w:rsidRDefault="00095759" w:rsidP="00095759">
            <w:pPr>
              <w:spacing w:after="0" w:line="240" w:lineRule="auto"/>
              <w:jc w:val="right"/>
              <w:rPr>
                <w:rFonts w:cs="Arial"/>
                <w:sz w:val="16"/>
                <w:szCs w:val="16"/>
                <w:highlight w:val="yellow"/>
              </w:rPr>
            </w:pPr>
            <w:r>
              <w:rPr>
                <w:rFonts w:cs="Arial"/>
                <w:sz w:val="16"/>
                <w:szCs w:val="16"/>
              </w:rPr>
              <w:t>1 746,0</w:t>
            </w:r>
          </w:p>
        </w:tc>
        <w:tc>
          <w:tcPr>
            <w:tcW w:w="822" w:type="dxa"/>
            <w:tcBorders>
              <w:top w:val="nil"/>
              <w:left w:val="nil"/>
              <w:bottom w:val="nil"/>
              <w:right w:val="nil"/>
            </w:tcBorders>
            <w:shd w:val="clear" w:color="auto" w:fill="D9D9D9"/>
            <w:vAlign w:val="center"/>
          </w:tcPr>
          <w:p w14:paraId="504FAC87" w14:textId="0F9B751A" w:rsidR="00095759" w:rsidRDefault="00095759" w:rsidP="00095759">
            <w:pPr>
              <w:spacing w:after="0" w:line="240" w:lineRule="auto"/>
              <w:jc w:val="right"/>
              <w:rPr>
                <w:rFonts w:cs="Arial"/>
                <w:sz w:val="16"/>
                <w:szCs w:val="16"/>
              </w:rPr>
            </w:pPr>
            <w:r>
              <w:rPr>
                <w:rFonts w:cs="Arial"/>
                <w:sz w:val="16"/>
                <w:szCs w:val="16"/>
              </w:rPr>
              <w:t>1 503,4</w:t>
            </w:r>
          </w:p>
        </w:tc>
        <w:tc>
          <w:tcPr>
            <w:tcW w:w="675" w:type="dxa"/>
            <w:tcBorders>
              <w:top w:val="nil"/>
              <w:left w:val="nil"/>
              <w:bottom w:val="nil"/>
              <w:right w:val="nil"/>
            </w:tcBorders>
          </w:tcPr>
          <w:p w14:paraId="0EEC44BD" w14:textId="6EEB34A6" w:rsidR="00095759" w:rsidRDefault="00095759" w:rsidP="00095759">
            <w:pPr>
              <w:spacing w:after="0" w:line="240" w:lineRule="auto"/>
              <w:jc w:val="right"/>
              <w:rPr>
                <w:rFonts w:cs="Arial"/>
                <w:sz w:val="16"/>
                <w:szCs w:val="16"/>
              </w:rPr>
            </w:pPr>
          </w:p>
        </w:tc>
      </w:tr>
      <w:tr w:rsidR="00095759" w:rsidRPr="00166BEB" w14:paraId="203EFE35" w14:textId="1915B6B1" w:rsidTr="00095759">
        <w:trPr>
          <w:trHeight w:val="300"/>
        </w:trPr>
        <w:tc>
          <w:tcPr>
            <w:tcW w:w="0" w:type="auto"/>
            <w:tcBorders>
              <w:top w:val="nil"/>
              <w:left w:val="nil"/>
              <w:bottom w:val="nil"/>
              <w:right w:val="nil"/>
            </w:tcBorders>
            <w:shd w:val="clear" w:color="auto" w:fill="auto"/>
            <w:noWrap/>
            <w:vAlign w:val="center"/>
            <w:hideMark/>
          </w:tcPr>
          <w:p w14:paraId="4B238646" w14:textId="3E08459B"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Bulharsko</w:t>
            </w:r>
          </w:p>
        </w:tc>
        <w:tc>
          <w:tcPr>
            <w:tcW w:w="822" w:type="dxa"/>
            <w:tcBorders>
              <w:top w:val="nil"/>
              <w:left w:val="single" w:sz="4" w:space="0" w:color="000000"/>
              <w:bottom w:val="nil"/>
              <w:right w:val="nil"/>
            </w:tcBorders>
            <w:shd w:val="clear" w:color="auto" w:fill="auto"/>
            <w:noWrap/>
            <w:vAlign w:val="center"/>
            <w:hideMark/>
          </w:tcPr>
          <w:p w14:paraId="2CE2FE27" w14:textId="19C934AE" w:rsidR="00095759" w:rsidRPr="00166BEB" w:rsidRDefault="00095759" w:rsidP="00095759">
            <w:pPr>
              <w:spacing w:after="0" w:line="240" w:lineRule="auto"/>
              <w:jc w:val="right"/>
              <w:rPr>
                <w:rFonts w:cs="Arial"/>
                <w:sz w:val="16"/>
                <w:szCs w:val="16"/>
                <w:highlight w:val="yellow"/>
              </w:rPr>
            </w:pPr>
            <w:r>
              <w:rPr>
                <w:rFonts w:cs="Arial"/>
                <w:sz w:val="16"/>
                <w:szCs w:val="16"/>
              </w:rPr>
              <w:t>84,6</w:t>
            </w:r>
          </w:p>
        </w:tc>
        <w:tc>
          <w:tcPr>
            <w:tcW w:w="822" w:type="dxa"/>
            <w:tcBorders>
              <w:top w:val="nil"/>
              <w:left w:val="nil"/>
              <w:bottom w:val="nil"/>
              <w:right w:val="nil"/>
            </w:tcBorders>
            <w:shd w:val="clear" w:color="auto" w:fill="auto"/>
            <w:noWrap/>
            <w:vAlign w:val="center"/>
            <w:hideMark/>
          </w:tcPr>
          <w:p w14:paraId="1B3CE607" w14:textId="543AA2DA" w:rsidR="00095759" w:rsidRPr="00166BEB" w:rsidRDefault="00095759" w:rsidP="00095759">
            <w:pPr>
              <w:spacing w:after="0" w:line="240" w:lineRule="auto"/>
              <w:jc w:val="right"/>
              <w:rPr>
                <w:rFonts w:cs="Arial"/>
                <w:sz w:val="16"/>
                <w:szCs w:val="16"/>
                <w:highlight w:val="yellow"/>
              </w:rPr>
            </w:pPr>
            <w:r>
              <w:rPr>
                <w:rFonts w:cs="Arial"/>
                <w:sz w:val="16"/>
                <w:szCs w:val="16"/>
              </w:rPr>
              <w:t>84,9</w:t>
            </w:r>
          </w:p>
        </w:tc>
        <w:tc>
          <w:tcPr>
            <w:tcW w:w="822" w:type="dxa"/>
            <w:tcBorders>
              <w:top w:val="nil"/>
              <w:left w:val="nil"/>
              <w:bottom w:val="nil"/>
              <w:right w:val="nil"/>
            </w:tcBorders>
            <w:shd w:val="clear" w:color="auto" w:fill="auto"/>
            <w:noWrap/>
            <w:vAlign w:val="center"/>
            <w:hideMark/>
          </w:tcPr>
          <w:p w14:paraId="0A515571" w14:textId="08CA2D7C" w:rsidR="00095759" w:rsidRPr="00166BEB" w:rsidRDefault="00095759" w:rsidP="00095759">
            <w:pPr>
              <w:spacing w:after="0" w:line="240" w:lineRule="auto"/>
              <w:jc w:val="right"/>
              <w:rPr>
                <w:rFonts w:cs="Arial"/>
                <w:sz w:val="16"/>
                <w:szCs w:val="16"/>
                <w:highlight w:val="yellow"/>
              </w:rPr>
            </w:pPr>
            <w:r>
              <w:rPr>
                <w:rFonts w:cs="Arial"/>
                <w:sz w:val="16"/>
                <w:szCs w:val="16"/>
              </w:rPr>
              <w:t>79,7</w:t>
            </w:r>
          </w:p>
        </w:tc>
        <w:tc>
          <w:tcPr>
            <w:tcW w:w="822" w:type="dxa"/>
            <w:tcBorders>
              <w:top w:val="nil"/>
              <w:left w:val="nil"/>
              <w:bottom w:val="nil"/>
              <w:right w:val="nil"/>
            </w:tcBorders>
            <w:shd w:val="clear" w:color="auto" w:fill="auto"/>
            <w:noWrap/>
            <w:vAlign w:val="center"/>
            <w:hideMark/>
          </w:tcPr>
          <w:p w14:paraId="6D477AAF" w14:textId="5749C1AB" w:rsidR="00095759" w:rsidRPr="00166BEB" w:rsidRDefault="00095759" w:rsidP="00095759">
            <w:pPr>
              <w:spacing w:after="0" w:line="240" w:lineRule="auto"/>
              <w:jc w:val="right"/>
              <w:rPr>
                <w:rFonts w:cs="Arial"/>
                <w:sz w:val="16"/>
                <w:szCs w:val="16"/>
                <w:highlight w:val="yellow"/>
              </w:rPr>
            </w:pPr>
            <w:r>
              <w:rPr>
                <w:rFonts w:cs="Arial"/>
                <w:sz w:val="16"/>
                <w:szCs w:val="16"/>
              </w:rPr>
              <w:t>82,5</w:t>
            </w:r>
          </w:p>
        </w:tc>
        <w:tc>
          <w:tcPr>
            <w:tcW w:w="822" w:type="dxa"/>
            <w:tcBorders>
              <w:top w:val="nil"/>
              <w:left w:val="nil"/>
              <w:bottom w:val="nil"/>
              <w:right w:val="nil"/>
            </w:tcBorders>
            <w:shd w:val="clear" w:color="auto" w:fill="auto"/>
            <w:noWrap/>
            <w:vAlign w:val="center"/>
            <w:hideMark/>
          </w:tcPr>
          <w:p w14:paraId="6A3A72F9" w14:textId="2CEE25DB" w:rsidR="00095759" w:rsidRPr="00166BEB" w:rsidRDefault="00095759" w:rsidP="00095759">
            <w:pPr>
              <w:spacing w:after="0" w:line="240" w:lineRule="auto"/>
              <w:jc w:val="right"/>
              <w:rPr>
                <w:rFonts w:cs="Arial"/>
                <w:sz w:val="16"/>
                <w:szCs w:val="16"/>
                <w:highlight w:val="yellow"/>
              </w:rPr>
            </w:pPr>
            <w:r>
              <w:rPr>
                <w:rFonts w:cs="Arial"/>
                <w:sz w:val="16"/>
                <w:szCs w:val="16"/>
              </w:rPr>
              <w:t>82,8</w:t>
            </w:r>
          </w:p>
        </w:tc>
        <w:tc>
          <w:tcPr>
            <w:tcW w:w="822" w:type="dxa"/>
            <w:tcBorders>
              <w:top w:val="nil"/>
              <w:left w:val="nil"/>
              <w:bottom w:val="nil"/>
              <w:right w:val="nil"/>
            </w:tcBorders>
            <w:shd w:val="clear" w:color="auto" w:fill="auto"/>
            <w:noWrap/>
            <w:vAlign w:val="center"/>
            <w:hideMark/>
          </w:tcPr>
          <w:p w14:paraId="5F59ADC5" w14:textId="72284BD7" w:rsidR="00095759" w:rsidRPr="00166BEB" w:rsidRDefault="00095759" w:rsidP="00095759">
            <w:pPr>
              <w:spacing w:after="0" w:line="240" w:lineRule="auto"/>
              <w:jc w:val="right"/>
              <w:rPr>
                <w:rFonts w:cs="Arial"/>
                <w:sz w:val="16"/>
                <w:szCs w:val="16"/>
                <w:highlight w:val="yellow"/>
              </w:rPr>
            </w:pPr>
            <w:r>
              <w:rPr>
                <w:rFonts w:cs="Arial"/>
                <w:sz w:val="16"/>
                <w:szCs w:val="16"/>
              </w:rPr>
              <w:t>76,0</w:t>
            </w:r>
          </w:p>
        </w:tc>
        <w:tc>
          <w:tcPr>
            <w:tcW w:w="822" w:type="dxa"/>
            <w:tcBorders>
              <w:top w:val="nil"/>
              <w:left w:val="nil"/>
              <w:bottom w:val="nil"/>
              <w:right w:val="nil"/>
            </w:tcBorders>
            <w:shd w:val="clear" w:color="auto" w:fill="auto"/>
            <w:noWrap/>
            <w:vAlign w:val="center"/>
            <w:hideMark/>
          </w:tcPr>
          <w:p w14:paraId="0E6C4D50" w14:textId="05CC8F8D" w:rsidR="00095759" w:rsidRPr="00166BEB" w:rsidRDefault="00095759" w:rsidP="00095759">
            <w:pPr>
              <w:spacing w:after="0" w:line="240" w:lineRule="auto"/>
              <w:jc w:val="right"/>
              <w:rPr>
                <w:rFonts w:cs="Arial"/>
                <w:sz w:val="16"/>
                <w:szCs w:val="16"/>
                <w:highlight w:val="yellow"/>
              </w:rPr>
            </w:pPr>
            <w:r>
              <w:rPr>
                <w:rFonts w:cs="Arial"/>
                <w:sz w:val="16"/>
                <w:szCs w:val="16"/>
              </w:rPr>
              <w:t>79,0</w:t>
            </w:r>
          </w:p>
        </w:tc>
        <w:tc>
          <w:tcPr>
            <w:tcW w:w="822" w:type="dxa"/>
            <w:tcBorders>
              <w:top w:val="nil"/>
              <w:left w:val="nil"/>
              <w:bottom w:val="nil"/>
              <w:right w:val="nil"/>
            </w:tcBorders>
            <w:shd w:val="clear" w:color="auto" w:fill="auto"/>
            <w:noWrap/>
            <w:vAlign w:val="center"/>
            <w:hideMark/>
          </w:tcPr>
          <w:p w14:paraId="6BDEBB5E" w14:textId="420FF911" w:rsidR="00095759" w:rsidRPr="00166BEB" w:rsidRDefault="00095759" w:rsidP="00095759">
            <w:pPr>
              <w:spacing w:after="0" w:line="240" w:lineRule="auto"/>
              <w:jc w:val="right"/>
              <w:rPr>
                <w:rFonts w:cs="Arial"/>
                <w:sz w:val="16"/>
                <w:szCs w:val="16"/>
                <w:highlight w:val="yellow"/>
              </w:rPr>
            </w:pPr>
            <w:r>
              <w:rPr>
                <w:rFonts w:cs="Arial"/>
                <w:sz w:val="16"/>
                <w:szCs w:val="16"/>
              </w:rPr>
              <w:t>77,7</w:t>
            </w:r>
          </w:p>
        </w:tc>
        <w:tc>
          <w:tcPr>
            <w:tcW w:w="822" w:type="dxa"/>
            <w:tcBorders>
              <w:top w:val="nil"/>
              <w:left w:val="nil"/>
              <w:bottom w:val="nil"/>
              <w:right w:val="nil"/>
            </w:tcBorders>
            <w:shd w:val="clear" w:color="auto" w:fill="auto"/>
            <w:noWrap/>
            <w:vAlign w:val="center"/>
            <w:hideMark/>
          </w:tcPr>
          <w:p w14:paraId="5AC70606" w14:textId="2A3FCD95" w:rsidR="00095759" w:rsidRPr="00166BEB" w:rsidRDefault="00095759" w:rsidP="00095759">
            <w:pPr>
              <w:spacing w:after="0" w:line="240" w:lineRule="auto"/>
              <w:jc w:val="right"/>
              <w:rPr>
                <w:rFonts w:cs="Arial"/>
                <w:sz w:val="16"/>
                <w:szCs w:val="16"/>
                <w:highlight w:val="yellow"/>
              </w:rPr>
            </w:pPr>
            <w:r>
              <w:rPr>
                <w:rFonts w:cs="Arial"/>
                <w:sz w:val="16"/>
                <w:szCs w:val="16"/>
              </w:rPr>
              <w:t>83,1</w:t>
            </w:r>
          </w:p>
        </w:tc>
        <w:tc>
          <w:tcPr>
            <w:tcW w:w="822" w:type="dxa"/>
            <w:tcBorders>
              <w:top w:val="nil"/>
              <w:left w:val="nil"/>
              <w:bottom w:val="nil"/>
              <w:right w:val="nil"/>
            </w:tcBorders>
            <w:shd w:val="clear" w:color="auto" w:fill="D9D9D9"/>
            <w:vAlign w:val="center"/>
          </w:tcPr>
          <w:p w14:paraId="178653CE" w14:textId="59E8126D" w:rsidR="00095759" w:rsidRDefault="00095759" w:rsidP="00095759">
            <w:pPr>
              <w:spacing w:after="0" w:line="240" w:lineRule="auto"/>
              <w:jc w:val="right"/>
              <w:rPr>
                <w:rFonts w:cs="Arial"/>
                <w:sz w:val="16"/>
                <w:szCs w:val="16"/>
              </w:rPr>
            </w:pPr>
            <w:r>
              <w:rPr>
                <w:rFonts w:cs="Arial"/>
                <w:sz w:val="16"/>
                <w:szCs w:val="16"/>
              </w:rPr>
              <w:t>76,8</w:t>
            </w:r>
          </w:p>
        </w:tc>
        <w:tc>
          <w:tcPr>
            <w:tcW w:w="675" w:type="dxa"/>
            <w:tcBorders>
              <w:top w:val="nil"/>
              <w:left w:val="nil"/>
              <w:bottom w:val="nil"/>
              <w:right w:val="nil"/>
            </w:tcBorders>
          </w:tcPr>
          <w:p w14:paraId="710E6855" w14:textId="1B9AAA5C" w:rsidR="00095759" w:rsidRDefault="00095759" w:rsidP="00095759">
            <w:pPr>
              <w:spacing w:after="0" w:line="240" w:lineRule="auto"/>
              <w:jc w:val="right"/>
              <w:rPr>
                <w:rFonts w:cs="Arial"/>
                <w:sz w:val="16"/>
                <w:szCs w:val="16"/>
              </w:rPr>
            </w:pPr>
          </w:p>
        </w:tc>
      </w:tr>
      <w:tr w:rsidR="00095759" w:rsidRPr="00166BEB" w14:paraId="3DC9E59B" w14:textId="50C58262" w:rsidTr="00095759">
        <w:trPr>
          <w:trHeight w:val="300"/>
        </w:trPr>
        <w:tc>
          <w:tcPr>
            <w:tcW w:w="0" w:type="auto"/>
            <w:tcBorders>
              <w:top w:val="nil"/>
              <w:left w:val="nil"/>
              <w:bottom w:val="nil"/>
              <w:right w:val="nil"/>
            </w:tcBorders>
            <w:shd w:val="clear" w:color="auto" w:fill="auto"/>
            <w:noWrap/>
            <w:vAlign w:val="center"/>
            <w:hideMark/>
          </w:tcPr>
          <w:p w14:paraId="2BAAEB8E" w14:textId="669FE637" w:rsidR="00095759" w:rsidRPr="00166BEB" w:rsidRDefault="00095759" w:rsidP="00095759">
            <w:pPr>
              <w:spacing w:after="0" w:line="240" w:lineRule="auto"/>
              <w:ind w:firstLineChars="100" w:firstLine="160"/>
              <w:rPr>
                <w:rFonts w:cs="Arial"/>
                <w:b/>
                <w:bCs/>
                <w:sz w:val="16"/>
                <w:szCs w:val="16"/>
                <w:highlight w:val="yellow"/>
              </w:rPr>
            </w:pPr>
            <w:r>
              <w:rPr>
                <w:rFonts w:cs="Arial"/>
                <w:b/>
                <w:bCs/>
                <w:sz w:val="16"/>
                <w:szCs w:val="16"/>
              </w:rPr>
              <w:t>Česko</w:t>
            </w:r>
          </w:p>
        </w:tc>
        <w:tc>
          <w:tcPr>
            <w:tcW w:w="822" w:type="dxa"/>
            <w:tcBorders>
              <w:top w:val="nil"/>
              <w:left w:val="single" w:sz="4" w:space="0" w:color="000000"/>
              <w:bottom w:val="nil"/>
              <w:right w:val="nil"/>
            </w:tcBorders>
            <w:shd w:val="clear" w:color="auto" w:fill="auto"/>
            <w:noWrap/>
            <w:vAlign w:val="center"/>
            <w:hideMark/>
          </w:tcPr>
          <w:p w14:paraId="571B782F" w14:textId="51311193" w:rsidR="00095759" w:rsidRPr="00166BEB" w:rsidRDefault="00095759" w:rsidP="00095759">
            <w:pPr>
              <w:spacing w:after="0" w:line="240" w:lineRule="auto"/>
              <w:jc w:val="right"/>
              <w:rPr>
                <w:rFonts w:cs="Arial"/>
                <w:b/>
                <w:bCs/>
                <w:sz w:val="16"/>
                <w:szCs w:val="16"/>
                <w:highlight w:val="yellow"/>
              </w:rPr>
            </w:pPr>
            <w:r>
              <w:rPr>
                <w:rFonts w:cs="Arial"/>
                <w:b/>
                <w:bCs/>
                <w:sz w:val="16"/>
                <w:szCs w:val="16"/>
              </w:rPr>
              <w:t>971,4</w:t>
            </w:r>
          </w:p>
        </w:tc>
        <w:tc>
          <w:tcPr>
            <w:tcW w:w="822" w:type="dxa"/>
            <w:tcBorders>
              <w:top w:val="nil"/>
              <w:left w:val="nil"/>
              <w:bottom w:val="nil"/>
              <w:right w:val="nil"/>
            </w:tcBorders>
            <w:shd w:val="clear" w:color="auto" w:fill="auto"/>
            <w:noWrap/>
            <w:vAlign w:val="center"/>
            <w:hideMark/>
          </w:tcPr>
          <w:p w14:paraId="53DE757F" w14:textId="4FC1C996" w:rsidR="00095759" w:rsidRPr="00166BEB" w:rsidRDefault="00095759" w:rsidP="00095759">
            <w:pPr>
              <w:spacing w:after="0" w:line="240" w:lineRule="auto"/>
              <w:jc w:val="right"/>
              <w:rPr>
                <w:rFonts w:cs="Arial"/>
                <w:b/>
                <w:bCs/>
                <w:sz w:val="16"/>
                <w:szCs w:val="16"/>
                <w:highlight w:val="yellow"/>
              </w:rPr>
            </w:pPr>
            <w:r>
              <w:rPr>
                <w:rFonts w:cs="Arial"/>
                <w:b/>
                <w:bCs/>
                <w:sz w:val="16"/>
                <w:szCs w:val="16"/>
              </w:rPr>
              <w:t>941,4</w:t>
            </w:r>
          </w:p>
        </w:tc>
        <w:tc>
          <w:tcPr>
            <w:tcW w:w="822" w:type="dxa"/>
            <w:tcBorders>
              <w:top w:val="nil"/>
              <w:left w:val="nil"/>
              <w:bottom w:val="nil"/>
              <w:right w:val="nil"/>
            </w:tcBorders>
            <w:shd w:val="clear" w:color="auto" w:fill="auto"/>
            <w:noWrap/>
            <w:vAlign w:val="center"/>
            <w:hideMark/>
          </w:tcPr>
          <w:p w14:paraId="184E5B7C" w14:textId="5E6E527A" w:rsidR="00095759" w:rsidRPr="00166BEB" w:rsidRDefault="00095759" w:rsidP="00095759">
            <w:pPr>
              <w:spacing w:after="0" w:line="240" w:lineRule="auto"/>
              <w:jc w:val="right"/>
              <w:rPr>
                <w:rFonts w:cs="Arial"/>
                <w:b/>
                <w:bCs/>
                <w:sz w:val="16"/>
                <w:szCs w:val="16"/>
                <w:highlight w:val="yellow"/>
              </w:rPr>
            </w:pPr>
            <w:r>
              <w:rPr>
                <w:rFonts w:cs="Arial"/>
                <w:b/>
                <w:bCs/>
                <w:sz w:val="16"/>
                <w:szCs w:val="16"/>
              </w:rPr>
              <w:t>896,1</w:t>
            </w:r>
          </w:p>
        </w:tc>
        <w:tc>
          <w:tcPr>
            <w:tcW w:w="822" w:type="dxa"/>
            <w:tcBorders>
              <w:top w:val="nil"/>
              <w:left w:val="nil"/>
              <w:bottom w:val="nil"/>
              <w:right w:val="nil"/>
            </w:tcBorders>
            <w:shd w:val="clear" w:color="auto" w:fill="auto"/>
            <w:noWrap/>
            <w:vAlign w:val="center"/>
            <w:hideMark/>
          </w:tcPr>
          <w:p w14:paraId="11186F6E" w14:textId="5E3CBD06" w:rsidR="00095759" w:rsidRPr="00166BEB" w:rsidRDefault="00095759" w:rsidP="00095759">
            <w:pPr>
              <w:spacing w:after="0" w:line="240" w:lineRule="auto"/>
              <w:jc w:val="right"/>
              <w:rPr>
                <w:rFonts w:cs="Arial"/>
                <w:b/>
                <w:bCs/>
                <w:sz w:val="16"/>
                <w:szCs w:val="16"/>
                <w:highlight w:val="yellow"/>
              </w:rPr>
            </w:pPr>
            <w:r>
              <w:rPr>
                <w:rFonts w:cs="Arial"/>
                <w:b/>
                <w:bCs/>
                <w:sz w:val="16"/>
                <w:szCs w:val="16"/>
              </w:rPr>
              <w:t>907,0</w:t>
            </w:r>
          </w:p>
        </w:tc>
        <w:tc>
          <w:tcPr>
            <w:tcW w:w="822" w:type="dxa"/>
            <w:tcBorders>
              <w:top w:val="nil"/>
              <w:left w:val="nil"/>
              <w:bottom w:val="nil"/>
              <w:right w:val="nil"/>
            </w:tcBorders>
            <w:shd w:val="clear" w:color="auto" w:fill="auto"/>
            <w:noWrap/>
            <w:vAlign w:val="center"/>
            <w:hideMark/>
          </w:tcPr>
          <w:p w14:paraId="71777818" w14:textId="54BC9458" w:rsidR="00095759" w:rsidRPr="00166BEB" w:rsidRDefault="00095759" w:rsidP="00095759">
            <w:pPr>
              <w:spacing w:after="0" w:line="240" w:lineRule="auto"/>
              <w:jc w:val="right"/>
              <w:rPr>
                <w:rFonts w:cs="Arial"/>
                <w:b/>
                <w:bCs/>
                <w:sz w:val="16"/>
                <w:szCs w:val="16"/>
                <w:highlight w:val="yellow"/>
              </w:rPr>
            </w:pPr>
            <w:r>
              <w:rPr>
                <w:rFonts w:cs="Arial"/>
                <w:b/>
                <w:bCs/>
                <w:sz w:val="16"/>
                <w:szCs w:val="16"/>
              </w:rPr>
              <w:t>953,3</w:t>
            </w:r>
          </w:p>
        </w:tc>
        <w:tc>
          <w:tcPr>
            <w:tcW w:w="822" w:type="dxa"/>
            <w:tcBorders>
              <w:top w:val="nil"/>
              <w:left w:val="nil"/>
              <w:bottom w:val="nil"/>
              <w:right w:val="nil"/>
            </w:tcBorders>
            <w:shd w:val="clear" w:color="auto" w:fill="auto"/>
            <w:noWrap/>
            <w:vAlign w:val="center"/>
            <w:hideMark/>
          </w:tcPr>
          <w:p w14:paraId="0F472636" w14:textId="01E8E63B" w:rsidR="00095759" w:rsidRPr="00166BEB" w:rsidRDefault="00095759" w:rsidP="00095759">
            <w:pPr>
              <w:spacing w:after="0" w:line="240" w:lineRule="auto"/>
              <w:jc w:val="right"/>
              <w:rPr>
                <w:rFonts w:cs="Arial"/>
                <w:b/>
                <w:bCs/>
                <w:sz w:val="16"/>
                <w:szCs w:val="16"/>
                <w:highlight w:val="yellow"/>
              </w:rPr>
            </w:pPr>
            <w:r>
              <w:rPr>
                <w:rFonts w:cs="Arial"/>
                <w:b/>
                <w:bCs/>
                <w:sz w:val="16"/>
                <w:szCs w:val="16"/>
              </w:rPr>
              <w:t>917,1</w:t>
            </w:r>
          </w:p>
        </w:tc>
        <w:tc>
          <w:tcPr>
            <w:tcW w:w="822" w:type="dxa"/>
            <w:tcBorders>
              <w:top w:val="nil"/>
              <w:left w:val="nil"/>
              <w:bottom w:val="nil"/>
              <w:right w:val="nil"/>
            </w:tcBorders>
            <w:shd w:val="clear" w:color="auto" w:fill="auto"/>
            <w:noWrap/>
            <w:vAlign w:val="center"/>
            <w:hideMark/>
          </w:tcPr>
          <w:p w14:paraId="379191E7" w14:textId="3273D9F0" w:rsidR="00095759" w:rsidRPr="00166BEB" w:rsidRDefault="00095759" w:rsidP="00095759">
            <w:pPr>
              <w:spacing w:after="0" w:line="240" w:lineRule="auto"/>
              <w:jc w:val="right"/>
              <w:rPr>
                <w:rFonts w:cs="Arial"/>
                <w:b/>
                <w:bCs/>
                <w:sz w:val="16"/>
                <w:szCs w:val="16"/>
                <w:highlight w:val="yellow"/>
              </w:rPr>
            </w:pPr>
            <w:r>
              <w:rPr>
                <w:rFonts w:cs="Arial"/>
                <w:b/>
                <w:bCs/>
                <w:sz w:val="16"/>
                <w:szCs w:val="16"/>
              </w:rPr>
              <w:t>884,2</w:t>
            </w:r>
          </w:p>
        </w:tc>
        <w:tc>
          <w:tcPr>
            <w:tcW w:w="822" w:type="dxa"/>
            <w:tcBorders>
              <w:top w:val="nil"/>
              <w:left w:val="nil"/>
              <w:bottom w:val="nil"/>
              <w:right w:val="nil"/>
            </w:tcBorders>
            <w:shd w:val="clear" w:color="auto" w:fill="auto"/>
            <w:noWrap/>
            <w:vAlign w:val="center"/>
            <w:hideMark/>
          </w:tcPr>
          <w:p w14:paraId="66970BCE" w14:textId="441A21D0" w:rsidR="00095759" w:rsidRPr="00166BEB" w:rsidRDefault="00095759" w:rsidP="00095759">
            <w:pPr>
              <w:spacing w:after="0" w:line="240" w:lineRule="auto"/>
              <w:jc w:val="right"/>
              <w:rPr>
                <w:rFonts w:cs="Arial"/>
                <w:b/>
                <w:bCs/>
                <w:sz w:val="16"/>
                <w:szCs w:val="16"/>
                <w:highlight w:val="yellow"/>
              </w:rPr>
            </w:pPr>
            <w:r>
              <w:rPr>
                <w:rFonts w:cs="Arial"/>
                <w:b/>
                <w:bCs/>
                <w:sz w:val="16"/>
                <w:szCs w:val="16"/>
              </w:rPr>
              <w:t>948,7</w:t>
            </w:r>
          </w:p>
        </w:tc>
        <w:tc>
          <w:tcPr>
            <w:tcW w:w="822" w:type="dxa"/>
            <w:tcBorders>
              <w:top w:val="nil"/>
              <w:left w:val="nil"/>
              <w:bottom w:val="nil"/>
              <w:right w:val="nil"/>
            </w:tcBorders>
            <w:shd w:val="clear" w:color="auto" w:fill="auto"/>
            <w:noWrap/>
            <w:vAlign w:val="center"/>
            <w:hideMark/>
          </w:tcPr>
          <w:p w14:paraId="4BACC337" w14:textId="644E9FDF" w:rsidR="00095759" w:rsidRPr="00166BEB" w:rsidRDefault="00095759" w:rsidP="00095759">
            <w:pPr>
              <w:spacing w:after="0" w:line="240" w:lineRule="auto"/>
              <w:jc w:val="right"/>
              <w:rPr>
                <w:rFonts w:cs="Arial"/>
                <w:b/>
                <w:bCs/>
                <w:sz w:val="16"/>
                <w:szCs w:val="16"/>
                <w:highlight w:val="yellow"/>
              </w:rPr>
            </w:pPr>
            <w:r>
              <w:rPr>
                <w:rFonts w:cs="Arial"/>
                <w:b/>
                <w:bCs/>
                <w:sz w:val="16"/>
                <w:szCs w:val="16"/>
              </w:rPr>
              <w:t>933,8</w:t>
            </w:r>
          </w:p>
        </w:tc>
        <w:tc>
          <w:tcPr>
            <w:tcW w:w="822" w:type="dxa"/>
            <w:tcBorders>
              <w:top w:val="nil"/>
              <w:left w:val="nil"/>
              <w:bottom w:val="nil"/>
              <w:right w:val="nil"/>
            </w:tcBorders>
            <w:shd w:val="clear" w:color="auto" w:fill="D9D9D9"/>
            <w:vAlign w:val="center"/>
          </w:tcPr>
          <w:p w14:paraId="050324F5" w14:textId="3717D157" w:rsidR="00095759" w:rsidRDefault="00095759" w:rsidP="00095759">
            <w:pPr>
              <w:spacing w:after="0" w:line="240" w:lineRule="auto"/>
              <w:jc w:val="right"/>
              <w:rPr>
                <w:rFonts w:cs="Arial"/>
                <w:b/>
                <w:bCs/>
                <w:sz w:val="16"/>
                <w:szCs w:val="16"/>
              </w:rPr>
            </w:pPr>
            <w:r>
              <w:rPr>
                <w:rFonts w:cs="Arial"/>
                <w:b/>
                <w:bCs/>
                <w:sz w:val="16"/>
                <w:szCs w:val="16"/>
              </w:rPr>
              <w:t>719,7</w:t>
            </w:r>
          </w:p>
        </w:tc>
        <w:tc>
          <w:tcPr>
            <w:tcW w:w="675" w:type="dxa"/>
            <w:tcBorders>
              <w:top w:val="nil"/>
              <w:left w:val="nil"/>
              <w:bottom w:val="nil"/>
              <w:right w:val="nil"/>
            </w:tcBorders>
            <w:shd w:val="clear" w:color="auto" w:fill="auto"/>
          </w:tcPr>
          <w:p w14:paraId="4427CD08" w14:textId="1749CB26" w:rsidR="00095759" w:rsidRDefault="00095759" w:rsidP="00095759">
            <w:pPr>
              <w:spacing w:after="0" w:line="240" w:lineRule="auto"/>
              <w:jc w:val="right"/>
              <w:rPr>
                <w:rFonts w:cs="Arial"/>
                <w:b/>
                <w:bCs/>
                <w:sz w:val="16"/>
                <w:szCs w:val="16"/>
              </w:rPr>
            </w:pPr>
          </w:p>
        </w:tc>
      </w:tr>
      <w:tr w:rsidR="00095759" w:rsidRPr="00166BEB" w14:paraId="6708DB8C" w14:textId="45F1872B" w:rsidTr="00095759">
        <w:trPr>
          <w:trHeight w:val="300"/>
        </w:trPr>
        <w:tc>
          <w:tcPr>
            <w:tcW w:w="0" w:type="auto"/>
            <w:tcBorders>
              <w:top w:val="nil"/>
              <w:left w:val="nil"/>
              <w:bottom w:val="nil"/>
              <w:right w:val="nil"/>
            </w:tcBorders>
            <w:shd w:val="clear" w:color="auto" w:fill="auto"/>
            <w:noWrap/>
            <w:vAlign w:val="center"/>
            <w:hideMark/>
          </w:tcPr>
          <w:p w14:paraId="057A2FDF" w14:textId="4CBB281C"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Dánsko</w:t>
            </w:r>
          </w:p>
        </w:tc>
        <w:tc>
          <w:tcPr>
            <w:tcW w:w="822" w:type="dxa"/>
            <w:tcBorders>
              <w:top w:val="nil"/>
              <w:left w:val="single" w:sz="4" w:space="0" w:color="000000"/>
              <w:bottom w:val="nil"/>
              <w:right w:val="nil"/>
            </w:tcBorders>
            <w:shd w:val="clear" w:color="auto" w:fill="auto"/>
            <w:noWrap/>
            <w:vAlign w:val="center"/>
            <w:hideMark/>
          </w:tcPr>
          <w:p w14:paraId="3B8B3935" w14:textId="3BAC26D3" w:rsidR="00095759" w:rsidRPr="00166BEB" w:rsidRDefault="00095759" w:rsidP="00095759">
            <w:pPr>
              <w:spacing w:after="0" w:line="240" w:lineRule="auto"/>
              <w:jc w:val="right"/>
              <w:rPr>
                <w:rFonts w:cs="Arial"/>
                <w:sz w:val="16"/>
                <w:szCs w:val="16"/>
                <w:highlight w:val="yellow"/>
              </w:rPr>
            </w:pPr>
            <w:r>
              <w:rPr>
                <w:rFonts w:cs="Arial"/>
                <w:sz w:val="16"/>
                <w:szCs w:val="16"/>
              </w:rPr>
              <w:t>2 239,4</w:t>
            </w:r>
          </w:p>
        </w:tc>
        <w:tc>
          <w:tcPr>
            <w:tcW w:w="822" w:type="dxa"/>
            <w:tcBorders>
              <w:top w:val="nil"/>
              <w:left w:val="nil"/>
              <w:bottom w:val="nil"/>
              <w:right w:val="nil"/>
            </w:tcBorders>
            <w:shd w:val="clear" w:color="auto" w:fill="auto"/>
            <w:noWrap/>
            <w:vAlign w:val="center"/>
            <w:hideMark/>
          </w:tcPr>
          <w:p w14:paraId="671E6CC2" w14:textId="5CBA2AB3" w:rsidR="00095759" w:rsidRPr="00166BEB" w:rsidRDefault="00095759" w:rsidP="00095759">
            <w:pPr>
              <w:spacing w:after="0" w:line="240" w:lineRule="auto"/>
              <w:jc w:val="right"/>
              <w:rPr>
                <w:rFonts w:cs="Arial"/>
                <w:sz w:val="16"/>
                <w:szCs w:val="16"/>
                <w:highlight w:val="yellow"/>
              </w:rPr>
            </w:pPr>
            <w:r>
              <w:rPr>
                <w:rFonts w:cs="Arial"/>
                <w:sz w:val="16"/>
                <w:szCs w:val="16"/>
              </w:rPr>
              <w:t>2 177,9</w:t>
            </w:r>
          </w:p>
        </w:tc>
        <w:tc>
          <w:tcPr>
            <w:tcW w:w="822" w:type="dxa"/>
            <w:tcBorders>
              <w:top w:val="nil"/>
              <w:left w:val="nil"/>
              <w:bottom w:val="nil"/>
              <w:right w:val="nil"/>
            </w:tcBorders>
            <w:shd w:val="clear" w:color="auto" w:fill="auto"/>
            <w:noWrap/>
            <w:vAlign w:val="center"/>
            <w:hideMark/>
          </w:tcPr>
          <w:p w14:paraId="153F4BC2" w14:textId="72C51B60" w:rsidR="00095759" w:rsidRPr="00166BEB" w:rsidRDefault="00095759" w:rsidP="00095759">
            <w:pPr>
              <w:spacing w:after="0" w:line="240" w:lineRule="auto"/>
              <w:jc w:val="right"/>
              <w:rPr>
                <w:rFonts w:cs="Arial"/>
                <w:sz w:val="16"/>
                <w:szCs w:val="16"/>
                <w:highlight w:val="yellow"/>
              </w:rPr>
            </w:pPr>
            <w:r>
              <w:rPr>
                <w:rFonts w:cs="Arial"/>
                <w:sz w:val="16"/>
                <w:szCs w:val="16"/>
              </w:rPr>
              <w:t>2 094,2</w:t>
            </w:r>
          </w:p>
        </w:tc>
        <w:tc>
          <w:tcPr>
            <w:tcW w:w="822" w:type="dxa"/>
            <w:tcBorders>
              <w:top w:val="nil"/>
              <w:left w:val="nil"/>
              <w:bottom w:val="nil"/>
              <w:right w:val="nil"/>
            </w:tcBorders>
            <w:shd w:val="clear" w:color="auto" w:fill="auto"/>
            <w:noWrap/>
            <w:vAlign w:val="center"/>
            <w:hideMark/>
          </w:tcPr>
          <w:p w14:paraId="384A1FED" w14:textId="4AED4072" w:rsidR="00095759" w:rsidRPr="00166BEB" w:rsidRDefault="00095759" w:rsidP="00095759">
            <w:pPr>
              <w:spacing w:after="0" w:line="240" w:lineRule="auto"/>
              <w:jc w:val="right"/>
              <w:rPr>
                <w:rFonts w:cs="Arial"/>
                <w:sz w:val="16"/>
                <w:szCs w:val="16"/>
                <w:highlight w:val="yellow"/>
              </w:rPr>
            </w:pPr>
            <w:r>
              <w:rPr>
                <w:rFonts w:cs="Arial"/>
                <w:sz w:val="16"/>
                <w:szCs w:val="16"/>
              </w:rPr>
              <w:t>1 983,1</w:t>
            </w:r>
          </w:p>
        </w:tc>
        <w:tc>
          <w:tcPr>
            <w:tcW w:w="822" w:type="dxa"/>
            <w:tcBorders>
              <w:top w:val="nil"/>
              <w:left w:val="nil"/>
              <w:bottom w:val="nil"/>
              <w:right w:val="nil"/>
            </w:tcBorders>
            <w:shd w:val="clear" w:color="auto" w:fill="auto"/>
            <w:noWrap/>
            <w:vAlign w:val="center"/>
            <w:hideMark/>
          </w:tcPr>
          <w:p w14:paraId="0EB7A7C2" w14:textId="2123175E" w:rsidR="00095759" w:rsidRPr="00166BEB" w:rsidRDefault="00095759" w:rsidP="00095759">
            <w:pPr>
              <w:spacing w:after="0" w:line="240" w:lineRule="auto"/>
              <w:jc w:val="right"/>
              <w:rPr>
                <w:rFonts w:cs="Arial"/>
                <w:sz w:val="16"/>
                <w:szCs w:val="16"/>
                <w:highlight w:val="yellow"/>
              </w:rPr>
            </w:pPr>
            <w:r>
              <w:rPr>
                <w:rFonts w:cs="Arial"/>
                <w:sz w:val="16"/>
                <w:szCs w:val="16"/>
              </w:rPr>
              <w:t>1 787,8</w:t>
            </w:r>
          </w:p>
        </w:tc>
        <w:tc>
          <w:tcPr>
            <w:tcW w:w="822" w:type="dxa"/>
            <w:tcBorders>
              <w:top w:val="nil"/>
              <w:left w:val="nil"/>
              <w:bottom w:val="nil"/>
              <w:right w:val="nil"/>
            </w:tcBorders>
            <w:shd w:val="clear" w:color="auto" w:fill="auto"/>
            <w:noWrap/>
            <w:vAlign w:val="center"/>
            <w:hideMark/>
          </w:tcPr>
          <w:p w14:paraId="36AB7D17" w14:textId="061ADED3" w:rsidR="00095759" w:rsidRPr="00166BEB" w:rsidRDefault="00095759" w:rsidP="00095759">
            <w:pPr>
              <w:spacing w:after="0" w:line="240" w:lineRule="auto"/>
              <w:jc w:val="right"/>
              <w:rPr>
                <w:rFonts w:cs="Arial"/>
                <w:sz w:val="16"/>
                <w:szCs w:val="16"/>
                <w:highlight w:val="yellow"/>
              </w:rPr>
            </w:pPr>
            <w:r>
              <w:rPr>
                <w:rFonts w:cs="Arial"/>
                <w:sz w:val="16"/>
                <w:szCs w:val="16"/>
              </w:rPr>
              <w:t>1 813,0</w:t>
            </w:r>
          </w:p>
        </w:tc>
        <w:tc>
          <w:tcPr>
            <w:tcW w:w="822" w:type="dxa"/>
            <w:tcBorders>
              <w:top w:val="nil"/>
              <w:left w:val="nil"/>
              <w:bottom w:val="nil"/>
              <w:right w:val="nil"/>
            </w:tcBorders>
            <w:shd w:val="clear" w:color="auto" w:fill="auto"/>
            <w:noWrap/>
            <w:vAlign w:val="center"/>
            <w:hideMark/>
          </w:tcPr>
          <w:p w14:paraId="6BEABD5C" w14:textId="4F02D66E" w:rsidR="00095759" w:rsidRPr="00166BEB" w:rsidRDefault="00095759" w:rsidP="00095759">
            <w:pPr>
              <w:spacing w:after="0" w:line="240" w:lineRule="auto"/>
              <w:jc w:val="right"/>
              <w:rPr>
                <w:rFonts w:cs="Arial"/>
                <w:sz w:val="16"/>
                <w:szCs w:val="16"/>
                <w:highlight w:val="yellow"/>
              </w:rPr>
            </w:pPr>
            <w:r>
              <w:rPr>
                <w:rFonts w:cs="Arial"/>
                <w:sz w:val="16"/>
                <w:szCs w:val="16"/>
              </w:rPr>
              <w:t>1 614,4</w:t>
            </w:r>
          </w:p>
        </w:tc>
        <w:tc>
          <w:tcPr>
            <w:tcW w:w="822" w:type="dxa"/>
            <w:tcBorders>
              <w:top w:val="nil"/>
              <w:left w:val="nil"/>
              <w:bottom w:val="nil"/>
              <w:right w:val="nil"/>
            </w:tcBorders>
            <w:shd w:val="clear" w:color="auto" w:fill="auto"/>
            <w:noWrap/>
            <w:vAlign w:val="center"/>
            <w:hideMark/>
          </w:tcPr>
          <w:p w14:paraId="276F62BE" w14:textId="1BF40246" w:rsidR="00095759" w:rsidRPr="00166BEB" w:rsidRDefault="00095759" w:rsidP="00095759">
            <w:pPr>
              <w:spacing w:after="0" w:line="240" w:lineRule="auto"/>
              <w:jc w:val="right"/>
              <w:rPr>
                <w:rFonts w:cs="Arial"/>
                <w:sz w:val="16"/>
                <w:szCs w:val="16"/>
                <w:highlight w:val="yellow"/>
              </w:rPr>
            </w:pPr>
            <w:r>
              <w:rPr>
                <w:rFonts w:cs="Arial"/>
                <w:sz w:val="16"/>
                <w:szCs w:val="16"/>
              </w:rPr>
              <w:t>1 770,0</w:t>
            </w:r>
          </w:p>
        </w:tc>
        <w:tc>
          <w:tcPr>
            <w:tcW w:w="822" w:type="dxa"/>
            <w:tcBorders>
              <w:top w:val="nil"/>
              <w:left w:val="nil"/>
              <w:bottom w:val="nil"/>
              <w:right w:val="nil"/>
            </w:tcBorders>
            <w:shd w:val="clear" w:color="auto" w:fill="auto"/>
            <w:noWrap/>
            <w:vAlign w:val="center"/>
            <w:hideMark/>
          </w:tcPr>
          <w:p w14:paraId="772BD149" w14:textId="7D71CDEB" w:rsidR="00095759" w:rsidRPr="00166BEB" w:rsidRDefault="00095759" w:rsidP="00095759">
            <w:pPr>
              <w:spacing w:after="0" w:line="240" w:lineRule="auto"/>
              <w:jc w:val="right"/>
              <w:rPr>
                <w:rFonts w:cs="Arial"/>
                <w:sz w:val="16"/>
                <w:szCs w:val="16"/>
                <w:highlight w:val="yellow"/>
              </w:rPr>
            </w:pPr>
            <w:r>
              <w:rPr>
                <w:rFonts w:cs="Arial"/>
                <w:sz w:val="16"/>
                <w:szCs w:val="16"/>
              </w:rPr>
              <w:t>1 933,9</w:t>
            </w:r>
          </w:p>
        </w:tc>
        <w:tc>
          <w:tcPr>
            <w:tcW w:w="822" w:type="dxa"/>
            <w:tcBorders>
              <w:top w:val="nil"/>
              <w:left w:val="nil"/>
              <w:bottom w:val="nil"/>
              <w:right w:val="nil"/>
            </w:tcBorders>
            <w:shd w:val="clear" w:color="auto" w:fill="D9D9D9"/>
            <w:vAlign w:val="center"/>
          </w:tcPr>
          <w:p w14:paraId="7146EA6B" w14:textId="27C6C61B" w:rsidR="00095759" w:rsidRDefault="00095759" w:rsidP="00095759">
            <w:pPr>
              <w:spacing w:after="0" w:line="240" w:lineRule="auto"/>
              <w:jc w:val="right"/>
              <w:rPr>
                <w:rFonts w:cs="Arial"/>
                <w:sz w:val="16"/>
                <w:szCs w:val="16"/>
              </w:rPr>
            </w:pPr>
            <w:r>
              <w:rPr>
                <w:rFonts w:cs="Arial"/>
                <w:sz w:val="16"/>
                <w:szCs w:val="16"/>
              </w:rPr>
              <w:t>1 902,3</w:t>
            </w:r>
          </w:p>
        </w:tc>
        <w:tc>
          <w:tcPr>
            <w:tcW w:w="675" w:type="dxa"/>
            <w:tcBorders>
              <w:top w:val="nil"/>
              <w:left w:val="nil"/>
              <w:bottom w:val="nil"/>
              <w:right w:val="nil"/>
            </w:tcBorders>
          </w:tcPr>
          <w:p w14:paraId="5DDB5F9A" w14:textId="64AD8EAA" w:rsidR="00095759" w:rsidRDefault="00095759" w:rsidP="00095759">
            <w:pPr>
              <w:spacing w:after="0" w:line="240" w:lineRule="auto"/>
              <w:jc w:val="right"/>
              <w:rPr>
                <w:rFonts w:cs="Arial"/>
                <w:sz w:val="16"/>
                <w:szCs w:val="16"/>
              </w:rPr>
            </w:pPr>
          </w:p>
        </w:tc>
      </w:tr>
      <w:tr w:rsidR="00095759" w:rsidRPr="00166BEB" w14:paraId="0973F614" w14:textId="43EF6EC3" w:rsidTr="00095759">
        <w:trPr>
          <w:trHeight w:val="300"/>
        </w:trPr>
        <w:tc>
          <w:tcPr>
            <w:tcW w:w="0" w:type="auto"/>
            <w:tcBorders>
              <w:top w:val="nil"/>
              <w:left w:val="nil"/>
              <w:bottom w:val="nil"/>
              <w:right w:val="nil"/>
            </w:tcBorders>
            <w:shd w:val="clear" w:color="auto" w:fill="auto"/>
            <w:noWrap/>
            <w:vAlign w:val="center"/>
            <w:hideMark/>
          </w:tcPr>
          <w:p w14:paraId="59DB77C7" w14:textId="19F6C3FB"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Estonsko</w:t>
            </w:r>
          </w:p>
        </w:tc>
        <w:tc>
          <w:tcPr>
            <w:tcW w:w="822" w:type="dxa"/>
            <w:tcBorders>
              <w:top w:val="nil"/>
              <w:left w:val="single" w:sz="4" w:space="0" w:color="000000"/>
              <w:bottom w:val="nil"/>
              <w:right w:val="nil"/>
            </w:tcBorders>
            <w:shd w:val="clear" w:color="auto" w:fill="auto"/>
            <w:noWrap/>
            <w:vAlign w:val="center"/>
            <w:hideMark/>
          </w:tcPr>
          <w:p w14:paraId="538EF90A" w14:textId="0148787A" w:rsidR="00095759" w:rsidRPr="00166BEB" w:rsidRDefault="00095759" w:rsidP="00095759">
            <w:pPr>
              <w:spacing w:after="0" w:line="240" w:lineRule="auto"/>
              <w:jc w:val="right"/>
              <w:rPr>
                <w:rFonts w:cs="Arial"/>
                <w:sz w:val="16"/>
                <w:szCs w:val="16"/>
                <w:highlight w:val="yellow"/>
              </w:rPr>
            </w:pPr>
            <w:r>
              <w:rPr>
                <w:rFonts w:cs="Arial"/>
                <w:sz w:val="16"/>
                <w:szCs w:val="16"/>
              </w:rPr>
              <w:t>1 076,2</w:t>
            </w:r>
          </w:p>
        </w:tc>
        <w:tc>
          <w:tcPr>
            <w:tcW w:w="822" w:type="dxa"/>
            <w:tcBorders>
              <w:top w:val="nil"/>
              <w:left w:val="nil"/>
              <w:bottom w:val="nil"/>
              <w:right w:val="nil"/>
            </w:tcBorders>
            <w:shd w:val="clear" w:color="auto" w:fill="auto"/>
            <w:noWrap/>
            <w:vAlign w:val="center"/>
            <w:hideMark/>
          </w:tcPr>
          <w:p w14:paraId="2EF4D61E" w14:textId="1901ACBA" w:rsidR="00095759" w:rsidRPr="00166BEB" w:rsidRDefault="00095759" w:rsidP="00095759">
            <w:pPr>
              <w:spacing w:after="0" w:line="240" w:lineRule="auto"/>
              <w:jc w:val="right"/>
              <w:rPr>
                <w:rFonts w:cs="Arial"/>
                <w:sz w:val="16"/>
                <w:szCs w:val="16"/>
                <w:highlight w:val="yellow"/>
              </w:rPr>
            </w:pPr>
            <w:r>
              <w:rPr>
                <w:rFonts w:cs="Arial"/>
                <w:sz w:val="16"/>
                <w:szCs w:val="16"/>
              </w:rPr>
              <w:t>1 005,5</w:t>
            </w:r>
          </w:p>
        </w:tc>
        <w:tc>
          <w:tcPr>
            <w:tcW w:w="822" w:type="dxa"/>
            <w:tcBorders>
              <w:top w:val="nil"/>
              <w:left w:val="nil"/>
              <w:bottom w:val="nil"/>
              <w:right w:val="nil"/>
            </w:tcBorders>
            <w:shd w:val="clear" w:color="auto" w:fill="auto"/>
            <w:noWrap/>
            <w:vAlign w:val="center"/>
            <w:hideMark/>
          </w:tcPr>
          <w:p w14:paraId="01C6FC71" w14:textId="305497C2" w:rsidR="00095759" w:rsidRPr="00166BEB" w:rsidRDefault="00095759" w:rsidP="00095759">
            <w:pPr>
              <w:spacing w:after="0" w:line="240" w:lineRule="auto"/>
              <w:jc w:val="right"/>
              <w:rPr>
                <w:rFonts w:cs="Arial"/>
                <w:sz w:val="16"/>
                <w:szCs w:val="16"/>
                <w:highlight w:val="yellow"/>
              </w:rPr>
            </w:pPr>
            <w:r>
              <w:rPr>
                <w:rFonts w:cs="Arial"/>
                <w:sz w:val="16"/>
                <w:szCs w:val="16"/>
              </w:rPr>
              <w:t>1 095,4</w:t>
            </w:r>
          </w:p>
        </w:tc>
        <w:tc>
          <w:tcPr>
            <w:tcW w:w="822" w:type="dxa"/>
            <w:tcBorders>
              <w:top w:val="nil"/>
              <w:left w:val="nil"/>
              <w:bottom w:val="nil"/>
              <w:right w:val="nil"/>
            </w:tcBorders>
            <w:shd w:val="clear" w:color="auto" w:fill="auto"/>
            <w:noWrap/>
            <w:vAlign w:val="center"/>
            <w:hideMark/>
          </w:tcPr>
          <w:p w14:paraId="49CF2FBA" w14:textId="3ED45C08" w:rsidR="00095759" w:rsidRPr="00166BEB" w:rsidRDefault="00095759" w:rsidP="00095759">
            <w:pPr>
              <w:spacing w:after="0" w:line="240" w:lineRule="auto"/>
              <w:jc w:val="right"/>
              <w:rPr>
                <w:rFonts w:cs="Arial"/>
                <w:sz w:val="16"/>
                <w:szCs w:val="16"/>
                <w:highlight w:val="yellow"/>
              </w:rPr>
            </w:pPr>
            <w:r>
              <w:rPr>
                <w:rFonts w:cs="Arial"/>
                <w:sz w:val="16"/>
                <w:szCs w:val="16"/>
              </w:rPr>
              <w:t>1 137,9</w:t>
            </w:r>
          </w:p>
        </w:tc>
        <w:tc>
          <w:tcPr>
            <w:tcW w:w="822" w:type="dxa"/>
            <w:tcBorders>
              <w:top w:val="nil"/>
              <w:left w:val="nil"/>
              <w:bottom w:val="nil"/>
              <w:right w:val="nil"/>
            </w:tcBorders>
            <w:shd w:val="clear" w:color="auto" w:fill="auto"/>
            <w:noWrap/>
            <w:vAlign w:val="center"/>
            <w:hideMark/>
          </w:tcPr>
          <w:p w14:paraId="2C66C0A6" w14:textId="46CDBC62" w:rsidR="00095759" w:rsidRPr="00166BEB" w:rsidRDefault="00095759" w:rsidP="00095759">
            <w:pPr>
              <w:spacing w:after="0" w:line="240" w:lineRule="auto"/>
              <w:jc w:val="right"/>
              <w:rPr>
                <w:rFonts w:cs="Arial"/>
                <w:sz w:val="16"/>
                <w:szCs w:val="16"/>
                <w:highlight w:val="yellow"/>
              </w:rPr>
            </w:pPr>
            <w:r>
              <w:rPr>
                <w:rFonts w:cs="Arial"/>
                <w:sz w:val="16"/>
                <w:szCs w:val="16"/>
              </w:rPr>
              <w:t>1 204,4</w:t>
            </w:r>
          </w:p>
        </w:tc>
        <w:tc>
          <w:tcPr>
            <w:tcW w:w="822" w:type="dxa"/>
            <w:tcBorders>
              <w:top w:val="nil"/>
              <w:left w:val="nil"/>
              <w:bottom w:val="nil"/>
              <w:right w:val="nil"/>
            </w:tcBorders>
            <w:shd w:val="clear" w:color="auto" w:fill="auto"/>
            <w:noWrap/>
            <w:vAlign w:val="center"/>
            <w:hideMark/>
          </w:tcPr>
          <w:p w14:paraId="7CF9751F" w14:textId="4C6F8334" w:rsidR="00095759" w:rsidRPr="00166BEB" w:rsidRDefault="00095759" w:rsidP="00095759">
            <w:pPr>
              <w:spacing w:after="0" w:line="240" w:lineRule="auto"/>
              <w:jc w:val="right"/>
              <w:rPr>
                <w:rFonts w:cs="Arial"/>
                <w:sz w:val="16"/>
                <w:szCs w:val="16"/>
                <w:highlight w:val="yellow"/>
              </w:rPr>
            </w:pPr>
            <w:r>
              <w:rPr>
                <w:rFonts w:cs="Arial"/>
                <w:sz w:val="16"/>
                <w:szCs w:val="16"/>
              </w:rPr>
              <w:t>1 210,4</w:t>
            </w:r>
          </w:p>
        </w:tc>
        <w:tc>
          <w:tcPr>
            <w:tcW w:w="822" w:type="dxa"/>
            <w:tcBorders>
              <w:top w:val="nil"/>
              <w:left w:val="nil"/>
              <w:bottom w:val="nil"/>
              <w:right w:val="nil"/>
            </w:tcBorders>
            <w:shd w:val="clear" w:color="auto" w:fill="auto"/>
            <w:noWrap/>
            <w:vAlign w:val="center"/>
            <w:hideMark/>
          </w:tcPr>
          <w:p w14:paraId="090F17C8" w14:textId="142E9EAA" w:rsidR="00095759" w:rsidRPr="00166BEB" w:rsidRDefault="00095759" w:rsidP="00095759">
            <w:pPr>
              <w:spacing w:after="0" w:line="240" w:lineRule="auto"/>
              <w:jc w:val="right"/>
              <w:rPr>
                <w:rFonts w:cs="Arial"/>
                <w:sz w:val="16"/>
                <w:szCs w:val="16"/>
                <w:highlight w:val="yellow"/>
              </w:rPr>
            </w:pPr>
            <w:r>
              <w:rPr>
                <w:rFonts w:cs="Arial"/>
                <w:sz w:val="16"/>
                <w:szCs w:val="16"/>
              </w:rPr>
              <w:t>1 050,6</w:t>
            </w:r>
          </w:p>
        </w:tc>
        <w:tc>
          <w:tcPr>
            <w:tcW w:w="822" w:type="dxa"/>
            <w:tcBorders>
              <w:top w:val="nil"/>
              <w:left w:val="nil"/>
              <w:bottom w:val="nil"/>
              <w:right w:val="nil"/>
            </w:tcBorders>
            <w:shd w:val="clear" w:color="auto" w:fill="auto"/>
            <w:noWrap/>
            <w:vAlign w:val="center"/>
            <w:hideMark/>
          </w:tcPr>
          <w:p w14:paraId="23100E54" w14:textId="47B4388A" w:rsidR="00095759" w:rsidRPr="00166BEB" w:rsidRDefault="00095759" w:rsidP="00095759">
            <w:pPr>
              <w:spacing w:after="0" w:line="240" w:lineRule="auto"/>
              <w:jc w:val="right"/>
              <w:rPr>
                <w:rFonts w:cs="Arial"/>
                <w:sz w:val="16"/>
                <w:szCs w:val="16"/>
                <w:highlight w:val="yellow"/>
              </w:rPr>
            </w:pPr>
            <w:r>
              <w:rPr>
                <w:rFonts w:cs="Arial"/>
                <w:sz w:val="16"/>
                <w:szCs w:val="16"/>
              </w:rPr>
              <w:t>1 033,1</w:t>
            </w:r>
          </w:p>
        </w:tc>
        <w:tc>
          <w:tcPr>
            <w:tcW w:w="822" w:type="dxa"/>
            <w:tcBorders>
              <w:top w:val="nil"/>
              <w:left w:val="nil"/>
              <w:bottom w:val="nil"/>
              <w:right w:val="nil"/>
            </w:tcBorders>
            <w:shd w:val="clear" w:color="auto" w:fill="auto"/>
            <w:noWrap/>
            <w:vAlign w:val="center"/>
            <w:hideMark/>
          </w:tcPr>
          <w:p w14:paraId="3A02689C" w14:textId="1092F888" w:rsidR="00095759" w:rsidRPr="00166BEB" w:rsidRDefault="00095759" w:rsidP="00095759">
            <w:pPr>
              <w:spacing w:after="0" w:line="240" w:lineRule="auto"/>
              <w:jc w:val="right"/>
              <w:rPr>
                <w:rFonts w:cs="Arial"/>
                <w:sz w:val="16"/>
                <w:szCs w:val="16"/>
                <w:highlight w:val="yellow"/>
              </w:rPr>
            </w:pPr>
            <w:r>
              <w:rPr>
                <w:rFonts w:cs="Arial"/>
                <w:sz w:val="16"/>
                <w:szCs w:val="16"/>
              </w:rPr>
              <w:t>1 178,0</w:t>
            </w:r>
          </w:p>
        </w:tc>
        <w:tc>
          <w:tcPr>
            <w:tcW w:w="822" w:type="dxa"/>
            <w:tcBorders>
              <w:top w:val="nil"/>
              <w:left w:val="nil"/>
              <w:bottom w:val="nil"/>
              <w:right w:val="nil"/>
            </w:tcBorders>
            <w:shd w:val="clear" w:color="auto" w:fill="D9D9D9"/>
            <w:vAlign w:val="center"/>
          </w:tcPr>
          <w:p w14:paraId="242577E1" w14:textId="0FAAC8F0" w:rsidR="00095759" w:rsidRDefault="00095759" w:rsidP="00095759">
            <w:pPr>
              <w:spacing w:after="0" w:line="240" w:lineRule="auto"/>
              <w:jc w:val="right"/>
              <w:rPr>
                <w:rFonts w:cs="Arial"/>
                <w:sz w:val="16"/>
                <w:szCs w:val="16"/>
              </w:rPr>
            </w:pPr>
            <w:r>
              <w:rPr>
                <w:rFonts w:cs="Arial"/>
                <w:sz w:val="16"/>
                <w:szCs w:val="16"/>
              </w:rPr>
              <w:t>1 032,5</w:t>
            </w:r>
          </w:p>
        </w:tc>
        <w:tc>
          <w:tcPr>
            <w:tcW w:w="675" w:type="dxa"/>
            <w:tcBorders>
              <w:top w:val="nil"/>
              <w:left w:val="nil"/>
              <w:bottom w:val="nil"/>
              <w:right w:val="nil"/>
            </w:tcBorders>
          </w:tcPr>
          <w:p w14:paraId="5379042F" w14:textId="489C02D5" w:rsidR="00095759" w:rsidRDefault="00095759" w:rsidP="00095759">
            <w:pPr>
              <w:spacing w:after="0" w:line="240" w:lineRule="auto"/>
              <w:jc w:val="right"/>
              <w:rPr>
                <w:rFonts w:cs="Arial"/>
                <w:sz w:val="16"/>
                <w:szCs w:val="16"/>
              </w:rPr>
            </w:pPr>
          </w:p>
        </w:tc>
      </w:tr>
      <w:tr w:rsidR="00095759" w:rsidRPr="00166BEB" w14:paraId="60F6E882" w14:textId="64A254A4" w:rsidTr="00095759">
        <w:trPr>
          <w:trHeight w:val="300"/>
        </w:trPr>
        <w:tc>
          <w:tcPr>
            <w:tcW w:w="0" w:type="auto"/>
            <w:tcBorders>
              <w:top w:val="nil"/>
              <w:left w:val="nil"/>
              <w:bottom w:val="nil"/>
              <w:right w:val="nil"/>
            </w:tcBorders>
            <w:shd w:val="clear" w:color="auto" w:fill="auto"/>
            <w:noWrap/>
            <w:vAlign w:val="center"/>
            <w:hideMark/>
          </w:tcPr>
          <w:p w14:paraId="40B402BB" w14:textId="6C3D250C"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Finsko</w:t>
            </w:r>
          </w:p>
        </w:tc>
        <w:tc>
          <w:tcPr>
            <w:tcW w:w="822" w:type="dxa"/>
            <w:tcBorders>
              <w:top w:val="nil"/>
              <w:left w:val="single" w:sz="4" w:space="0" w:color="000000"/>
              <w:bottom w:val="nil"/>
              <w:right w:val="nil"/>
            </w:tcBorders>
            <w:shd w:val="clear" w:color="auto" w:fill="auto"/>
            <w:noWrap/>
            <w:vAlign w:val="center"/>
            <w:hideMark/>
          </w:tcPr>
          <w:p w14:paraId="54D992E1" w14:textId="59B3B660" w:rsidR="00095759" w:rsidRPr="00166BEB" w:rsidRDefault="00095759" w:rsidP="00095759">
            <w:pPr>
              <w:spacing w:after="0" w:line="240" w:lineRule="auto"/>
              <w:jc w:val="right"/>
              <w:rPr>
                <w:rFonts w:cs="Arial"/>
                <w:sz w:val="16"/>
                <w:szCs w:val="16"/>
                <w:highlight w:val="yellow"/>
              </w:rPr>
            </w:pPr>
            <w:r>
              <w:rPr>
                <w:rFonts w:cs="Arial"/>
                <w:sz w:val="16"/>
                <w:szCs w:val="16"/>
              </w:rPr>
              <w:t>2 481,0</w:t>
            </w:r>
          </w:p>
        </w:tc>
        <w:tc>
          <w:tcPr>
            <w:tcW w:w="822" w:type="dxa"/>
            <w:tcBorders>
              <w:top w:val="nil"/>
              <w:left w:val="nil"/>
              <w:bottom w:val="nil"/>
              <w:right w:val="nil"/>
            </w:tcBorders>
            <w:shd w:val="clear" w:color="auto" w:fill="auto"/>
            <w:noWrap/>
            <w:vAlign w:val="center"/>
            <w:hideMark/>
          </w:tcPr>
          <w:p w14:paraId="39E49E80" w14:textId="636D2720" w:rsidR="00095759" w:rsidRPr="00166BEB" w:rsidRDefault="00095759" w:rsidP="00095759">
            <w:pPr>
              <w:spacing w:after="0" w:line="240" w:lineRule="auto"/>
              <w:jc w:val="right"/>
              <w:rPr>
                <w:rFonts w:cs="Arial"/>
                <w:sz w:val="16"/>
                <w:szCs w:val="16"/>
                <w:highlight w:val="yellow"/>
              </w:rPr>
            </w:pPr>
            <w:r>
              <w:rPr>
                <w:rFonts w:cs="Arial"/>
                <w:sz w:val="16"/>
                <w:szCs w:val="16"/>
              </w:rPr>
              <w:t>2 166,1</w:t>
            </w:r>
          </w:p>
        </w:tc>
        <w:tc>
          <w:tcPr>
            <w:tcW w:w="822" w:type="dxa"/>
            <w:tcBorders>
              <w:top w:val="nil"/>
              <w:left w:val="nil"/>
              <w:bottom w:val="nil"/>
              <w:right w:val="nil"/>
            </w:tcBorders>
            <w:shd w:val="clear" w:color="auto" w:fill="auto"/>
            <w:noWrap/>
            <w:vAlign w:val="center"/>
            <w:hideMark/>
          </w:tcPr>
          <w:p w14:paraId="12A16966" w14:textId="50786066" w:rsidR="00095759" w:rsidRPr="00166BEB" w:rsidRDefault="00095759" w:rsidP="00095759">
            <w:pPr>
              <w:spacing w:after="0" w:line="240" w:lineRule="auto"/>
              <w:jc w:val="right"/>
              <w:rPr>
                <w:rFonts w:cs="Arial"/>
                <w:sz w:val="16"/>
                <w:szCs w:val="16"/>
                <w:highlight w:val="yellow"/>
              </w:rPr>
            </w:pPr>
            <w:r>
              <w:rPr>
                <w:rFonts w:cs="Arial"/>
                <w:sz w:val="16"/>
                <w:szCs w:val="16"/>
              </w:rPr>
              <w:t>2 229,8</w:t>
            </w:r>
          </w:p>
        </w:tc>
        <w:tc>
          <w:tcPr>
            <w:tcW w:w="822" w:type="dxa"/>
            <w:tcBorders>
              <w:top w:val="nil"/>
              <w:left w:val="nil"/>
              <w:bottom w:val="nil"/>
              <w:right w:val="nil"/>
            </w:tcBorders>
            <w:shd w:val="clear" w:color="auto" w:fill="auto"/>
            <w:noWrap/>
            <w:vAlign w:val="center"/>
            <w:hideMark/>
          </w:tcPr>
          <w:p w14:paraId="555519D0" w14:textId="508BC934" w:rsidR="00095759" w:rsidRPr="00166BEB" w:rsidRDefault="00095759" w:rsidP="00095759">
            <w:pPr>
              <w:spacing w:after="0" w:line="240" w:lineRule="auto"/>
              <w:jc w:val="right"/>
              <w:rPr>
                <w:rFonts w:cs="Arial"/>
                <w:sz w:val="16"/>
                <w:szCs w:val="16"/>
                <w:highlight w:val="yellow"/>
              </w:rPr>
            </w:pPr>
            <w:r>
              <w:rPr>
                <w:rFonts w:cs="Arial"/>
                <w:sz w:val="16"/>
                <w:szCs w:val="16"/>
              </w:rPr>
              <w:t>2 083,2</w:t>
            </w:r>
          </w:p>
        </w:tc>
        <w:tc>
          <w:tcPr>
            <w:tcW w:w="822" w:type="dxa"/>
            <w:tcBorders>
              <w:top w:val="nil"/>
              <w:left w:val="nil"/>
              <w:bottom w:val="nil"/>
              <w:right w:val="nil"/>
            </w:tcBorders>
            <w:shd w:val="clear" w:color="auto" w:fill="auto"/>
            <w:noWrap/>
            <w:vAlign w:val="center"/>
            <w:hideMark/>
          </w:tcPr>
          <w:p w14:paraId="3CCC1D66" w14:textId="6DF1D0E4" w:rsidR="00095759" w:rsidRPr="00166BEB" w:rsidRDefault="00095759" w:rsidP="00095759">
            <w:pPr>
              <w:spacing w:after="0" w:line="240" w:lineRule="auto"/>
              <w:jc w:val="right"/>
              <w:rPr>
                <w:rFonts w:cs="Arial"/>
                <w:sz w:val="16"/>
                <w:szCs w:val="16"/>
                <w:highlight w:val="yellow"/>
              </w:rPr>
            </w:pPr>
            <w:r>
              <w:rPr>
                <w:rFonts w:cs="Arial"/>
                <w:sz w:val="16"/>
                <w:szCs w:val="16"/>
              </w:rPr>
              <w:t>1 963,9</w:t>
            </w:r>
          </w:p>
        </w:tc>
        <w:tc>
          <w:tcPr>
            <w:tcW w:w="822" w:type="dxa"/>
            <w:tcBorders>
              <w:top w:val="nil"/>
              <w:left w:val="nil"/>
              <w:bottom w:val="nil"/>
              <w:right w:val="nil"/>
            </w:tcBorders>
            <w:shd w:val="clear" w:color="auto" w:fill="auto"/>
            <w:noWrap/>
            <w:vAlign w:val="center"/>
            <w:hideMark/>
          </w:tcPr>
          <w:p w14:paraId="7D90ADEA" w14:textId="032788DE" w:rsidR="00095759" w:rsidRPr="00166BEB" w:rsidRDefault="00095759" w:rsidP="00095759">
            <w:pPr>
              <w:spacing w:after="0" w:line="240" w:lineRule="auto"/>
              <w:jc w:val="right"/>
              <w:rPr>
                <w:rFonts w:cs="Arial"/>
                <w:sz w:val="16"/>
                <w:szCs w:val="16"/>
                <w:highlight w:val="yellow"/>
              </w:rPr>
            </w:pPr>
            <w:r>
              <w:rPr>
                <w:rFonts w:cs="Arial"/>
                <w:sz w:val="16"/>
                <w:szCs w:val="16"/>
              </w:rPr>
              <w:t>1 860,2</w:t>
            </w:r>
          </w:p>
        </w:tc>
        <w:tc>
          <w:tcPr>
            <w:tcW w:w="822" w:type="dxa"/>
            <w:tcBorders>
              <w:top w:val="nil"/>
              <w:left w:val="nil"/>
              <w:bottom w:val="nil"/>
              <w:right w:val="nil"/>
            </w:tcBorders>
            <w:shd w:val="clear" w:color="auto" w:fill="auto"/>
            <w:noWrap/>
            <w:vAlign w:val="center"/>
            <w:hideMark/>
          </w:tcPr>
          <w:p w14:paraId="326CDE5F" w14:textId="6DD00B44" w:rsidR="00095759" w:rsidRPr="00166BEB" w:rsidRDefault="00095759" w:rsidP="00095759">
            <w:pPr>
              <w:spacing w:after="0" w:line="240" w:lineRule="auto"/>
              <w:jc w:val="right"/>
              <w:rPr>
                <w:rFonts w:cs="Arial"/>
                <w:sz w:val="16"/>
                <w:szCs w:val="16"/>
                <w:highlight w:val="yellow"/>
              </w:rPr>
            </w:pPr>
            <w:r>
              <w:rPr>
                <w:rFonts w:cs="Arial"/>
                <w:sz w:val="16"/>
                <w:szCs w:val="16"/>
              </w:rPr>
              <w:t>1 906,2</w:t>
            </w:r>
          </w:p>
        </w:tc>
        <w:tc>
          <w:tcPr>
            <w:tcW w:w="822" w:type="dxa"/>
            <w:tcBorders>
              <w:top w:val="nil"/>
              <w:left w:val="nil"/>
              <w:bottom w:val="nil"/>
              <w:right w:val="nil"/>
            </w:tcBorders>
            <w:shd w:val="clear" w:color="auto" w:fill="auto"/>
            <w:noWrap/>
            <w:vAlign w:val="center"/>
            <w:hideMark/>
          </w:tcPr>
          <w:p w14:paraId="159BBFCD" w14:textId="648ABE9F" w:rsidR="00095759" w:rsidRPr="00166BEB" w:rsidRDefault="00095759" w:rsidP="00095759">
            <w:pPr>
              <w:spacing w:after="0" w:line="240" w:lineRule="auto"/>
              <w:jc w:val="right"/>
              <w:rPr>
                <w:rFonts w:cs="Arial"/>
                <w:sz w:val="16"/>
                <w:szCs w:val="16"/>
                <w:highlight w:val="yellow"/>
              </w:rPr>
            </w:pPr>
            <w:r>
              <w:rPr>
                <w:rFonts w:cs="Arial"/>
                <w:sz w:val="16"/>
                <w:szCs w:val="16"/>
              </w:rPr>
              <w:t>1 892,1</w:t>
            </w:r>
          </w:p>
        </w:tc>
        <w:tc>
          <w:tcPr>
            <w:tcW w:w="822" w:type="dxa"/>
            <w:tcBorders>
              <w:top w:val="nil"/>
              <w:left w:val="nil"/>
              <w:bottom w:val="nil"/>
              <w:right w:val="nil"/>
            </w:tcBorders>
            <w:shd w:val="clear" w:color="auto" w:fill="auto"/>
            <w:noWrap/>
            <w:vAlign w:val="center"/>
            <w:hideMark/>
          </w:tcPr>
          <w:p w14:paraId="1319D46C" w14:textId="0D9E66FD" w:rsidR="00095759" w:rsidRPr="00166BEB" w:rsidRDefault="00095759" w:rsidP="00095759">
            <w:pPr>
              <w:spacing w:after="0" w:line="240" w:lineRule="auto"/>
              <w:jc w:val="right"/>
              <w:rPr>
                <w:rFonts w:cs="Arial"/>
                <w:sz w:val="16"/>
                <w:szCs w:val="16"/>
                <w:highlight w:val="yellow"/>
              </w:rPr>
            </w:pPr>
            <w:r>
              <w:rPr>
                <w:rFonts w:cs="Arial"/>
                <w:sz w:val="16"/>
                <w:szCs w:val="16"/>
              </w:rPr>
              <w:t>1 850,6</w:t>
            </w:r>
          </w:p>
        </w:tc>
        <w:tc>
          <w:tcPr>
            <w:tcW w:w="822" w:type="dxa"/>
            <w:tcBorders>
              <w:top w:val="nil"/>
              <w:left w:val="nil"/>
              <w:bottom w:val="nil"/>
              <w:right w:val="nil"/>
            </w:tcBorders>
            <w:shd w:val="clear" w:color="auto" w:fill="D9D9D9"/>
            <w:vAlign w:val="center"/>
          </w:tcPr>
          <w:p w14:paraId="32053E8F" w14:textId="25EB4B79" w:rsidR="00095759" w:rsidRDefault="00095759" w:rsidP="00095759">
            <w:pPr>
              <w:spacing w:after="0" w:line="240" w:lineRule="auto"/>
              <w:jc w:val="right"/>
              <w:rPr>
                <w:rFonts w:cs="Arial"/>
                <w:sz w:val="16"/>
                <w:szCs w:val="16"/>
              </w:rPr>
            </w:pPr>
            <w:r>
              <w:rPr>
                <w:rFonts w:cs="Arial"/>
                <w:sz w:val="16"/>
                <w:szCs w:val="16"/>
              </w:rPr>
              <w:t>1 393,0</w:t>
            </w:r>
          </w:p>
        </w:tc>
        <w:tc>
          <w:tcPr>
            <w:tcW w:w="675" w:type="dxa"/>
            <w:tcBorders>
              <w:top w:val="nil"/>
              <w:left w:val="nil"/>
              <w:bottom w:val="nil"/>
              <w:right w:val="nil"/>
            </w:tcBorders>
          </w:tcPr>
          <w:p w14:paraId="4296020D" w14:textId="4C74A5B0" w:rsidR="00095759" w:rsidRDefault="00095759" w:rsidP="00095759">
            <w:pPr>
              <w:spacing w:after="0" w:line="240" w:lineRule="auto"/>
              <w:jc w:val="right"/>
              <w:rPr>
                <w:rFonts w:cs="Arial"/>
                <w:sz w:val="16"/>
                <w:szCs w:val="16"/>
              </w:rPr>
            </w:pPr>
          </w:p>
        </w:tc>
      </w:tr>
      <w:tr w:rsidR="00095759" w:rsidRPr="00166BEB" w14:paraId="1CFDF636" w14:textId="0FD98AD6" w:rsidTr="00095759">
        <w:trPr>
          <w:trHeight w:val="300"/>
        </w:trPr>
        <w:tc>
          <w:tcPr>
            <w:tcW w:w="0" w:type="auto"/>
            <w:tcBorders>
              <w:top w:val="nil"/>
              <w:left w:val="nil"/>
              <w:bottom w:val="nil"/>
              <w:right w:val="nil"/>
            </w:tcBorders>
            <w:shd w:val="clear" w:color="auto" w:fill="auto"/>
            <w:noWrap/>
            <w:vAlign w:val="center"/>
            <w:hideMark/>
          </w:tcPr>
          <w:p w14:paraId="7B42A2AF" w14:textId="3AE9389D"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Francie</w:t>
            </w:r>
          </w:p>
        </w:tc>
        <w:tc>
          <w:tcPr>
            <w:tcW w:w="822" w:type="dxa"/>
            <w:tcBorders>
              <w:top w:val="nil"/>
              <w:left w:val="single" w:sz="4" w:space="0" w:color="000000"/>
              <w:bottom w:val="nil"/>
              <w:right w:val="nil"/>
            </w:tcBorders>
            <w:shd w:val="clear" w:color="auto" w:fill="auto"/>
            <w:noWrap/>
            <w:vAlign w:val="center"/>
            <w:hideMark/>
          </w:tcPr>
          <w:p w14:paraId="4667FD26" w14:textId="14A4605A" w:rsidR="00095759" w:rsidRPr="00166BEB" w:rsidRDefault="00095759" w:rsidP="00095759">
            <w:pPr>
              <w:spacing w:after="0" w:line="240" w:lineRule="auto"/>
              <w:jc w:val="right"/>
              <w:rPr>
                <w:rFonts w:cs="Arial"/>
                <w:sz w:val="16"/>
                <w:szCs w:val="16"/>
                <w:highlight w:val="yellow"/>
              </w:rPr>
            </w:pPr>
            <w:r>
              <w:rPr>
                <w:rFonts w:cs="Arial"/>
                <w:sz w:val="16"/>
                <w:szCs w:val="16"/>
              </w:rPr>
              <w:t>4 579,0</w:t>
            </w:r>
          </w:p>
        </w:tc>
        <w:tc>
          <w:tcPr>
            <w:tcW w:w="822" w:type="dxa"/>
            <w:tcBorders>
              <w:top w:val="nil"/>
              <w:left w:val="nil"/>
              <w:bottom w:val="nil"/>
              <w:right w:val="nil"/>
            </w:tcBorders>
            <w:shd w:val="clear" w:color="auto" w:fill="auto"/>
            <w:noWrap/>
            <w:vAlign w:val="center"/>
            <w:hideMark/>
          </w:tcPr>
          <w:p w14:paraId="1E677219" w14:textId="08E7FFAA" w:rsidR="00095759" w:rsidRPr="00166BEB" w:rsidRDefault="00095759" w:rsidP="00095759">
            <w:pPr>
              <w:spacing w:after="0" w:line="240" w:lineRule="auto"/>
              <w:jc w:val="right"/>
              <w:rPr>
                <w:rFonts w:cs="Arial"/>
                <w:sz w:val="16"/>
                <w:szCs w:val="16"/>
                <w:highlight w:val="yellow"/>
              </w:rPr>
            </w:pPr>
            <w:r>
              <w:rPr>
                <w:rFonts w:cs="Arial"/>
                <w:sz w:val="16"/>
                <w:szCs w:val="16"/>
              </w:rPr>
              <w:t>3 047,9</w:t>
            </w:r>
          </w:p>
        </w:tc>
        <w:tc>
          <w:tcPr>
            <w:tcW w:w="822" w:type="dxa"/>
            <w:tcBorders>
              <w:top w:val="nil"/>
              <w:left w:val="nil"/>
              <w:bottom w:val="nil"/>
              <w:right w:val="nil"/>
            </w:tcBorders>
            <w:shd w:val="clear" w:color="auto" w:fill="auto"/>
            <w:noWrap/>
            <w:vAlign w:val="center"/>
            <w:hideMark/>
          </w:tcPr>
          <w:p w14:paraId="0190F404" w14:textId="2B53F0B8" w:rsidR="00095759" w:rsidRPr="00166BEB" w:rsidRDefault="00095759" w:rsidP="00095759">
            <w:pPr>
              <w:spacing w:after="0" w:line="240" w:lineRule="auto"/>
              <w:jc w:val="right"/>
              <w:rPr>
                <w:rFonts w:cs="Arial"/>
                <w:sz w:val="16"/>
                <w:szCs w:val="16"/>
                <w:highlight w:val="yellow"/>
              </w:rPr>
            </w:pPr>
            <w:r>
              <w:rPr>
                <w:rFonts w:cs="Arial"/>
                <w:sz w:val="16"/>
                <w:szCs w:val="16"/>
              </w:rPr>
              <w:t>3 163,5</w:t>
            </w:r>
          </w:p>
        </w:tc>
        <w:tc>
          <w:tcPr>
            <w:tcW w:w="822" w:type="dxa"/>
            <w:tcBorders>
              <w:top w:val="nil"/>
              <w:left w:val="nil"/>
              <w:bottom w:val="nil"/>
              <w:right w:val="nil"/>
            </w:tcBorders>
            <w:shd w:val="clear" w:color="000000" w:fill="D9D9D9"/>
            <w:noWrap/>
            <w:vAlign w:val="center"/>
            <w:hideMark/>
          </w:tcPr>
          <w:p w14:paraId="30EDE325" w14:textId="0374B417" w:rsidR="00095759" w:rsidRPr="00166BEB" w:rsidRDefault="00095759" w:rsidP="00095759">
            <w:pPr>
              <w:spacing w:after="0" w:line="240" w:lineRule="auto"/>
              <w:jc w:val="right"/>
              <w:rPr>
                <w:rFonts w:cs="Arial"/>
                <w:sz w:val="16"/>
                <w:szCs w:val="16"/>
                <w:highlight w:val="yellow"/>
              </w:rPr>
            </w:pPr>
            <w:r>
              <w:rPr>
                <w:rFonts w:cs="Arial"/>
                <w:sz w:val="16"/>
                <w:szCs w:val="16"/>
              </w:rPr>
              <w:t>3 385,7</w:t>
            </w:r>
          </w:p>
        </w:tc>
        <w:tc>
          <w:tcPr>
            <w:tcW w:w="822" w:type="dxa"/>
            <w:tcBorders>
              <w:top w:val="nil"/>
              <w:left w:val="nil"/>
              <w:bottom w:val="nil"/>
              <w:right w:val="nil"/>
            </w:tcBorders>
            <w:shd w:val="clear" w:color="auto" w:fill="auto"/>
            <w:noWrap/>
            <w:vAlign w:val="center"/>
            <w:hideMark/>
          </w:tcPr>
          <w:p w14:paraId="312FC3EE" w14:textId="00BA25CE" w:rsidR="00095759" w:rsidRPr="00166BEB" w:rsidRDefault="00095759" w:rsidP="00095759">
            <w:pPr>
              <w:spacing w:after="0" w:line="240" w:lineRule="auto"/>
              <w:jc w:val="right"/>
              <w:rPr>
                <w:rFonts w:cs="Arial"/>
                <w:sz w:val="16"/>
                <w:szCs w:val="16"/>
                <w:highlight w:val="yellow"/>
              </w:rPr>
            </w:pPr>
            <w:r>
              <w:rPr>
                <w:rFonts w:cs="Arial"/>
                <w:sz w:val="16"/>
                <w:szCs w:val="16"/>
              </w:rPr>
              <w:t>3 490,1</w:t>
            </w:r>
          </w:p>
        </w:tc>
        <w:tc>
          <w:tcPr>
            <w:tcW w:w="822" w:type="dxa"/>
            <w:tcBorders>
              <w:top w:val="nil"/>
              <w:left w:val="nil"/>
              <w:bottom w:val="nil"/>
              <w:right w:val="nil"/>
            </w:tcBorders>
            <w:shd w:val="clear" w:color="auto" w:fill="auto"/>
            <w:noWrap/>
            <w:vAlign w:val="center"/>
            <w:hideMark/>
          </w:tcPr>
          <w:p w14:paraId="107C5D5D" w14:textId="0CA93EE2" w:rsidR="00095759" w:rsidRPr="00166BEB" w:rsidRDefault="00095759" w:rsidP="00095759">
            <w:pPr>
              <w:spacing w:after="0" w:line="240" w:lineRule="auto"/>
              <w:jc w:val="right"/>
              <w:rPr>
                <w:rFonts w:cs="Arial"/>
                <w:sz w:val="16"/>
                <w:szCs w:val="16"/>
                <w:highlight w:val="yellow"/>
              </w:rPr>
            </w:pPr>
            <w:r>
              <w:rPr>
                <w:rFonts w:cs="Arial"/>
                <w:sz w:val="16"/>
                <w:szCs w:val="16"/>
              </w:rPr>
              <w:t>3 409,2</w:t>
            </w:r>
          </w:p>
        </w:tc>
        <w:tc>
          <w:tcPr>
            <w:tcW w:w="822" w:type="dxa"/>
            <w:tcBorders>
              <w:top w:val="nil"/>
              <w:left w:val="nil"/>
              <w:bottom w:val="nil"/>
              <w:right w:val="nil"/>
            </w:tcBorders>
            <w:shd w:val="clear" w:color="000000" w:fill="D9D9D9"/>
            <w:noWrap/>
            <w:vAlign w:val="center"/>
            <w:hideMark/>
          </w:tcPr>
          <w:p w14:paraId="0E167717" w14:textId="0DA68EF1" w:rsidR="00095759" w:rsidRPr="00166BEB" w:rsidRDefault="00095759" w:rsidP="00095759">
            <w:pPr>
              <w:spacing w:after="0" w:line="240" w:lineRule="auto"/>
              <w:jc w:val="right"/>
              <w:rPr>
                <w:rFonts w:cs="Arial"/>
                <w:sz w:val="16"/>
                <w:szCs w:val="16"/>
                <w:highlight w:val="yellow"/>
              </w:rPr>
            </w:pPr>
            <w:r>
              <w:rPr>
                <w:rFonts w:cs="Arial"/>
                <w:sz w:val="16"/>
                <w:szCs w:val="16"/>
              </w:rPr>
              <w:t>3 307,1</w:t>
            </w:r>
          </w:p>
        </w:tc>
        <w:tc>
          <w:tcPr>
            <w:tcW w:w="822" w:type="dxa"/>
            <w:tcBorders>
              <w:top w:val="nil"/>
              <w:left w:val="nil"/>
              <w:bottom w:val="nil"/>
              <w:right w:val="nil"/>
            </w:tcBorders>
            <w:shd w:val="clear" w:color="auto" w:fill="auto"/>
            <w:noWrap/>
            <w:vAlign w:val="center"/>
            <w:hideMark/>
          </w:tcPr>
          <w:p w14:paraId="0EE37554" w14:textId="5E56A797" w:rsidR="00095759" w:rsidRPr="00166BEB" w:rsidRDefault="00095759" w:rsidP="00095759">
            <w:pPr>
              <w:spacing w:after="0" w:line="240" w:lineRule="auto"/>
              <w:jc w:val="right"/>
              <w:rPr>
                <w:rFonts w:cs="Arial"/>
                <w:sz w:val="16"/>
                <w:szCs w:val="16"/>
                <w:highlight w:val="yellow"/>
              </w:rPr>
            </w:pPr>
            <w:r>
              <w:rPr>
                <w:rFonts w:cs="Arial"/>
                <w:sz w:val="16"/>
                <w:szCs w:val="16"/>
              </w:rPr>
              <w:t>3 421,2</w:t>
            </w:r>
          </w:p>
        </w:tc>
        <w:tc>
          <w:tcPr>
            <w:tcW w:w="822" w:type="dxa"/>
            <w:tcBorders>
              <w:top w:val="nil"/>
              <w:left w:val="nil"/>
              <w:bottom w:val="nil"/>
              <w:right w:val="nil"/>
            </w:tcBorders>
            <w:shd w:val="clear" w:color="auto" w:fill="auto"/>
            <w:noWrap/>
            <w:vAlign w:val="center"/>
            <w:hideMark/>
          </w:tcPr>
          <w:p w14:paraId="4718C9AE" w14:textId="5FD12B74" w:rsidR="00095759" w:rsidRPr="00166BEB" w:rsidRDefault="00095759" w:rsidP="00095759">
            <w:pPr>
              <w:spacing w:after="0" w:line="240" w:lineRule="auto"/>
              <w:jc w:val="right"/>
              <w:rPr>
                <w:rFonts w:cs="Arial"/>
                <w:sz w:val="16"/>
                <w:szCs w:val="16"/>
                <w:highlight w:val="yellow"/>
              </w:rPr>
            </w:pPr>
            <w:r>
              <w:rPr>
                <w:rFonts w:cs="Arial"/>
                <w:sz w:val="16"/>
                <w:szCs w:val="16"/>
              </w:rPr>
              <w:t>3 406,9</w:t>
            </w:r>
          </w:p>
        </w:tc>
        <w:tc>
          <w:tcPr>
            <w:tcW w:w="822" w:type="dxa"/>
            <w:tcBorders>
              <w:top w:val="nil"/>
              <w:left w:val="nil"/>
              <w:bottom w:val="nil"/>
              <w:right w:val="nil"/>
            </w:tcBorders>
            <w:shd w:val="clear" w:color="auto" w:fill="D9D9D9"/>
            <w:vAlign w:val="center"/>
          </w:tcPr>
          <w:p w14:paraId="728E4141" w14:textId="4EBB21D8" w:rsidR="00095759" w:rsidRDefault="00095759" w:rsidP="00095759">
            <w:pPr>
              <w:spacing w:after="0" w:line="240" w:lineRule="auto"/>
              <w:jc w:val="right"/>
              <w:rPr>
                <w:rFonts w:cs="Arial"/>
                <w:sz w:val="16"/>
                <w:szCs w:val="16"/>
              </w:rPr>
            </w:pPr>
            <w:r>
              <w:rPr>
                <w:rFonts w:cs="Arial"/>
                <w:sz w:val="16"/>
                <w:szCs w:val="16"/>
              </w:rPr>
              <w:t>2 597,5</w:t>
            </w:r>
          </w:p>
        </w:tc>
        <w:tc>
          <w:tcPr>
            <w:tcW w:w="675" w:type="dxa"/>
            <w:tcBorders>
              <w:top w:val="nil"/>
              <w:left w:val="nil"/>
              <w:bottom w:val="nil"/>
              <w:right w:val="nil"/>
            </w:tcBorders>
          </w:tcPr>
          <w:p w14:paraId="27AFEC9D" w14:textId="0E3DC3D3" w:rsidR="00095759" w:rsidRDefault="00095759" w:rsidP="00095759">
            <w:pPr>
              <w:spacing w:after="0" w:line="240" w:lineRule="auto"/>
              <w:jc w:val="right"/>
              <w:rPr>
                <w:rFonts w:cs="Arial"/>
                <w:sz w:val="16"/>
                <w:szCs w:val="16"/>
              </w:rPr>
            </w:pPr>
          </w:p>
        </w:tc>
      </w:tr>
      <w:tr w:rsidR="00095759" w:rsidRPr="00166BEB" w14:paraId="08F80DBC" w14:textId="231517B5" w:rsidTr="00095759">
        <w:trPr>
          <w:trHeight w:val="300"/>
        </w:trPr>
        <w:tc>
          <w:tcPr>
            <w:tcW w:w="0" w:type="auto"/>
            <w:tcBorders>
              <w:top w:val="nil"/>
              <w:left w:val="nil"/>
              <w:bottom w:val="nil"/>
              <w:right w:val="nil"/>
            </w:tcBorders>
            <w:shd w:val="clear" w:color="auto" w:fill="auto"/>
            <w:noWrap/>
            <w:vAlign w:val="center"/>
            <w:hideMark/>
          </w:tcPr>
          <w:p w14:paraId="55DB3741" w14:textId="33506E29"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Chorvatsko</w:t>
            </w:r>
          </w:p>
        </w:tc>
        <w:tc>
          <w:tcPr>
            <w:tcW w:w="822" w:type="dxa"/>
            <w:tcBorders>
              <w:top w:val="nil"/>
              <w:left w:val="single" w:sz="4" w:space="0" w:color="000000"/>
              <w:bottom w:val="nil"/>
              <w:right w:val="nil"/>
            </w:tcBorders>
            <w:shd w:val="clear" w:color="auto" w:fill="auto"/>
            <w:noWrap/>
            <w:vAlign w:val="center"/>
            <w:hideMark/>
          </w:tcPr>
          <w:p w14:paraId="55E396F2" w14:textId="7F7329BA" w:rsidR="00095759" w:rsidRPr="00166BEB" w:rsidRDefault="00095759" w:rsidP="00095759">
            <w:pPr>
              <w:spacing w:after="0" w:line="240" w:lineRule="auto"/>
              <w:jc w:val="right"/>
              <w:rPr>
                <w:rFonts w:cs="Arial"/>
                <w:sz w:val="16"/>
                <w:szCs w:val="16"/>
                <w:highlight w:val="yellow"/>
              </w:rPr>
            </w:pPr>
            <w:r>
              <w:rPr>
                <w:rFonts w:cs="Arial"/>
                <w:sz w:val="16"/>
                <w:szCs w:val="16"/>
              </w:rPr>
              <w:t>1 012,4</w:t>
            </w:r>
          </w:p>
        </w:tc>
        <w:tc>
          <w:tcPr>
            <w:tcW w:w="822" w:type="dxa"/>
            <w:tcBorders>
              <w:top w:val="nil"/>
              <w:left w:val="nil"/>
              <w:bottom w:val="nil"/>
              <w:right w:val="nil"/>
            </w:tcBorders>
            <w:shd w:val="clear" w:color="auto" w:fill="auto"/>
            <w:noWrap/>
            <w:vAlign w:val="center"/>
            <w:hideMark/>
          </w:tcPr>
          <w:p w14:paraId="1722B60E" w14:textId="348C172F" w:rsidR="00095759" w:rsidRPr="00166BEB" w:rsidRDefault="00095759" w:rsidP="00095759">
            <w:pPr>
              <w:spacing w:after="0" w:line="240" w:lineRule="auto"/>
              <w:jc w:val="right"/>
              <w:rPr>
                <w:rFonts w:cs="Arial"/>
                <w:sz w:val="16"/>
                <w:szCs w:val="16"/>
                <w:highlight w:val="yellow"/>
              </w:rPr>
            </w:pPr>
            <w:r>
              <w:rPr>
                <w:rFonts w:cs="Arial"/>
                <w:sz w:val="16"/>
                <w:szCs w:val="16"/>
              </w:rPr>
              <w:t>835,9</w:t>
            </w:r>
          </w:p>
        </w:tc>
        <w:tc>
          <w:tcPr>
            <w:tcW w:w="822" w:type="dxa"/>
            <w:tcBorders>
              <w:top w:val="nil"/>
              <w:left w:val="nil"/>
              <w:bottom w:val="nil"/>
              <w:right w:val="nil"/>
            </w:tcBorders>
            <w:shd w:val="clear" w:color="auto" w:fill="auto"/>
            <w:noWrap/>
            <w:vAlign w:val="center"/>
            <w:hideMark/>
          </w:tcPr>
          <w:p w14:paraId="29AEFF65" w14:textId="39556032" w:rsidR="00095759" w:rsidRPr="00166BEB" w:rsidRDefault="00095759" w:rsidP="00095759">
            <w:pPr>
              <w:spacing w:after="0" w:line="240" w:lineRule="auto"/>
              <w:jc w:val="right"/>
              <w:rPr>
                <w:rFonts w:cs="Arial"/>
                <w:sz w:val="16"/>
                <w:szCs w:val="16"/>
                <w:highlight w:val="yellow"/>
              </w:rPr>
            </w:pPr>
            <w:r>
              <w:rPr>
                <w:rFonts w:cs="Arial"/>
                <w:sz w:val="16"/>
                <w:szCs w:val="16"/>
              </w:rPr>
              <w:t>867,9</w:t>
            </w:r>
          </w:p>
        </w:tc>
        <w:tc>
          <w:tcPr>
            <w:tcW w:w="822" w:type="dxa"/>
            <w:tcBorders>
              <w:top w:val="nil"/>
              <w:left w:val="nil"/>
              <w:bottom w:val="nil"/>
              <w:right w:val="nil"/>
            </w:tcBorders>
            <w:shd w:val="clear" w:color="auto" w:fill="auto"/>
            <w:noWrap/>
            <w:vAlign w:val="center"/>
            <w:hideMark/>
          </w:tcPr>
          <w:p w14:paraId="39888408" w14:textId="1E86BCC9" w:rsidR="00095759" w:rsidRPr="00166BEB" w:rsidRDefault="00095759" w:rsidP="00095759">
            <w:pPr>
              <w:spacing w:after="0" w:line="240" w:lineRule="auto"/>
              <w:jc w:val="right"/>
              <w:rPr>
                <w:rFonts w:cs="Arial"/>
                <w:sz w:val="16"/>
                <w:szCs w:val="16"/>
                <w:highlight w:val="yellow"/>
              </w:rPr>
            </w:pPr>
            <w:r>
              <w:rPr>
                <w:rFonts w:cs="Arial"/>
                <w:sz w:val="16"/>
                <w:szCs w:val="16"/>
              </w:rPr>
              <w:t>906,5</w:t>
            </w:r>
          </w:p>
        </w:tc>
        <w:tc>
          <w:tcPr>
            <w:tcW w:w="822" w:type="dxa"/>
            <w:tcBorders>
              <w:top w:val="nil"/>
              <w:left w:val="nil"/>
              <w:bottom w:val="nil"/>
              <w:right w:val="nil"/>
            </w:tcBorders>
            <w:shd w:val="clear" w:color="auto" w:fill="auto"/>
            <w:noWrap/>
            <w:vAlign w:val="center"/>
            <w:hideMark/>
          </w:tcPr>
          <w:p w14:paraId="453E058A" w14:textId="0A55B577" w:rsidR="00095759" w:rsidRPr="00166BEB" w:rsidRDefault="00095759" w:rsidP="00095759">
            <w:pPr>
              <w:spacing w:after="0" w:line="240" w:lineRule="auto"/>
              <w:jc w:val="right"/>
              <w:rPr>
                <w:rFonts w:cs="Arial"/>
                <w:sz w:val="16"/>
                <w:szCs w:val="16"/>
                <w:highlight w:val="yellow"/>
              </w:rPr>
            </w:pPr>
            <w:r>
              <w:rPr>
                <w:rFonts w:cs="Arial"/>
                <w:sz w:val="16"/>
                <w:szCs w:val="16"/>
              </w:rPr>
              <w:t>989,0</w:t>
            </w:r>
          </w:p>
        </w:tc>
        <w:tc>
          <w:tcPr>
            <w:tcW w:w="822" w:type="dxa"/>
            <w:tcBorders>
              <w:top w:val="nil"/>
              <w:left w:val="nil"/>
              <w:bottom w:val="nil"/>
              <w:right w:val="nil"/>
            </w:tcBorders>
            <w:shd w:val="clear" w:color="auto" w:fill="auto"/>
            <w:noWrap/>
            <w:vAlign w:val="center"/>
            <w:hideMark/>
          </w:tcPr>
          <w:p w14:paraId="776768C7" w14:textId="6EA01C4D" w:rsidR="00095759" w:rsidRPr="00166BEB" w:rsidRDefault="00095759" w:rsidP="00095759">
            <w:pPr>
              <w:spacing w:after="0" w:line="240" w:lineRule="auto"/>
              <w:jc w:val="right"/>
              <w:rPr>
                <w:rFonts w:cs="Arial"/>
                <w:sz w:val="16"/>
                <w:szCs w:val="16"/>
                <w:highlight w:val="yellow"/>
              </w:rPr>
            </w:pPr>
            <w:r>
              <w:rPr>
                <w:rFonts w:cs="Arial"/>
                <w:sz w:val="16"/>
                <w:szCs w:val="16"/>
              </w:rPr>
              <w:t>984,3</w:t>
            </w:r>
          </w:p>
        </w:tc>
        <w:tc>
          <w:tcPr>
            <w:tcW w:w="822" w:type="dxa"/>
            <w:tcBorders>
              <w:top w:val="nil"/>
              <w:left w:val="nil"/>
              <w:bottom w:val="nil"/>
              <w:right w:val="nil"/>
            </w:tcBorders>
            <w:shd w:val="clear" w:color="auto" w:fill="auto"/>
            <w:noWrap/>
            <w:vAlign w:val="center"/>
            <w:hideMark/>
          </w:tcPr>
          <w:p w14:paraId="552B9ED7" w14:textId="07C55D2C" w:rsidR="00095759" w:rsidRPr="00166BEB" w:rsidRDefault="00095759" w:rsidP="00095759">
            <w:pPr>
              <w:spacing w:after="0" w:line="240" w:lineRule="auto"/>
              <w:jc w:val="right"/>
              <w:rPr>
                <w:rFonts w:cs="Arial"/>
                <w:sz w:val="16"/>
                <w:szCs w:val="16"/>
                <w:highlight w:val="yellow"/>
              </w:rPr>
            </w:pPr>
            <w:r>
              <w:rPr>
                <w:rFonts w:cs="Arial"/>
                <w:sz w:val="16"/>
                <w:szCs w:val="16"/>
              </w:rPr>
              <w:t>1 044,2</w:t>
            </w:r>
          </w:p>
        </w:tc>
        <w:tc>
          <w:tcPr>
            <w:tcW w:w="822" w:type="dxa"/>
            <w:tcBorders>
              <w:top w:val="nil"/>
              <w:left w:val="nil"/>
              <w:bottom w:val="nil"/>
              <w:right w:val="nil"/>
            </w:tcBorders>
            <w:shd w:val="clear" w:color="auto" w:fill="auto"/>
            <w:noWrap/>
            <w:vAlign w:val="center"/>
            <w:hideMark/>
          </w:tcPr>
          <w:p w14:paraId="05798463" w14:textId="02715291" w:rsidR="00095759" w:rsidRPr="00166BEB" w:rsidRDefault="00095759" w:rsidP="00095759">
            <w:pPr>
              <w:spacing w:after="0" w:line="240" w:lineRule="auto"/>
              <w:jc w:val="right"/>
              <w:rPr>
                <w:rFonts w:cs="Arial"/>
                <w:sz w:val="16"/>
                <w:szCs w:val="16"/>
                <w:highlight w:val="yellow"/>
              </w:rPr>
            </w:pPr>
            <w:r>
              <w:rPr>
                <w:rFonts w:cs="Arial"/>
                <w:sz w:val="16"/>
                <w:szCs w:val="16"/>
              </w:rPr>
              <w:t>868,2</w:t>
            </w:r>
          </w:p>
        </w:tc>
        <w:tc>
          <w:tcPr>
            <w:tcW w:w="822" w:type="dxa"/>
            <w:tcBorders>
              <w:top w:val="nil"/>
              <w:left w:val="nil"/>
              <w:bottom w:val="nil"/>
              <w:right w:val="nil"/>
            </w:tcBorders>
            <w:shd w:val="clear" w:color="auto" w:fill="auto"/>
            <w:noWrap/>
            <w:vAlign w:val="center"/>
            <w:hideMark/>
          </w:tcPr>
          <w:p w14:paraId="21D87B1F" w14:textId="55BF5E17" w:rsidR="00095759" w:rsidRPr="00166BEB" w:rsidRDefault="00095759" w:rsidP="00095759">
            <w:pPr>
              <w:spacing w:after="0" w:line="240" w:lineRule="auto"/>
              <w:jc w:val="right"/>
              <w:rPr>
                <w:rFonts w:cs="Arial"/>
                <w:sz w:val="16"/>
                <w:szCs w:val="16"/>
                <w:highlight w:val="yellow"/>
              </w:rPr>
            </w:pPr>
            <w:r>
              <w:rPr>
                <w:rFonts w:cs="Arial"/>
                <w:sz w:val="16"/>
                <w:szCs w:val="16"/>
              </w:rPr>
              <w:t>791,9</w:t>
            </w:r>
          </w:p>
        </w:tc>
        <w:tc>
          <w:tcPr>
            <w:tcW w:w="822" w:type="dxa"/>
            <w:tcBorders>
              <w:top w:val="nil"/>
              <w:left w:val="nil"/>
              <w:bottom w:val="nil"/>
              <w:right w:val="nil"/>
            </w:tcBorders>
            <w:shd w:val="clear" w:color="auto" w:fill="D9D9D9"/>
            <w:vAlign w:val="center"/>
          </w:tcPr>
          <w:p w14:paraId="45006594" w14:textId="7C0E40D8" w:rsidR="00095759" w:rsidRDefault="00095759" w:rsidP="00095759">
            <w:pPr>
              <w:spacing w:after="0" w:line="240" w:lineRule="auto"/>
              <w:jc w:val="right"/>
              <w:rPr>
                <w:rFonts w:cs="Arial"/>
                <w:sz w:val="16"/>
                <w:szCs w:val="16"/>
              </w:rPr>
            </w:pPr>
            <w:r>
              <w:rPr>
                <w:rFonts w:cs="Arial"/>
                <w:sz w:val="16"/>
                <w:szCs w:val="16"/>
              </w:rPr>
              <w:t>564,4</w:t>
            </w:r>
          </w:p>
        </w:tc>
        <w:tc>
          <w:tcPr>
            <w:tcW w:w="675" w:type="dxa"/>
            <w:tcBorders>
              <w:top w:val="nil"/>
              <w:left w:val="nil"/>
              <w:bottom w:val="nil"/>
              <w:right w:val="nil"/>
            </w:tcBorders>
          </w:tcPr>
          <w:p w14:paraId="7B3B37F8" w14:textId="566A3F04" w:rsidR="00095759" w:rsidRDefault="00095759" w:rsidP="00095759">
            <w:pPr>
              <w:spacing w:after="0" w:line="240" w:lineRule="auto"/>
              <w:jc w:val="right"/>
              <w:rPr>
                <w:rFonts w:cs="Arial"/>
                <w:sz w:val="16"/>
                <w:szCs w:val="16"/>
              </w:rPr>
            </w:pPr>
          </w:p>
        </w:tc>
      </w:tr>
      <w:tr w:rsidR="00095759" w:rsidRPr="00166BEB" w14:paraId="6812920C" w14:textId="29DF0E4B" w:rsidTr="00095759">
        <w:trPr>
          <w:trHeight w:val="300"/>
        </w:trPr>
        <w:tc>
          <w:tcPr>
            <w:tcW w:w="0" w:type="auto"/>
            <w:tcBorders>
              <w:top w:val="nil"/>
              <w:left w:val="nil"/>
              <w:bottom w:val="nil"/>
              <w:right w:val="nil"/>
            </w:tcBorders>
            <w:shd w:val="clear" w:color="auto" w:fill="auto"/>
            <w:noWrap/>
            <w:vAlign w:val="center"/>
            <w:hideMark/>
          </w:tcPr>
          <w:p w14:paraId="2F33A4FD" w14:textId="1BA65A8B"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Irsko</w:t>
            </w:r>
          </w:p>
        </w:tc>
        <w:tc>
          <w:tcPr>
            <w:tcW w:w="822" w:type="dxa"/>
            <w:tcBorders>
              <w:top w:val="nil"/>
              <w:left w:val="single" w:sz="4" w:space="0" w:color="000000"/>
              <w:bottom w:val="nil"/>
              <w:right w:val="nil"/>
            </w:tcBorders>
            <w:shd w:val="clear" w:color="auto" w:fill="auto"/>
            <w:noWrap/>
            <w:vAlign w:val="center"/>
            <w:hideMark/>
          </w:tcPr>
          <w:p w14:paraId="6B4D4085" w14:textId="1C6D57A6" w:rsidR="00095759" w:rsidRPr="00166BEB" w:rsidRDefault="00095759" w:rsidP="00095759">
            <w:pPr>
              <w:spacing w:after="0" w:line="240" w:lineRule="auto"/>
              <w:jc w:val="right"/>
              <w:rPr>
                <w:rFonts w:cs="Arial"/>
                <w:sz w:val="16"/>
                <w:szCs w:val="16"/>
                <w:highlight w:val="yellow"/>
              </w:rPr>
            </w:pPr>
            <w:r>
              <w:rPr>
                <w:rFonts w:cs="Arial"/>
                <w:sz w:val="16"/>
                <w:szCs w:val="16"/>
              </w:rPr>
              <w:t>955,0</w:t>
            </w:r>
          </w:p>
        </w:tc>
        <w:tc>
          <w:tcPr>
            <w:tcW w:w="822" w:type="dxa"/>
            <w:tcBorders>
              <w:top w:val="nil"/>
              <w:left w:val="nil"/>
              <w:bottom w:val="nil"/>
              <w:right w:val="nil"/>
            </w:tcBorders>
            <w:shd w:val="clear" w:color="auto" w:fill="auto"/>
            <w:noWrap/>
            <w:vAlign w:val="center"/>
            <w:hideMark/>
          </w:tcPr>
          <w:p w14:paraId="0DB11A84" w14:textId="021EA4A8" w:rsidR="00095759" w:rsidRPr="00166BEB" w:rsidRDefault="00095759" w:rsidP="00095759">
            <w:pPr>
              <w:spacing w:after="0" w:line="240" w:lineRule="auto"/>
              <w:jc w:val="right"/>
              <w:rPr>
                <w:rFonts w:cs="Arial"/>
                <w:sz w:val="16"/>
                <w:szCs w:val="16"/>
                <w:highlight w:val="yellow"/>
              </w:rPr>
            </w:pPr>
            <w:r>
              <w:rPr>
                <w:rFonts w:cs="Arial"/>
                <w:sz w:val="16"/>
                <w:szCs w:val="16"/>
              </w:rPr>
              <w:t>809,6</w:t>
            </w:r>
          </w:p>
        </w:tc>
        <w:tc>
          <w:tcPr>
            <w:tcW w:w="822" w:type="dxa"/>
            <w:tcBorders>
              <w:top w:val="nil"/>
              <w:left w:val="nil"/>
              <w:bottom w:val="nil"/>
              <w:right w:val="nil"/>
            </w:tcBorders>
            <w:shd w:val="clear" w:color="auto" w:fill="auto"/>
            <w:noWrap/>
            <w:vAlign w:val="center"/>
            <w:hideMark/>
          </w:tcPr>
          <w:p w14:paraId="5E52F884" w14:textId="3C4570E7" w:rsidR="00095759" w:rsidRPr="00166BEB" w:rsidRDefault="00095759" w:rsidP="00095759">
            <w:pPr>
              <w:spacing w:after="0" w:line="240" w:lineRule="auto"/>
              <w:jc w:val="right"/>
              <w:rPr>
                <w:rFonts w:cs="Arial"/>
                <w:sz w:val="16"/>
                <w:szCs w:val="16"/>
                <w:highlight w:val="yellow"/>
              </w:rPr>
            </w:pPr>
            <w:r>
              <w:rPr>
                <w:rFonts w:cs="Arial"/>
                <w:sz w:val="16"/>
                <w:szCs w:val="16"/>
              </w:rPr>
              <w:t>1 036,1</w:t>
            </w:r>
          </w:p>
        </w:tc>
        <w:tc>
          <w:tcPr>
            <w:tcW w:w="822" w:type="dxa"/>
            <w:tcBorders>
              <w:top w:val="nil"/>
              <w:left w:val="nil"/>
              <w:bottom w:val="nil"/>
              <w:right w:val="nil"/>
            </w:tcBorders>
            <w:shd w:val="clear" w:color="auto" w:fill="auto"/>
            <w:noWrap/>
            <w:vAlign w:val="center"/>
            <w:hideMark/>
          </w:tcPr>
          <w:p w14:paraId="3014D37E" w14:textId="2AEB6A4F" w:rsidR="00095759" w:rsidRPr="00166BEB" w:rsidRDefault="00095759" w:rsidP="00095759">
            <w:pPr>
              <w:spacing w:after="0" w:line="240" w:lineRule="auto"/>
              <w:jc w:val="right"/>
              <w:rPr>
                <w:rFonts w:cs="Arial"/>
                <w:sz w:val="16"/>
                <w:szCs w:val="16"/>
                <w:highlight w:val="yellow"/>
              </w:rPr>
            </w:pPr>
            <w:r>
              <w:rPr>
                <w:rFonts w:cs="Arial"/>
                <w:sz w:val="16"/>
                <w:szCs w:val="16"/>
              </w:rPr>
              <w:t>1 072,0</w:t>
            </w:r>
          </w:p>
        </w:tc>
        <w:tc>
          <w:tcPr>
            <w:tcW w:w="822" w:type="dxa"/>
            <w:tcBorders>
              <w:top w:val="nil"/>
              <w:left w:val="nil"/>
              <w:bottom w:val="nil"/>
              <w:right w:val="nil"/>
            </w:tcBorders>
            <w:shd w:val="clear" w:color="auto" w:fill="auto"/>
            <w:noWrap/>
            <w:vAlign w:val="center"/>
            <w:hideMark/>
          </w:tcPr>
          <w:p w14:paraId="2A026610" w14:textId="30B6C7CF" w:rsidR="00095759" w:rsidRPr="00166BEB" w:rsidRDefault="00095759" w:rsidP="00095759">
            <w:pPr>
              <w:spacing w:after="0" w:line="240" w:lineRule="auto"/>
              <w:jc w:val="right"/>
              <w:rPr>
                <w:rFonts w:cs="Arial"/>
                <w:sz w:val="16"/>
                <w:szCs w:val="16"/>
                <w:highlight w:val="yellow"/>
              </w:rPr>
            </w:pPr>
            <w:r>
              <w:rPr>
                <w:rFonts w:cs="Arial"/>
                <w:sz w:val="16"/>
                <w:szCs w:val="16"/>
              </w:rPr>
              <w:t>924,0</w:t>
            </w:r>
          </w:p>
        </w:tc>
        <w:tc>
          <w:tcPr>
            <w:tcW w:w="822" w:type="dxa"/>
            <w:tcBorders>
              <w:top w:val="nil"/>
              <w:left w:val="nil"/>
              <w:bottom w:val="nil"/>
              <w:right w:val="nil"/>
            </w:tcBorders>
            <w:shd w:val="clear" w:color="auto" w:fill="auto"/>
            <w:noWrap/>
            <w:vAlign w:val="center"/>
            <w:hideMark/>
          </w:tcPr>
          <w:p w14:paraId="39122CC2" w14:textId="26015941" w:rsidR="00095759" w:rsidRPr="00166BEB" w:rsidRDefault="00095759" w:rsidP="00095759">
            <w:pPr>
              <w:spacing w:after="0" w:line="240" w:lineRule="auto"/>
              <w:jc w:val="right"/>
              <w:rPr>
                <w:rFonts w:cs="Arial"/>
                <w:sz w:val="16"/>
                <w:szCs w:val="16"/>
                <w:highlight w:val="yellow"/>
              </w:rPr>
            </w:pPr>
            <w:r>
              <w:rPr>
                <w:rFonts w:cs="Arial"/>
                <w:sz w:val="16"/>
                <w:szCs w:val="16"/>
              </w:rPr>
              <w:t>768,9</w:t>
            </w:r>
          </w:p>
        </w:tc>
        <w:tc>
          <w:tcPr>
            <w:tcW w:w="822" w:type="dxa"/>
            <w:tcBorders>
              <w:top w:val="nil"/>
              <w:left w:val="nil"/>
              <w:bottom w:val="nil"/>
              <w:right w:val="nil"/>
            </w:tcBorders>
            <w:shd w:val="clear" w:color="auto" w:fill="auto"/>
            <w:noWrap/>
            <w:vAlign w:val="center"/>
            <w:hideMark/>
          </w:tcPr>
          <w:p w14:paraId="094BEA1E" w14:textId="09197479" w:rsidR="00095759" w:rsidRPr="00166BEB" w:rsidRDefault="00095759" w:rsidP="00095759">
            <w:pPr>
              <w:spacing w:after="0" w:line="240" w:lineRule="auto"/>
              <w:jc w:val="right"/>
              <w:rPr>
                <w:rFonts w:cs="Arial"/>
                <w:sz w:val="16"/>
                <w:szCs w:val="16"/>
                <w:highlight w:val="yellow"/>
              </w:rPr>
            </w:pPr>
            <w:r>
              <w:rPr>
                <w:rFonts w:cs="Arial"/>
                <w:sz w:val="16"/>
                <w:szCs w:val="16"/>
              </w:rPr>
              <w:t>1 115,9</w:t>
            </w:r>
          </w:p>
        </w:tc>
        <w:tc>
          <w:tcPr>
            <w:tcW w:w="822" w:type="dxa"/>
            <w:tcBorders>
              <w:top w:val="nil"/>
              <w:left w:val="nil"/>
              <w:bottom w:val="nil"/>
              <w:right w:val="nil"/>
            </w:tcBorders>
            <w:shd w:val="clear" w:color="auto" w:fill="auto"/>
            <w:noWrap/>
            <w:vAlign w:val="center"/>
            <w:hideMark/>
          </w:tcPr>
          <w:p w14:paraId="406139FE" w14:textId="03BA3292" w:rsidR="00095759" w:rsidRPr="00166BEB" w:rsidRDefault="00095759" w:rsidP="00095759">
            <w:pPr>
              <w:spacing w:after="0" w:line="240" w:lineRule="auto"/>
              <w:jc w:val="right"/>
              <w:rPr>
                <w:rFonts w:cs="Arial"/>
                <w:sz w:val="16"/>
                <w:szCs w:val="16"/>
                <w:highlight w:val="yellow"/>
              </w:rPr>
            </w:pPr>
            <w:r>
              <w:rPr>
                <w:rFonts w:cs="Arial"/>
                <w:sz w:val="16"/>
                <w:szCs w:val="16"/>
              </w:rPr>
              <w:t>789,5</w:t>
            </w:r>
          </w:p>
        </w:tc>
        <w:tc>
          <w:tcPr>
            <w:tcW w:w="822" w:type="dxa"/>
            <w:tcBorders>
              <w:top w:val="nil"/>
              <w:left w:val="nil"/>
              <w:bottom w:val="nil"/>
              <w:right w:val="nil"/>
            </w:tcBorders>
            <w:shd w:val="clear" w:color="auto" w:fill="auto"/>
            <w:noWrap/>
            <w:vAlign w:val="center"/>
            <w:hideMark/>
          </w:tcPr>
          <w:p w14:paraId="6CFAAED8" w14:textId="4A67A3C3" w:rsidR="00095759" w:rsidRPr="00166BEB" w:rsidRDefault="00095759" w:rsidP="00095759">
            <w:pPr>
              <w:spacing w:after="0" w:line="240" w:lineRule="auto"/>
              <w:jc w:val="right"/>
              <w:rPr>
                <w:rFonts w:cs="Arial"/>
                <w:sz w:val="16"/>
                <w:szCs w:val="16"/>
                <w:highlight w:val="yellow"/>
              </w:rPr>
            </w:pPr>
            <w:r>
              <w:rPr>
                <w:rFonts w:cs="Arial"/>
                <w:sz w:val="16"/>
                <w:szCs w:val="16"/>
              </w:rPr>
              <w:t>559,5</w:t>
            </w:r>
          </w:p>
        </w:tc>
        <w:tc>
          <w:tcPr>
            <w:tcW w:w="822" w:type="dxa"/>
            <w:tcBorders>
              <w:top w:val="nil"/>
              <w:left w:val="nil"/>
              <w:bottom w:val="nil"/>
              <w:right w:val="nil"/>
            </w:tcBorders>
            <w:shd w:val="clear" w:color="auto" w:fill="D9D9D9"/>
            <w:vAlign w:val="center"/>
          </w:tcPr>
          <w:p w14:paraId="7BDF0E74" w14:textId="49DA9574" w:rsidR="00095759" w:rsidRDefault="00095759" w:rsidP="00095759">
            <w:pPr>
              <w:spacing w:after="0" w:line="240" w:lineRule="auto"/>
              <w:jc w:val="right"/>
              <w:rPr>
                <w:rFonts w:cs="Arial"/>
                <w:sz w:val="16"/>
                <w:szCs w:val="16"/>
              </w:rPr>
            </w:pPr>
            <w:r>
              <w:rPr>
                <w:rFonts w:cs="Arial"/>
                <w:sz w:val="16"/>
                <w:szCs w:val="16"/>
              </w:rPr>
              <w:t>534,2</w:t>
            </w:r>
          </w:p>
        </w:tc>
        <w:tc>
          <w:tcPr>
            <w:tcW w:w="675" w:type="dxa"/>
            <w:tcBorders>
              <w:top w:val="nil"/>
              <w:left w:val="nil"/>
              <w:bottom w:val="nil"/>
              <w:right w:val="nil"/>
            </w:tcBorders>
          </w:tcPr>
          <w:p w14:paraId="6D342DFB" w14:textId="3B45B289" w:rsidR="00095759" w:rsidRDefault="00095759" w:rsidP="00095759">
            <w:pPr>
              <w:spacing w:after="0" w:line="240" w:lineRule="auto"/>
              <w:jc w:val="right"/>
              <w:rPr>
                <w:rFonts w:cs="Arial"/>
                <w:sz w:val="16"/>
                <w:szCs w:val="16"/>
              </w:rPr>
            </w:pPr>
          </w:p>
        </w:tc>
      </w:tr>
      <w:tr w:rsidR="00095759" w:rsidRPr="00166BEB" w14:paraId="42452307" w14:textId="05D4F51E" w:rsidTr="00095759">
        <w:trPr>
          <w:trHeight w:val="300"/>
        </w:trPr>
        <w:tc>
          <w:tcPr>
            <w:tcW w:w="0" w:type="auto"/>
            <w:tcBorders>
              <w:top w:val="nil"/>
              <w:left w:val="nil"/>
              <w:bottom w:val="nil"/>
              <w:right w:val="nil"/>
            </w:tcBorders>
            <w:shd w:val="clear" w:color="auto" w:fill="auto"/>
            <w:noWrap/>
            <w:vAlign w:val="center"/>
            <w:hideMark/>
          </w:tcPr>
          <w:p w14:paraId="2B79C0AF" w14:textId="46440DB1"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Itálie</w:t>
            </w:r>
          </w:p>
        </w:tc>
        <w:tc>
          <w:tcPr>
            <w:tcW w:w="822" w:type="dxa"/>
            <w:tcBorders>
              <w:top w:val="nil"/>
              <w:left w:val="single" w:sz="4" w:space="0" w:color="000000"/>
              <w:bottom w:val="nil"/>
              <w:right w:val="nil"/>
            </w:tcBorders>
            <w:shd w:val="clear" w:color="auto" w:fill="auto"/>
            <w:noWrap/>
            <w:vAlign w:val="center"/>
            <w:hideMark/>
          </w:tcPr>
          <w:p w14:paraId="78E1C9BF" w14:textId="6A2EE833" w:rsidR="00095759" w:rsidRPr="00166BEB" w:rsidRDefault="00095759" w:rsidP="00095759">
            <w:pPr>
              <w:spacing w:after="0" w:line="240" w:lineRule="auto"/>
              <w:jc w:val="right"/>
              <w:rPr>
                <w:rFonts w:cs="Arial"/>
                <w:sz w:val="16"/>
                <w:szCs w:val="16"/>
                <w:highlight w:val="yellow"/>
              </w:rPr>
            </w:pPr>
            <w:r>
              <w:rPr>
                <w:rFonts w:cs="Arial"/>
                <w:sz w:val="16"/>
                <w:szCs w:val="16"/>
              </w:rPr>
              <w:t>2 004,7</w:t>
            </w:r>
          </w:p>
        </w:tc>
        <w:tc>
          <w:tcPr>
            <w:tcW w:w="822" w:type="dxa"/>
            <w:tcBorders>
              <w:top w:val="nil"/>
              <w:left w:val="nil"/>
              <w:bottom w:val="nil"/>
              <w:right w:val="nil"/>
            </w:tcBorders>
            <w:shd w:val="clear" w:color="auto" w:fill="auto"/>
            <w:noWrap/>
            <w:vAlign w:val="center"/>
            <w:hideMark/>
          </w:tcPr>
          <w:p w14:paraId="09058BDE" w14:textId="17EEECB3" w:rsidR="00095759" w:rsidRPr="00166BEB" w:rsidRDefault="00095759" w:rsidP="00095759">
            <w:pPr>
              <w:spacing w:after="0" w:line="240" w:lineRule="auto"/>
              <w:jc w:val="right"/>
              <w:rPr>
                <w:rFonts w:cs="Arial"/>
                <w:sz w:val="16"/>
                <w:szCs w:val="16"/>
                <w:highlight w:val="yellow"/>
              </w:rPr>
            </w:pPr>
            <w:r>
              <w:rPr>
                <w:rFonts w:cs="Arial"/>
                <w:sz w:val="16"/>
                <w:szCs w:val="16"/>
              </w:rPr>
              <w:t>1 682,6</w:t>
            </w:r>
          </w:p>
        </w:tc>
        <w:tc>
          <w:tcPr>
            <w:tcW w:w="822" w:type="dxa"/>
            <w:tcBorders>
              <w:top w:val="nil"/>
              <w:left w:val="nil"/>
              <w:bottom w:val="nil"/>
              <w:right w:val="nil"/>
            </w:tcBorders>
            <w:shd w:val="clear" w:color="auto" w:fill="auto"/>
            <w:noWrap/>
            <w:vAlign w:val="center"/>
            <w:hideMark/>
          </w:tcPr>
          <w:p w14:paraId="34D37148" w14:textId="18362BEB" w:rsidR="00095759" w:rsidRPr="00166BEB" w:rsidRDefault="00095759" w:rsidP="00095759">
            <w:pPr>
              <w:spacing w:after="0" w:line="240" w:lineRule="auto"/>
              <w:jc w:val="right"/>
              <w:rPr>
                <w:rFonts w:cs="Arial"/>
                <w:sz w:val="16"/>
                <w:szCs w:val="16"/>
                <w:highlight w:val="yellow"/>
              </w:rPr>
            </w:pPr>
            <w:r>
              <w:rPr>
                <w:rFonts w:cs="Arial"/>
                <w:sz w:val="16"/>
                <w:szCs w:val="16"/>
              </w:rPr>
              <w:t>1 711,8</w:t>
            </w:r>
          </w:p>
        </w:tc>
        <w:tc>
          <w:tcPr>
            <w:tcW w:w="822" w:type="dxa"/>
            <w:tcBorders>
              <w:top w:val="nil"/>
              <w:left w:val="nil"/>
              <w:bottom w:val="nil"/>
              <w:right w:val="nil"/>
            </w:tcBorders>
            <w:shd w:val="clear" w:color="auto" w:fill="auto"/>
            <w:noWrap/>
            <w:vAlign w:val="center"/>
            <w:hideMark/>
          </w:tcPr>
          <w:p w14:paraId="2EADA263" w14:textId="3021BE47" w:rsidR="00095759" w:rsidRPr="00166BEB" w:rsidRDefault="00095759" w:rsidP="00095759">
            <w:pPr>
              <w:spacing w:after="0" w:line="240" w:lineRule="auto"/>
              <w:jc w:val="right"/>
              <w:rPr>
                <w:rFonts w:cs="Arial"/>
                <w:sz w:val="16"/>
                <w:szCs w:val="16"/>
                <w:highlight w:val="yellow"/>
              </w:rPr>
            </w:pPr>
            <w:r>
              <w:rPr>
                <w:rFonts w:cs="Arial"/>
                <w:sz w:val="16"/>
                <w:szCs w:val="16"/>
              </w:rPr>
              <w:t>1 619,2</w:t>
            </w:r>
          </w:p>
        </w:tc>
        <w:tc>
          <w:tcPr>
            <w:tcW w:w="822" w:type="dxa"/>
            <w:tcBorders>
              <w:top w:val="nil"/>
              <w:left w:val="nil"/>
              <w:bottom w:val="nil"/>
              <w:right w:val="nil"/>
            </w:tcBorders>
            <w:shd w:val="clear" w:color="auto" w:fill="auto"/>
            <w:noWrap/>
            <w:vAlign w:val="center"/>
            <w:hideMark/>
          </w:tcPr>
          <w:p w14:paraId="563B7187" w14:textId="635642A9" w:rsidR="00095759" w:rsidRPr="00166BEB" w:rsidRDefault="00095759" w:rsidP="00095759">
            <w:pPr>
              <w:spacing w:after="0" w:line="240" w:lineRule="auto"/>
              <w:jc w:val="right"/>
              <w:rPr>
                <w:rFonts w:cs="Arial"/>
                <w:sz w:val="16"/>
                <w:szCs w:val="16"/>
                <w:highlight w:val="yellow"/>
              </w:rPr>
            </w:pPr>
            <w:r>
              <w:rPr>
                <w:rFonts w:cs="Arial"/>
                <w:sz w:val="16"/>
                <w:szCs w:val="16"/>
              </w:rPr>
              <w:t>1 515,7</w:t>
            </w:r>
          </w:p>
        </w:tc>
        <w:tc>
          <w:tcPr>
            <w:tcW w:w="822" w:type="dxa"/>
            <w:tcBorders>
              <w:top w:val="nil"/>
              <w:left w:val="nil"/>
              <w:bottom w:val="nil"/>
              <w:right w:val="nil"/>
            </w:tcBorders>
            <w:shd w:val="clear" w:color="auto" w:fill="auto"/>
            <w:noWrap/>
            <w:vAlign w:val="center"/>
            <w:hideMark/>
          </w:tcPr>
          <w:p w14:paraId="417F1F69" w14:textId="132EFFC2" w:rsidR="00095759" w:rsidRPr="00166BEB" w:rsidRDefault="00095759" w:rsidP="00095759">
            <w:pPr>
              <w:spacing w:after="0" w:line="240" w:lineRule="auto"/>
              <w:jc w:val="right"/>
              <w:rPr>
                <w:rFonts w:cs="Arial"/>
                <w:sz w:val="16"/>
                <w:szCs w:val="16"/>
                <w:highlight w:val="yellow"/>
              </w:rPr>
            </w:pPr>
            <w:r>
              <w:rPr>
                <w:rFonts w:cs="Arial"/>
                <w:sz w:val="16"/>
                <w:szCs w:val="16"/>
              </w:rPr>
              <w:t>1 477,1</w:t>
            </w:r>
          </w:p>
        </w:tc>
        <w:tc>
          <w:tcPr>
            <w:tcW w:w="822" w:type="dxa"/>
            <w:tcBorders>
              <w:top w:val="nil"/>
              <w:left w:val="nil"/>
              <w:bottom w:val="nil"/>
              <w:right w:val="nil"/>
            </w:tcBorders>
            <w:shd w:val="clear" w:color="auto" w:fill="auto"/>
            <w:noWrap/>
            <w:vAlign w:val="center"/>
            <w:hideMark/>
          </w:tcPr>
          <w:p w14:paraId="44E4D10B" w14:textId="31071BD4" w:rsidR="00095759" w:rsidRPr="00166BEB" w:rsidRDefault="00095759" w:rsidP="00095759">
            <w:pPr>
              <w:spacing w:after="0" w:line="240" w:lineRule="auto"/>
              <w:jc w:val="right"/>
              <w:rPr>
                <w:rFonts w:cs="Arial"/>
                <w:sz w:val="16"/>
                <w:szCs w:val="16"/>
                <w:highlight w:val="yellow"/>
              </w:rPr>
            </w:pPr>
            <w:r>
              <w:rPr>
                <w:rFonts w:cs="Arial"/>
                <w:sz w:val="16"/>
                <w:szCs w:val="16"/>
              </w:rPr>
              <w:t>1 456,0</w:t>
            </w:r>
          </w:p>
        </w:tc>
        <w:tc>
          <w:tcPr>
            <w:tcW w:w="822" w:type="dxa"/>
            <w:tcBorders>
              <w:top w:val="nil"/>
              <w:left w:val="nil"/>
              <w:bottom w:val="nil"/>
              <w:right w:val="nil"/>
            </w:tcBorders>
            <w:shd w:val="clear" w:color="auto" w:fill="auto"/>
            <w:noWrap/>
            <w:vAlign w:val="center"/>
            <w:hideMark/>
          </w:tcPr>
          <w:p w14:paraId="19345AEE" w14:textId="7C1AFF12" w:rsidR="00095759" w:rsidRPr="00166BEB" w:rsidRDefault="00095759" w:rsidP="00095759">
            <w:pPr>
              <w:spacing w:after="0" w:line="240" w:lineRule="auto"/>
              <w:jc w:val="right"/>
              <w:rPr>
                <w:rFonts w:cs="Arial"/>
                <w:sz w:val="16"/>
                <w:szCs w:val="16"/>
                <w:highlight w:val="yellow"/>
              </w:rPr>
            </w:pPr>
            <w:r>
              <w:rPr>
                <w:rFonts w:cs="Arial"/>
                <w:sz w:val="16"/>
                <w:szCs w:val="16"/>
              </w:rPr>
              <w:t>1 382,9</w:t>
            </w:r>
          </w:p>
        </w:tc>
        <w:tc>
          <w:tcPr>
            <w:tcW w:w="822" w:type="dxa"/>
            <w:tcBorders>
              <w:top w:val="nil"/>
              <w:left w:val="nil"/>
              <w:bottom w:val="nil"/>
              <w:right w:val="nil"/>
            </w:tcBorders>
            <w:shd w:val="clear" w:color="auto" w:fill="auto"/>
            <w:noWrap/>
            <w:vAlign w:val="center"/>
            <w:hideMark/>
          </w:tcPr>
          <w:p w14:paraId="08911E54" w14:textId="66C3947D" w:rsidR="00095759" w:rsidRPr="00166BEB" w:rsidRDefault="00095759" w:rsidP="00095759">
            <w:pPr>
              <w:spacing w:after="0" w:line="240" w:lineRule="auto"/>
              <w:jc w:val="right"/>
              <w:rPr>
                <w:rFonts w:cs="Arial"/>
                <w:sz w:val="16"/>
                <w:szCs w:val="16"/>
                <w:highlight w:val="yellow"/>
              </w:rPr>
            </w:pPr>
            <w:r>
              <w:rPr>
                <w:rFonts w:cs="Arial"/>
                <w:sz w:val="16"/>
                <w:szCs w:val="16"/>
              </w:rPr>
              <w:t>1 354,4</w:t>
            </w:r>
          </w:p>
        </w:tc>
        <w:tc>
          <w:tcPr>
            <w:tcW w:w="822" w:type="dxa"/>
            <w:tcBorders>
              <w:top w:val="nil"/>
              <w:left w:val="nil"/>
              <w:bottom w:val="nil"/>
              <w:right w:val="nil"/>
            </w:tcBorders>
            <w:shd w:val="clear" w:color="auto" w:fill="D9D9D9"/>
            <w:vAlign w:val="center"/>
          </w:tcPr>
          <w:p w14:paraId="575E8E34" w14:textId="61A46E10" w:rsidR="00095759" w:rsidRDefault="00095759" w:rsidP="00095759">
            <w:pPr>
              <w:spacing w:after="0" w:line="240" w:lineRule="auto"/>
              <w:jc w:val="right"/>
              <w:rPr>
                <w:rFonts w:cs="Arial"/>
                <w:sz w:val="16"/>
                <w:szCs w:val="16"/>
              </w:rPr>
            </w:pPr>
            <w:r>
              <w:rPr>
                <w:rFonts w:cs="Arial"/>
                <w:sz w:val="16"/>
                <w:szCs w:val="16"/>
              </w:rPr>
              <w:t>1 036,8</w:t>
            </w:r>
          </w:p>
        </w:tc>
        <w:tc>
          <w:tcPr>
            <w:tcW w:w="675" w:type="dxa"/>
            <w:tcBorders>
              <w:top w:val="nil"/>
              <w:left w:val="nil"/>
              <w:bottom w:val="nil"/>
              <w:right w:val="nil"/>
            </w:tcBorders>
          </w:tcPr>
          <w:p w14:paraId="55CC27FC" w14:textId="373A6C6E" w:rsidR="00095759" w:rsidRDefault="00095759" w:rsidP="00095759">
            <w:pPr>
              <w:spacing w:after="0" w:line="240" w:lineRule="auto"/>
              <w:jc w:val="right"/>
              <w:rPr>
                <w:rFonts w:cs="Arial"/>
                <w:sz w:val="16"/>
                <w:szCs w:val="16"/>
              </w:rPr>
            </w:pPr>
          </w:p>
        </w:tc>
      </w:tr>
      <w:tr w:rsidR="00095759" w:rsidRPr="00166BEB" w14:paraId="2A17E95B" w14:textId="1426CF35" w:rsidTr="00095759">
        <w:trPr>
          <w:trHeight w:val="300"/>
        </w:trPr>
        <w:tc>
          <w:tcPr>
            <w:tcW w:w="0" w:type="auto"/>
            <w:tcBorders>
              <w:top w:val="nil"/>
              <w:left w:val="nil"/>
              <w:bottom w:val="nil"/>
              <w:right w:val="nil"/>
            </w:tcBorders>
            <w:shd w:val="clear" w:color="auto" w:fill="auto"/>
            <w:noWrap/>
            <w:vAlign w:val="center"/>
            <w:hideMark/>
          </w:tcPr>
          <w:p w14:paraId="715DAB51" w14:textId="2A4C26B4"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Kypr</w:t>
            </w:r>
          </w:p>
        </w:tc>
        <w:tc>
          <w:tcPr>
            <w:tcW w:w="822" w:type="dxa"/>
            <w:tcBorders>
              <w:top w:val="nil"/>
              <w:left w:val="single" w:sz="4" w:space="0" w:color="000000"/>
              <w:bottom w:val="nil"/>
              <w:right w:val="nil"/>
            </w:tcBorders>
            <w:shd w:val="clear" w:color="auto" w:fill="auto"/>
            <w:noWrap/>
            <w:vAlign w:val="center"/>
            <w:hideMark/>
          </w:tcPr>
          <w:p w14:paraId="31823238" w14:textId="24A9A04E" w:rsidR="00095759" w:rsidRPr="00166BEB" w:rsidRDefault="00095759" w:rsidP="00095759">
            <w:pPr>
              <w:spacing w:after="0" w:line="240" w:lineRule="auto"/>
              <w:jc w:val="right"/>
              <w:rPr>
                <w:rFonts w:cs="Arial"/>
                <w:sz w:val="16"/>
                <w:szCs w:val="16"/>
                <w:highlight w:val="yellow"/>
              </w:rPr>
            </w:pPr>
            <w:r>
              <w:rPr>
                <w:rFonts w:cs="Arial"/>
                <w:sz w:val="16"/>
                <w:szCs w:val="16"/>
              </w:rPr>
              <w:t>858,6</w:t>
            </w:r>
          </w:p>
        </w:tc>
        <w:tc>
          <w:tcPr>
            <w:tcW w:w="822" w:type="dxa"/>
            <w:tcBorders>
              <w:top w:val="nil"/>
              <w:left w:val="nil"/>
              <w:bottom w:val="nil"/>
              <w:right w:val="nil"/>
            </w:tcBorders>
            <w:shd w:val="clear" w:color="auto" w:fill="auto"/>
            <w:noWrap/>
            <w:vAlign w:val="center"/>
            <w:hideMark/>
          </w:tcPr>
          <w:p w14:paraId="6ACD687B" w14:textId="77EB7E81" w:rsidR="00095759" w:rsidRPr="00166BEB" w:rsidRDefault="00095759" w:rsidP="00095759">
            <w:pPr>
              <w:spacing w:after="0" w:line="240" w:lineRule="auto"/>
              <w:jc w:val="right"/>
              <w:rPr>
                <w:rFonts w:cs="Arial"/>
                <w:sz w:val="16"/>
                <w:szCs w:val="16"/>
                <w:highlight w:val="yellow"/>
              </w:rPr>
            </w:pPr>
            <w:r>
              <w:rPr>
                <w:rFonts w:cs="Arial"/>
                <w:sz w:val="16"/>
                <w:szCs w:val="16"/>
              </w:rPr>
              <w:t>754,8</w:t>
            </w:r>
          </w:p>
        </w:tc>
        <w:tc>
          <w:tcPr>
            <w:tcW w:w="822" w:type="dxa"/>
            <w:tcBorders>
              <w:top w:val="nil"/>
              <w:left w:val="nil"/>
              <w:bottom w:val="nil"/>
              <w:right w:val="nil"/>
            </w:tcBorders>
            <w:shd w:val="clear" w:color="auto" w:fill="auto"/>
            <w:noWrap/>
            <w:vAlign w:val="center"/>
            <w:hideMark/>
          </w:tcPr>
          <w:p w14:paraId="652E243A" w14:textId="4801F0CD" w:rsidR="00095759" w:rsidRPr="00166BEB" w:rsidRDefault="00095759" w:rsidP="00095759">
            <w:pPr>
              <w:spacing w:after="0" w:line="240" w:lineRule="auto"/>
              <w:jc w:val="right"/>
              <w:rPr>
                <w:rFonts w:cs="Arial"/>
                <w:sz w:val="16"/>
                <w:szCs w:val="16"/>
                <w:highlight w:val="yellow"/>
              </w:rPr>
            </w:pPr>
            <w:r>
              <w:rPr>
                <w:rFonts w:cs="Arial"/>
                <w:sz w:val="16"/>
                <w:szCs w:val="16"/>
              </w:rPr>
              <w:t>571,5</w:t>
            </w:r>
          </w:p>
        </w:tc>
        <w:tc>
          <w:tcPr>
            <w:tcW w:w="822" w:type="dxa"/>
            <w:tcBorders>
              <w:top w:val="nil"/>
              <w:left w:val="nil"/>
              <w:bottom w:val="nil"/>
              <w:right w:val="nil"/>
            </w:tcBorders>
            <w:shd w:val="clear" w:color="auto" w:fill="auto"/>
            <w:noWrap/>
            <w:vAlign w:val="center"/>
            <w:hideMark/>
          </w:tcPr>
          <w:p w14:paraId="3630B47D" w14:textId="7B900EBD" w:rsidR="00095759" w:rsidRPr="00166BEB" w:rsidRDefault="00095759" w:rsidP="00095759">
            <w:pPr>
              <w:spacing w:after="0" w:line="240" w:lineRule="auto"/>
              <w:jc w:val="right"/>
              <w:rPr>
                <w:rFonts w:cs="Arial"/>
                <w:sz w:val="16"/>
                <w:szCs w:val="16"/>
                <w:highlight w:val="yellow"/>
              </w:rPr>
            </w:pPr>
            <w:r>
              <w:rPr>
                <w:rFonts w:cs="Arial"/>
                <w:sz w:val="16"/>
                <w:szCs w:val="16"/>
              </w:rPr>
              <w:t>870,7</w:t>
            </w:r>
          </w:p>
        </w:tc>
        <w:tc>
          <w:tcPr>
            <w:tcW w:w="822" w:type="dxa"/>
            <w:tcBorders>
              <w:top w:val="nil"/>
              <w:left w:val="nil"/>
              <w:bottom w:val="nil"/>
              <w:right w:val="nil"/>
            </w:tcBorders>
            <w:shd w:val="clear" w:color="auto" w:fill="auto"/>
            <w:noWrap/>
            <w:vAlign w:val="center"/>
            <w:hideMark/>
          </w:tcPr>
          <w:p w14:paraId="0588FD13" w14:textId="68558011" w:rsidR="00095759" w:rsidRPr="00166BEB" w:rsidRDefault="00095759" w:rsidP="00095759">
            <w:pPr>
              <w:spacing w:after="0" w:line="240" w:lineRule="auto"/>
              <w:jc w:val="right"/>
              <w:rPr>
                <w:rFonts w:cs="Arial"/>
                <w:sz w:val="16"/>
                <w:szCs w:val="16"/>
                <w:highlight w:val="yellow"/>
              </w:rPr>
            </w:pPr>
            <w:r>
              <w:rPr>
                <w:rFonts w:cs="Arial"/>
                <w:sz w:val="16"/>
                <w:szCs w:val="16"/>
              </w:rPr>
              <w:t>697,3</w:t>
            </w:r>
          </w:p>
        </w:tc>
        <w:tc>
          <w:tcPr>
            <w:tcW w:w="822" w:type="dxa"/>
            <w:tcBorders>
              <w:top w:val="nil"/>
              <w:left w:val="nil"/>
              <w:bottom w:val="nil"/>
              <w:right w:val="nil"/>
            </w:tcBorders>
            <w:shd w:val="clear" w:color="auto" w:fill="auto"/>
            <w:noWrap/>
            <w:vAlign w:val="center"/>
            <w:hideMark/>
          </w:tcPr>
          <w:p w14:paraId="73617753" w14:textId="468CF50B" w:rsidR="00095759" w:rsidRPr="00166BEB" w:rsidRDefault="00095759" w:rsidP="00095759">
            <w:pPr>
              <w:spacing w:after="0" w:line="240" w:lineRule="auto"/>
              <w:jc w:val="right"/>
              <w:rPr>
                <w:rFonts w:cs="Arial"/>
                <w:sz w:val="16"/>
                <w:szCs w:val="16"/>
                <w:highlight w:val="yellow"/>
              </w:rPr>
            </w:pPr>
            <w:r>
              <w:rPr>
                <w:rFonts w:cs="Arial"/>
                <w:sz w:val="16"/>
                <w:szCs w:val="16"/>
              </w:rPr>
              <w:t>716,7</w:t>
            </w:r>
          </w:p>
        </w:tc>
        <w:tc>
          <w:tcPr>
            <w:tcW w:w="822" w:type="dxa"/>
            <w:tcBorders>
              <w:top w:val="nil"/>
              <w:left w:val="nil"/>
              <w:bottom w:val="nil"/>
              <w:right w:val="nil"/>
            </w:tcBorders>
            <w:shd w:val="clear" w:color="auto" w:fill="auto"/>
            <w:noWrap/>
            <w:vAlign w:val="center"/>
            <w:hideMark/>
          </w:tcPr>
          <w:p w14:paraId="7D2B988B" w14:textId="56F24240" w:rsidR="00095759" w:rsidRPr="00166BEB" w:rsidRDefault="00095759" w:rsidP="00095759">
            <w:pPr>
              <w:spacing w:after="0" w:line="240" w:lineRule="auto"/>
              <w:jc w:val="right"/>
              <w:rPr>
                <w:rFonts w:cs="Arial"/>
                <w:sz w:val="16"/>
                <w:szCs w:val="16"/>
                <w:highlight w:val="yellow"/>
              </w:rPr>
            </w:pPr>
            <w:r>
              <w:rPr>
                <w:rFonts w:cs="Arial"/>
                <w:sz w:val="16"/>
                <w:szCs w:val="16"/>
              </w:rPr>
              <w:t>751,4</w:t>
            </w:r>
          </w:p>
        </w:tc>
        <w:tc>
          <w:tcPr>
            <w:tcW w:w="822" w:type="dxa"/>
            <w:tcBorders>
              <w:top w:val="nil"/>
              <w:left w:val="nil"/>
              <w:bottom w:val="nil"/>
              <w:right w:val="nil"/>
            </w:tcBorders>
            <w:shd w:val="clear" w:color="auto" w:fill="auto"/>
            <w:noWrap/>
            <w:vAlign w:val="center"/>
            <w:hideMark/>
          </w:tcPr>
          <w:p w14:paraId="0C881432" w14:textId="240CC19B" w:rsidR="00095759" w:rsidRPr="00166BEB" w:rsidRDefault="00095759" w:rsidP="00095759">
            <w:pPr>
              <w:spacing w:after="0" w:line="240" w:lineRule="auto"/>
              <w:jc w:val="right"/>
              <w:rPr>
                <w:rFonts w:cs="Arial"/>
                <w:sz w:val="16"/>
                <w:szCs w:val="16"/>
                <w:highlight w:val="yellow"/>
              </w:rPr>
            </w:pPr>
            <w:r>
              <w:rPr>
                <w:rFonts w:cs="Arial"/>
                <w:sz w:val="16"/>
                <w:szCs w:val="16"/>
              </w:rPr>
              <w:t>766,9</w:t>
            </w:r>
          </w:p>
        </w:tc>
        <w:tc>
          <w:tcPr>
            <w:tcW w:w="822" w:type="dxa"/>
            <w:tcBorders>
              <w:top w:val="nil"/>
              <w:left w:val="nil"/>
              <w:bottom w:val="nil"/>
              <w:right w:val="nil"/>
            </w:tcBorders>
            <w:shd w:val="clear" w:color="auto" w:fill="auto"/>
            <w:noWrap/>
            <w:vAlign w:val="center"/>
            <w:hideMark/>
          </w:tcPr>
          <w:p w14:paraId="5B7B73D7" w14:textId="0889BD49" w:rsidR="00095759" w:rsidRPr="00166BEB" w:rsidRDefault="00095759" w:rsidP="00095759">
            <w:pPr>
              <w:spacing w:after="0" w:line="240" w:lineRule="auto"/>
              <w:jc w:val="right"/>
              <w:rPr>
                <w:rFonts w:cs="Arial"/>
                <w:sz w:val="16"/>
                <w:szCs w:val="16"/>
                <w:highlight w:val="yellow"/>
              </w:rPr>
            </w:pPr>
            <w:r>
              <w:rPr>
                <w:rFonts w:cs="Arial"/>
                <w:sz w:val="16"/>
                <w:szCs w:val="16"/>
              </w:rPr>
              <w:t>818,9</w:t>
            </w:r>
          </w:p>
        </w:tc>
        <w:tc>
          <w:tcPr>
            <w:tcW w:w="822" w:type="dxa"/>
            <w:tcBorders>
              <w:top w:val="nil"/>
              <w:left w:val="nil"/>
              <w:bottom w:val="nil"/>
              <w:right w:val="nil"/>
            </w:tcBorders>
            <w:shd w:val="clear" w:color="auto" w:fill="D9D9D9"/>
            <w:vAlign w:val="center"/>
          </w:tcPr>
          <w:p w14:paraId="5C788514" w14:textId="7C1F3D5E" w:rsidR="00095759" w:rsidRDefault="00095759" w:rsidP="00095759">
            <w:pPr>
              <w:spacing w:after="0" w:line="240" w:lineRule="auto"/>
              <w:jc w:val="right"/>
              <w:rPr>
                <w:rFonts w:cs="Arial"/>
                <w:sz w:val="16"/>
                <w:szCs w:val="16"/>
              </w:rPr>
            </w:pPr>
            <w:r>
              <w:rPr>
                <w:rFonts w:cs="Arial"/>
                <w:sz w:val="16"/>
                <w:szCs w:val="16"/>
              </w:rPr>
              <w:t>584,9</w:t>
            </w:r>
          </w:p>
        </w:tc>
        <w:tc>
          <w:tcPr>
            <w:tcW w:w="675" w:type="dxa"/>
            <w:tcBorders>
              <w:top w:val="nil"/>
              <w:left w:val="nil"/>
              <w:bottom w:val="nil"/>
              <w:right w:val="nil"/>
            </w:tcBorders>
          </w:tcPr>
          <w:p w14:paraId="2FE7E3DF" w14:textId="61823D5A" w:rsidR="00095759" w:rsidRDefault="00095759" w:rsidP="00095759">
            <w:pPr>
              <w:spacing w:after="0" w:line="240" w:lineRule="auto"/>
              <w:jc w:val="right"/>
              <w:rPr>
                <w:rFonts w:cs="Arial"/>
                <w:sz w:val="16"/>
                <w:szCs w:val="16"/>
              </w:rPr>
            </w:pPr>
          </w:p>
        </w:tc>
      </w:tr>
      <w:tr w:rsidR="00095759" w:rsidRPr="00166BEB" w14:paraId="317FD311" w14:textId="6E1D9DA7" w:rsidTr="00095759">
        <w:trPr>
          <w:trHeight w:val="300"/>
        </w:trPr>
        <w:tc>
          <w:tcPr>
            <w:tcW w:w="0" w:type="auto"/>
            <w:tcBorders>
              <w:top w:val="nil"/>
              <w:left w:val="nil"/>
              <w:bottom w:val="nil"/>
              <w:right w:val="nil"/>
            </w:tcBorders>
            <w:shd w:val="clear" w:color="auto" w:fill="auto"/>
            <w:noWrap/>
            <w:vAlign w:val="center"/>
            <w:hideMark/>
          </w:tcPr>
          <w:p w14:paraId="72601143" w14:textId="5A7EDD44"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Litva</w:t>
            </w:r>
          </w:p>
        </w:tc>
        <w:tc>
          <w:tcPr>
            <w:tcW w:w="822" w:type="dxa"/>
            <w:tcBorders>
              <w:top w:val="nil"/>
              <w:left w:val="single" w:sz="4" w:space="0" w:color="000000"/>
              <w:bottom w:val="nil"/>
              <w:right w:val="nil"/>
            </w:tcBorders>
            <w:shd w:val="clear" w:color="auto" w:fill="auto"/>
            <w:noWrap/>
            <w:vAlign w:val="center"/>
            <w:hideMark/>
          </w:tcPr>
          <w:p w14:paraId="6A8322EF" w14:textId="7BE57D71" w:rsidR="00095759" w:rsidRPr="00166BEB" w:rsidRDefault="00095759" w:rsidP="00095759">
            <w:pPr>
              <w:spacing w:after="0" w:line="240" w:lineRule="auto"/>
              <w:jc w:val="right"/>
              <w:rPr>
                <w:rFonts w:cs="Arial"/>
                <w:sz w:val="16"/>
                <w:szCs w:val="16"/>
                <w:highlight w:val="yellow"/>
              </w:rPr>
            </w:pPr>
            <w:r>
              <w:rPr>
                <w:rFonts w:cs="Arial"/>
                <w:sz w:val="16"/>
                <w:szCs w:val="16"/>
              </w:rPr>
              <w:t>235,3</w:t>
            </w:r>
          </w:p>
        </w:tc>
        <w:tc>
          <w:tcPr>
            <w:tcW w:w="822" w:type="dxa"/>
            <w:tcBorders>
              <w:top w:val="nil"/>
              <w:left w:val="nil"/>
              <w:bottom w:val="nil"/>
              <w:right w:val="nil"/>
            </w:tcBorders>
            <w:shd w:val="clear" w:color="auto" w:fill="auto"/>
            <w:noWrap/>
            <w:vAlign w:val="center"/>
            <w:hideMark/>
          </w:tcPr>
          <w:p w14:paraId="43E024BC" w14:textId="5FEB1049" w:rsidR="00095759" w:rsidRPr="00166BEB" w:rsidRDefault="00095759" w:rsidP="00095759">
            <w:pPr>
              <w:spacing w:after="0" w:line="240" w:lineRule="auto"/>
              <w:jc w:val="right"/>
              <w:rPr>
                <w:rFonts w:cs="Arial"/>
                <w:sz w:val="16"/>
                <w:szCs w:val="16"/>
                <w:highlight w:val="yellow"/>
              </w:rPr>
            </w:pPr>
            <w:r>
              <w:rPr>
                <w:rFonts w:cs="Arial"/>
                <w:sz w:val="16"/>
                <w:szCs w:val="16"/>
              </w:rPr>
              <w:t>280,2</w:t>
            </w:r>
          </w:p>
        </w:tc>
        <w:tc>
          <w:tcPr>
            <w:tcW w:w="822" w:type="dxa"/>
            <w:tcBorders>
              <w:top w:val="nil"/>
              <w:left w:val="nil"/>
              <w:bottom w:val="nil"/>
              <w:right w:val="nil"/>
            </w:tcBorders>
            <w:shd w:val="clear" w:color="auto" w:fill="auto"/>
            <w:noWrap/>
            <w:vAlign w:val="center"/>
            <w:hideMark/>
          </w:tcPr>
          <w:p w14:paraId="08EE0815" w14:textId="45CFA4F2" w:rsidR="00095759" w:rsidRPr="00166BEB" w:rsidRDefault="00095759" w:rsidP="00095759">
            <w:pPr>
              <w:spacing w:after="0" w:line="240" w:lineRule="auto"/>
              <w:jc w:val="right"/>
              <w:rPr>
                <w:rFonts w:cs="Arial"/>
                <w:sz w:val="16"/>
                <w:szCs w:val="16"/>
                <w:highlight w:val="yellow"/>
              </w:rPr>
            </w:pPr>
            <w:r>
              <w:rPr>
                <w:rFonts w:cs="Arial"/>
                <w:sz w:val="16"/>
                <w:szCs w:val="16"/>
              </w:rPr>
              <w:t>259,7</w:t>
            </w:r>
          </w:p>
        </w:tc>
        <w:tc>
          <w:tcPr>
            <w:tcW w:w="822" w:type="dxa"/>
            <w:tcBorders>
              <w:top w:val="nil"/>
              <w:left w:val="nil"/>
              <w:bottom w:val="nil"/>
              <w:right w:val="nil"/>
            </w:tcBorders>
            <w:shd w:val="clear" w:color="auto" w:fill="auto"/>
            <w:noWrap/>
            <w:vAlign w:val="center"/>
            <w:hideMark/>
          </w:tcPr>
          <w:p w14:paraId="2EB8C18E" w14:textId="3FAFDC2C" w:rsidR="00095759" w:rsidRPr="00166BEB" w:rsidRDefault="00095759" w:rsidP="00095759">
            <w:pPr>
              <w:spacing w:after="0" w:line="240" w:lineRule="auto"/>
              <w:jc w:val="right"/>
              <w:rPr>
                <w:rFonts w:cs="Arial"/>
                <w:sz w:val="16"/>
                <w:szCs w:val="16"/>
                <w:highlight w:val="yellow"/>
              </w:rPr>
            </w:pPr>
            <w:r>
              <w:rPr>
                <w:rFonts w:cs="Arial"/>
                <w:sz w:val="16"/>
                <w:szCs w:val="16"/>
              </w:rPr>
              <w:t>296,7</w:t>
            </w:r>
          </w:p>
        </w:tc>
        <w:tc>
          <w:tcPr>
            <w:tcW w:w="822" w:type="dxa"/>
            <w:tcBorders>
              <w:top w:val="nil"/>
              <w:left w:val="nil"/>
              <w:bottom w:val="nil"/>
              <w:right w:val="nil"/>
            </w:tcBorders>
            <w:shd w:val="clear" w:color="auto" w:fill="auto"/>
            <w:noWrap/>
            <w:vAlign w:val="center"/>
            <w:hideMark/>
          </w:tcPr>
          <w:p w14:paraId="00E639B5" w14:textId="4DA4E348" w:rsidR="00095759" w:rsidRPr="00166BEB" w:rsidRDefault="00095759" w:rsidP="00095759">
            <w:pPr>
              <w:spacing w:after="0" w:line="240" w:lineRule="auto"/>
              <w:jc w:val="right"/>
              <w:rPr>
                <w:rFonts w:cs="Arial"/>
                <w:sz w:val="16"/>
                <w:szCs w:val="16"/>
                <w:highlight w:val="yellow"/>
              </w:rPr>
            </w:pPr>
            <w:r>
              <w:rPr>
                <w:rFonts w:cs="Arial"/>
                <w:sz w:val="16"/>
                <w:szCs w:val="16"/>
              </w:rPr>
              <w:t>313,9</w:t>
            </w:r>
          </w:p>
        </w:tc>
        <w:tc>
          <w:tcPr>
            <w:tcW w:w="822" w:type="dxa"/>
            <w:tcBorders>
              <w:top w:val="nil"/>
              <w:left w:val="nil"/>
              <w:bottom w:val="nil"/>
              <w:right w:val="nil"/>
            </w:tcBorders>
            <w:shd w:val="clear" w:color="auto" w:fill="auto"/>
            <w:noWrap/>
            <w:vAlign w:val="center"/>
            <w:hideMark/>
          </w:tcPr>
          <w:p w14:paraId="1B40956B" w14:textId="0586C91D" w:rsidR="00095759" w:rsidRPr="00166BEB" w:rsidRDefault="00095759" w:rsidP="00095759">
            <w:pPr>
              <w:spacing w:after="0" w:line="240" w:lineRule="auto"/>
              <w:jc w:val="right"/>
              <w:rPr>
                <w:rFonts w:cs="Arial"/>
                <w:sz w:val="16"/>
                <w:szCs w:val="16"/>
                <w:highlight w:val="yellow"/>
              </w:rPr>
            </w:pPr>
            <w:r>
              <w:rPr>
                <w:rFonts w:cs="Arial"/>
                <w:sz w:val="16"/>
                <w:szCs w:val="16"/>
              </w:rPr>
              <w:t>332,7</w:t>
            </w:r>
          </w:p>
        </w:tc>
        <w:tc>
          <w:tcPr>
            <w:tcW w:w="822" w:type="dxa"/>
            <w:tcBorders>
              <w:top w:val="nil"/>
              <w:left w:val="nil"/>
              <w:bottom w:val="nil"/>
              <w:right w:val="nil"/>
            </w:tcBorders>
            <w:shd w:val="clear" w:color="auto" w:fill="auto"/>
            <w:noWrap/>
            <w:vAlign w:val="center"/>
            <w:hideMark/>
          </w:tcPr>
          <w:p w14:paraId="17B0FA59" w14:textId="4687A58C" w:rsidR="00095759" w:rsidRPr="00166BEB" w:rsidRDefault="00095759" w:rsidP="00095759">
            <w:pPr>
              <w:spacing w:after="0" w:line="240" w:lineRule="auto"/>
              <w:jc w:val="right"/>
              <w:rPr>
                <w:rFonts w:cs="Arial"/>
                <w:sz w:val="16"/>
                <w:szCs w:val="16"/>
                <w:highlight w:val="yellow"/>
              </w:rPr>
            </w:pPr>
            <w:r>
              <w:rPr>
                <w:rFonts w:cs="Arial"/>
                <w:sz w:val="16"/>
                <w:szCs w:val="16"/>
              </w:rPr>
              <w:t>377,0</w:t>
            </w:r>
          </w:p>
        </w:tc>
        <w:tc>
          <w:tcPr>
            <w:tcW w:w="822" w:type="dxa"/>
            <w:tcBorders>
              <w:top w:val="nil"/>
              <w:left w:val="nil"/>
              <w:bottom w:val="nil"/>
              <w:right w:val="nil"/>
            </w:tcBorders>
            <w:shd w:val="clear" w:color="auto" w:fill="auto"/>
            <w:noWrap/>
            <w:vAlign w:val="center"/>
            <w:hideMark/>
          </w:tcPr>
          <w:p w14:paraId="7B80EA74" w14:textId="1EAAF9A3" w:rsidR="00095759" w:rsidRPr="00166BEB" w:rsidRDefault="00095759" w:rsidP="00095759">
            <w:pPr>
              <w:spacing w:after="0" w:line="240" w:lineRule="auto"/>
              <w:jc w:val="right"/>
              <w:rPr>
                <w:rFonts w:cs="Arial"/>
                <w:sz w:val="16"/>
                <w:szCs w:val="16"/>
                <w:highlight w:val="yellow"/>
              </w:rPr>
            </w:pPr>
            <w:r>
              <w:rPr>
                <w:rFonts w:cs="Arial"/>
                <w:sz w:val="16"/>
                <w:szCs w:val="16"/>
              </w:rPr>
              <w:t>353,8</w:t>
            </w:r>
          </w:p>
        </w:tc>
        <w:tc>
          <w:tcPr>
            <w:tcW w:w="822" w:type="dxa"/>
            <w:tcBorders>
              <w:top w:val="nil"/>
              <w:left w:val="nil"/>
              <w:bottom w:val="nil"/>
              <w:right w:val="nil"/>
            </w:tcBorders>
            <w:shd w:val="clear" w:color="auto" w:fill="auto"/>
            <w:noWrap/>
            <w:vAlign w:val="center"/>
            <w:hideMark/>
          </w:tcPr>
          <w:p w14:paraId="1BAF5C97" w14:textId="135BEC19" w:rsidR="00095759" w:rsidRPr="00166BEB" w:rsidRDefault="00095759" w:rsidP="00095759">
            <w:pPr>
              <w:spacing w:after="0" w:line="240" w:lineRule="auto"/>
              <w:jc w:val="right"/>
              <w:rPr>
                <w:rFonts w:cs="Arial"/>
                <w:sz w:val="16"/>
                <w:szCs w:val="16"/>
                <w:highlight w:val="yellow"/>
              </w:rPr>
            </w:pPr>
            <w:r>
              <w:rPr>
                <w:rFonts w:cs="Arial"/>
                <w:sz w:val="16"/>
                <w:szCs w:val="16"/>
              </w:rPr>
              <w:t>437,7</w:t>
            </w:r>
          </w:p>
        </w:tc>
        <w:tc>
          <w:tcPr>
            <w:tcW w:w="822" w:type="dxa"/>
            <w:tcBorders>
              <w:top w:val="nil"/>
              <w:left w:val="nil"/>
              <w:bottom w:val="nil"/>
              <w:right w:val="nil"/>
            </w:tcBorders>
            <w:shd w:val="clear" w:color="auto" w:fill="D9D9D9"/>
            <w:vAlign w:val="center"/>
          </w:tcPr>
          <w:p w14:paraId="1B2A705A" w14:textId="55822C05" w:rsidR="00095759" w:rsidRDefault="00095759" w:rsidP="00095759">
            <w:pPr>
              <w:spacing w:after="0" w:line="240" w:lineRule="auto"/>
              <w:jc w:val="right"/>
              <w:rPr>
                <w:rFonts w:cs="Arial"/>
                <w:sz w:val="16"/>
                <w:szCs w:val="16"/>
              </w:rPr>
            </w:pPr>
            <w:r>
              <w:rPr>
                <w:rFonts w:cs="Arial"/>
                <w:sz w:val="16"/>
                <w:szCs w:val="16"/>
              </w:rPr>
              <w:t>369,0</w:t>
            </w:r>
          </w:p>
        </w:tc>
        <w:tc>
          <w:tcPr>
            <w:tcW w:w="675" w:type="dxa"/>
            <w:tcBorders>
              <w:top w:val="nil"/>
              <w:left w:val="nil"/>
              <w:bottom w:val="nil"/>
              <w:right w:val="nil"/>
            </w:tcBorders>
          </w:tcPr>
          <w:p w14:paraId="0135FFFD" w14:textId="169632E0" w:rsidR="00095759" w:rsidRDefault="00095759" w:rsidP="00095759">
            <w:pPr>
              <w:spacing w:after="0" w:line="240" w:lineRule="auto"/>
              <w:jc w:val="right"/>
              <w:rPr>
                <w:rFonts w:cs="Arial"/>
                <w:sz w:val="16"/>
                <w:szCs w:val="16"/>
              </w:rPr>
            </w:pPr>
          </w:p>
        </w:tc>
      </w:tr>
      <w:tr w:rsidR="00095759" w:rsidRPr="00166BEB" w14:paraId="6FAC87F3" w14:textId="0FAA4B2E" w:rsidTr="00095759">
        <w:trPr>
          <w:trHeight w:val="300"/>
        </w:trPr>
        <w:tc>
          <w:tcPr>
            <w:tcW w:w="0" w:type="auto"/>
            <w:tcBorders>
              <w:top w:val="nil"/>
              <w:left w:val="nil"/>
              <w:bottom w:val="nil"/>
              <w:right w:val="nil"/>
            </w:tcBorders>
            <w:shd w:val="clear" w:color="auto" w:fill="auto"/>
            <w:noWrap/>
            <w:vAlign w:val="center"/>
            <w:hideMark/>
          </w:tcPr>
          <w:p w14:paraId="0FD0EE39" w14:textId="0989266C"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Lotyšsko</w:t>
            </w:r>
          </w:p>
        </w:tc>
        <w:tc>
          <w:tcPr>
            <w:tcW w:w="822" w:type="dxa"/>
            <w:tcBorders>
              <w:top w:val="nil"/>
              <w:left w:val="single" w:sz="4" w:space="0" w:color="000000"/>
              <w:bottom w:val="nil"/>
              <w:right w:val="nil"/>
            </w:tcBorders>
            <w:shd w:val="clear" w:color="auto" w:fill="auto"/>
            <w:noWrap/>
            <w:vAlign w:val="center"/>
            <w:hideMark/>
          </w:tcPr>
          <w:p w14:paraId="5D4FB947" w14:textId="54AA3667" w:rsidR="00095759" w:rsidRPr="00166BEB" w:rsidRDefault="00095759" w:rsidP="00095759">
            <w:pPr>
              <w:spacing w:after="0" w:line="240" w:lineRule="auto"/>
              <w:jc w:val="right"/>
              <w:rPr>
                <w:rFonts w:cs="Arial"/>
                <w:sz w:val="16"/>
                <w:szCs w:val="16"/>
                <w:highlight w:val="yellow"/>
              </w:rPr>
            </w:pPr>
            <w:r>
              <w:rPr>
                <w:rFonts w:cs="Arial"/>
                <w:sz w:val="16"/>
                <w:szCs w:val="16"/>
              </w:rPr>
              <w:t>195,6</w:t>
            </w:r>
          </w:p>
        </w:tc>
        <w:tc>
          <w:tcPr>
            <w:tcW w:w="822" w:type="dxa"/>
            <w:tcBorders>
              <w:top w:val="nil"/>
              <w:left w:val="nil"/>
              <w:bottom w:val="nil"/>
              <w:right w:val="nil"/>
            </w:tcBorders>
            <w:shd w:val="clear" w:color="auto" w:fill="auto"/>
            <w:noWrap/>
            <w:vAlign w:val="center"/>
            <w:hideMark/>
          </w:tcPr>
          <w:p w14:paraId="5683B7F3" w14:textId="1573581E" w:rsidR="00095759" w:rsidRPr="00166BEB" w:rsidRDefault="00095759" w:rsidP="00095759">
            <w:pPr>
              <w:spacing w:after="0" w:line="240" w:lineRule="auto"/>
              <w:jc w:val="right"/>
              <w:rPr>
                <w:rFonts w:cs="Arial"/>
                <w:sz w:val="16"/>
                <w:szCs w:val="16"/>
                <w:highlight w:val="yellow"/>
              </w:rPr>
            </w:pPr>
            <w:r>
              <w:rPr>
                <w:rFonts w:cs="Arial"/>
                <w:sz w:val="16"/>
                <w:szCs w:val="16"/>
              </w:rPr>
              <w:t>194,5</w:t>
            </w:r>
          </w:p>
        </w:tc>
        <w:tc>
          <w:tcPr>
            <w:tcW w:w="822" w:type="dxa"/>
            <w:tcBorders>
              <w:top w:val="nil"/>
              <w:left w:val="nil"/>
              <w:bottom w:val="nil"/>
              <w:right w:val="nil"/>
            </w:tcBorders>
            <w:shd w:val="clear" w:color="auto" w:fill="auto"/>
            <w:noWrap/>
            <w:vAlign w:val="center"/>
            <w:hideMark/>
          </w:tcPr>
          <w:p w14:paraId="1634D958" w14:textId="24B8FD46" w:rsidR="00095759" w:rsidRPr="00166BEB" w:rsidRDefault="00095759" w:rsidP="00095759">
            <w:pPr>
              <w:spacing w:after="0" w:line="240" w:lineRule="auto"/>
              <w:jc w:val="right"/>
              <w:rPr>
                <w:rFonts w:cs="Arial"/>
                <w:sz w:val="16"/>
                <w:szCs w:val="16"/>
                <w:highlight w:val="yellow"/>
              </w:rPr>
            </w:pPr>
            <w:r>
              <w:rPr>
                <w:rFonts w:cs="Arial"/>
                <w:sz w:val="16"/>
                <w:szCs w:val="16"/>
              </w:rPr>
              <w:t>224,5</w:t>
            </w:r>
          </w:p>
        </w:tc>
        <w:tc>
          <w:tcPr>
            <w:tcW w:w="822" w:type="dxa"/>
            <w:tcBorders>
              <w:top w:val="nil"/>
              <w:left w:val="nil"/>
              <w:bottom w:val="nil"/>
              <w:right w:val="nil"/>
            </w:tcBorders>
            <w:shd w:val="clear" w:color="auto" w:fill="auto"/>
            <w:noWrap/>
            <w:vAlign w:val="center"/>
            <w:hideMark/>
          </w:tcPr>
          <w:p w14:paraId="0482C64F" w14:textId="1210C4EF" w:rsidR="00095759" w:rsidRPr="00166BEB" w:rsidRDefault="00095759" w:rsidP="00095759">
            <w:pPr>
              <w:spacing w:after="0" w:line="240" w:lineRule="auto"/>
              <w:jc w:val="right"/>
              <w:rPr>
                <w:rFonts w:cs="Arial"/>
                <w:sz w:val="16"/>
                <w:szCs w:val="16"/>
                <w:highlight w:val="yellow"/>
              </w:rPr>
            </w:pPr>
            <w:r>
              <w:rPr>
                <w:rFonts w:cs="Arial"/>
                <w:sz w:val="16"/>
                <w:szCs w:val="16"/>
              </w:rPr>
              <w:t>222,8</w:t>
            </w:r>
          </w:p>
        </w:tc>
        <w:tc>
          <w:tcPr>
            <w:tcW w:w="822" w:type="dxa"/>
            <w:tcBorders>
              <w:top w:val="nil"/>
              <w:left w:val="nil"/>
              <w:bottom w:val="nil"/>
              <w:right w:val="nil"/>
            </w:tcBorders>
            <w:shd w:val="clear" w:color="auto" w:fill="auto"/>
            <w:noWrap/>
            <w:vAlign w:val="center"/>
            <w:hideMark/>
          </w:tcPr>
          <w:p w14:paraId="27FE872A" w14:textId="7D8418BE" w:rsidR="00095759" w:rsidRPr="00166BEB" w:rsidRDefault="00095759" w:rsidP="00095759">
            <w:pPr>
              <w:spacing w:after="0" w:line="240" w:lineRule="auto"/>
              <w:jc w:val="right"/>
              <w:rPr>
                <w:rFonts w:cs="Arial"/>
                <w:sz w:val="16"/>
                <w:szCs w:val="16"/>
                <w:highlight w:val="yellow"/>
              </w:rPr>
            </w:pPr>
            <w:r>
              <w:rPr>
                <w:rFonts w:cs="Arial"/>
                <w:sz w:val="16"/>
                <w:szCs w:val="16"/>
              </w:rPr>
              <w:t>248,0</w:t>
            </w:r>
          </w:p>
        </w:tc>
        <w:tc>
          <w:tcPr>
            <w:tcW w:w="822" w:type="dxa"/>
            <w:tcBorders>
              <w:top w:val="nil"/>
              <w:left w:val="nil"/>
              <w:bottom w:val="nil"/>
              <w:right w:val="nil"/>
            </w:tcBorders>
            <w:shd w:val="clear" w:color="auto" w:fill="auto"/>
            <w:noWrap/>
            <w:vAlign w:val="center"/>
            <w:hideMark/>
          </w:tcPr>
          <w:p w14:paraId="6A940E27" w14:textId="1980275B" w:rsidR="00095759" w:rsidRPr="00166BEB" w:rsidRDefault="00095759" w:rsidP="00095759">
            <w:pPr>
              <w:spacing w:after="0" w:line="240" w:lineRule="auto"/>
              <w:jc w:val="right"/>
              <w:rPr>
                <w:rFonts w:cs="Arial"/>
                <w:sz w:val="16"/>
                <w:szCs w:val="16"/>
                <w:highlight w:val="yellow"/>
              </w:rPr>
            </w:pPr>
            <w:r>
              <w:rPr>
                <w:rFonts w:cs="Arial"/>
                <w:sz w:val="16"/>
                <w:szCs w:val="16"/>
              </w:rPr>
              <w:t>235,9</w:t>
            </w:r>
          </w:p>
        </w:tc>
        <w:tc>
          <w:tcPr>
            <w:tcW w:w="822" w:type="dxa"/>
            <w:tcBorders>
              <w:top w:val="nil"/>
              <w:left w:val="nil"/>
              <w:bottom w:val="nil"/>
              <w:right w:val="nil"/>
            </w:tcBorders>
            <w:shd w:val="clear" w:color="auto" w:fill="auto"/>
            <w:noWrap/>
            <w:vAlign w:val="center"/>
            <w:hideMark/>
          </w:tcPr>
          <w:p w14:paraId="4CEFDB57" w14:textId="1C04E6B9" w:rsidR="00095759" w:rsidRPr="00166BEB" w:rsidRDefault="00095759" w:rsidP="00095759">
            <w:pPr>
              <w:spacing w:after="0" w:line="240" w:lineRule="auto"/>
              <w:jc w:val="right"/>
              <w:rPr>
                <w:rFonts w:cs="Arial"/>
                <w:sz w:val="16"/>
                <w:szCs w:val="16"/>
                <w:highlight w:val="yellow"/>
              </w:rPr>
            </w:pPr>
            <w:r>
              <w:rPr>
                <w:rFonts w:cs="Arial"/>
                <w:sz w:val="16"/>
                <w:szCs w:val="16"/>
              </w:rPr>
              <w:t>246,6</w:t>
            </w:r>
          </w:p>
        </w:tc>
        <w:tc>
          <w:tcPr>
            <w:tcW w:w="822" w:type="dxa"/>
            <w:tcBorders>
              <w:top w:val="nil"/>
              <w:left w:val="nil"/>
              <w:bottom w:val="nil"/>
              <w:right w:val="nil"/>
            </w:tcBorders>
            <w:shd w:val="clear" w:color="auto" w:fill="auto"/>
            <w:noWrap/>
            <w:vAlign w:val="center"/>
            <w:hideMark/>
          </w:tcPr>
          <w:p w14:paraId="28BE6509" w14:textId="32876619" w:rsidR="00095759" w:rsidRPr="00166BEB" w:rsidRDefault="00095759" w:rsidP="00095759">
            <w:pPr>
              <w:spacing w:after="0" w:line="240" w:lineRule="auto"/>
              <w:jc w:val="right"/>
              <w:rPr>
                <w:rFonts w:cs="Arial"/>
                <w:sz w:val="16"/>
                <w:szCs w:val="16"/>
                <w:highlight w:val="yellow"/>
              </w:rPr>
            </w:pPr>
            <w:r>
              <w:rPr>
                <w:rFonts w:cs="Arial"/>
                <w:sz w:val="16"/>
                <w:szCs w:val="16"/>
              </w:rPr>
              <w:t>280,5</w:t>
            </w:r>
          </w:p>
        </w:tc>
        <w:tc>
          <w:tcPr>
            <w:tcW w:w="822" w:type="dxa"/>
            <w:tcBorders>
              <w:top w:val="nil"/>
              <w:left w:val="nil"/>
              <w:bottom w:val="nil"/>
              <w:right w:val="nil"/>
            </w:tcBorders>
            <w:shd w:val="clear" w:color="auto" w:fill="auto"/>
            <w:noWrap/>
            <w:vAlign w:val="center"/>
            <w:hideMark/>
          </w:tcPr>
          <w:p w14:paraId="2B36C83D" w14:textId="22030452" w:rsidR="00095759" w:rsidRPr="00166BEB" w:rsidRDefault="00095759" w:rsidP="00095759">
            <w:pPr>
              <w:spacing w:after="0" w:line="240" w:lineRule="auto"/>
              <w:jc w:val="right"/>
              <w:rPr>
                <w:rFonts w:cs="Arial"/>
                <w:sz w:val="16"/>
                <w:szCs w:val="16"/>
                <w:highlight w:val="yellow"/>
              </w:rPr>
            </w:pPr>
            <w:r>
              <w:rPr>
                <w:rFonts w:cs="Arial"/>
                <w:sz w:val="16"/>
                <w:szCs w:val="16"/>
              </w:rPr>
              <w:t>266,2</w:t>
            </w:r>
          </w:p>
        </w:tc>
        <w:tc>
          <w:tcPr>
            <w:tcW w:w="822" w:type="dxa"/>
            <w:tcBorders>
              <w:top w:val="nil"/>
              <w:left w:val="nil"/>
              <w:bottom w:val="nil"/>
              <w:right w:val="nil"/>
            </w:tcBorders>
            <w:shd w:val="clear" w:color="auto" w:fill="D9D9D9"/>
            <w:vAlign w:val="center"/>
          </w:tcPr>
          <w:p w14:paraId="1222CDDB" w14:textId="7DDF92CE" w:rsidR="00095759" w:rsidRDefault="00095759" w:rsidP="00095759">
            <w:pPr>
              <w:spacing w:after="0" w:line="240" w:lineRule="auto"/>
              <w:jc w:val="right"/>
              <w:rPr>
                <w:rFonts w:cs="Arial"/>
                <w:sz w:val="16"/>
                <w:szCs w:val="16"/>
              </w:rPr>
            </w:pPr>
            <w:r>
              <w:rPr>
                <w:rFonts w:cs="Arial"/>
                <w:sz w:val="16"/>
                <w:szCs w:val="16"/>
              </w:rPr>
              <w:t>284,9</w:t>
            </w:r>
          </w:p>
        </w:tc>
        <w:tc>
          <w:tcPr>
            <w:tcW w:w="675" w:type="dxa"/>
            <w:tcBorders>
              <w:top w:val="nil"/>
              <w:left w:val="nil"/>
              <w:bottom w:val="nil"/>
              <w:right w:val="nil"/>
            </w:tcBorders>
          </w:tcPr>
          <w:p w14:paraId="1312D505" w14:textId="4624F048" w:rsidR="00095759" w:rsidRDefault="00095759" w:rsidP="00095759">
            <w:pPr>
              <w:spacing w:after="0" w:line="240" w:lineRule="auto"/>
              <w:jc w:val="right"/>
              <w:rPr>
                <w:rFonts w:cs="Arial"/>
                <w:sz w:val="16"/>
                <w:szCs w:val="16"/>
              </w:rPr>
            </w:pPr>
          </w:p>
        </w:tc>
      </w:tr>
      <w:tr w:rsidR="00095759" w:rsidRPr="00166BEB" w14:paraId="48CCD4F8" w14:textId="5482CD5C" w:rsidTr="00095759">
        <w:trPr>
          <w:trHeight w:val="300"/>
        </w:trPr>
        <w:tc>
          <w:tcPr>
            <w:tcW w:w="0" w:type="auto"/>
            <w:tcBorders>
              <w:top w:val="nil"/>
              <w:left w:val="nil"/>
              <w:bottom w:val="nil"/>
              <w:right w:val="nil"/>
            </w:tcBorders>
            <w:shd w:val="clear" w:color="auto" w:fill="auto"/>
            <w:noWrap/>
            <w:vAlign w:val="center"/>
            <w:hideMark/>
          </w:tcPr>
          <w:p w14:paraId="48E87388" w14:textId="12D751B5"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Lucembursko</w:t>
            </w:r>
          </w:p>
        </w:tc>
        <w:tc>
          <w:tcPr>
            <w:tcW w:w="822" w:type="dxa"/>
            <w:tcBorders>
              <w:top w:val="nil"/>
              <w:left w:val="single" w:sz="4" w:space="0" w:color="000000"/>
              <w:bottom w:val="nil"/>
              <w:right w:val="nil"/>
            </w:tcBorders>
            <w:shd w:val="clear" w:color="auto" w:fill="auto"/>
            <w:noWrap/>
            <w:vAlign w:val="center"/>
            <w:hideMark/>
          </w:tcPr>
          <w:p w14:paraId="18A504CC" w14:textId="1247EE48" w:rsidR="00095759" w:rsidRPr="00166BEB" w:rsidRDefault="00095759" w:rsidP="00095759">
            <w:pPr>
              <w:spacing w:after="0" w:line="240" w:lineRule="auto"/>
              <w:jc w:val="right"/>
              <w:rPr>
                <w:rFonts w:cs="Arial"/>
                <w:sz w:val="16"/>
                <w:szCs w:val="16"/>
                <w:highlight w:val="yellow"/>
              </w:rPr>
            </w:pPr>
            <w:r>
              <w:rPr>
                <w:rFonts w:cs="Arial"/>
                <w:sz w:val="16"/>
                <w:szCs w:val="16"/>
              </w:rPr>
              <w:t>2 396,6</w:t>
            </w:r>
          </w:p>
        </w:tc>
        <w:tc>
          <w:tcPr>
            <w:tcW w:w="822" w:type="dxa"/>
            <w:tcBorders>
              <w:top w:val="nil"/>
              <w:left w:val="nil"/>
              <w:bottom w:val="nil"/>
              <w:right w:val="nil"/>
            </w:tcBorders>
            <w:shd w:val="clear" w:color="auto" w:fill="auto"/>
            <w:noWrap/>
            <w:vAlign w:val="center"/>
            <w:hideMark/>
          </w:tcPr>
          <w:p w14:paraId="0DB5B82A" w14:textId="780F0CA4" w:rsidR="00095759" w:rsidRPr="00166BEB" w:rsidRDefault="00095759" w:rsidP="00095759">
            <w:pPr>
              <w:spacing w:after="0" w:line="240" w:lineRule="auto"/>
              <w:jc w:val="right"/>
              <w:rPr>
                <w:rFonts w:cs="Arial"/>
                <w:sz w:val="16"/>
                <w:szCs w:val="16"/>
                <w:highlight w:val="yellow"/>
              </w:rPr>
            </w:pPr>
            <w:r>
              <w:rPr>
                <w:rFonts w:cs="Arial"/>
                <w:sz w:val="16"/>
                <w:szCs w:val="16"/>
              </w:rPr>
              <w:t>2 324,1</w:t>
            </w:r>
          </w:p>
        </w:tc>
        <w:tc>
          <w:tcPr>
            <w:tcW w:w="822" w:type="dxa"/>
            <w:tcBorders>
              <w:top w:val="nil"/>
              <w:left w:val="nil"/>
              <w:bottom w:val="nil"/>
              <w:right w:val="nil"/>
            </w:tcBorders>
            <w:shd w:val="clear" w:color="auto" w:fill="auto"/>
            <w:noWrap/>
            <w:vAlign w:val="center"/>
            <w:hideMark/>
          </w:tcPr>
          <w:p w14:paraId="0F66E3A0" w14:textId="5B504B71" w:rsidR="00095759" w:rsidRPr="00166BEB" w:rsidRDefault="00095759" w:rsidP="00095759">
            <w:pPr>
              <w:spacing w:after="0" w:line="240" w:lineRule="auto"/>
              <w:jc w:val="right"/>
              <w:rPr>
                <w:rFonts w:cs="Arial"/>
                <w:sz w:val="16"/>
                <w:szCs w:val="16"/>
                <w:highlight w:val="yellow"/>
              </w:rPr>
            </w:pPr>
            <w:r>
              <w:rPr>
                <w:rFonts w:cs="Arial"/>
                <w:sz w:val="16"/>
                <w:szCs w:val="16"/>
              </w:rPr>
              <w:t>2 465,9</w:t>
            </w:r>
          </w:p>
        </w:tc>
        <w:tc>
          <w:tcPr>
            <w:tcW w:w="822" w:type="dxa"/>
            <w:tcBorders>
              <w:top w:val="nil"/>
              <w:left w:val="nil"/>
              <w:bottom w:val="nil"/>
              <w:right w:val="nil"/>
            </w:tcBorders>
            <w:shd w:val="clear" w:color="auto" w:fill="auto"/>
            <w:noWrap/>
            <w:vAlign w:val="center"/>
            <w:hideMark/>
          </w:tcPr>
          <w:p w14:paraId="793725B9" w14:textId="517BEC15" w:rsidR="00095759" w:rsidRPr="00166BEB" w:rsidRDefault="00095759" w:rsidP="00095759">
            <w:pPr>
              <w:spacing w:after="0" w:line="240" w:lineRule="auto"/>
              <w:jc w:val="right"/>
              <w:rPr>
                <w:rFonts w:cs="Arial"/>
                <w:sz w:val="16"/>
                <w:szCs w:val="16"/>
                <w:highlight w:val="yellow"/>
              </w:rPr>
            </w:pPr>
            <w:r>
              <w:rPr>
                <w:rFonts w:cs="Arial"/>
                <w:sz w:val="16"/>
                <w:szCs w:val="16"/>
              </w:rPr>
              <w:t>2 286,8</w:t>
            </w:r>
          </w:p>
        </w:tc>
        <w:tc>
          <w:tcPr>
            <w:tcW w:w="822" w:type="dxa"/>
            <w:tcBorders>
              <w:top w:val="nil"/>
              <w:left w:val="nil"/>
              <w:bottom w:val="nil"/>
              <w:right w:val="nil"/>
            </w:tcBorders>
            <w:shd w:val="clear" w:color="auto" w:fill="auto"/>
            <w:noWrap/>
            <w:vAlign w:val="center"/>
            <w:hideMark/>
          </w:tcPr>
          <w:p w14:paraId="53AF17AD" w14:textId="5C8CEE0A" w:rsidR="00095759" w:rsidRPr="00166BEB" w:rsidRDefault="00095759" w:rsidP="00095759">
            <w:pPr>
              <w:spacing w:after="0" w:line="240" w:lineRule="auto"/>
              <w:jc w:val="right"/>
              <w:rPr>
                <w:rFonts w:cs="Arial"/>
                <w:sz w:val="16"/>
                <w:szCs w:val="16"/>
                <w:highlight w:val="yellow"/>
              </w:rPr>
            </w:pPr>
            <w:r>
              <w:rPr>
                <w:rFonts w:cs="Arial"/>
                <w:sz w:val="16"/>
                <w:szCs w:val="16"/>
              </w:rPr>
              <w:t>2 255,8</w:t>
            </w:r>
          </w:p>
        </w:tc>
        <w:tc>
          <w:tcPr>
            <w:tcW w:w="822" w:type="dxa"/>
            <w:tcBorders>
              <w:top w:val="nil"/>
              <w:left w:val="nil"/>
              <w:bottom w:val="nil"/>
              <w:right w:val="nil"/>
            </w:tcBorders>
            <w:shd w:val="clear" w:color="auto" w:fill="auto"/>
            <w:noWrap/>
            <w:vAlign w:val="center"/>
            <w:hideMark/>
          </w:tcPr>
          <w:p w14:paraId="7F2C3038" w14:textId="59E51B3F" w:rsidR="00095759" w:rsidRPr="00166BEB" w:rsidRDefault="00095759" w:rsidP="00095759">
            <w:pPr>
              <w:spacing w:after="0" w:line="240" w:lineRule="auto"/>
              <w:jc w:val="right"/>
              <w:rPr>
                <w:rFonts w:cs="Arial"/>
                <w:sz w:val="16"/>
                <w:szCs w:val="16"/>
                <w:highlight w:val="yellow"/>
              </w:rPr>
            </w:pPr>
            <w:r>
              <w:rPr>
                <w:rFonts w:cs="Arial"/>
                <w:sz w:val="16"/>
                <w:szCs w:val="16"/>
              </w:rPr>
              <w:t>2 510,8</w:t>
            </w:r>
          </w:p>
        </w:tc>
        <w:tc>
          <w:tcPr>
            <w:tcW w:w="822" w:type="dxa"/>
            <w:tcBorders>
              <w:top w:val="nil"/>
              <w:left w:val="nil"/>
              <w:bottom w:val="nil"/>
              <w:right w:val="nil"/>
            </w:tcBorders>
            <w:shd w:val="clear" w:color="auto" w:fill="auto"/>
            <w:noWrap/>
            <w:vAlign w:val="center"/>
            <w:hideMark/>
          </w:tcPr>
          <w:p w14:paraId="5D42D585" w14:textId="232262CF" w:rsidR="00095759" w:rsidRPr="00166BEB" w:rsidRDefault="00095759" w:rsidP="00095759">
            <w:pPr>
              <w:spacing w:after="0" w:line="240" w:lineRule="auto"/>
              <w:jc w:val="right"/>
              <w:rPr>
                <w:rFonts w:cs="Arial"/>
                <w:sz w:val="16"/>
                <w:szCs w:val="16"/>
                <w:highlight w:val="yellow"/>
              </w:rPr>
            </w:pPr>
            <w:r>
              <w:rPr>
                <w:rFonts w:cs="Arial"/>
                <w:sz w:val="16"/>
                <w:szCs w:val="16"/>
              </w:rPr>
              <w:t>2 131,2</w:t>
            </w:r>
          </w:p>
        </w:tc>
        <w:tc>
          <w:tcPr>
            <w:tcW w:w="822" w:type="dxa"/>
            <w:tcBorders>
              <w:top w:val="nil"/>
              <w:left w:val="nil"/>
              <w:bottom w:val="nil"/>
              <w:right w:val="nil"/>
            </w:tcBorders>
            <w:shd w:val="clear" w:color="auto" w:fill="auto"/>
            <w:noWrap/>
            <w:vAlign w:val="center"/>
            <w:hideMark/>
          </w:tcPr>
          <w:p w14:paraId="68062ED9" w14:textId="10E1E3CB" w:rsidR="00095759" w:rsidRPr="00166BEB" w:rsidRDefault="00095759" w:rsidP="00095759">
            <w:pPr>
              <w:spacing w:after="0" w:line="240" w:lineRule="auto"/>
              <w:jc w:val="right"/>
              <w:rPr>
                <w:rFonts w:cs="Arial"/>
                <w:sz w:val="16"/>
                <w:szCs w:val="16"/>
                <w:highlight w:val="yellow"/>
              </w:rPr>
            </w:pPr>
            <w:r>
              <w:rPr>
                <w:rFonts w:cs="Arial"/>
                <w:sz w:val="16"/>
                <w:szCs w:val="16"/>
              </w:rPr>
              <w:t>2 285,9</w:t>
            </w:r>
          </w:p>
        </w:tc>
        <w:tc>
          <w:tcPr>
            <w:tcW w:w="822" w:type="dxa"/>
            <w:tcBorders>
              <w:top w:val="nil"/>
              <w:left w:val="nil"/>
              <w:bottom w:val="nil"/>
              <w:right w:val="nil"/>
            </w:tcBorders>
            <w:shd w:val="clear" w:color="auto" w:fill="auto"/>
            <w:noWrap/>
            <w:vAlign w:val="center"/>
            <w:hideMark/>
          </w:tcPr>
          <w:p w14:paraId="50402B60" w14:textId="4614BA4E" w:rsidR="00095759" w:rsidRPr="00166BEB" w:rsidRDefault="00095759" w:rsidP="00095759">
            <w:pPr>
              <w:spacing w:after="0" w:line="240" w:lineRule="auto"/>
              <w:jc w:val="right"/>
              <w:rPr>
                <w:rFonts w:cs="Arial"/>
                <w:sz w:val="16"/>
                <w:szCs w:val="16"/>
                <w:highlight w:val="yellow"/>
              </w:rPr>
            </w:pPr>
            <w:r>
              <w:rPr>
                <w:rFonts w:cs="Arial"/>
                <w:sz w:val="16"/>
                <w:szCs w:val="16"/>
              </w:rPr>
              <w:t>2 289,3</w:t>
            </w:r>
          </w:p>
        </w:tc>
        <w:tc>
          <w:tcPr>
            <w:tcW w:w="822" w:type="dxa"/>
            <w:tcBorders>
              <w:top w:val="nil"/>
              <w:left w:val="nil"/>
              <w:bottom w:val="nil"/>
              <w:right w:val="nil"/>
            </w:tcBorders>
            <w:shd w:val="clear" w:color="auto" w:fill="D9D9D9"/>
            <w:vAlign w:val="center"/>
          </w:tcPr>
          <w:p w14:paraId="1D63580F" w14:textId="050FE49F" w:rsidR="00095759" w:rsidRDefault="00095759" w:rsidP="00095759">
            <w:pPr>
              <w:spacing w:after="0" w:line="240" w:lineRule="auto"/>
              <w:jc w:val="right"/>
              <w:rPr>
                <w:rFonts w:cs="Arial"/>
                <w:sz w:val="16"/>
                <w:szCs w:val="16"/>
              </w:rPr>
            </w:pPr>
            <w:r>
              <w:rPr>
                <w:rFonts w:cs="Arial"/>
                <w:sz w:val="16"/>
                <w:szCs w:val="16"/>
              </w:rPr>
              <w:t>1 748,3</w:t>
            </w:r>
          </w:p>
        </w:tc>
        <w:tc>
          <w:tcPr>
            <w:tcW w:w="675" w:type="dxa"/>
            <w:tcBorders>
              <w:top w:val="nil"/>
              <w:left w:val="nil"/>
              <w:bottom w:val="nil"/>
              <w:right w:val="nil"/>
            </w:tcBorders>
          </w:tcPr>
          <w:p w14:paraId="390D2EE2" w14:textId="5C3FF9E9" w:rsidR="00095759" w:rsidRDefault="00095759" w:rsidP="00095759">
            <w:pPr>
              <w:spacing w:after="0" w:line="240" w:lineRule="auto"/>
              <w:jc w:val="right"/>
              <w:rPr>
                <w:rFonts w:cs="Arial"/>
                <w:sz w:val="16"/>
                <w:szCs w:val="16"/>
              </w:rPr>
            </w:pPr>
          </w:p>
        </w:tc>
      </w:tr>
      <w:tr w:rsidR="00095759" w:rsidRPr="00166BEB" w14:paraId="5F100D7C" w14:textId="49CC57D6" w:rsidTr="00095759">
        <w:trPr>
          <w:trHeight w:val="300"/>
        </w:trPr>
        <w:tc>
          <w:tcPr>
            <w:tcW w:w="0" w:type="auto"/>
            <w:tcBorders>
              <w:top w:val="nil"/>
              <w:left w:val="nil"/>
              <w:bottom w:val="nil"/>
              <w:right w:val="nil"/>
            </w:tcBorders>
            <w:shd w:val="clear" w:color="auto" w:fill="auto"/>
            <w:noWrap/>
            <w:vAlign w:val="center"/>
            <w:hideMark/>
          </w:tcPr>
          <w:p w14:paraId="751318CA" w14:textId="33116500"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Maďarsko</w:t>
            </w:r>
          </w:p>
        </w:tc>
        <w:tc>
          <w:tcPr>
            <w:tcW w:w="822" w:type="dxa"/>
            <w:tcBorders>
              <w:top w:val="nil"/>
              <w:left w:val="single" w:sz="4" w:space="0" w:color="000000"/>
              <w:bottom w:val="nil"/>
              <w:right w:val="nil"/>
            </w:tcBorders>
            <w:shd w:val="clear" w:color="auto" w:fill="auto"/>
            <w:noWrap/>
            <w:vAlign w:val="center"/>
            <w:hideMark/>
          </w:tcPr>
          <w:p w14:paraId="78AAF065" w14:textId="2183B493" w:rsidR="00095759" w:rsidRPr="00166BEB" w:rsidRDefault="00095759" w:rsidP="00095759">
            <w:pPr>
              <w:spacing w:after="0" w:line="240" w:lineRule="auto"/>
              <w:jc w:val="right"/>
              <w:rPr>
                <w:rFonts w:cs="Arial"/>
                <w:sz w:val="16"/>
                <w:szCs w:val="16"/>
                <w:highlight w:val="yellow"/>
              </w:rPr>
            </w:pPr>
            <w:r>
              <w:rPr>
                <w:rFonts w:cs="Arial"/>
                <w:sz w:val="16"/>
                <w:szCs w:val="16"/>
              </w:rPr>
              <w:t>531,1</w:t>
            </w:r>
          </w:p>
        </w:tc>
        <w:tc>
          <w:tcPr>
            <w:tcW w:w="822" w:type="dxa"/>
            <w:tcBorders>
              <w:top w:val="nil"/>
              <w:left w:val="nil"/>
              <w:bottom w:val="nil"/>
              <w:right w:val="nil"/>
            </w:tcBorders>
            <w:shd w:val="clear" w:color="auto" w:fill="auto"/>
            <w:noWrap/>
            <w:vAlign w:val="center"/>
            <w:hideMark/>
          </w:tcPr>
          <w:p w14:paraId="50D54C00" w14:textId="78639C02" w:rsidR="00095759" w:rsidRPr="00166BEB" w:rsidRDefault="00095759" w:rsidP="00095759">
            <w:pPr>
              <w:spacing w:after="0" w:line="240" w:lineRule="auto"/>
              <w:jc w:val="right"/>
              <w:rPr>
                <w:rFonts w:cs="Arial"/>
                <w:sz w:val="16"/>
                <w:szCs w:val="16"/>
                <w:highlight w:val="yellow"/>
              </w:rPr>
            </w:pPr>
            <w:r>
              <w:rPr>
                <w:rFonts w:cs="Arial"/>
                <w:sz w:val="16"/>
                <w:szCs w:val="16"/>
              </w:rPr>
              <w:t>534,4</w:t>
            </w:r>
          </w:p>
        </w:tc>
        <w:tc>
          <w:tcPr>
            <w:tcW w:w="822" w:type="dxa"/>
            <w:tcBorders>
              <w:top w:val="nil"/>
              <w:left w:val="nil"/>
              <w:bottom w:val="nil"/>
              <w:right w:val="nil"/>
            </w:tcBorders>
            <w:shd w:val="clear" w:color="auto" w:fill="auto"/>
            <w:noWrap/>
            <w:vAlign w:val="center"/>
            <w:hideMark/>
          </w:tcPr>
          <w:p w14:paraId="21D178D7" w14:textId="5BF69C7C" w:rsidR="00095759" w:rsidRPr="00166BEB" w:rsidRDefault="00095759" w:rsidP="00095759">
            <w:pPr>
              <w:spacing w:after="0" w:line="240" w:lineRule="auto"/>
              <w:jc w:val="right"/>
              <w:rPr>
                <w:rFonts w:cs="Arial"/>
                <w:sz w:val="16"/>
                <w:szCs w:val="16"/>
                <w:highlight w:val="yellow"/>
              </w:rPr>
            </w:pPr>
            <w:r>
              <w:rPr>
                <w:rFonts w:cs="Arial"/>
                <w:sz w:val="16"/>
                <w:szCs w:val="16"/>
              </w:rPr>
              <w:t>487,2</w:t>
            </w:r>
          </w:p>
        </w:tc>
        <w:tc>
          <w:tcPr>
            <w:tcW w:w="822" w:type="dxa"/>
            <w:tcBorders>
              <w:top w:val="nil"/>
              <w:left w:val="nil"/>
              <w:bottom w:val="nil"/>
              <w:right w:val="nil"/>
            </w:tcBorders>
            <w:shd w:val="clear" w:color="auto" w:fill="auto"/>
            <w:noWrap/>
            <w:vAlign w:val="center"/>
            <w:hideMark/>
          </w:tcPr>
          <w:p w14:paraId="7C15859A" w14:textId="49FC6529" w:rsidR="00095759" w:rsidRPr="00166BEB" w:rsidRDefault="00095759" w:rsidP="00095759">
            <w:pPr>
              <w:spacing w:after="0" w:line="240" w:lineRule="auto"/>
              <w:jc w:val="right"/>
              <w:rPr>
                <w:rFonts w:cs="Arial"/>
                <w:sz w:val="16"/>
                <w:szCs w:val="16"/>
                <w:highlight w:val="yellow"/>
              </w:rPr>
            </w:pPr>
            <w:r>
              <w:rPr>
                <w:rFonts w:cs="Arial"/>
                <w:sz w:val="16"/>
                <w:szCs w:val="16"/>
              </w:rPr>
              <w:t>549,0</w:t>
            </w:r>
          </w:p>
        </w:tc>
        <w:tc>
          <w:tcPr>
            <w:tcW w:w="822" w:type="dxa"/>
            <w:tcBorders>
              <w:top w:val="nil"/>
              <w:left w:val="nil"/>
              <w:bottom w:val="nil"/>
              <w:right w:val="nil"/>
            </w:tcBorders>
            <w:shd w:val="clear" w:color="auto" w:fill="auto"/>
            <w:noWrap/>
            <w:vAlign w:val="center"/>
            <w:hideMark/>
          </w:tcPr>
          <w:p w14:paraId="60B3594F" w14:textId="0E794EB3" w:rsidR="00095759" w:rsidRPr="00166BEB" w:rsidRDefault="00095759" w:rsidP="00095759">
            <w:pPr>
              <w:spacing w:after="0" w:line="240" w:lineRule="auto"/>
              <w:jc w:val="right"/>
              <w:rPr>
                <w:rFonts w:cs="Arial"/>
                <w:sz w:val="16"/>
                <w:szCs w:val="16"/>
                <w:highlight w:val="yellow"/>
              </w:rPr>
            </w:pPr>
            <w:r>
              <w:rPr>
                <w:rFonts w:cs="Arial"/>
                <w:sz w:val="16"/>
                <w:szCs w:val="16"/>
              </w:rPr>
              <w:t>569,2</w:t>
            </w:r>
          </w:p>
        </w:tc>
        <w:tc>
          <w:tcPr>
            <w:tcW w:w="822" w:type="dxa"/>
            <w:tcBorders>
              <w:top w:val="nil"/>
              <w:left w:val="nil"/>
              <w:bottom w:val="nil"/>
              <w:right w:val="nil"/>
            </w:tcBorders>
            <w:shd w:val="clear" w:color="auto" w:fill="auto"/>
            <w:noWrap/>
            <w:vAlign w:val="center"/>
            <w:hideMark/>
          </w:tcPr>
          <w:p w14:paraId="5B7608FC" w14:textId="77366FDF" w:rsidR="00095759" w:rsidRPr="00166BEB" w:rsidRDefault="00095759" w:rsidP="00095759">
            <w:pPr>
              <w:spacing w:after="0" w:line="240" w:lineRule="auto"/>
              <w:jc w:val="right"/>
              <w:rPr>
                <w:rFonts w:cs="Arial"/>
                <w:sz w:val="16"/>
                <w:szCs w:val="16"/>
                <w:highlight w:val="yellow"/>
              </w:rPr>
            </w:pPr>
            <w:r>
              <w:rPr>
                <w:rFonts w:cs="Arial"/>
                <w:sz w:val="16"/>
                <w:szCs w:val="16"/>
              </w:rPr>
              <w:t>722,2</w:t>
            </w:r>
          </w:p>
        </w:tc>
        <w:tc>
          <w:tcPr>
            <w:tcW w:w="822" w:type="dxa"/>
            <w:tcBorders>
              <w:top w:val="nil"/>
              <w:left w:val="nil"/>
              <w:bottom w:val="nil"/>
              <w:right w:val="nil"/>
            </w:tcBorders>
            <w:shd w:val="clear" w:color="auto" w:fill="auto"/>
            <w:noWrap/>
            <w:vAlign w:val="center"/>
            <w:hideMark/>
          </w:tcPr>
          <w:p w14:paraId="5A438ADB" w14:textId="7AA94888" w:rsidR="00095759" w:rsidRPr="00166BEB" w:rsidRDefault="00095759" w:rsidP="00095759">
            <w:pPr>
              <w:spacing w:after="0" w:line="240" w:lineRule="auto"/>
              <w:jc w:val="right"/>
              <w:rPr>
                <w:rFonts w:cs="Arial"/>
                <w:sz w:val="16"/>
                <w:szCs w:val="16"/>
                <w:highlight w:val="yellow"/>
              </w:rPr>
            </w:pPr>
            <w:r>
              <w:rPr>
                <w:rFonts w:cs="Arial"/>
                <w:sz w:val="16"/>
                <w:szCs w:val="16"/>
              </w:rPr>
              <w:t>639,7</w:t>
            </w:r>
          </w:p>
        </w:tc>
        <w:tc>
          <w:tcPr>
            <w:tcW w:w="822" w:type="dxa"/>
            <w:tcBorders>
              <w:top w:val="nil"/>
              <w:left w:val="nil"/>
              <w:bottom w:val="nil"/>
              <w:right w:val="nil"/>
            </w:tcBorders>
            <w:shd w:val="clear" w:color="auto" w:fill="auto"/>
            <w:noWrap/>
            <w:vAlign w:val="center"/>
            <w:hideMark/>
          </w:tcPr>
          <w:p w14:paraId="6C32CF32" w14:textId="6CF82931" w:rsidR="00095759" w:rsidRPr="00166BEB" w:rsidRDefault="00095759" w:rsidP="00095759">
            <w:pPr>
              <w:spacing w:after="0" w:line="240" w:lineRule="auto"/>
              <w:jc w:val="right"/>
              <w:rPr>
                <w:rFonts w:cs="Arial"/>
                <w:sz w:val="16"/>
                <w:szCs w:val="16"/>
                <w:highlight w:val="yellow"/>
              </w:rPr>
            </w:pPr>
            <w:r>
              <w:rPr>
                <w:rFonts w:cs="Arial"/>
                <w:sz w:val="16"/>
                <w:szCs w:val="16"/>
              </w:rPr>
              <w:t>596,0</w:t>
            </w:r>
          </w:p>
        </w:tc>
        <w:tc>
          <w:tcPr>
            <w:tcW w:w="822" w:type="dxa"/>
            <w:tcBorders>
              <w:top w:val="nil"/>
              <w:left w:val="nil"/>
              <w:bottom w:val="nil"/>
              <w:right w:val="nil"/>
            </w:tcBorders>
            <w:shd w:val="clear" w:color="auto" w:fill="auto"/>
            <w:noWrap/>
            <w:vAlign w:val="center"/>
            <w:hideMark/>
          </w:tcPr>
          <w:p w14:paraId="7443909F" w14:textId="4EE6ABD7" w:rsidR="00095759" w:rsidRPr="00166BEB" w:rsidRDefault="00095759" w:rsidP="00095759">
            <w:pPr>
              <w:spacing w:after="0" w:line="240" w:lineRule="auto"/>
              <w:jc w:val="right"/>
              <w:rPr>
                <w:rFonts w:cs="Arial"/>
                <w:sz w:val="16"/>
                <w:szCs w:val="16"/>
                <w:highlight w:val="yellow"/>
              </w:rPr>
            </w:pPr>
            <w:r>
              <w:rPr>
                <w:rFonts w:cs="Arial"/>
                <w:sz w:val="16"/>
                <w:szCs w:val="16"/>
              </w:rPr>
              <w:t>605,0</w:t>
            </w:r>
          </w:p>
        </w:tc>
        <w:tc>
          <w:tcPr>
            <w:tcW w:w="822" w:type="dxa"/>
            <w:tcBorders>
              <w:top w:val="nil"/>
              <w:left w:val="nil"/>
              <w:bottom w:val="nil"/>
              <w:right w:val="nil"/>
            </w:tcBorders>
            <w:shd w:val="clear" w:color="auto" w:fill="D9D9D9"/>
            <w:vAlign w:val="center"/>
          </w:tcPr>
          <w:p w14:paraId="39E9FEA0" w14:textId="4DC25DEF" w:rsidR="00095759" w:rsidRDefault="00095759" w:rsidP="00095759">
            <w:pPr>
              <w:spacing w:after="0" w:line="240" w:lineRule="auto"/>
              <w:jc w:val="right"/>
              <w:rPr>
                <w:rFonts w:cs="Arial"/>
                <w:sz w:val="16"/>
                <w:szCs w:val="16"/>
              </w:rPr>
            </w:pPr>
            <w:r>
              <w:rPr>
                <w:rFonts w:cs="Arial"/>
                <w:sz w:val="16"/>
                <w:szCs w:val="16"/>
              </w:rPr>
              <w:t>638,9</w:t>
            </w:r>
          </w:p>
        </w:tc>
        <w:tc>
          <w:tcPr>
            <w:tcW w:w="675" w:type="dxa"/>
            <w:tcBorders>
              <w:top w:val="nil"/>
              <w:left w:val="nil"/>
              <w:bottom w:val="nil"/>
              <w:right w:val="nil"/>
            </w:tcBorders>
          </w:tcPr>
          <w:p w14:paraId="3F528E60" w14:textId="0735E6F5" w:rsidR="00095759" w:rsidRDefault="00095759" w:rsidP="00095759">
            <w:pPr>
              <w:spacing w:after="0" w:line="240" w:lineRule="auto"/>
              <w:jc w:val="right"/>
              <w:rPr>
                <w:rFonts w:cs="Arial"/>
                <w:sz w:val="16"/>
                <w:szCs w:val="16"/>
              </w:rPr>
            </w:pPr>
          </w:p>
        </w:tc>
      </w:tr>
      <w:tr w:rsidR="00095759" w:rsidRPr="00166BEB" w14:paraId="2C89D8BF" w14:textId="5D2CC659" w:rsidTr="00095759">
        <w:trPr>
          <w:trHeight w:val="300"/>
        </w:trPr>
        <w:tc>
          <w:tcPr>
            <w:tcW w:w="0" w:type="auto"/>
            <w:tcBorders>
              <w:top w:val="nil"/>
              <w:left w:val="nil"/>
              <w:bottom w:val="nil"/>
              <w:right w:val="nil"/>
            </w:tcBorders>
            <w:shd w:val="clear" w:color="auto" w:fill="auto"/>
            <w:noWrap/>
            <w:vAlign w:val="center"/>
            <w:hideMark/>
          </w:tcPr>
          <w:p w14:paraId="05E23347" w14:textId="02938182"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Malta</w:t>
            </w:r>
          </w:p>
        </w:tc>
        <w:tc>
          <w:tcPr>
            <w:tcW w:w="822" w:type="dxa"/>
            <w:tcBorders>
              <w:top w:val="nil"/>
              <w:left w:val="single" w:sz="4" w:space="0" w:color="000000"/>
              <w:bottom w:val="nil"/>
              <w:right w:val="nil"/>
            </w:tcBorders>
            <w:shd w:val="clear" w:color="auto" w:fill="auto"/>
            <w:noWrap/>
            <w:vAlign w:val="center"/>
            <w:hideMark/>
          </w:tcPr>
          <w:p w14:paraId="51D5ED7A" w14:textId="67D3BFE5" w:rsidR="00095759" w:rsidRPr="00166BEB" w:rsidRDefault="00095759" w:rsidP="00095759">
            <w:pPr>
              <w:spacing w:after="0" w:line="240" w:lineRule="auto"/>
              <w:jc w:val="right"/>
              <w:rPr>
                <w:rFonts w:cs="Arial"/>
                <w:sz w:val="16"/>
                <w:szCs w:val="16"/>
                <w:highlight w:val="yellow"/>
              </w:rPr>
            </w:pPr>
            <w:r>
              <w:rPr>
                <w:rFonts w:cs="Arial"/>
                <w:sz w:val="16"/>
                <w:szCs w:val="16"/>
              </w:rPr>
              <w:t>1 848,0</w:t>
            </w:r>
          </w:p>
        </w:tc>
        <w:tc>
          <w:tcPr>
            <w:tcW w:w="822" w:type="dxa"/>
            <w:tcBorders>
              <w:top w:val="nil"/>
              <w:left w:val="nil"/>
              <w:bottom w:val="nil"/>
              <w:right w:val="nil"/>
            </w:tcBorders>
            <w:shd w:val="clear" w:color="auto" w:fill="auto"/>
            <w:noWrap/>
            <w:vAlign w:val="center"/>
            <w:hideMark/>
          </w:tcPr>
          <w:p w14:paraId="1704547D" w14:textId="593AB385" w:rsidR="00095759" w:rsidRPr="00166BEB" w:rsidRDefault="00095759" w:rsidP="00095759">
            <w:pPr>
              <w:spacing w:after="0" w:line="240" w:lineRule="auto"/>
              <w:jc w:val="right"/>
              <w:rPr>
                <w:rFonts w:cs="Arial"/>
                <w:sz w:val="16"/>
                <w:szCs w:val="16"/>
                <w:highlight w:val="yellow"/>
              </w:rPr>
            </w:pPr>
            <w:r>
              <w:rPr>
                <w:rFonts w:cs="Arial"/>
                <w:sz w:val="16"/>
                <w:szCs w:val="16"/>
              </w:rPr>
              <w:t>2 008,7</w:t>
            </w:r>
          </w:p>
        </w:tc>
        <w:tc>
          <w:tcPr>
            <w:tcW w:w="822" w:type="dxa"/>
            <w:tcBorders>
              <w:top w:val="nil"/>
              <w:left w:val="nil"/>
              <w:bottom w:val="nil"/>
              <w:right w:val="nil"/>
            </w:tcBorders>
            <w:shd w:val="clear" w:color="auto" w:fill="auto"/>
            <w:noWrap/>
            <w:vAlign w:val="center"/>
            <w:hideMark/>
          </w:tcPr>
          <w:p w14:paraId="1C29F9DB" w14:textId="490DDEFE" w:rsidR="00095759" w:rsidRPr="00166BEB" w:rsidRDefault="00095759" w:rsidP="00095759">
            <w:pPr>
              <w:spacing w:after="0" w:line="240" w:lineRule="auto"/>
              <w:jc w:val="right"/>
              <w:rPr>
                <w:rFonts w:cs="Arial"/>
                <w:sz w:val="16"/>
                <w:szCs w:val="16"/>
                <w:highlight w:val="yellow"/>
              </w:rPr>
            </w:pPr>
            <w:r>
              <w:rPr>
                <w:rFonts w:cs="Arial"/>
                <w:sz w:val="16"/>
                <w:szCs w:val="16"/>
              </w:rPr>
              <w:t>1 888,1</w:t>
            </w:r>
          </w:p>
        </w:tc>
        <w:tc>
          <w:tcPr>
            <w:tcW w:w="822" w:type="dxa"/>
            <w:tcBorders>
              <w:top w:val="nil"/>
              <w:left w:val="nil"/>
              <w:bottom w:val="nil"/>
              <w:right w:val="nil"/>
            </w:tcBorders>
            <w:shd w:val="clear" w:color="auto" w:fill="auto"/>
            <w:noWrap/>
            <w:vAlign w:val="center"/>
            <w:hideMark/>
          </w:tcPr>
          <w:p w14:paraId="1163141D" w14:textId="45914028" w:rsidR="00095759" w:rsidRPr="00166BEB" w:rsidRDefault="00095759" w:rsidP="00095759">
            <w:pPr>
              <w:spacing w:after="0" w:line="240" w:lineRule="auto"/>
              <w:jc w:val="right"/>
              <w:rPr>
                <w:rFonts w:cs="Arial"/>
                <w:sz w:val="16"/>
                <w:szCs w:val="16"/>
                <w:highlight w:val="yellow"/>
              </w:rPr>
            </w:pPr>
            <w:r>
              <w:rPr>
                <w:rFonts w:cs="Arial"/>
                <w:sz w:val="16"/>
                <w:szCs w:val="16"/>
              </w:rPr>
              <w:t>1 863,7</w:t>
            </w:r>
          </w:p>
        </w:tc>
        <w:tc>
          <w:tcPr>
            <w:tcW w:w="822" w:type="dxa"/>
            <w:tcBorders>
              <w:top w:val="nil"/>
              <w:left w:val="nil"/>
              <w:bottom w:val="nil"/>
              <w:right w:val="nil"/>
            </w:tcBorders>
            <w:shd w:val="clear" w:color="auto" w:fill="auto"/>
            <w:noWrap/>
            <w:vAlign w:val="center"/>
            <w:hideMark/>
          </w:tcPr>
          <w:p w14:paraId="21074FF0" w14:textId="57E74AD7" w:rsidR="00095759" w:rsidRPr="00166BEB" w:rsidRDefault="00095759" w:rsidP="00095759">
            <w:pPr>
              <w:spacing w:after="0" w:line="240" w:lineRule="auto"/>
              <w:jc w:val="right"/>
              <w:rPr>
                <w:rFonts w:cs="Arial"/>
                <w:sz w:val="16"/>
                <w:szCs w:val="16"/>
                <w:highlight w:val="yellow"/>
              </w:rPr>
            </w:pPr>
            <w:r>
              <w:rPr>
                <w:rFonts w:cs="Arial"/>
                <w:sz w:val="16"/>
                <w:szCs w:val="16"/>
              </w:rPr>
              <w:t>1 675,0</w:t>
            </w:r>
          </w:p>
        </w:tc>
        <w:tc>
          <w:tcPr>
            <w:tcW w:w="822" w:type="dxa"/>
            <w:tcBorders>
              <w:top w:val="nil"/>
              <w:left w:val="nil"/>
              <w:bottom w:val="nil"/>
              <w:right w:val="nil"/>
            </w:tcBorders>
            <w:shd w:val="clear" w:color="auto" w:fill="auto"/>
            <w:noWrap/>
            <w:vAlign w:val="center"/>
            <w:hideMark/>
          </w:tcPr>
          <w:p w14:paraId="309274E4" w14:textId="268265E6" w:rsidR="00095759" w:rsidRPr="00166BEB" w:rsidRDefault="00095759" w:rsidP="00095759">
            <w:pPr>
              <w:spacing w:after="0" w:line="240" w:lineRule="auto"/>
              <w:jc w:val="right"/>
              <w:rPr>
                <w:rFonts w:cs="Arial"/>
                <w:sz w:val="16"/>
                <w:szCs w:val="16"/>
                <w:highlight w:val="yellow"/>
              </w:rPr>
            </w:pPr>
            <w:r>
              <w:rPr>
                <w:rFonts w:cs="Arial"/>
                <w:sz w:val="16"/>
                <w:szCs w:val="16"/>
              </w:rPr>
              <w:t>1 507,4</w:t>
            </w:r>
          </w:p>
        </w:tc>
        <w:tc>
          <w:tcPr>
            <w:tcW w:w="822" w:type="dxa"/>
            <w:tcBorders>
              <w:top w:val="nil"/>
              <w:left w:val="nil"/>
              <w:bottom w:val="nil"/>
              <w:right w:val="nil"/>
            </w:tcBorders>
            <w:shd w:val="clear" w:color="auto" w:fill="auto"/>
            <w:noWrap/>
            <w:vAlign w:val="center"/>
            <w:hideMark/>
          </w:tcPr>
          <w:p w14:paraId="7D9B2C56" w14:textId="5BAC80BA" w:rsidR="00095759" w:rsidRPr="00166BEB" w:rsidRDefault="00095759" w:rsidP="00095759">
            <w:pPr>
              <w:spacing w:after="0" w:line="240" w:lineRule="auto"/>
              <w:jc w:val="right"/>
              <w:rPr>
                <w:rFonts w:cs="Arial"/>
                <w:sz w:val="16"/>
                <w:szCs w:val="16"/>
                <w:highlight w:val="yellow"/>
              </w:rPr>
            </w:pPr>
            <w:r>
              <w:rPr>
                <w:rFonts w:cs="Arial"/>
                <w:sz w:val="16"/>
                <w:szCs w:val="16"/>
              </w:rPr>
              <w:t>1 057,5</w:t>
            </w:r>
          </w:p>
        </w:tc>
        <w:tc>
          <w:tcPr>
            <w:tcW w:w="822" w:type="dxa"/>
            <w:tcBorders>
              <w:top w:val="nil"/>
              <w:left w:val="nil"/>
              <w:bottom w:val="nil"/>
              <w:right w:val="nil"/>
            </w:tcBorders>
            <w:shd w:val="clear" w:color="auto" w:fill="auto"/>
            <w:noWrap/>
            <w:vAlign w:val="center"/>
            <w:hideMark/>
          </w:tcPr>
          <w:p w14:paraId="4500D375" w14:textId="5AB2B2C7" w:rsidR="00095759" w:rsidRPr="00166BEB" w:rsidRDefault="00095759" w:rsidP="00095759">
            <w:pPr>
              <w:spacing w:after="0" w:line="240" w:lineRule="auto"/>
              <w:jc w:val="right"/>
              <w:rPr>
                <w:rFonts w:cs="Arial"/>
                <w:sz w:val="16"/>
                <w:szCs w:val="16"/>
                <w:highlight w:val="yellow"/>
              </w:rPr>
            </w:pPr>
            <w:r>
              <w:rPr>
                <w:rFonts w:cs="Arial"/>
                <w:sz w:val="16"/>
                <w:szCs w:val="16"/>
              </w:rPr>
              <w:t>1 202,4</w:t>
            </w:r>
          </w:p>
        </w:tc>
        <w:tc>
          <w:tcPr>
            <w:tcW w:w="822" w:type="dxa"/>
            <w:tcBorders>
              <w:top w:val="nil"/>
              <w:left w:val="nil"/>
              <w:bottom w:val="nil"/>
              <w:right w:val="nil"/>
            </w:tcBorders>
            <w:shd w:val="clear" w:color="auto" w:fill="auto"/>
            <w:noWrap/>
            <w:vAlign w:val="center"/>
            <w:hideMark/>
          </w:tcPr>
          <w:p w14:paraId="4BBCFEDA" w14:textId="44A93BCB" w:rsidR="00095759" w:rsidRPr="00166BEB" w:rsidRDefault="00095759" w:rsidP="00095759">
            <w:pPr>
              <w:spacing w:after="0" w:line="240" w:lineRule="auto"/>
              <w:jc w:val="right"/>
              <w:rPr>
                <w:rFonts w:cs="Arial"/>
                <w:sz w:val="16"/>
                <w:szCs w:val="16"/>
                <w:highlight w:val="yellow"/>
              </w:rPr>
            </w:pPr>
            <w:r>
              <w:rPr>
                <w:rFonts w:cs="Arial"/>
                <w:sz w:val="16"/>
                <w:szCs w:val="16"/>
              </w:rPr>
              <w:t>1 187,1</w:t>
            </w:r>
          </w:p>
        </w:tc>
        <w:tc>
          <w:tcPr>
            <w:tcW w:w="822" w:type="dxa"/>
            <w:tcBorders>
              <w:top w:val="nil"/>
              <w:left w:val="nil"/>
              <w:bottom w:val="nil"/>
              <w:right w:val="nil"/>
            </w:tcBorders>
            <w:shd w:val="clear" w:color="auto" w:fill="D9D9D9"/>
            <w:vAlign w:val="center"/>
          </w:tcPr>
          <w:p w14:paraId="284E5F7C" w14:textId="349A802D" w:rsidR="00095759" w:rsidRDefault="00095759" w:rsidP="00095759">
            <w:pPr>
              <w:spacing w:after="0" w:line="240" w:lineRule="auto"/>
              <w:jc w:val="right"/>
              <w:rPr>
                <w:rFonts w:cs="Arial"/>
                <w:sz w:val="16"/>
                <w:szCs w:val="16"/>
              </w:rPr>
            </w:pPr>
            <w:r>
              <w:rPr>
                <w:rFonts w:cs="Arial"/>
                <w:sz w:val="16"/>
                <w:szCs w:val="16"/>
              </w:rPr>
              <w:t>829,3</w:t>
            </w:r>
          </w:p>
        </w:tc>
        <w:tc>
          <w:tcPr>
            <w:tcW w:w="675" w:type="dxa"/>
            <w:tcBorders>
              <w:top w:val="nil"/>
              <w:left w:val="nil"/>
              <w:bottom w:val="nil"/>
              <w:right w:val="nil"/>
            </w:tcBorders>
          </w:tcPr>
          <w:p w14:paraId="19C23D7E" w14:textId="60DA0DC0" w:rsidR="00095759" w:rsidRDefault="00095759" w:rsidP="00095759">
            <w:pPr>
              <w:spacing w:after="0" w:line="240" w:lineRule="auto"/>
              <w:jc w:val="right"/>
              <w:rPr>
                <w:rFonts w:cs="Arial"/>
                <w:sz w:val="16"/>
                <w:szCs w:val="16"/>
              </w:rPr>
            </w:pPr>
          </w:p>
        </w:tc>
      </w:tr>
      <w:tr w:rsidR="00095759" w:rsidRPr="00166BEB" w14:paraId="294C744F" w14:textId="4BBDD999" w:rsidTr="00095759">
        <w:trPr>
          <w:trHeight w:val="300"/>
        </w:trPr>
        <w:tc>
          <w:tcPr>
            <w:tcW w:w="0" w:type="auto"/>
            <w:tcBorders>
              <w:top w:val="nil"/>
              <w:left w:val="nil"/>
              <w:bottom w:val="nil"/>
              <w:right w:val="nil"/>
            </w:tcBorders>
            <w:shd w:val="clear" w:color="auto" w:fill="auto"/>
            <w:noWrap/>
            <w:vAlign w:val="center"/>
            <w:hideMark/>
          </w:tcPr>
          <w:p w14:paraId="3F4CF246" w14:textId="45F79F9C"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Německo</w:t>
            </w:r>
          </w:p>
        </w:tc>
        <w:tc>
          <w:tcPr>
            <w:tcW w:w="822" w:type="dxa"/>
            <w:tcBorders>
              <w:top w:val="nil"/>
              <w:left w:val="single" w:sz="4" w:space="0" w:color="000000"/>
              <w:bottom w:val="nil"/>
              <w:right w:val="nil"/>
            </w:tcBorders>
            <w:shd w:val="clear" w:color="auto" w:fill="auto"/>
            <w:noWrap/>
            <w:vAlign w:val="center"/>
            <w:hideMark/>
          </w:tcPr>
          <w:p w14:paraId="05F74DEF" w14:textId="3A130C7C" w:rsidR="00095759" w:rsidRPr="00166BEB" w:rsidRDefault="00095759" w:rsidP="00095759">
            <w:pPr>
              <w:spacing w:after="0" w:line="240" w:lineRule="auto"/>
              <w:jc w:val="right"/>
              <w:rPr>
                <w:rFonts w:cs="Arial"/>
                <w:sz w:val="16"/>
                <w:szCs w:val="16"/>
                <w:highlight w:val="yellow"/>
              </w:rPr>
            </w:pPr>
            <w:r>
              <w:rPr>
                <w:rFonts w:cs="Arial"/>
                <w:sz w:val="16"/>
                <w:szCs w:val="16"/>
              </w:rPr>
              <w:t>2 369,1</w:t>
            </w:r>
          </w:p>
        </w:tc>
        <w:tc>
          <w:tcPr>
            <w:tcW w:w="822" w:type="dxa"/>
            <w:tcBorders>
              <w:top w:val="nil"/>
              <w:left w:val="nil"/>
              <w:bottom w:val="nil"/>
              <w:right w:val="nil"/>
            </w:tcBorders>
            <w:shd w:val="clear" w:color="auto" w:fill="auto"/>
            <w:noWrap/>
            <w:vAlign w:val="center"/>
            <w:hideMark/>
          </w:tcPr>
          <w:p w14:paraId="7B758FE1" w14:textId="3C11BFE6" w:rsidR="00095759" w:rsidRPr="00166BEB" w:rsidRDefault="00095759" w:rsidP="00095759">
            <w:pPr>
              <w:spacing w:after="0" w:line="240" w:lineRule="auto"/>
              <w:jc w:val="right"/>
              <w:rPr>
                <w:rFonts w:cs="Arial"/>
                <w:sz w:val="16"/>
                <w:szCs w:val="16"/>
                <w:highlight w:val="yellow"/>
              </w:rPr>
            </w:pPr>
            <w:r>
              <w:rPr>
                <w:rFonts w:cs="Arial"/>
                <w:sz w:val="16"/>
                <w:szCs w:val="16"/>
              </w:rPr>
              <w:t>2 202,5</w:t>
            </w:r>
          </w:p>
        </w:tc>
        <w:tc>
          <w:tcPr>
            <w:tcW w:w="822" w:type="dxa"/>
            <w:tcBorders>
              <w:top w:val="nil"/>
              <w:left w:val="nil"/>
              <w:bottom w:val="nil"/>
              <w:right w:val="nil"/>
            </w:tcBorders>
            <w:shd w:val="clear" w:color="auto" w:fill="auto"/>
            <w:noWrap/>
            <w:vAlign w:val="center"/>
            <w:hideMark/>
          </w:tcPr>
          <w:p w14:paraId="681DA492" w14:textId="4302BDDE" w:rsidR="00095759" w:rsidRPr="00166BEB" w:rsidRDefault="00095759" w:rsidP="00095759">
            <w:pPr>
              <w:spacing w:after="0" w:line="240" w:lineRule="auto"/>
              <w:jc w:val="right"/>
              <w:rPr>
                <w:rFonts w:cs="Arial"/>
                <w:sz w:val="16"/>
                <w:szCs w:val="16"/>
                <w:highlight w:val="yellow"/>
              </w:rPr>
            </w:pPr>
            <w:r>
              <w:rPr>
                <w:rFonts w:cs="Arial"/>
                <w:sz w:val="16"/>
                <w:szCs w:val="16"/>
              </w:rPr>
              <w:t>2 178,4</w:t>
            </w:r>
          </w:p>
        </w:tc>
        <w:tc>
          <w:tcPr>
            <w:tcW w:w="822" w:type="dxa"/>
            <w:tcBorders>
              <w:top w:val="nil"/>
              <w:left w:val="nil"/>
              <w:bottom w:val="nil"/>
              <w:right w:val="nil"/>
            </w:tcBorders>
            <w:shd w:val="clear" w:color="auto" w:fill="auto"/>
            <w:noWrap/>
            <w:vAlign w:val="center"/>
            <w:hideMark/>
          </w:tcPr>
          <w:p w14:paraId="543F5C5D" w14:textId="79D2CEC4" w:rsidR="00095759" w:rsidRPr="00166BEB" w:rsidRDefault="00095759" w:rsidP="00095759">
            <w:pPr>
              <w:spacing w:after="0" w:line="240" w:lineRule="auto"/>
              <w:jc w:val="right"/>
              <w:rPr>
                <w:rFonts w:cs="Arial"/>
                <w:sz w:val="16"/>
                <w:szCs w:val="16"/>
                <w:highlight w:val="yellow"/>
              </w:rPr>
            </w:pPr>
            <w:r>
              <w:rPr>
                <w:rFonts w:cs="Arial"/>
                <w:sz w:val="16"/>
                <w:szCs w:val="16"/>
              </w:rPr>
              <w:t>2 124,2</w:t>
            </w:r>
          </w:p>
        </w:tc>
        <w:tc>
          <w:tcPr>
            <w:tcW w:w="822" w:type="dxa"/>
            <w:tcBorders>
              <w:top w:val="nil"/>
              <w:left w:val="nil"/>
              <w:bottom w:val="nil"/>
              <w:right w:val="nil"/>
            </w:tcBorders>
            <w:shd w:val="clear" w:color="auto" w:fill="auto"/>
            <w:noWrap/>
            <w:vAlign w:val="center"/>
            <w:hideMark/>
          </w:tcPr>
          <w:p w14:paraId="1DC74822" w14:textId="3FAA57B7" w:rsidR="00095759" w:rsidRPr="00166BEB" w:rsidRDefault="00095759" w:rsidP="00095759">
            <w:pPr>
              <w:spacing w:after="0" w:line="240" w:lineRule="auto"/>
              <w:jc w:val="right"/>
              <w:rPr>
                <w:rFonts w:cs="Arial"/>
                <w:sz w:val="16"/>
                <w:szCs w:val="16"/>
                <w:highlight w:val="yellow"/>
              </w:rPr>
            </w:pPr>
            <w:r>
              <w:rPr>
                <w:rFonts w:cs="Arial"/>
                <w:sz w:val="16"/>
                <w:szCs w:val="16"/>
              </w:rPr>
              <w:t>2 096,8</w:t>
            </w:r>
          </w:p>
        </w:tc>
        <w:tc>
          <w:tcPr>
            <w:tcW w:w="822" w:type="dxa"/>
            <w:tcBorders>
              <w:top w:val="nil"/>
              <w:left w:val="nil"/>
              <w:bottom w:val="nil"/>
              <w:right w:val="nil"/>
            </w:tcBorders>
            <w:shd w:val="clear" w:color="auto" w:fill="auto"/>
            <w:noWrap/>
            <w:vAlign w:val="center"/>
            <w:hideMark/>
          </w:tcPr>
          <w:p w14:paraId="01270CDC" w14:textId="1C45AAE2" w:rsidR="00095759" w:rsidRPr="00166BEB" w:rsidRDefault="00095759" w:rsidP="00095759">
            <w:pPr>
              <w:spacing w:after="0" w:line="240" w:lineRule="auto"/>
              <w:jc w:val="right"/>
              <w:rPr>
                <w:rFonts w:cs="Arial"/>
                <w:sz w:val="16"/>
                <w:szCs w:val="16"/>
                <w:highlight w:val="yellow"/>
              </w:rPr>
            </w:pPr>
            <w:r>
              <w:rPr>
                <w:rFonts w:cs="Arial"/>
                <w:sz w:val="16"/>
                <w:szCs w:val="16"/>
              </w:rPr>
              <w:t>2 079,9</w:t>
            </w:r>
          </w:p>
        </w:tc>
        <w:tc>
          <w:tcPr>
            <w:tcW w:w="822" w:type="dxa"/>
            <w:tcBorders>
              <w:top w:val="nil"/>
              <w:left w:val="nil"/>
              <w:bottom w:val="nil"/>
              <w:right w:val="nil"/>
            </w:tcBorders>
            <w:shd w:val="clear" w:color="auto" w:fill="auto"/>
            <w:noWrap/>
            <w:vAlign w:val="center"/>
            <w:hideMark/>
          </w:tcPr>
          <w:p w14:paraId="5224F27E" w14:textId="5FDB977E" w:rsidR="00095759" w:rsidRPr="00166BEB" w:rsidRDefault="00095759" w:rsidP="00095759">
            <w:pPr>
              <w:spacing w:after="0" w:line="240" w:lineRule="auto"/>
              <w:jc w:val="right"/>
              <w:rPr>
                <w:rFonts w:cs="Arial"/>
                <w:sz w:val="16"/>
                <w:szCs w:val="16"/>
                <w:highlight w:val="yellow"/>
              </w:rPr>
            </w:pPr>
            <w:r>
              <w:rPr>
                <w:rFonts w:cs="Arial"/>
                <w:sz w:val="16"/>
                <w:szCs w:val="16"/>
              </w:rPr>
              <w:t>2 058,1</w:t>
            </w:r>
          </w:p>
        </w:tc>
        <w:tc>
          <w:tcPr>
            <w:tcW w:w="822" w:type="dxa"/>
            <w:tcBorders>
              <w:top w:val="nil"/>
              <w:left w:val="nil"/>
              <w:bottom w:val="nil"/>
              <w:right w:val="nil"/>
            </w:tcBorders>
            <w:shd w:val="clear" w:color="auto" w:fill="auto"/>
            <w:noWrap/>
            <w:vAlign w:val="center"/>
            <w:hideMark/>
          </w:tcPr>
          <w:p w14:paraId="6E77A9CF" w14:textId="36493719" w:rsidR="00095759" w:rsidRPr="00166BEB" w:rsidRDefault="00095759" w:rsidP="00095759">
            <w:pPr>
              <w:spacing w:after="0" w:line="240" w:lineRule="auto"/>
              <w:jc w:val="right"/>
              <w:rPr>
                <w:rFonts w:cs="Arial"/>
                <w:sz w:val="16"/>
                <w:szCs w:val="16"/>
                <w:highlight w:val="yellow"/>
              </w:rPr>
            </w:pPr>
            <w:r>
              <w:rPr>
                <w:rFonts w:cs="Arial"/>
                <w:sz w:val="16"/>
                <w:szCs w:val="16"/>
              </w:rPr>
              <w:t>1 985,8</w:t>
            </w:r>
          </w:p>
        </w:tc>
        <w:tc>
          <w:tcPr>
            <w:tcW w:w="822" w:type="dxa"/>
            <w:tcBorders>
              <w:top w:val="nil"/>
              <w:left w:val="nil"/>
              <w:bottom w:val="nil"/>
              <w:right w:val="nil"/>
            </w:tcBorders>
            <w:shd w:val="clear" w:color="auto" w:fill="auto"/>
            <w:noWrap/>
            <w:vAlign w:val="center"/>
            <w:hideMark/>
          </w:tcPr>
          <w:p w14:paraId="7FBA4DED" w14:textId="18E7E410" w:rsidR="00095759" w:rsidRPr="00166BEB" w:rsidRDefault="00095759" w:rsidP="00095759">
            <w:pPr>
              <w:spacing w:after="0" w:line="240" w:lineRule="auto"/>
              <w:jc w:val="right"/>
              <w:rPr>
                <w:rFonts w:cs="Arial"/>
                <w:sz w:val="16"/>
                <w:szCs w:val="16"/>
                <w:highlight w:val="yellow"/>
              </w:rPr>
            </w:pPr>
            <w:r>
              <w:rPr>
                <w:rFonts w:cs="Arial"/>
                <w:sz w:val="16"/>
                <w:szCs w:val="16"/>
              </w:rPr>
              <w:t>1 939,5</w:t>
            </w:r>
          </w:p>
        </w:tc>
        <w:tc>
          <w:tcPr>
            <w:tcW w:w="822" w:type="dxa"/>
            <w:tcBorders>
              <w:top w:val="nil"/>
              <w:left w:val="nil"/>
              <w:bottom w:val="nil"/>
              <w:right w:val="nil"/>
            </w:tcBorders>
            <w:shd w:val="clear" w:color="auto" w:fill="D9D9D9"/>
            <w:vAlign w:val="center"/>
          </w:tcPr>
          <w:p w14:paraId="7FB6A45F" w14:textId="26341CD6" w:rsidR="00095759" w:rsidRDefault="00095759" w:rsidP="00095759">
            <w:pPr>
              <w:spacing w:after="0" w:line="240" w:lineRule="auto"/>
              <w:jc w:val="right"/>
              <w:rPr>
                <w:rFonts w:cs="Arial"/>
                <w:sz w:val="16"/>
                <w:szCs w:val="16"/>
              </w:rPr>
            </w:pPr>
            <w:r>
              <w:rPr>
                <w:rFonts w:cs="Arial"/>
                <w:sz w:val="16"/>
                <w:szCs w:val="16"/>
              </w:rPr>
              <w:t>1 782,2</w:t>
            </w:r>
          </w:p>
        </w:tc>
        <w:tc>
          <w:tcPr>
            <w:tcW w:w="675" w:type="dxa"/>
            <w:tcBorders>
              <w:top w:val="nil"/>
              <w:left w:val="nil"/>
              <w:bottom w:val="nil"/>
              <w:right w:val="nil"/>
            </w:tcBorders>
          </w:tcPr>
          <w:p w14:paraId="4D519FB8" w14:textId="61B1DEA1" w:rsidR="00095759" w:rsidRDefault="00095759" w:rsidP="00095759">
            <w:pPr>
              <w:spacing w:after="0" w:line="240" w:lineRule="auto"/>
              <w:jc w:val="right"/>
              <w:rPr>
                <w:rFonts w:cs="Arial"/>
                <w:sz w:val="16"/>
                <w:szCs w:val="16"/>
              </w:rPr>
            </w:pPr>
          </w:p>
        </w:tc>
      </w:tr>
      <w:tr w:rsidR="00095759" w:rsidRPr="00166BEB" w14:paraId="7DE82D35" w14:textId="4F692737" w:rsidTr="00095759">
        <w:trPr>
          <w:trHeight w:val="300"/>
        </w:trPr>
        <w:tc>
          <w:tcPr>
            <w:tcW w:w="0" w:type="auto"/>
            <w:tcBorders>
              <w:top w:val="nil"/>
              <w:left w:val="nil"/>
              <w:bottom w:val="nil"/>
              <w:right w:val="nil"/>
            </w:tcBorders>
            <w:shd w:val="clear" w:color="auto" w:fill="auto"/>
            <w:noWrap/>
            <w:vAlign w:val="center"/>
            <w:hideMark/>
          </w:tcPr>
          <w:p w14:paraId="7516D43C" w14:textId="0A28E7A3"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Nizozemsko</w:t>
            </w:r>
          </w:p>
        </w:tc>
        <w:tc>
          <w:tcPr>
            <w:tcW w:w="822" w:type="dxa"/>
            <w:tcBorders>
              <w:top w:val="nil"/>
              <w:left w:val="single" w:sz="4" w:space="0" w:color="000000"/>
              <w:bottom w:val="nil"/>
              <w:right w:val="nil"/>
            </w:tcBorders>
            <w:shd w:val="clear" w:color="auto" w:fill="auto"/>
            <w:noWrap/>
            <w:vAlign w:val="center"/>
            <w:hideMark/>
          </w:tcPr>
          <w:p w14:paraId="07D90453" w14:textId="0042F485" w:rsidR="00095759" w:rsidRPr="00166BEB" w:rsidRDefault="00095759" w:rsidP="00095759">
            <w:pPr>
              <w:spacing w:after="0" w:line="240" w:lineRule="auto"/>
              <w:jc w:val="right"/>
              <w:rPr>
                <w:rFonts w:cs="Arial"/>
                <w:sz w:val="16"/>
                <w:szCs w:val="16"/>
                <w:highlight w:val="yellow"/>
              </w:rPr>
            </w:pPr>
            <w:r>
              <w:rPr>
                <w:rFonts w:cs="Arial"/>
                <w:sz w:val="16"/>
                <w:szCs w:val="16"/>
              </w:rPr>
              <w:t>2 268,7</w:t>
            </w:r>
          </w:p>
        </w:tc>
        <w:tc>
          <w:tcPr>
            <w:tcW w:w="822" w:type="dxa"/>
            <w:tcBorders>
              <w:top w:val="nil"/>
              <w:left w:val="nil"/>
              <w:bottom w:val="nil"/>
              <w:right w:val="nil"/>
            </w:tcBorders>
            <w:shd w:val="clear" w:color="auto" w:fill="auto"/>
            <w:noWrap/>
            <w:vAlign w:val="center"/>
            <w:hideMark/>
          </w:tcPr>
          <w:p w14:paraId="2B87A7D0" w14:textId="7C53B1E8" w:rsidR="00095759" w:rsidRPr="00166BEB" w:rsidRDefault="00095759" w:rsidP="00095759">
            <w:pPr>
              <w:spacing w:after="0" w:line="240" w:lineRule="auto"/>
              <w:jc w:val="right"/>
              <w:rPr>
                <w:rFonts w:cs="Arial"/>
                <w:sz w:val="16"/>
                <w:szCs w:val="16"/>
                <w:highlight w:val="yellow"/>
              </w:rPr>
            </w:pPr>
            <w:r>
              <w:rPr>
                <w:rFonts w:cs="Arial"/>
                <w:sz w:val="16"/>
                <w:szCs w:val="16"/>
              </w:rPr>
              <w:t>2 663,4</w:t>
            </w:r>
          </w:p>
        </w:tc>
        <w:tc>
          <w:tcPr>
            <w:tcW w:w="822" w:type="dxa"/>
            <w:tcBorders>
              <w:top w:val="nil"/>
              <w:left w:val="nil"/>
              <w:bottom w:val="nil"/>
              <w:right w:val="nil"/>
            </w:tcBorders>
            <w:shd w:val="clear" w:color="auto" w:fill="auto"/>
            <w:noWrap/>
            <w:vAlign w:val="center"/>
            <w:hideMark/>
          </w:tcPr>
          <w:p w14:paraId="0E3DB13B" w14:textId="0A78A26A" w:rsidR="00095759" w:rsidRPr="00166BEB" w:rsidRDefault="00095759" w:rsidP="00095759">
            <w:pPr>
              <w:spacing w:after="0" w:line="240" w:lineRule="auto"/>
              <w:jc w:val="right"/>
              <w:rPr>
                <w:rFonts w:cs="Arial"/>
                <w:sz w:val="16"/>
                <w:szCs w:val="16"/>
                <w:highlight w:val="yellow"/>
              </w:rPr>
            </w:pPr>
            <w:r>
              <w:rPr>
                <w:rFonts w:cs="Arial"/>
                <w:sz w:val="16"/>
                <w:szCs w:val="16"/>
              </w:rPr>
              <w:t>2 278,2</w:t>
            </w:r>
          </w:p>
        </w:tc>
        <w:tc>
          <w:tcPr>
            <w:tcW w:w="822" w:type="dxa"/>
            <w:tcBorders>
              <w:top w:val="nil"/>
              <w:left w:val="nil"/>
              <w:bottom w:val="nil"/>
              <w:right w:val="nil"/>
            </w:tcBorders>
            <w:shd w:val="clear" w:color="000000" w:fill="D9D9D9"/>
            <w:noWrap/>
            <w:vAlign w:val="center"/>
            <w:hideMark/>
          </w:tcPr>
          <w:p w14:paraId="6FC4CFAA" w14:textId="5826922D" w:rsidR="00095759" w:rsidRPr="00166BEB" w:rsidRDefault="00095759" w:rsidP="00095759">
            <w:pPr>
              <w:spacing w:after="0" w:line="240" w:lineRule="auto"/>
              <w:jc w:val="right"/>
              <w:rPr>
                <w:rFonts w:cs="Arial"/>
                <w:sz w:val="16"/>
                <w:szCs w:val="16"/>
                <w:highlight w:val="yellow"/>
              </w:rPr>
            </w:pPr>
            <w:r>
              <w:rPr>
                <w:rFonts w:cs="Arial"/>
                <w:sz w:val="16"/>
                <w:szCs w:val="16"/>
              </w:rPr>
              <w:t>1 393,6</w:t>
            </w:r>
          </w:p>
        </w:tc>
        <w:tc>
          <w:tcPr>
            <w:tcW w:w="822" w:type="dxa"/>
            <w:tcBorders>
              <w:top w:val="nil"/>
              <w:left w:val="nil"/>
              <w:bottom w:val="nil"/>
              <w:right w:val="nil"/>
            </w:tcBorders>
            <w:shd w:val="clear" w:color="auto" w:fill="auto"/>
            <w:noWrap/>
            <w:vAlign w:val="center"/>
            <w:hideMark/>
          </w:tcPr>
          <w:p w14:paraId="6C5FA58A" w14:textId="79532BE8" w:rsidR="00095759" w:rsidRPr="00166BEB" w:rsidRDefault="00095759" w:rsidP="00095759">
            <w:pPr>
              <w:spacing w:after="0" w:line="240" w:lineRule="auto"/>
              <w:jc w:val="right"/>
              <w:rPr>
                <w:rFonts w:cs="Arial"/>
                <w:sz w:val="16"/>
                <w:szCs w:val="16"/>
                <w:highlight w:val="yellow"/>
              </w:rPr>
            </w:pPr>
            <w:r>
              <w:rPr>
                <w:rFonts w:cs="Arial"/>
                <w:sz w:val="16"/>
                <w:szCs w:val="16"/>
              </w:rPr>
              <w:t>1 241,1</w:t>
            </w:r>
          </w:p>
        </w:tc>
        <w:tc>
          <w:tcPr>
            <w:tcW w:w="822" w:type="dxa"/>
            <w:tcBorders>
              <w:top w:val="nil"/>
              <w:left w:val="nil"/>
              <w:bottom w:val="nil"/>
              <w:right w:val="nil"/>
            </w:tcBorders>
            <w:shd w:val="clear" w:color="auto" w:fill="auto"/>
            <w:noWrap/>
            <w:vAlign w:val="center"/>
            <w:hideMark/>
          </w:tcPr>
          <w:p w14:paraId="2C5E97D8" w14:textId="4EE591A8" w:rsidR="00095759" w:rsidRPr="00166BEB" w:rsidRDefault="00095759" w:rsidP="00095759">
            <w:pPr>
              <w:spacing w:after="0" w:line="240" w:lineRule="auto"/>
              <w:jc w:val="right"/>
              <w:rPr>
                <w:rFonts w:cs="Arial"/>
                <w:sz w:val="16"/>
                <w:szCs w:val="16"/>
                <w:highlight w:val="yellow"/>
              </w:rPr>
            </w:pPr>
            <w:r>
              <w:rPr>
                <w:rFonts w:cs="Arial"/>
                <w:sz w:val="16"/>
                <w:szCs w:val="16"/>
              </w:rPr>
              <w:t>1 304,1</w:t>
            </w:r>
          </w:p>
        </w:tc>
        <w:tc>
          <w:tcPr>
            <w:tcW w:w="822" w:type="dxa"/>
            <w:tcBorders>
              <w:top w:val="nil"/>
              <w:left w:val="nil"/>
              <w:bottom w:val="nil"/>
              <w:right w:val="nil"/>
            </w:tcBorders>
            <w:shd w:val="clear" w:color="auto" w:fill="auto"/>
            <w:noWrap/>
            <w:vAlign w:val="center"/>
            <w:hideMark/>
          </w:tcPr>
          <w:p w14:paraId="43F404EC" w14:textId="38F4F1C8" w:rsidR="00095759" w:rsidRPr="00166BEB" w:rsidRDefault="00095759" w:rsidP="00095759">
            <w:pPr>
              <w:spacing w:after="0" w:line="240" w:lineRule="auto"/>
              <w:jc w:val="right"/>
              <w:rPr>
                <w:rFonts w:cs="Arial"/>
                <w:sz w:val="16"/>
                <w:szCs w:val="16"/>
                <w:highlight w:val="yellow"/>
              </w:rPr>
            </w:pPr>
            <w:r>
              <w:rPr>
                <w:rFonts w:cs="Arial"/>
                <w:sz w:val="16"/>
                <w:szCs w:val="16"/>
              </w:rPr>
              <w:t>1 451,7</w:t>
            </w:r>
          </w:p>
        </w:tc>
        <w:tc>
          <w:tcPr>
            <w:tcW w:w="822" w:type="dxa"/>
            <w:tcBorders>
              <w:top w:val="nil"/>
              <w:left w:val="nil"/>
              <w:bottom w:val="nil"/>
              <w:right w:val="nil"/>
            </w:tcBorders>
            <w:shd w:val="clear" w:color="auto" w:fill="auto"/>
            <w:noWrap/>
            <w:vAlign w:val="center"/>
            <w:hideMark/>
          </w:tcPr>
          <w:p w14:paraId="036DA835" w14:textId="305AD0DB" w:rsidR="00095759" w:rsidRPr="00166BEB" w:rsidRDefault="00095759" w:rsidP="00095759">
            <w:pPr>
              <w:spacing w:after="0" w:line="240" w:lineRule="auto"/>
              <w:jc w:val="right"/>
              <w:rPr>
                <w:rFonts w:cs="Arial"/>
                <w:sz w:val="16"/>
                <w:szCs w:val="16"/>
                <w:highlight w:val="yellow"/>
              </w:rPr>
            </w:pPr>
            <w:r>
              <w:rPr>
                <w:rFonts w:cs="Arial"/>
                <w:sz w:val="16"/>
                <w:szCs w:val="16"/>
              </w:rPr>
              <w:t>1 431,9</w:t>
            </w:r>
          </w:p>
        </w:tc>
        <w:tc>
          <w:tcPr>
            <w:tcW w:w="822" w:type="dxa"/>
            <w:tcBorders>
              <w:top w:val="nil"/>
              <w:left w:val="nil"/>
              <w:bottom w:val="nil"/>
              <w:right w:val="nil"/>
            </w:tcBorders>
            <w:shd w:val="clear" w:color="auto" w:fill="auto"/>
            <w:noWrap/>
            <w:vAlign w:val="center"/>
            <w:hideMark/>
          </w:tcPr>
          <w:p w14:paraId="20DA9DE5" w14:textId="72DEC1A6" w:rsidR="00095759" w:rsidRPr="00166BEB" w:rsidRDefault="00095759" w:rsidP="00095759">
            <w:pPr>
              <w:spacing w:after="0" w:line="240" w:lineRule="auto"/>
              <w:jc w:val="right"/>
              <w:rPr>
                <w:rFonts w:cs="Arial"/>
                <w:sz w:val="16"/>
                <w:szCs w:val="16"/>
                <w:highlight w:val="yellow"/>
              </w:rPr>
            </w:pPr>
            <w:r>
              <w:rPr>
                <w:rFonts w:cs="Arial"/>
                <w:sz w:val="16"/>
                <w:szCs w:val="16"/>
              </w:rPr>
              <w:t>1 327,2</w:t>
            </w:r>
          </w:p>
        </w:tc>
        <w:tc>
          <w:tcPr>
            <w:tcW w:w="822" w:type="dxa"/>
            <w:tcBorders>
              <w:top w:val="nil"/>
              <w:left w:val="nil"/>
              <w:bottom w:val="nil"/>
              <w:right w:val="nil"/>
            </w:tcBorders>
            <w:shd w:val="clear" w:color="auto" w:fill="D9D9D9"/>
            <w:vAlign w:val="center"/>
          </w:tcPr>
          <w:p w14:paraId="761CC8EB" w14:textId="3842F318" w:rsidR="00095759" w:rsidRDefault="00095759" w:rsidP="00095759">
            <w:pPr>
              <w:spacing w:after="0" w:line="240" w:lineRule="auto"/>
              <w:jc w:val="right"/>
              <w:rPr>
                <w:rFonts w:cs="Arial"/>
                <w:sz w:val="16"/>
                <w:szCs w:val="16"/>
              </w:rPr>
            </w:pPr>
            <w:r>
              <w:rPr>
                <w:rFonts w:cs="Arial"/>
                <w:sz w:val="16"/>
                <w:szCs w:val="16"/>
              </w:rPr>
              <w:t>1 139,6</w:t>
            </w:r>
          </w:p>
        </w:tc>
        <w:tc>
          <w:tcPr>
            <w:tcW w:w="675" w:type="dxa"/>
            <w:tcBorders>
              <w:top w:val="nil"/>
              <w:left w:val="nil"/>
              <w:bottom w:val="nil"/>
              <w:right w:val="nil"/>
            </w:tcBorders>
          </w:tcPr>
          <w:p w14:paraId="10124CDD" w14:textId="1CCCC135" w:rsidR="00095759" w:rsidRDefault="00095759" w:rsidP="00095759">
            <w:pPr>
              <w:spacing w:after="0" w:line="240" w:lineRule="auto"/>
              <w:jc w:val="right"/>
              <w:rPr>
                <w:rFonts w:cs="Arial"/>
                <w:sz w:val="16"/>
                <w:szCs w:val="16"/>
              </w:rPr>
            </w:pPr>
          </w:p>
        </w:tc>
      </w:tr>
      <w:tr w:rsidR="00095759" w:rsidRPr="00166BEB" w14:paraId="694F951C" w14:textId="291B72A2" w:rsidTr="00095759">
        <w:trPr>
          <w:trHeight w:val="300"/>
        </w:trPr>
        <w:tc>
          <w:tcPr>
            <w:tcW w:w="0" w:type="auto"/>
            <w:tcBorders>
              <w:top w:val="nil"/>
              <w:left w:val="nil"/>
              <w:bottom w:val="nil"/>
              <w:right w:val="nil"/>
            </w:tcBorders>
            <w:shd w:val="clear" w:color="auto" w:fill="auto"/>
            <w:noWrap/>
            <w:vAlign w:val="center"/>
            <w:hideMark/>
          </w:tcPr>
          <w:p w14:paraId="4F1B5459" w14:textId="3AB91F15"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Polsko</w:t>
            </w:r>
          </w:p>
        </w:tc>
        <w:tc>
          <w:tcPr>
            <w:tcW w:w="822" w:type="dxa"/>
            <w:tcBorders>
              <w:top w:val="nil"/>
              <w:left w:val="single" w:sz="4" w:space="0" w:color="000000"/>
              <w:bottom w:val="nil"/>
              <w:right w:val="nil"/>
            </w:tcBorders>
            <w:shd w:val="clear" w:color="auto" w:fill="auto"/>
            <w:noWrap/>
            <w:vAlign w:val="center"/>
            <w:hideMark/>
          </w:tcPr>
          <w:p w14:paraId="667FAB2D" w14:textId="35CE80BE" w:rsidR="00095759" w:rsidRPr="00166BEB" w:rsidRDefault="00095759" w:rsidP="00095759">
            <w:pPr>
              <w:spacing w:after="0" w:line="240" w:lineRule="auto"/>
              <w:jc w:val="right"/>
              <w:rPr>
                <w:rFonts w:cs="Arial"/>
                <w:sz w:val="16"/>
                <w:szCs w:val="16"/>
                <w:highlight w:val="yellow"/>
              </w:rPr>
            </w:pPr>
            <w:r>
              <w:rPr>
                <w:rFonts w:cs="Arial"/>
                <w:sz w:val="16"/>
                <w:szCs w:val="16"/>
              </w:rPr>
              <w:t>580,9</w:t>
            </w:r>
          </w:p>
        </w:tc>
        <w:tc>
          <w:tcPr>
            <w:tcW w:w="822" w:type="dxa"/>
            <w:tcBorders>
              <w:top w:val="nil"/>
              <w:left w:val="nil"/>
              <w:bottom w:val="nil"/>
              <w:right w:val="nil"/>
            </w:tcBorders>
            <w:shd w:val="clear" w:color="auto" w:fill="auto"/>
            <w:noWrap/>
            <w:vAlign w:val="center"/>
            <w:hideMark/>
          </w:tcPr>
          <w:p w14:paraId="4AD6DD2D" w14:textId="4FDF6FDE" w:rsidR="00095759" w:rsidRPr="00166BEB" w:rsidRDefault="00095759" w:rsidP="00095759">
            <w:pPr>
              <w:spacing w:after="0" w:line="240" w:lineRule="auto"/>
              <w:jc w:val="right"/>
              <w:rPr>
                <w:rFonts w:cs="Arial"/>
                <w:sz w:val="16"/>
                <w:szCs w:val="16"/>
                <w:highlight w:val="yellow"/>
              </w:rPr>
            </w:pPr>
            <w:r>
              <w:rPr>
                <w:rFonts w:cs="Arial"/>
                <w:sz w:val="16"/>
                <w:szCs w:val="16"/>
              </w:rPr>
              <w:t>607,2</w:t>
            </w:r>
          </w:p>
        </w:tc>
        <w:tc>
          <w:tcPr>
            <w:tcW w:w="822" w:type="dxa"/>
            <w:tcBorders>
              <w:top w:val="nil"/>
              <w:left w:val="nil"/>
              <w:bottom w:val="nil"/>
              <w:right w:val="nil"/>
            </w:tcBorders>
            <w:shd w:val="clear" w:color="auto" w:fill="auto"/>
            <w:noWrap/>
            <w:vAlign w:val="center"/>
            <w:hideMark/>
          </w:tcPr>
          <w:p w14:paraId="2FEFDC8B" w14:textId="533671BB" w:rsidR="00095759" w:rsidRPr="00166BEB" w:rsidRDefault="00095759" w:rsidP="00095759">
            <w:pPr>
              <w:spacing w:after="0" w:line="240" w:lineRule="auto"/>
              <w:jc w:val="right"/>
              <w:rPr>
                <w:rFonts w:cs="Arial"/>
                <w:sz w:val="16"/>
                <w:szCs w:val="16"/>
                <w:highlight w:val="yellow"/>
              </w:rPr>
            </w:pPr>
            <w:r>
              <w:rPr>
                <w:rFonts w:cs="Arial"/>
                <w:sz w:val="16"/>
                <w:szCs w:val="16"/>
              </w:rPr>
              <w:t>540,8</w:t>
            </w:r>
          </w:p>
        </w:tc>
        <w:tc>
          <w:tcPr>
            <w:tcW w:w="822" w:type="dxa"/>
            <w:tcBorders>
              <w:top w:val="nil"/>
              <w:left w:val="nil"/>
              <w:bottom w:val="nil"/>
              <w:right w:val="nil"/>
            </w:tcBorders>
            <w:shd w:val="clear" w:color="auto" w:fill="auto"/>
            <w:noWrap/>
            <w:vAlign w:val="center"/>
            <w:hideMark/>
          </w:tcPr>
          <w:p w14:paraId="1FEC8821" w14:textId="6300DA4E" w:rsidR="00095759" w:rsidRPr="00166BEB" w:rsidRDefault="00095759" w:rsidP="00095759">
            <w:pPr>
              <w:spacing w:after="0" w:line="240" w:lineRule="auto"/>
              <w:jc w:val="right"/>
              <w:rPr>
                <w:rFonts w:cs="Arial"/>
                <w:sz w:val="16"/>
                <w:szCs w:val="16"/>
                <w:highlight w:val="yellow"/>
              </w:rPr>
            </w:pPr>
            <w:r>
              <w:rPr>
                <w:rFonts w:cs="Arial"/>
                <w:sz w:val="16"/>
                <w:szCs w:val="16"/>
              </w:rPr>
              <w:t>525,2</w:t>
            </w:r>
          </w:p>
        </w:tc>
        <w:tc>
          <w:tcPr>
            <w:tcW w:w="822" w:type="dxa"/>
            <w:tcBorders>
              <w:top w:val="nil"/>
              <w:left w:val="nil"/>
              <w:bottom w:val="nil"/>
              <w:right w:val="nil"/>
            </w:tcBorders>
            <w:shd w:val="clear" w:color="auto" w:fill="auto"/>
            <w:noWrap/>
            <w:vAlign w:val="center"/>
            <w:hideMark/>
          </w:tcPr>
          <w:p w14:paraId="502F2657" w14:textId="1A0B5C8A" w:rsidR="00095759" w:rsidRPr="00166BEB" w:rsidRDefault="00095759" w:rsidP="00095759">
            <w:pPr>
              <w:spacing w:after="0" w:line="240" w:lineRule="auto"/>
              <w:jc w:val="right"/>
              <w:rPr>
                <w:rFonts w:cs="Arial"/>
                <w:sz w:val="16"/>
                <w:szCs w:val="16"/>
                <w:highlight w:val="yellow"/>
              </w:rPr>
            </w:pPr>
            <w:r>
              <w:rPr>
                <w:rFonts w:cs="Arial"/>
                <w:sz w:val="16"/>
                <w:szCs w:val="16"/>
              </w:rPr>
              <w:t>535,1</w:t>
            </w:r>
          </w:p>
        </w:tc>
        <w:tc>
          <w:tcPr>
            <w:tcW w:w="822" w:type="dxa"/>
            <w:tcBorders>
              <w:top w:val="nil"/>
              <w:left w:val="nil"/>
              <w:bottom w:val="nil"/>
              <w:right w:val="nil"/>
            </w:tcBorders>
            <w:shd w:val="clear" w:color="auto" w:fill="auto"/>
            <w:noWrap/>
            <w:vAlign w:val="center"/>
            <w:hideMark/>
          </w:tcPr>
          <w:p w14:paraId="3BDEB4F7" w14:textId="66E8CFAA" w:rsidR="00095759" w:rsidRPr="00166BEB" w:rsidRDefault="00095759" w:rsidP="00095759">
            <w:pPr>
              <w:spacing w:after="0" w:line="240" w:lineRule="auto"/>
              <w:jc w:val="right"/>
              <w:rPr>
                <w:rFonts w:cs="Arial"/>
                <w:sz w:val="16"/>
                <w:szCs w:val="16"/>
                <w:highlight w:val="yellow"/>
              </w:rPr>
            </w:pPr>
            <w:r>
              <w:rPr>
                <w:rFonts w:cs="Arial"/>
                <w:sz w:val="16"/>
                <w:szCs w:val="16"/>
              </w:rPr>
              <w:t>537,7</w:t>
            </w:r>
          </w:p>
        </w:tc>
        <w:tc>
          <w:tcPr>
            <w:tcW w:w="822" w:type="dxa"/>
            <w:tcBorders>
              <w:top w:val="nil"/>
              <w:left w:val="nil"/>
              <w:bottom w:val="nil"/>
              <w:right w:val="nil"/>
            </w:tcBorders>
            <w:shd w:val="clear" w:color="auto" w:fill="auto"/>
            <w:noWrap/>
            <w:vAlign w:val="center"/>
            <w:hideMark/>
          </w:tcPr>
          <w:p w14:paraId="69D14E01" w14:textId="4CBF2B0A" w:rsidR="00095759" w:rsidRPr="00166BEB" w:rsidRDefault="00095759" w:rsidP="00095759">
            <w:pPr>
              <w:spacing w:after="0" w:line="240" w:lineRule="auto"/>
              <w:jc w:val="right"/>
              <w:rPr>
                <w:rFonts w:cs="Arial"/>
                <w:sz w:val="16"/>
                <w:szCs w:val="16"/>
                <w:highlight w:val="yellow"/>
              </w:rPr>
            </w:pPr>
            <w:r>
              <w:rPr>
                <w:rFonts w:cs="Arial"/>
                <w:sz w:val="16"/>
                <w:szCs w:val="16"/>
              </w:rPr>
              <w:t>518,1</w:t>
            </w:r>
          </w:p>
        </w:tc>
        <w:tc>
          <w:tcPr>
            <w:tcW w:w="822" w:type="dxa"/>
            <w:tcBorders>
              <w:top w:val="nil"/>
              <w:left w:val="nil"/>
              <w:bottom w:val="nil"/>
              <w:right w:val="nil"/>
            </w:tcBorders>
            <w:shd w:val="clear" w:color="auto" w:fill="auto"/>
            <w:noWrap/>
            <w:vAlign w:val="center"/>
            <w:hideMark/>
          </w:tcPr>
          <w:p w14:paraId="1DAA7A3F" w14:textId="0A51CC69" w:rsidR="00095759" w:rsidRPr="00166BEB" w:rsidRDefault="00095759" w:rsidP="00095759">
            <w:pPr>
              <w:spacing w:after="0" w:line="240" w:lineRule="auto"/>
              <w:jc w:val="right"/>
              <w:rPr>
                <w:rFonts w:cs="Arial"/>
                <w:sz w:val="16"/>
                <w:szCs w:val="16"/>
                <w:highlight w:val="yellow"/>
              </w:rPr>
            </w:pPr>
            <w:r>
              <w:rPr>
                <w:rFonts w:cs="Arial"/>
                <w:sz w:val="16"/>
                <w:szCs w:val="16"/>
              </w:rPr>
              <w:t>574,2</w:t>
            </w:r>
          </w:p>
        </w:tc>
        <w:tc>
          <w:tcPr>
            <w:tcW w:w="822" w:type="dxa"/>
            <w:tcBorders>
              <w:top w:val="nil"/>
              <w:left w:val="nil"/>
              <w:bottom w:val="nil"/>
              <w:right w:val="nil"/>
            </w:tcBorders>
            <w:shd w:val="clear" w:color="auto" w:fill="auto"/>
            <w:noWrap/>
            <w:vAlign w:val="center"/>
            <w:hideMark/>
          </w:tcPr>
          <w:p w14:paraId="30207C5C" w14:textId="5CABBCBF" w:rsidR="00095759" w:rsidRPr="00166BEB" w:rsidRDefault="00095759" w:rsidP="00095759">
            <w:pPr>
              <w:spacing w:after="0" w:line="240" w:lineRule="auto"/>
              <w:jc w:val="right"/>
              <w:rPr>
                <w:rFonts w:cs="Arial"/>
                <w:sz w:val="16"/>
                <w:szCs w:val="16"/>
                <w:highlight w:val="yellow"/>
              </w:rPr>
            </w:pPr>
            <w:r>
              <w:rPr>
                <w:rFonts w:cs="Arial"/>
                <w:sz w:val="16"/>
                <w:szCs w:val="16"/>
              </w:rPr>
              <w:t>479,1</w:t>
            </w:r>
          </w:p>
        </w:tc>
        <w:tc>
          <w:tcPr>
            <w:tcW w:w="822" w:type="dxa"/>
            <w:tcBorders>
              <w:top w:val="nil"/>
              <w:left w:val="nil"/>
              <w:bottom w:val="nil"/>
              <w:right w:val="nil"/>
            </w:tcBorders>
            <w:shd w:val="clear" w:color="auto" w:fill="D9D9D9"/>
            <w:vAlign w:val="center"/>
          </w:tcPr>
          <w:p w14:paraId="595C6D5A" w14:textId="7B749FC7" w:rsidR="00095759" w:rsidRDefault="00095759" w:rsidP="00095759">
            <w:pPr>
              <w:spacing w:after="0" w:line="240" w:lineRule="auto"/>
              <w:jc w:val="right"/>
              <w:rPr>
                <w:rFonts w:cs="Arial"/>
                <w:sz w:val="16"/>
                <w:szCs w:val="16"/>
              </w:rPr>
            </w:pPr>
            <w:r>
              <w:rPr>
                <w:rFonts w:cs="Arial"/>
                <w:sz w:val="16"/>
                <w:szCs w:val="16"/>
              </w:rPr>
              <w:t>424,0</w:t>
            </w:r>
          </w:p>
        </w:tc>
        <w:tc>
          <w:tcPr>
            <w:tcW w:w="675" w:type="dxa"/>
            <w:tcBorders>
              <w:top w:val="nil"/>
              <w:left w:val="nil"/>
              <w:bottom w:val="nil"/>
              <w:right w:val="nil"/>
            </w:tcBorders>
          </w:tcPr>
          <w:p w14:paraId="1D097B1C" w14:textId="4954E831" w:rsidR="00095759" w:rsidRDefault="00095759" w:rsidP="00095759">
            <w:pPr>
              <w:spacing w:after="0" w:line="240" w:lineRule="auto"/>
              <w:jc w:val="right"/>
              <w:rPr>
                <w:rFonts w:cs="Arial"/>
                <w:sz w:val="16"/>
                <w:szCs w:val="16"/>
              </w:rPr>
            </w:pPr>
          </w:p>
        </w:tc>
      </w:tr>
      <w:tr w:rsidR="00095759" w:rsidRPr="00166BEB" w14:paraId="63FA184A" w14:textId="0FC494E0" w:rsidTr="00095759">
        <w:trPr>
          <w:trHeight w:val="300"/>
        </w:trPr>
        <w:tc>
          <w:tcPr>
            <w:tcW w:w="0" w:type="auto"/>
            <w:tcBorders>
              <w:top w:val="nil"/>
              <w:left w:val="nil"/>
              <w:bottom w:val="nil"/>
              <w:right w:val="nil"/>
            </w:tcBorders>
            <w:shd w:val="clear" w:color="auto" w:fill="auto"/>
            <w:noWrap/>
            <w:vAlign w:val="center"/>
            <w:hideMark/>
          </w:tcPr>
          <w:p w14:paraId="2D183C26" w14:textId="72D30753"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Portugalsko</w:t>
            </w:r>
          </w:p>
        </w:tc>
        <w:tc>
          <w:tcPr>
            <w:tcW w:w="822" w:type="dxa"/>
            <w:tcBorders>
              <w:top w:val="nil"/>
              <w:left w:val="single" w:sz="4" w:space="0" w:color="000000"/>
              <w:bottom w:val="nil"/>
              <w:right w:val="nil"/>
            </w:tcBorders>
            <w:shd w:val="clear" w:color="auto" w:fill="auto"/>
            <w:noWrap/>
            <w:vAlign w:val="center"/>
            <w:hideMark/>
          </w:tcPr>
          <w:p w14:paraId="15C843A4" w14:textId="64F67946" w:rsidR="00095759" w:rsidRPr="00166BEB" w:rsidRDefault="00095759" w:rsidP="00095759">
            <w:pPr>
              <w:spacing w:after="0" w:line="240" w:lineRule="auto"/>
              <w:jc w:val="right"/>
              <w:rPr>
                <w:rFonts w:cs="Arial"/>
                <w:sz w:val="16"/>
                <w:szCs w:val="16"/>
                <w:highlight w:val="yellow"/>
              </w:rPr>
            </w:pPr>
            <w:r>
              <w:rPr>
                <w:rFonts w:cs="Arial"/>
                <w:sz w:val="16"/>
                <w:szCs w:val="16"/>
              </w:rPr>
              <w:t>3 537,0</w:t>
            </w:r>
          </w:p>
        </w:tc>
        <w:tc>
          <w:tcPr>
            <w:tcW w:w="822" w:type="dxa"/>
            <w:tcBorders>
              <w:top w:val="nil"/>
              <w:left w:val="nil"/>
              <w:bottom w:val="nil"/>
              <w:right w:val="nil"/>
            </w:tcBorders>
            <w:shd w:val="clear" w:color="auto" w:fill="auto"/>
            <w:noWrap/>
            <w:vAlign w:val="center"/>
            <w:hideMark/>
          </w:tcPr>
          <w:p w14:paraId="3ED7A925" w14:textId="6D58A49B" w:rsidR="00095759" w:rsidRPr="00166BEB" w:rsidRDefault="00095759" w:rsidP="00095759">
            <w:pPr>
              <w:spacing w:after="0" w:line="240" w:lineRule="auto"/>
              <w:jc w:val="right"/>
              <w:rPr>
                <w:rFonts w:cs="Arial"/>
                <w:sz w:val="16"/>
                <w:szCs w:val="16"/>
                <w:highlight w:val="yellow"/>
              </w:rPr>
            </w:pPr>
            <w:r>
              <w:rPr>
                <w:rFonts w:cs="Arial"/>
                <w:sz w:val="16"/>
                <w:szCs w:val="16"/>
              </w:rPr>
              <w:t>3 563,5</w:t>
            </w:r>
          </w:p>
        </w:tc>
        <w:tc>
          <w:tcPr>
            <w:tcW w:w="822" w:type="dxa"/>
            <w:tcBorders>
              <w:top w:val="nil"/>
              <w:left w:val="nil"/>
              <w:bottom w:val="nil"/>
              <w:right w:val="nil"/>
            </w:tcBorders>
            <w:shd w:val="clear" w:color="auto" w:fill="auto"/>
            <w:noWrap/>
            <w:vAlign w:val="center"/>
            <w:hideMark/>
          </w:tcPr>
          <w:p w14:paraId="7280BD9D" w14:textId="7EE2F14C" w:rsidR="00095759" w:rsidRPr="00166BEB" w:rsidRDefault="00095759" w:rsidP="00095759">
            <w:pPr>
              <w:spacing w:after="0" w:line="240" w:lineRule="auto"/>
              <w:jc w:val="right"/>
              <w:rPr>
                <w:rFonts w:cs="Arial"/>
                <w:sz w:val="16"/>
                <w:szCs w:val="16"/>
                <w:highlight w:val="yellow"/>
              </w:rPr>
            </w:pPr>
            <w:r>
              <w:rPr>
                <w:rFonts w:cs="Arial"/>
                <w:sz w:val="16"/>
                <w:szCs w:val="16"/>
              </w:rPr>
              <w:t>3 618,8</w:t>
            </w:r>
          </w:p>
        </w:tc>
        <w:tc>
          <w:tcPr>
            <w:tcW w:w="822" w:type="dxa"/>
            <w:tcBorders>
              <w:top w:val="nil"/>
              <w:left w:val="nil"/>
              <w:bottom w:val="nil"/>
              <w:right w:val="nil"/>
            </w:tcBorders>
            <w:shd w:val="clear" w:color="auto" w:fill="auto"/>
            <w:noWrap/>
            <w:vAlign w:val="center"/>
            <w:hideMark/>
          </w:tcPr>
          <w:p w14:paraId="4FF733AF" w14:textId="0C4C3385" w:rsidR="00095759" w:rsidRPr="00166BEB" w:rsidRDefault="00095759" w:rsidP="00095759">
            <w:pPr>
              <w:spacing w:after="0" w:line="240" w:lineRule="auto"/>
              <w:jc w:val="right"/>
              <w:rPr>
                <w:rFonts w:cs="Arial"/>
                <w:sz w:val="16"/>
                <w:szCs w:val="16"/>
                <w:highlight w:val="yellow"/>
              </w:rPr>
            </w:pPr>
            <w:r>
              <w:rPr>
                <w:rFonts w:cs="Arial"/>
                <w:sz w:val="16"/>
                <w:szCs w:val="16"/>
              </w:rPr>
              <w:t>3 582,2</w:t>
            </w:r>
          </w:p>
        </w:tc>
        <w:tc>
          <w:tcPr>
            <w:tcW w:w="822" w:type="dxa"/>
            <w:tcBorders>
              <w:top w:val="nil"/>
              <w:left w:val="nil"/>
              <w:bottom w:val="nil"/>
              <w:right w:val="nil"/>
            </w:tcBorders>
            <w:shd w:val="clear" w:color="auto" w:fill="auto"/>
            <w:noWrap/>
            <w:vAlign w:val="center"/>
            <w:hideMark/>
          </w:tcPr>
          <w:p w14:paraId="59869FF5" w14:textId="4646CFD2" w:rsidR="00095759" w:rsidRPr="00166BEB" w:rsidRDefault="00095759" w:rsidP="00095759">
            <w:pPr>
              <w:spacing w:after="0" w:line="240" w:lineRule="auto"/>
              <w:jc w:val="right"/>
              <w:rPr>
                <w:rFonts w:cs="Arial"/>
                <w:sz w:val="16"/>
                <w:szCs w:val="16"/>
                <w:highlight w:val="yellow"/>
              </w:rPr>
            </w:pPr>
            <w:r>
              <w:rPr>
                <w:rFonts w:cs="Arial"/>
                <w:sz w:val="16"/>
                <w:szCs w:val="16"/>
              </w:rPr>
              <w:t>3 677,2</w:t>
            </w:r>
          </w:p>
        </w:tc>
        <w:tc>
          <w:tcPr>
            <w:tcW w:w="822" w:type="dxa"/>
            <w:tcBorders>
              <w:top w:val="nil"/>
              <w:left w:val="nil"/>
              <w:bottom w:val="nil"/>
              <w:right w:val="nil"/>
            </w:tcBorders>
            <w:shd w:val="clear" w:color="auto" w:fill="auto"/>
            <w:noWrap/>
            <w:vAlign w:val="center"/>
            <w:hideMark/>
          </w:tcPr>
          <w:p w14:paraId="1CB35C9D" w14:textId="740AF16D" w:rsidR="00095759" w:rsidRPr="00166BEB" w:rsidRDefault="00095759" w:rsidP="00095759">
            <w:pPr>
              <w:spacing w:after="0" w:line="240" w:lineRule="auto"/>
              <w:jc w:val="right"/>
              <w:rPr>
                <w:rFonts w:cs="Arial"/>
                <w:sz w:val="16"/>
                <w:szCs w:val="16"/>
                <w:highlight w:val="yellow"/>
              </w:rPr>
            </w:pPr>
            <w:r>
              <w:rPr>
                <w:rFonts w:cs="Arial"/>
                <w:sz w:val="16"/>
                <w:szCs w:val="16"/>
              </w:rPr>
              <w:t>3 589,5</w:t>
            </w:r>
          </w:p>
        </w:tc>
        <w:tc>
          <w:tcPr>
            <w:tcW w:w="822" w:type="dxa"/>
            <w:tcBorders>
              <w:top w:val="nil"/>
              <w:left w:val="nil"/>
              <w:bottom w:val="nil"/>
              <w:right w:val="nil"/>
            </w:tcBorders>
            <w:shd w:val="clear" w:color="auto" w:fill="auto"/>
            <w:noWrap/>
            <w:vAlign w:val="center"/>
            <w:hideMark/>
          </w:tcPr>
          <w:p w14:paraId="27F4A803" w14:textId="4AF37277" w:rsidR="00095759" w:rsidRPr="00166BEB" w:rsidRDefault="00095759" w:rsidP="00095759">
            <w:pPr>
              <w:spacing w:after="0" w:line="240" w:lineRule="auto"/>
              <w:jc w:val="right"/>
              <w:rPr>
                <w:rFonts w:cs="Arial"/>
                <w:sz w:val="16"/>
                <w:szCs w:val="16"/>
                <w:highlight w:val="yellow"/>
              </w:rPr>
            </w:pPr>
            <w:r>
              <w:rPr>
                <w:rFonts w:cs="Arial"/>
                <w:sz w:val="16"/>
                <w:szCs w:val="16"/>
              </w:rPr>
              <w:t>3 563,4</w:t>
            </w:r>
          </w:p>
        </w:tc>
        <w:tc>
          <w:tcPr>
            <w:tcW w:w="822" w:type="dxa"/>
            <w:tcBorders>
              <w:top w:val="nil"/>
              <w:left w:val="nil"/>
              <w:bottom w:val="nil"/>
              <w:right w:val="nil"/>
            </w:tcBorders>
            <w:shd w:val="clear" w:color="auto" w:fill="auto"/>
            <w:noWrap/>
            <w:vAlign w:val="center"/>
            <w:hideMark/>
          </w:tcPr>
          <w:p w14:paraId="6FDE3EAC" w14:textId="23C5CD00" w:rsidR="00095759" w:rsidRPr="00166BEB" w:rsidRDefault="00095759" w:rsidP="00095759">
            <w:pPr>
              <w:spacing w:after="0" w:line="240" w:lineRule="auto"/>
              <w:jc w:val="right"/>
              <w:rPr>
                <w:rFonts w:cs="Arial"/>
                <w:sz w:val="16"/>
                <w:szCs w:val="16"/>
                <w:highlight w:val="yellow"/>
              </w:rPr>
            </w:pPr>
            <w:r>
              <w:rPr>
                <w:rFonts w:cs="Arial"/>
                <w:sz w:val="16"/>
                <w:szCs w:val="16"/>
              </w:rPr>
              <w:t>3 342,9</w:t>
            </w:r>
          </w:p>
        </w:tc>
        <w:tc>
          <w:tcPr>
            <w:tcW w:w="822" w:type="dxa"/>
            <w:tcBorders>
              <w:top w:val="nil"/>
              <w:left w:val="nil"/>
              <w:bottom w:val="nil"/>
              <w:right w:val="nil"/>
            </w:tcBorders>
            <w:shd w:val="clear" w:color="auto" w:fill="auto"/>
            <w:noWrap/>
            <w:vAlign w:val="center"/>
            <w:hideMark/>
          </w:tcPr>
          <w:p w14:paraId="3C17468B" w14:textId="6567B9CC" w:rsidR="00095759" w:rsidRPr="00166BEB" w:rsidRDefault="00095759" w:rsidP="00095759">
            <w:pPr>
              <w:spacing w:after="0" w:line="240" w:lineRule="auto"/>
              <w:jc w:val="right"/>
              <w:rPr>
                <w:rFonts w:cs="Arial"/>
                <w:sz w:val="16"/>
                <w:szCs w:val="16"/>
                <w:highlight w:val="yellow"/>
              </w:rPr>
            </w:pPr>
            <w:r>
              <w:rPr>
                <w:rFonts w:cs="Arial"/>
                <w:sz w:val="16"/>
                <w:szCs w:val="16"/>
              </w:rPr>
              <w:t>3 283,7</w:t>
            </w:r>
          </w:p>
        </w:tc>
        <w:tc>
          <w:tcPr>
            <w:tcW w:w="822" w:type="dxa"/>
            <w:tcBorders>
              <w:top w:val="nil"/>
              <w:left w:val="nil"/>
              <w:bottom w:val="nil"/>
              <w:right w:val="nil"/>
            </w:tcBorders>
            <w:shd w:val="clear" w:color="auto" w:fill="D9D9D9"/>
            <w:vAlign w:val="center"/>
          </w:tcPr>
          <w:p w14:paraId="157E4C93" w14:textId="4422A11C" w:rsidR="00095759" w:rsidRDefault="00095759" w:rsidP="00095759">
            <w:pPr>
              <w:spacing w:after="0" w:line="240" w:lineRule="auto"/>
              <w:jc w:val="right"/>
              <w:rPr>
                <w:rFonts w:cs="Arial"/>
                <w:sz w:val="16"/>
                <w:szCs w:val="16"/>
              </w:rPr>
            </w:pPr>
            <w:r>
              <w:rPr>
                <w:rFonts w:cs="Arial"/>
                <w:sz w:val="16"/>
                <w:szCs w:val="16"/>
              </w:rPr>
              <w:t>2 814,2</w:t>
            </w:r>
          </w:p>
        </w:tc>
        <w:tc>
          <w:tcPr>
            <w:tcW w:w="675" w:type="dxa"/>
            <w:tcBorders>
              <w:top w:val="nil"/>
              <w:left w:val="nil"/>
              <w:bottom w:val="nil"/>
              <w:right w:val="nil"/>
            </w:tcBorders>
          </w:tcPr>
          <w:p w14:paraId="03901598" w14:textId="49DBEF76" w:rsidR="00095759" w:rsidRDefault="00095759" w:rsidP="00095759">
            <w:pPr>
              <w:spacing w:after="0" w:line="240" w:lineRule="auto"/>
              <w:jc w:val="right"/>
              <w:rPr>
                <w:rFonts w:cs="Arial"/>
                <w:sz w:val="16"/>
                <w:szCs w:val="16"/>
              </w:rPr>
            </w:pPr>
          </w:p>
        </w:tc>
      </w:tr>
      <w:tr w:rsidR="00095759" w:rsidRPr="00166BEB" w14:paraId="4BF82E09" w14:textId="49990EE2" w:rsidTr="00095759">
        <w:trPr>
          <w:trHeight w:val="300"/>
        </w:trPr>
        <w:tc>
          <w:tcPr>
            <w:tcW w:w="0" w:type="auto"/>
            <w:tcBorders>
              <w:top w:val="nil"/>
              <w:left w:val="nil"/>
              <w:bottom w:val="nil"/>
              <w:right w:val="nil"/>
            </w:tcBorders>
            <w:shd w:val="clear" w:color="auto" w:fill="auto"/>
            <w:noWrap/>
            <w:vAlign w:val="center"/>
            <w:hideMark/>
          </w:tcPr>
          <w:p w14:paraId="0C82A7E7" w14:textId="2825B630"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Rakousko</w:t>
            </w:r>
          </w:p>
        </w:tc>
        <w:tc>
          <w:tcPr>
            <w:tcW w:w="822" w:type="dxa"/>
            <w:tcBorders>
              <w:top w:val="nil"/>
              <w:left w:val="single" w:sz="4" w:space="0" w:color="000000"/>
              <w:bottom w:val="nil"/>
              <w:right w:val="nil"/>
            </w:tcBorders>
            <w:shd w:val="clear" w:color="auto" w:fill="auto"/>
            <w:noWrap/>
            <w:vAlign w:val="center"/>
            <w:hideMark/>
          </w:tcPr>
          <w:p w14:paraId="0B6FF44E" w14:textId="0FCDB38F" w:rsidR="00095759" w:rsidRPr="00166BEB" w:rsidRDefault="00095759" w:rsidP="00095759">
            <w:pPr>
              <w:spacing w:after="0" w:line="240" w:lineRule="auto"/>
              <w:jc w:val="right"/>
              <w:rPr>
                <w:rFonts w:cs="Arial"/>
                <w:sz w:val="16"/>
                <w:szCs w:val="16"/>
                <w:highlight w:val="yellow"/>
              </w:rPr>
            </w:pPr>
            <w:r>
              <w:rPr>
                <w:rFonts w:cs="Arial"/>
                <w:sz w:val="16"/>
                <w:szCs w:val="16"/>
              </w:rPr>
              <w:t>1 961,3</w:t>
            </w:r>
          </w:p>
        </w:tc>
        <w:tc>
          <w:tcPr>
            <w:tcW w:w="822" w:type="dxa"/>
            <w:tcBorders>
              <w:top w:val="nil"/>
              <w:left w:val="nil"/>
              <w:bottom w:val="nil"/>
              <w:right w:val="nil"/>
            </w:tcBorders>
            <w:shd w:val="clear" w:color="auto" w:fill="auto"/>
            <w:noWrap/>
            <w:vAlign w:val="center"/>
            <w:hideMark/>
          </w:tcPr>
          <w:p w14:paraId="60FC0E54" w14:textId="5914BAA6" w:rsidR="00095759" w:rsidRPr="00166BEB" w:rsidRDefault="00095759" w:rsidP="00095759">
            <w:pPr>
              <w:spacing w:after="0" w:line="240" w:lineRule="auto"/>
              <w:jc w:val="right"/>
              <w:rPr>
                <w:rFonts w:cs="Arial"/>
                <w:sz w:val="16"/>
                <w:szCs w:val="16"/>
                <w:highlight w:val="yellow"/>
              </w:rPr>
            </w:pPr>
            <w:r>
              <w:rPr>
                <w:rFonts w:cs="Arial"/>
                <w:sz w:val="16"/>
                <w:szCs w:val="16"/>
              </w:rPr>
              <w:t>1 902,5</w:t>
            </w:r>
          </w:p>
        </w:tc>
        <w:tc>
          <w:tcPr>
            <w:tcW w:w="822" w:type="dxa"/>
            <w:tcBorders>
              <w:top w:val="nil"/>
              <w:left w:val="nil"/>
              <w:bottom w:val="nil"/>
              <w:right w:val="nil"/>
            </w:tcBorders>
            <w:shd w:val="clear" w:color="auto" w:fill="auto"/>
            <w:noWrap/>
            <w:vAlign w:val="center"/>
            <w:hideMark/>
          </w:tcPr>
          <w:p w14:paraId="40BE9CFC" w14:textId="18849BE3" w:rsidR="00095759" w:rsidRPr="00166BEB" w:rsidRDefault="00095759" w:rsidP="00095759">
            <w:pPr>
              <w:spacing w:after="0" w:line="240" w:lineRule="auto"/>
              <w:jc w:val="right"/>
              <w:rPr>
                <w:rFonts w:cs="Arial"/>
                <w:sz w:val="16"/>
                <w:szCs w:val="16"/>
                <w:highlight w:val="yellow"/>
              </w:rPr>
            </w:pPr>
            <w:r>
              <w:rPr>
                <w:rFonts w:cs="Arial"/>
                <w:sz w:val="16"/>
                <w:szCs w:val="16"/>
              </w:rPr>
              <w:t>1 840,2</w:t>
            </w:r>
          </w:p>
        </w:tc>
        <w:tc>
          <w:tcPr>
            <w:tcW w:w="822" w:type="dxa"/>
            <w:tcBorders>
              <w:top w:val="nil"/>
              <w:left w:val="nil"/>
              <w:bottom w:val="nil"/>
              <w:right w:val="nil"/>
            </w:tcBorders>
            <w:shd w:val="clear" w:color="auto" w:fill="auto"/>
            <w:noWrap/>
            <w:vAlign w:val="center"/>
            <w:hideMark/>
          </w:tcPr>
          <w:p w14:paraId="6B993BAC" w14:textId="39F66E26" w:rsidR="00095759" w:rsidRPr="00166BEB" w:rsidRDefault="00095759" w:rsidP="00095759">
            <w:pPr>
              <w:spacing w:after="0" w:line="240" w:lineRule="auto"/>
              <w:jc w:val="right"/>
              <w:rPr>
                <w:rFonts w:cs="Arial"/>
                <w:sz w:val="16"/>
                <w:szCs w:val="16"/>
                <w:highlight w:val="yellow"/>
              </w:rPr>
            </w:pPr>
            <w:r>
              <w:rPr>
                <w:rFonts w:cs="Arial"/>
                <w:sz w:val="16"/>
                <w:szCs w:val="16"/>
              </w:rPr>
              <w:t>1 806,0</w:t>
            </w:r>
          </w:p>
        </w:tc>
        <w:tc>
          <w:tcPr>
            <w:tcW w:w="822" w:type="dxa"/>
            <w:tcBorders>
              <w:top w:val="nil"/>
              <w:left w:val="nil"/>
              <w:bottom w:val="nil"/>
              <w:right w:val="nil"/>
            </w:tcBorders>
            <w:shd w:val="clear" w:color="auto" w:fill="auto"/>
            <w:noWrap/>
            <w:vAlign w:val="center"/>
            <w:hideMark/>
          </w:tcPr>
          <w:p w14:paraId="7093244D" w14:textId="348FB01D" w:rsidR="00095759" w:rsidRPr="00166BEB" w:rsidRDefault="00095759" w:rsidP="00095759">
            <w:pPr>
              <w:spacing w:after="0" w:line="240" w:lineRule="auto"/>
              <w:jc w:val="right"/>
              <w:rPr>
                <w:rFonts w:cs="Arial"/>
                <w:sz w:val="16"/>
                <w:szCs w:val="16"/>
                <w:highlight w:val="yellow"/>
              </w:rPr>
            </w:pPr>
            <w:r>
              <w:rPr>
                <w:rFonts w:cs="Arial"/>
                <w:sz w:val="16"/>
                <w:szCs w:val="16"/>
              </w:rPr>
              <w:t>1 749,8</w:t>
            </w:r>
          </w:p>
        </w:tc>
        <w:tc>
          <w:tcPr>
            <w:tcW w:w="822" w:type="dxa"/>
            <w:tcBorders>
              <w:top w:val="nil"/>
              <w:left w:val="nil"/>
              <w:bottom w:val="nil"/>
              <w:right w:val="nil"/>
            </w:tcBorders>
            <w:shd w:val="clear" w:color="auto" w:fill="auto"/>
            <w:noWrap/>
            <w:vAlign w:val="center"/>
            <w:hideMark/>
          </w:tcPr>
          <w:p w14:paraId="57E490B0" w14:textId="28C98010" w:rsidR="00095759" w:rsidRPr="00166BEB" w:rsidRDefault="00095759" w:rsidP="00095759">
            <w:pPr>
              <w:spacing w:after="0" w:line="240" w:lineRule="auto"/>
              <w:jc w:val="right"/>
              <w:rPr>
                <w:rFonts w:cs="Arial"/>
                <w:sz w:val="16"/>
                <w:szCs w:val="16"/>
                <w:highlight w:val="yellow"/>
              </w:rPr>
            </w:pPr>
            <w:r>
              <w:rPr>
                <w:rFonts w:cs="Arial"/>
                <w:sz w:val="16"/>
                <w:szCs w:val="16"/>
              </w:rPr>
              <w:t>2 102,3</w:t>
            </w:r>
          </w:p>
        </w:tc>
        <w:tc>
          <w:tcPr>
            <w:tcW w:w="822" w:type="dxa"/>
            <w:tcBorders>
              <w:top w:val="nil"/>
              <w:left w:val="nil"/>
              <w:bottom w:val="nil"/>
              <w:right w:val="nil"/>
            </w:tcBorders>
            <w:shd w:val="clear" w:color="auto" w:fill="auto"/>
            <w:noWrap/>
            <w:vAlign w:val="center"/>
            <w:hideMark/>
          </w:tcPr>
          <w:p w14:paraId="768F8D5F" w14:textId="7C7FFE2E" w:rsidR="00095759" w:rsidRPr="00166BEB" w:rsidRDefault="00095759" w:rsidP="00095759">
            <w:pPr>
              <w:spacing w:after="0" w:line="240" w:lineRule="auto"/>
              <w:jc w:val="right"/>
              <w:rPr>
                <w:rFonts w:cs="Arial"/>
                <w:sz w:val="16"/>
                <w:szCs w:val="16"/>
                <w:highlight w:val="yellow"/>
              </w:rPr>
            </w:pPr>
            <w:r>
              <w:rPr>
                <w:rFonts w:cs="Arial"/>
                <w:sz w:val="16"/>
                <w:szCs w:val="16"/>
              </w:rPr>
              <w:t>2 072,6</w:t>
            </w:r>
          </w:p>
        </w:tc>
        <w:tc>
          <w:tcPr>
            <w:tcW w:w="822" w:type="dxa"/>
            <w:tcBorders>
              <w:top w:val="nil"/>
              <w:left w:val="nil"/>
              <w:bottom w:val="nil"/>
              <w:right w:val="nil"/>
            </w:tcBorders>
            <w:shd w:val="clear" w:color="auto" w:fill="auto"/>
            <w:noWrap/>
            <w:vAlign w:val="center"/>
            <w:hideMark/>
          </w:tcPr>
          <w:p w14:paraId="7C2F62C1" w14:textId="284B8D7A" w:rsidR="00095759" w:rsidRPr="00166BEB" w:rsidRDefault="00095759" w:rsidP="00095759">
            <w:pPr>
              <w:spacing w:after="0" w:line="240" w:lineRule="auto"/>
              <w:jc w:val="right"/>
              <w:rPr>
                <w:rFonts w:cs="Arial"/>
                <w:sz w:val="16"/>
                <w:szCs w:val="16"/>
                <w:highlight w:val="yellow"/>
              </w:rPr>
            </w:pPr>
            <w:r>
              <w:rPr>
                <w:rFonts w:cs="Arial"/>
                <w:sz w:val="16"/>
                <w:szCs w:val="16"/>
              </w:rPr>
              <w:t>1 864,2</w:t>
            </w:r>
          </w:p>
        </w:tc>
        <w:tc>
          <w:tcPr>
            <w:tcW w:w="822" w:type="dxa"/>
            <w:tcBorders>
              <w:top w:val="nil"/>
              <w:left w:val="nil"/>
              <w:bottom w:val="nil"/>
              <w:right w:val="nil"/>
            </w:tcBorders>
            <w:shd w:val="clear" w:color="auto" w:fill="auto"/>
            <w:noWrap/>
            <w:vAlign w:val="center"/>
            <w:hideMark/>
          </w:tcPr>
          <w:p w14:paraId="40EC8006" w14:textId="30E4B08F" w:rsidR="00095759" w:rsidRPr="00166BEB" w:rsidRDefault="00095759" w:rsidP="00095759">
            <w:pPr>
              <w:spacing w:after="0" w:line="240" w:lineRule="auto"/>
              <w:jc w:val="right"/>
              <w:rPr>
                <w:rFonts w:cs="Arial"/>
                <w:sz w:val="16"/>
                <w:szCs w:val="16"/>
                <w:highlight w:val="yellow"/>
              </w:rPr>
            </w:pPr>
            <w:r>
              <w:rPr>
                <w:rFonts w:cs="Arial"/>
                <w:sz w:val="16"/>
                <w:szCs w:val="16"/>
              </w:rPr>
              <w:t>1 721,6</w:t>
            </w:r>
          </w:p>
        </w:tc>
        <w:tc>
          <w:tcPr>
            <w:tcW w:w="822" w:type="dxa"/>
            <w:tcBorders>
              <w:top w:val="nil"/>
              <w:left w:val="nil"/>
              <w:bottom w:val="nil"/>
              <w:right w:val="nil"/>
            </w:tcBorders>
            <w:shd w:val="clear" w:color="auto" w:fill="D9D9D9"/>
            <w:vAlign w:val="center"/>
          </w:tcPr>
          <w:p w14:paraId="713AA112" w14:textId="7F8B86E9" w:rsidR="00095759" w:rsidRDefault="00095759" w:rsidP="00095759">
            <w:pPr>
              <w:spacing w:after="0" w:line="240" w:lineRule="auto"/>
              <w:jc w:val="right"/>
              <w:rPr>
                <w:rFonts w:cs="Arial"/>
                <w:sz w:val="16"/>
                <w:szCs w:val="16"/>
              </w:rPr>
            </w:pPr>
            <w:r>
              <w:rPr>
                <w:rFonts w:cs="Arial"/>
                <w:sz w:val="16"/>
                <w:szCs w:val="16"/>
              </w:rPr>
              <w:t>1 531,7</w:t>
            </w:r>
          </w:p>
        </w:tc>
        <w:tc>
          <w:tcPr>
            <w:tcW w:w="675" w:type="dxa"/>
            <w:tcBorders>
              <w:top w:val="nil"/>
              <w:left w:val="nil"/>
              <w:bottom w:val="nil"/>
              <w:right w:val="nil"/>
            </w:tcBorders>
          </w:tcPr>
          <w:p w14:paraId="0FDCC374" w14:textId="294C5A8D" w:rsidR="00095759" w:rsidRDefault="00095759" w:rsidP="00095759">
            <w:pPr>
              <w:spacing w:after="0" w:line="240" w:lineRule="auto"/>
              <w:jc w:val="right"/>
              <w:rPr>
                <w:rFonts w:cs="Arial"/>
                <w:sz w:val="16"/>
                <w:szCs w:val="16"/>
              </w:rPr>
            </w:pPr>
          </w:p>
        </w:tc>
      </w:tr>
      <w:tr w:rsidR="00095759" w:rsidRPr="00166BEB" w14:paraId="54DDE701" w14:textId="2342FA55" w:rsidTr="00095759">
        <w:trPr>
          <w:trHeight w:val="300"/>
        </w:trPr>
        <w:tc>
          <w:tcPr>
            <w:tcW w:w="0" w:type="auto"/>
            <w:tcBorders>
              <w:top w:val="nil"/>
              <w:left w:val="nil"/>
              <w:bottom w:val="nil"/>
              <w:right w:val="nil"/>
            </w:tcBorders>
            <w:shd w:val="clear" w:color="auto" w:fill="auto"/>
            <w:noWrap/>
            <w:vAlign w:val="center"/>
            <w:hideMark/>
          </w:tcPr>
          <w:p w14:paraId="0B0AF088" w14:textId="17594A0A"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Rumunsko</w:t>
            </w:r>
          </w:p>
        </w:tc>
        <w:tc>
          <w:tcPr>
            <w:tcW w:w="822" w:type="dxa"/>
            <w:tcBorders>
              <w:top w:val="nil"/>
              <w:left w:val="single" w:sz="4" w:space="0" w:color="000000"/>
              <w:bottom w:val="nil"/>
              <w:right w:val="nil"/>
            </w:tcBorders>
            <w:shd w:val="clear" w:color="auto" w:fill="auto"/>
            <w:noWrap/>
            <w:vAlign w:val="center"/>
            <w:hideMark/>
          </w:tcPr>
          <w:p w14:paraId="3DBA3C0A" w14:textId="036B8F1F" w:rsidR="00095759" w:rsidRPr="00166BEB" w:rsidRDefault="00095759" w:rsidP="00095759">
            <w:pPr>
              <w:spacing w:after="0" w:line="240" w:lineRule="auto"/>
              <w:jc w:val="right"/>
              <w:rPr>
                <w:rFonts w:cs="Arial"/>
                <w:sz w:val="16"/>
                <w:szCs w:val="16"/>
                <w:highlight w:val="yellow"/>
              </w:rPr>
            </w:pPr>
            <w:r>
              <w:rPr>
                <w:rFonts w:cs="Arial"/>
                <w:sz w:val="16"/>
                <w:szCs w:val="16"/>
              </w:rPr>
              <w:t>74,8</w:t>
            </w:r>
          </w:p>
        </w:tc>
        <w:tc>
          <w:tcPr>
            <w:tcW w:w="822" w:type="dxa"/>
            <w:tcBorders>
              <w:top w:val="nil"/>
              <w:left w:val="nil"/>
              <w:bottom w:val="nil"/>
              <w:right w:val="nil"/>
            </w:tcBorders>
            <w:shd w:val="clear" w:color="auto" w:fill="auto"/>
            <w:noWrap/>
            <w:vAlign w:val="center"/>
            <w:hideMark/>
          </w:tcPr>
          <w:p w14:paraId="2C9E3309" w14:textId="4C362736" w:rsidR="00095759" w:rsidRPr="00166BEB" w:rsidRDefault="00095759" w:rsidP="00095759">
            <w:pPr>
              <w:spacing w:after="0" w:line="240" w:lineRule="auto"/>
              <w:jc w:val="right"/>
              <w:rPr>
                <w:rFonts w:cs="Arial"/>
                <w:sz w:val="16"/>
                <w:szCs w:val="16"/>
                <w:highlight w:val="yellow"/>
              </w:rPr>
            </w:pPr>
            <w:r>
              <w:rPr>
                <w:rFonts w:cs="Arial"/>
                <w:sz w:val="16"/>
                <w:szCs w:val="16"/>
              </w:rPr>
              <w:t>72,5</w:t>
            </w:r>
          </w:p>
        </w:tc>
        <w:tc>
          <w:tcPr>
            <w:tcW w:w="822" w:type="dxa"/>
            <w:tcBorders>
              <w:top w:val="nil"/>
              <w:left w:val="nil"/>
              <w:bottom w:val="nil"/>
              <w:right w:val="nil"/>
            </w:tcBorders>
            <w:shd w:val="clear" w:color="auto" w:fill="auto"/>
            <w:noWrap/>
            <w:vAlign w:val="center"/>
            <w:hideMark/>
          </w:tcPr>
          <w:p w14:paraId="4C18AD38" w14:textId="7905F835" w:rsidR="00095759" w:rsidRPr="00166BEB" w:rsidRDefault="00095759" w:rsidP="00095759">
            <w:pPr>
              <w:spacing w:after="0" w:line="240" w:lineRule="auto"/>
              <w:jc w:val="right"/>
              <w:rPr>
                <w:rFonts w:cs="Arial"/>
                <w:sz w:val="16"/>
                <w:szCs w:val="16"/>
                <w:highlight w:val="yellow"/>
              </w:rPr>
            </w:pPr>
            <w:r>
              <w:rPr>
                <w:rFonts w:cs="Arial"/>
                <w:sz w:val="16"/>
                <w:szCs w:val="16"/>
              </w:rPr>
              <w:t>76,7</w:t>
            </w:r>
          </w:p>
        </w:tc>
        <w:tc>
          <w:tcPr>
            <w:tcW w:w="822" w:type="dxa"/>
            <w:tcBorders>
              <w:top w:val="nil"/>
              <w:left w:val="nil"/>
              <w:bottom w:val="nil"/>
              <w:right w:val="nil"/>
            </w:tcBorders>
            <w:shd w:val="clear" w:color="auto" w:fill="auto"/>
            <w:noWrap/>
            <w:vAlign w:val="center"/>
            <w:hideMark/>
          </w:tcPr>
          <w:p w14:paraId="69BA2C16" w14:textId="7FC107DB" w:rsidR="00095759" w:rsidRPr="00166BEB" w:rsidRDefault="00095759" w:rsidP="00095759">
            <w:pPr>
              <w:spacing w:after="0" w:line="240" w:lineRule="auto"/>
              <w:jc w:val="right"/>
              <w:rPr>
                <w:rFonts w:cs="Arial"/>
                <w:sz w:val="16"/>
                <w:szCs w:val="16"/>
                <w:highlight w:val="yellow"/>
              </w:rPr>
            </w:pPr>
            <w:r>
              <w:rPr>
                <w:rFonts w:cs="Arial"/>
                <w:sz w:val="16"/>
                <w:szCs w:val="16"/>
              </w:rPr>
              <w:t>74,8</w:t>
            </w:r>
          </w:p>
        </w:tc>
        <w:tc>
          <w:tcPr>
            <w:tcW w:w="822" w:type="dxa"/>
            <w:tcBorders>
              <w:top w:val="nil"/>
              <w:left w:val="nil"/>
              <w:bottom w:val="nil"/>
              <w:right w:val="nil"/>
            </w:tcBorders>
            <w:shd w:val="clear" w:color="auto" w:fill="auto"/>
            <w:noWrap/>
            <w:vAlign w:val="center"/>
            <w:hideMark/>
          </w:tcPr>
          <w:p w14:paraId="263A33AB" w14:textId="50FEBD0D" w:rsidR="00095759" w:rsidRPr="00166BEB" w:rsidRDefault="00095759" w:rsidP="00095759">
            <w:pPr>
              <w:spacing w:after="0" w:line="240" w:lineRule="auto"/>
              <w:jc w:val="right"/>
              <w:rPr>
                <w:rFonts w:cs="Arial"/>
                <w:sz w:val="16"/>
                <w:szCs w:val="16"/>
                <w:highlight w:val="yellow"/>
              </w:rPr>
            </w:pPr>
            <w:r>
              <w:rPr>
                <w:rFonts w:cs="Arial"/>
                <w:sz w:val="16"/>
                <w:szCs w:val="16"/>
              </w:rPr>
              <w:t>85,8</w:t>
            </w:r>
          </w:p>
        </w:tc>
        <w:tc>
          <w:tcPr>
            <w:tcW w:w="822" w:type="dxa"/>
            <w:tcBorders>
              <w:top w:val="nil"/>
              <w:left w:val="nil"/>
              <w:bottom w:val="nil"/>
              <w:right w:val="nil"/>
            </w:tcBorders>
            <w:shd w:val="clear" w:color="auto" w:fill="auto"/>
            <w:noWrap/>
            <w:vAlign w:val="center"/>
            <w:hideMark/>
          </w:tcPr>
          <w:p w14:paraId="21DCDB46" w14:textId="51722329" w:rsidR="00095759" w:rsidRPr="00166BEB" w:rsidRDefault="00095759" w:rsidP="00095759">
            <w:pPr>
              <w:spacing w:after="0" w:line="240" w:lineRule="auto"/>
              <w:jc w:val="right"/>
              <w:rPr>
                <w:rFonts w:cs="Arial"/>
                <w:sz w:val="16"/>
                <w:szCs w:val="16"/>
                <w:highlight w:val="yellow"/>
              </w:rPr>
            </w:pPr>
            <w:r>
              <w:rPr>
                <w:rFonts w:cs="Arial"/>
                <w:sz w:val="16"/>
                <w:szCs w:val="16"/>
              </w:rPr>
              <w:t>87,4</w:t>
            </w:r>
          </w:p>
        </w:tc>
        <w:tc>
          <w:tcPr>
            <w:tcW w:w="822" w:type="dxa"/>
            <w:tcBorders>
              <w:top w:val="nil"/>
              <w:left w:val="nil"/>
              <w:bottom w:val="nil"/>
              <w:right w:val="nil"/>
            </w:tcBorders>
            <w:shd w:val="clear" w:color="auto" w:fill="auto"/>
            <w:noWrap/>
            <w:vAlign w:val="center"/>
            <w:hideMark/>
          </w:tcPr>
          <w:p w14:paraId="30D4D017" w14:textId="178DCF95" w:rsidR="00095759" w:rsidRPr="00166BEB" w:rsidRDefault="00095759" w:rsidP="00095759">
            <w:pPr>
              <w:spacing w:after="0" w:line="240" w:lineRule="auto"/>
              <w:jc w:val="right"/>
              <w:rPr>
                <w:rFonts w:cs="Arial"/>
                <w:sz w:val="16"/>
                <w:szCs w:val="16"/>
                <w:highlight w:val="yellow"/>
              </w:rPr>
            </w:pPr>
            <w:r>
              <w:rPr>
                <w:rFonts w:cs="Arial"/>
                <w:sz w:val="16"/>
                <w:szCs w:val="16"/>
              </w:rPr>
              <w:t>91,8</w:t>
            </w:r>
          </w:p>
        </w:tc>
        <w:tc>
          <w:tcPr>
            <w:tcW w:w="822" w:type="dxa"/>
            <w:tcBorders>
              <w:top w:val="nil"/>
              <w:left w:val="nil"/>
              <w:bottom w:val="nil"/>
              <w:right w:val="nil"/>
            </w:tcBorders>
            <w:shd w:val="clear" w:color="auto" w:fill="auto"/>
            <w:noWrap/>
            <w:vAlign w:val="center"/>
            <w:hideMark/>
          </w:tcPr>
          <w:p w14:paraId="6F3FDD04" w14:textId="4C3FF067" w:rsidR="00095759" w:rsidRPr="00166BEB" w:rsidRDefault="00095759" w:rsidP="00095759">
            <w:pPr>
              <w:spacing w:after="0" w:line="240" w:lineRule="auto"/>
              <w:jc w:val="right"/>
              <w:rPr>
                <w:rFonts w:cs="Arial"/>
                <w:sz w:val="16"/>
                <w:szCs w:val="16"/>
                <w:highlight w:val="yellow"/>
              </w:rPr>
            </w:pPr>
            <w:r>
              <w:rPr>
                <w:rFonts w:cs="Arial"/>
                <w:sz w:val="16"/>
                <w:szCs w:val="16"/>
              </w:rPr>
              <w:t>92,5</w:t>
            </w:r>
          </w:p>
        </w:tc>
        <w:tc>
          <w:tcPr>
            <w:tcW w:w="822" w:type="dxa"/>
            <w:tcBorders>
              <w:top w:val="nil"/>
              <w:left w:val="nil"/>
              <w:bottom w:val="nil"/>
              <w:right w:val="nil"/>
            </w:tcBorders>
            <w:shd w:val="clear" w:color="auto" w:fill="auto"/>
            <w:noWrap/>
            <w:vAlign w:val="center"/>
            <w:hideMark/>
          </w:tcPr>
          <w:p w14:paraId="000EDA6B" w14:textId="47EA5DEB" w:rsidR="00095759" w:rsidRPr="00166BEB" w:rsidRDefault="00095759" w:rsidP="00095759">
            <w:pPr>
              <w:spacing w:after="0" w:line="240" w:lineRule="auto"/>
              <w:jc w:val="right"/>
              <w:rPr>
                <w:rFonts w:cs="Arial"/>
                <w:sz w:val="16"/>
                <w:szCs w:val="16"/>
                <w:highlight w:val="yellow"/>
              </w:rPr>
            </w:pPr>
            <w:r>
              <w:rPr>
                <w:rFonts w:cs="Arial"/>
                <w:sz w:val="16"/>
                <w:szCs w:val="16"/>
              </w:rPr>
              <w:t>79,8</w:t>
            </w:r>
          </w:p>
        </w:tc>
        <w:tc>
          <w:tcPr>
            <w:tcW w:w="822" w:type="dxa"/>
            <w:tcBorders>
              <w:top w:val="nil"/>
              <w:left w:val="nil"/>
              <w:bottom w:val="nil"/>
              <w:right w:val="nil"/>
            </w:tcBorders>
            <w:shd w:val="clear" w:color="auto" w:fill="D9D9D9"/>
            <w:vAlign w:val="center"/>
          </w:tcPr>
          <w:p w14:paraId="11991015" w14:textId="26C38D62" w:rsidR="00095759" w:rsidRDefault="00095759" w:rsidP="00095759">
            <w:pPr>
              <w:spacing w:after="0" w:line="240" w:lineRule="auto"/>
              <w:jc w:val="right"/>
              <w:rPr>
                <w:rFonts w:cs="Arial"/>
                <w:sz w:val="16"/>
                <w:szCs w:val="16"/>
              </w:rPr>
            </w:pPr>
            <w:r>
              <w:rPr>
                <w:rFonts w:cs="Arial"/>
                <w:sz w:val="16"/>
                <w:szCs w:val="16"/>
              </w:rPr>
              <w:t>80,6</w:t>
            </w:r>
          </w:p>
        </w:tc>
        <w:tc>
          <w:tcPr>
            <w:tcW w:w="675" w:type="dxa"/>
            <w:tcBorders>
              <w:top w:val="nil"/>
              <w:left w:val="nil"/>
              <w:bottom w:val="nil"/>
              <w:right w:val="nil"/>
            </w:tcBorders>
          </w:tcPr>
          <w:p w14:paraId="5B8A4367" w14:textId="7142252C" w:rsidR="00095759" w:rsidRDefault="00095759" w:rsidP="00095759">
            <w:pPr>
              <w:spacing w:after="0" w:line="240" w:lineRule="auto"/>
              <w:jc w:val="right"/>
              <w:rPr>
                <w:rFonts w:cs="Arial"/>
                <w:sz w:val="16"/>
                <w:szCs w:val="16"/>
              </w:rPr>
            </w:pPr>
          </w:p>
        </w:tc>
      </w:tr>
      <w:tr w:rsidR="00095759" w:rsidRPr="00166BEB" w14:paraId="6CF37889" w14:textId="6248ACEB" w:rsidTr="00095759">
        <w:trPr>
          <w:trHeight w:val="300"/>
        </w:trPr>
        <w:tc>
          <w:tcPr>
            <w:tcW w:w="0" w:type="auto"/>
            <w:tcBorders>
              <w:top w:val="nil"/>
              <w:left w:val="nil"/>
              <w:bottom w:val="nil"/>
              <w:right w:val="nil"/>
            </w:tcBorders>
            <w:shd w:val="clear" w:color="auto" w:fill="auto"/>
            <w:noWrap/>
            <w:vAlign w:val="center"/>
            <w:hideMark/>
          </w:tcPr>
          <w:p w14:paraId="5FF3EAAD" w14:textId="7EB47BAC"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Řecko</w:t>
            </w:r>
          </w:p>
        </w:tc>
        <w:tc>
          <w:tcPr>
            <w:tcW w:w="822" w:type="dxa"/>
            <w:tcBorders>
              <w:top w:val="nil"/>
              <w:left w:val="single" w:sz="4" w:space="0" w:color="000000"/>
              <w:bottom w:val="nil"/>
              <w:right w:val="nil"/>
            </w:tcBorders>
            <w:shd w:val="clear" w:color="auto" w:fill="auto"/>
            <w:noWrap/>
            <w:vAlign w:val="center"/>
            <w:hideMark/>
          </w:tcPr>
          <w:p w14:paraId="2B7EEA1B" w14:textId="3AEDBE32" w:rsidR="00095759" w:rsidRPr="00166BEB" w:rsidRDefault="00095759" w:rsidP="00095759">
            <w:pPr>
              <w:spacing w:after="0" w:line="240" w:lineRule="auto"/>
              <w:jc w:val="right"/>
              <w:rPr>
                <w:rFonts w:cs="Arial"/>
                <w:sz w:val="16"/>
                <w:szCs w:val="16"/>
                <w:highlight w:val="yellow"/>
              </w:rPr>
            </w:pPr>
            <w:r>
              <w:rPr>
                <w:rFonts w:cs="Arial"/>
                <w:sz w:val="16"/>
                <w:szCs w:val="16"/>
              </w:rPr>
              <w:t>519,0</w:t>
            </w:r>
          </w:p>
        </w:tc>
        <w:tc>
          <w:tcPr>
            <w:tcW w:w="822" w:type="dxa"/>
            <w:tcBorders>
              <w:top w:val="nil"/>
              <w:left w:val="nil"/>
              <w:bottom w:val="nil"/>
              <w:right w:val="nil"/>
            </w:tcBorders>
            <w:shd w:val="clear" w:color="auto" w:fill="auto"/>
            <w:noWrap/>
            <w:vAlign w:val="center"/>
            <w:hideMark/>
          </w:tcPr>
          <w:p w14:paraId="3EE7DFEE" w14:textId="04038BEF" w:rsidR="00095759" w:rsidRPr="00166BEB" w:rsidRDefault="00095759" w:rsidP="00095759">
            <w:pPr>
              <w:spacing w:after="0" w:line="240" w:lineRule="auto"/>
              <w:jc w:val="right"/>
              <w:rPr>
                <w:rFonts w:cs="Arial"/>
                <w:sz w:val="16"/>
                <w:szCs w:val="16"/>
                <w:highlight w:val="yellow"/>
              </w:rPr>
            </w:pPr>
            <w:r>
              <w:rPr>
                <w:rFonts w:cs="Arial"/>
                <w:sz w:val="16"/>
                <w:szCs w:val="16"/>
              </w:rPr>
              <w:t>459,5</w:t>
            </w:r>
          </w:p>
        </w:tc>
        <w:tc>
          <w:tcPr>
            <w:tcW w:w="822" w:type="dxa"/>
            <w:tcBorders>
              <w:top w:val="nil"/>
              <w:left w:val="nil"/>
              <w:bottom w:val="nil"/>
              <w:right w:val="nil"/>
            </w:tcBorders>
            <w:shd w:val="clear" w:color="auto" w:fill="auto"/>
            <w:noWrap/>
            <w:vAlign w:val="center"/>
            <w:hideMark/>
          </w:tcPr>
          <w:p w14:paraId="60868A4C" w14:textId="286CB602" w:rsidR="00095759" w:rsidRPr="00166BEB" w:rsidRDefault="00095759" w:rsidP="00095759">
            <w:pPr>
              <w:spacing w:after="0" w:line="240" w:lineRule="auto"/>
              <w:jc w:val="right"/>
              <w:rPr>
                <w:rFonts w:cs="Arial"/>
                <w:sz w:val="16"/>
                <w:szCs w:val="16"/>
                <w:highlight w:val="yellow"/>
              </w:rPr>
            </w:pPr>
            <w:r>
              <w:rPr>
                <w:rFonts w:cs="Arial"/>
                <w:sz w:val="16"/>
                <w:szCs w:val="16"/>
              </w:rPr>
              <w:t>447,0</w:t>
            </w:r>
          </w:p>
        </w:tc>
        <w:tc>
          <w:tcPr>
            <w:tcW w:w="822" w:type="dxa"/>
            <w:tcBorders>
              <w:top w:val="nil"/>
              <w:left w:val="nil"/>
              <w:bottom w:val="nil"/>
              <w:right w:val="nil"/>
            </w:tcBorders>
            <w:shd w:val="clear" w:color="000000" w:fill="D9D9D9"/>
            <w:noWrap/>
            <w:vAlign w:val="center"/>
            <w:hideMark/>
          </w:tcPr>
          <w:p w14:paraId="24746179" w14:textId="2B044ED5" w:rsidR="00095759" w:rsidRPr="00166BEB" w:rsidRDefault="00095759" w:rsidP="00095759">
            <w:pPr>
              <w:spacing w:after="0" w:line="240" w:lineRule="auto"/>
              <w:jc w:val="right"/>
              <w:rPr>
                <w:rFonts w:cs="Arial"/>
                <w:sz w:val="16"/>
                <w:szCs w:val="16"/>
                <w:highlight w:val="yellow"/>
              </w:rPr>
            </w:pPr>
            <w:r>
              <w:rPr>
                <w:rFonts w:cs="Arial"/>
                <w:sz w:val="16"/>
                <w:szCs w:val="16"/>
              </w:rPr>
              <w:t>152,1</w:t>
            </w:r>
          </w:p>
        </w:tc>
        <w:tc>
          <w:tcPr>
            <w:tcW w:w="822" w:type="dxa"/>
            <w:tcBorders>
              <w:top w:val="nil"/>
              <w:left w:val="nil"/>
              <w:bottom w:val="nil"/>
              <w:right w:val="nil"/>
            </w:tcBorders>
            <w:shd w:val="clear" w:color="auto" w:fill="auto"/>
            <w:noWrap/>
            <w:vAlign w:val="center"/>
            <w:hideMark/>
          </w:tcPr>
          <w:p w14:paraId="1FCC2CF6" w14:textId="45B08377" w:rsidR="00095759" w:rsidRPr="00166BEB" w:rsidRDefault="00095759" w:rsidP="00095759">
            <w:pPr>
              <w:spacing w:after="0" w:line="240" w:lineRule="auto"/>
              <w:jc w:val="right"/>
              <w:rPr>
                <w:rFonts w:cs="Arial"/>
                <w:sz w:val="16"/>
                <w:szCs w:val="16"/>
                <w:highlight w:val="yellow"/>
              </w:rPr>
            </w:pPr>
            <w:r>
              <w:rPr>
                <w:rFonts w:cs="Arial"/>
                <w:sz w:val="16"/>
                <w:szCs w:val="16"/>
              </w:rPr>
              <w:t>241,4</w:t>
            </w:r>
          </w:p>
        </w:tc>
        <w:tc>
          <w:tcPr>
            <w:tcW w:w="822" w:type="dxa"/>
            <w:tcBorders>
              <w:top w:val="nil"/>
              <w:left w:val="nil"/>
              <w:bottom w:val="nil"/>
              <w:right w:val="nil"/>
            </w:tcBorders>
            <w:shd w:val="clear" w:color="auto" w:fill="auto"/>
            <w:noWrap/>
            <w:vAlign w:val="center"/>
            <w:hideMark/>
          </w:tcPr>
          <w:p w14:paraId="76E59036" w14:textId="46C24621" w:rsidR="00095759" w:rsidRPr="00166BEB" w:rsidRDefault="00095759" w:rsidP="00095759">
            <w:pPr>
              <w:spacing w:after="0" w:line="240" w:lineRule="auto"/>
              <w:jc w:val="right"/>
              <w:rPr>
                <w:rFonts w:cs="Arial"/>
                <w:sz w:val="16"/>
                <w:szCs w:val="16"/>
                <w:highlight w:val="yellow"/>
              </w:rPr>
            </w:pPr>
            <w:r>
              <w:rPr>
                <w:rFonts w:cs="Arial"/>
                <w:sz w:val="16"/>
                <w:szCs w:val="16"/>
              </w:rPr>
              <w:t>229,1</w:t>
            </w:r>
          </w:p>
        </w:tc>
        <w:tc>
          <w:tcPr>
            <w:tcW w:w="822" w:type="dxa"/>
            <w:tcBorders>
              <w:top w:val="nil"/>
              <w:left w:val="nil"/>
              <w:bottom w:val="nil"/>
              <w:right w:val="nil"/>
            </w:tcBorders>
            <w:shd w:val="clear" w:color="auto" w:fill="auto"/>
            <w:noWrap/>
            <w:vAlign w:val="center"/>
            <w:hideMark/>
          </w:tcPr>
          <w:p w14:paraId="5FDA6652" w14:textId="484A6ABA" w:rsidR="00095759" w:rsidRPr="00166BEB" w:rsidRDefault="00095759" w:rsidP="00095759">
            <w:pPr>
              <w:spacing w:after="0" w:line="240" w:lineRule="auto"/>
              <w:jc w:val="right"/>
              <w:rPr>
                <w:rFonts w:cs="Arial"/>
                <w:sz w:val="16"/>
                <w:szCs w:val="16"/>
                <w:highlight w:val="yellow"/>
              </w:rPr>
            </w:pPr>
            <w:r>
              <w:rPr>
                <w:rFonts w:cs="Arial"/>
                <w:sz w:val="16"/>
                <w:szCs w:val="16"/>
              </w:rPr>
              <w:t>236,4</w:t>
            </w:r>
          </w:p>
        </w:tc>
        <w:tc>
          <w:tcPr>
            <w:tcW w:w="822" w:type="dxa"/>
            <w:tcBorders>
              <w:top w:val="nil"/>
              <w:left w:val="nil"/>
              <w:bottom w:val="nil"/>
              <w:right w:val="nil"/>
            </w:tcBorders>
            <w:shd w:val="clear" w:color="auto" w:fill="auto"/>
            <w:noWrap/>
            <w:vAlign w:val="center"/>
            <w:hideMark/>
          </w:tcPr>
          <w:p w14:paraId="5894379F" w14:textId="4BB9CC14" w:rsidR="00095759" w:rsidRPr="00166BEB" w:rsidRDefault="00095759" w:rsidP="00095759">
            <w:pPr>
              <w:spacing w:after="0" w:line="240" w:lineRule="auto"/>
              <w:jc w:val="right"/>
              <w:rPr>
                <w:rFonts w:cs="Arial"/>
                <w:sz w:val="16"/>
                <w:szCs w:val="16"/>
                <w:highlight w:val="yellow"/>
              </w:rPr>
            </w:pPr>
            <w:r>
              <w:rPr>
                <w:rFonts w:cs="Arial"/>
                <w:sz w:val="16"/>
                <w:szCs w:val="16"/>
              </w:rPr>
              <w:t>172,6</w:t>
            </w:r>
          </w:p>
        </w:tc>
        <w:tc>
          <w:tcPr>
            <w:tcW w:w="822" w:type="dxa"/>
            <w:tcBorders>
              <w:top w:val="nil"/>
              <w:left w:val="nil"/>
              <w:bottom w:val="nil"/>
              <w:right w:val="nil"/>
            </w:tcBorders>
            <w:shd w:val="clear" w:color="auto" w:fill="auto"/>
            <w:noWrap/>
            <w:vAlign w:val="center"/>
            <w:hideMark/>
          </w:tcPr>
          <w:p w14:paraId="4926B4D0" w14:textId="1C9774BA" w:rsidR="00095759" w:rsidRPr="00166BEB" w:rsidRDefault="00095759" w:rsidP="00095759">
            <w:pPr>
              <w:spacing w:after="0" w:line="240" w:lineRule="auto"/>
              <w:jc w:val="right"/>
              <w:rPr>
                <w:rFonts w:cs="Arial"/>
                <w:sz w:val="16"/>
                <w:szCs w:val="16"/>
                <w:highlight w:val="yellow"/>
              </w:rPr>
            </w:pPr>
            <w:r>
              <w:rPr>
                <w:rFonts w:cs="Arial"/>
                <w:sz w:val="16"/>
                <w:szCs w:val="16"/>
              </w:rPr>
              <w:t>197,2</w:t>
            </w:r>
          </w:p>
        </w:tc>
        <w:tc>
          <w:tcPr>
            <w:tcW w:w="822" w:type="dxa"/>
            <w:tcBorders>
              <w:top w:val="nil"/>
              <w:left w:val="nil"/>
              <w:bottom w:val="nil"/>
              <w:right w:val="nil"/>
            </w:tcBorders>
            <w:shd w:val="clear" w:color="auto" w:fill="D9D9D9"/>
            <w:vAlign w:val="center"/>
          </w:tcPr>
          <w:p w14:paraId="0EE62160" w14:textId="3713C271" w:rsidR="00095759" w:rsidRDefault="00095759" w:rsidP="00095759">
            <w:pPr>
              <w:spacing w:after="0" w:line="240" w:lineRule="auto"/>
              <w:jc w:val="right"/>
              <w:rPr>
                <w:rFonts w:cs="Arial"/>
                <w:sz w:val="16"/>
                <w:szCs w:val="16"/>
              </w:rPr>
            </w:pPr>
            <w:r>
              <w:rPr>
                <w:rFonts w:cs="Arial"/>
                <w:sz w:val="16"/>
                <w:szCs w:val="16"/>
              </w:rPr>
              <w:t>157,0</w:t>
            </w:r>
          </w:p>
        </w:tc>
        <w:tc>
          <w:tcPr>
            <w:tcW w:w="675" w:type="dxa"/>
            <w:tcBorders>
              <w:top w:val="nil"/>
              <w:left w:val="nil"/>
              <w:bottom w:val="nil"/>
              <w:right w:val="nil"/>
            </w:tcBorders>
          </w:tcPr>
          <w:p w14:paraId="191E9FCC" w14:textId="380ABC49" w:rsidR="00095759" w:rsidRDefault="00095759" w:rsidP="00095759">
            <w:pPr>
              <w:spacing w:after="0" w:line="240" w:lineRule="auto"/>
              <w:jc w:val="right"/>
              <w:rPr>
                <w:rFonts w:cs="Arial"/>
                <w:sz w:val="16"/>
                <w:szCs w:val="16"/>
              </w:rPr>
            </w:pPr>
          </w:p>
        </w:tc>
      </w:tr>
      <w:tr w:rsidR="00095759" w:rsidRPr="00166BEB" w14:paraId="2E6CAE7B" w14:textId="46E50237" w:rsidTr="00095759">
        <w:trPr>
          <w:trHeight w:val="300"/>
        </w:trPr>
        <w:tc>
          <w:tcPr>
            <w:tcW w:w="0" w:type="auto"/>
            <w:tcBorders>
              <w:top w:val="nil"/>
              <w:left w:val="nil"/>
              <w:bottom w:val="nil"/>
              <w:right w:val="nil"/>
            </w:tcBorders>
            <w:shd w:val="clear" w:color="auto" w:fill="auto"/>
            <w:noWrap/>
            <w:vAlign w:val="center"/>
            <w:hideMark/>
          </w:tcPr>
          <w:p w14:paraId="53640BF7" w14:textId="50D83A40"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Slovensko</w:t>
            </w:r>
          </w:p>
        </w:tc>
        <w:tc>
          <w:tcPr>
            <w:tcW w:w="822" w:type="dxa"/>
            <w:tcBorders>
              <w:top w:val="nil"/>
              <w:left w:val="single" w:sz="4" w:space="0" w:color="000000"/>
              <w:bottom w:val="nil"/>
              <w:right w:val="nil"/>
            </w:tcBorders>
            <w:shd w:val="clear" w:color="auto" w:fill="auto"/>
            <w:noWrap/>
            <w:vAlign w:val="center"/>
            <w:hideMark/>
          </w:tcPr>
          <w:p w14:paraId="402BE7A9" w14:textId="2C01BF18" w:rsidR="00095759" w:rsidRPr="00166BEB" w:rsidRDefault="00095759" w:rsidP="00095759">
            <w:pPr>
              <w:spacing w:after="0" w:line="240" w:lineRule="auto"/>
              <w:jc w:val="right"/>
              <w:rPr>
                <w:rFonts w:cs="Arial"/>
                <w:sz w:val="16"/>
                <w:szCs w:val="16"/>
                <w:highlight w:val="yellow"/>
              </w:rPr>
            </w:pPr>
            <w:r>
              <w:rPr>
                <w:rFonts w:cs="Arial"/>
                <w:sz w:val="16"/>
                <w:szCs w:val="16"/>
              </w:rPr>
              <w:t>444,9</w:t>
            </w:r>
          </w:p>
        </w:tc>
        <w:tc>
          <w:tcPr>
            <w:tcW w:w="822" w:type="dxa"/>
            <w:tcBorders>
              <w:top w:val="nil"/>
              <w:left w:val="nil"/>
              <w:bottom w:val="nil"/>
              <w:right w:val="nil"/>
            </w:tcBorders>
            <w:shd w:val="clear" w:color="auto" w:fill="auto"/>
            <w:noWrap/>
            <w:vAlign w:val="center"/>
            <w:hideMark/>
          </w:tcPr>
          <w:p w14:paraId="6F630B91" w14:textId="382D6ED9" w:rsidR="00095759" w:rsidRPr="00166BEB" w:rsidRDefault="00095759" w:rsidP="00095759">
            <w:pPr>
              <w:spacing w:after="0" w:line="240" w:lineRule="auto"/>
              <w:jc w:val="right"/>
              <w:rPr>
                <w:rFonts w:cs="Arial"/>
                <w:sz w:val="16"/>
                <w:szCs w:val="16"/>
                <w:highlight w:val="yellow"/>
              </w:rPr>
            </w:pPr>
            <w:r>
              <w:rPr>
                <w:rFonts w:cs="Arial"/>
                <w:sz w:val="16"/>
                <w:szCs w:val="16"/>
              </w:rPr>
              <w:t>421,2</w:t>
            </w:r>
          </w:p>
        </w:tc>
        <w:tc>
          <w:tcPr>
            <w:tcW w:w="822" w:type="dxa"/>
            <w:tcBorders>
              <w:top w:val="nil"/>
              <w:left w:val="nil"/>
              <w:bottom w:val="nil"/>
              <w:right w:val="nil"/>
            </w:tcBorders>
            <w:shd w:val="clear" w:color="auto" w:fill="auto"/>
            <w:noWrap/>
            <w:vAlign w:val="center"/>
            <w:hideMark/>
          </w:tcPr>
          <w:p w14:paraId="45BFBD53" w14:textId="6D57A916" w:rsidR="00095759" w:rsidRPr="00166BEB" w:rsidRDefault="00095759" w:rsidP="00095759">
            <w:pPr>
              <w:spacing w:after="0" w:line="240" w:lineRule="auto"/>
              <w:jc w:val="right"/>
              <w:rPr>
                <w:rFonts w:cs="Arial"/>
                <w:sz w:val="16"/>
                <w:szCs w:val="16"/>
                <w:highlight w:val="yellow"/>
              </w:rPr>
            </w:pPr>
            <w:r>
              <w:rPr>
                <w:rFonts w:cs="Arial"/>
                <w:sz w:val="16"/>
                <w:szCs w:val="16"/>
              </w:rPr>
              <w:t>426,9</w:t>
            </w:r>
          </w:p>
        </w:tc>
        <w:tc>
          <w:tcPr>
            <w:tcW w:w="822" w:type="dxa"/>
            <w:tcBorders>
              <w:top w:val="nil"/>
              <w:left w:val="nil"/>
              <w:bottom w:val="nil"/>
              <w:right w:val="nil"/>
            </w:tcBorders>
            <w:shd w:val="clear" w:color="auto" w:fill="auto"/>
            <w:noWrap/>
            <w:vAlign w:val="center"/>
            <w:hideMark/>
          </w:tcPr>
          <w:p w14:paraId="67CEF889" w14:textId="0253EEC3" w:rsidR="00095759" w:rsidRPr="00166BEB" w:rsidRDefault="00095759" w:rsidP="00095759">
            <w:pPr>
              <w:spacing w:after="0" w:line="240" w:lineRule="auto"/>
              <w:jc w:val="right"/>
              <w:rPr>
                <w:rFonts w:cs="Arial"/>
                <w:sz w:val="16"/>
                <w:szCs w:val="16"/>
                <w:highlight w:val="yellow"/>
              </w:rPr>
            </w:pPr>
            <w:r>
              <w:rPr>
                <w:rFonts w:cs="Arial"/>
                <w:sz w:val="16"/>
                <w:szCs w:val="16"/>
              </w:rPr>
              <w:t>414,9</w:t>
            </w:r>
          </w:p>
        </w:tc>
        <w:tc>
          <w:tcPr>
            <w:tcW w:w="822" w:type="dxa"/>
            <w:tcBorders>
              <w:top w:val="nil"/>
              <w:left w:val="nil"/>
              <w:bottom w:val="nil"/>
              <w:right w:val="nil"/>
            </w:tcBorders>
            <w:shd w:val="clear" w:color="auto" w:fill="auto"/>
            <w:noWrap/>
            <w:vAlign w:val="center"/>
            <w:hideMark/>
          </w:tcPr>
          <w:p w14:paraId="0A218261" w14:textId="0EEEEF7E" w:rsidR="00095759" w:rsidRPr="00166BEB" w:rsidRDefault="00095759" w:rsidP="00095759">
            <w:pPr>
              <w:spacing w:after="0" w:line="240" w:lineRule="auto"/>
              <w:jc w:val="right"/>
              <w:rPr>
                <w:rFonts w:cs="Arial"/>
                <w:sz w:val="16"/>
                <w:szCs w:val="16"/>
                <w:highlight w:val="yellow"/>
              </w:rPr>
            </w:pPr>
            <w:r>
              <w:rPr>
                <w:rFonts w:cs="Arial"/>
                <w:sz w:val="16"/>
                <w:szCs w:val="16"/>
              </w:rPr>
              <w:t>525,9</w:t>
            </w:r>
          </w:p>
        </w:tc>
        <w:tc>
          <w:tcPr>
            <w:tcW w:w="822" w:type="dxa"/>
            <w:tcBorders>
              <w:top w:val="nil"/>
              <w:left w:val="nil"/>
              <w:bottom w:val="nil"/>
              <w:right w:val="nil"/>
            </w:tcBorders>
            <w:shd w:val="clear" w:color="auto" w:fill="auto"/>
            <w:noWrap/>
            <w:vAlign w:val="center"/>
            <w:hideMark/>
          </w:tcPr>
          <w:p w14:paraId="42937836" w14:textId="1635F6E0" w:rsidR="00095759" w:rsidRPr="00166BEB" w:rsidRDefault="00095759" w:rsidP="00095759">
            <w:pPr>
              <w:spacing w:after="0" w:line="240" w:lineRule="auto"/>
              <w:jc w:val="right"/>
              <w:rPr>
                <w:rFonts w:cs="Arial"/>
                <w:sz w:val="16"/>
                <w:szCs w:val="16"/>
                <w:highlight w:val="yellow"/>
              </w:rPr>
            </w:pPr>
            <w:r>
              <w:rPr>
                <w:rFonts w:cs="Arial"/>
                <w:sz w:val="16"/>
                <w:szCs w:val="16"/>
              </w:rPr>
              <w:t>533,5</w:t>
            </w:r>
          </w:p>
        </w:tc>
        <w:tc>
          <w:tcPr>
            <w:tcW w:w="822" w:type="dxa"/>
            <w:tcBorders>
              <w:top w:val="nil"/>
              <w:left w:val="nil"/>
              <w:bottom w:val="nil"/>
              <w:right w:val="nil"/>
            </w:tcBorders>
            <w:shd w:val="clear" w:color="auto" w:fill="auto"/>
            <w:noWrap/>
            <w:vAlign w:val="center"/>
            <w:hideMark/>
          </w:tcPr>
          <w:p w14:paraId="2E779991" w14:textId="29A8DB86" w:rsidR="00095759" w:rsidRPr="00166BEB" w:rsidRDefault="00095759" w:rsidP="00095759">
            <w:pPr>
              <w:spacing w:after="0" w:line="240" w:lineRule="auto"/>
              <w:jc w:val="right"/>
              <w:rPr>
                <w:rFonts w:cs="Arial"/>
                <w:sz w:val="16"/>
                <w:szCs w:val="16"/>
                <w:highlight w:val="yellow"/>
              </w:rPr>
            </w:pPr>
            <w:r>
              <w:rPr>
                <w:rFonts w:cs="Arial"/>
                <w:sz w:val="16"/>
                <w:szCs w:val="16"/>
              </w:rPr>
              <w:t>530,9</w:t>
            </w:r>
          </w:p>
        </w:tc>
        <w:tc>
          <w:tcPr>
            <w:tcW w:w="822" w:type="dxa"/>
            <w:tcBorders>
              <w:top w:val="nil"/>
              <w:left w:val="nil"/>
              <w:bottom w:val="nil"/>
              <w:right w:val="nil"/>
            </w:tcBorders>
            <w:shd w:val="clear" w:color="auto" w:fill="auto"/>
            <w:noWrap/>
            <w:vAlign w:val="center"/>
            <w:hideMark/>
          </w:tcPr>
          <w:p w14:paraId="3D4B235F" w14:textId="1CD97290" w:rsidR="00095759" w:rsidRPr="00166BEB" w:rsidRDefault="00095759" w:rsidP="00095759">
            <w:pPr>
              <w:spacing w:after="0" w:line="240" w:lineRule="auto"/>
              <w:jc w:val="right"/>
              <w:rPr>
                <w:rFonts w:cs="Arial"/>
                <w:sz w:val="16"/>
                <w:szCs w:val="16"/>
                <w:highlight w:val="yellow"/>
              </w:rPr>
            </w:pPr>
            <w:r>
              <w:rPr>
                <w:rFonts w:cs="Arial"/>
                <w:sz w:val="16"/>
                <w:szCs w:val="16"/>
              </w:rPr>
              <w:t>538,6</w:t>
            </w:r>
          </w:p>
        </w:tc>
        <w:tc>
          <w:tcPr>
            <w:tcW w:w="822" w:type="dxa"/>
            <w:tcBorders>
              <w:top w:val="nil"/>
              <w:left w:val="nil"/>
              <w:bottom w:val="nil"/>
              <w:right w:val="nil"/>
            </w:tcBorders>
            <w:shd w:val="clear" w:color="auto" w:fill="auto"/>
            <w:noWrap/>
            <w:vAlign w:val="center"/>
            <w:hideMark/>
          </w:tcPr>
          <w:p w14:paraId="0698C93C" w14:textId="4AB16831" w:rsidR="00095759" w:rsidRPr="00166BEB" w:rsidRDefault="00095759" w:rsidP="00095759">
            <w:pPr>
              <w:spacing w:after="0" w:line="240" w:lineRule="auto"/>
              <w:jc w:val="right"/>
              <w:rPr>
                <w:rFonts w:cs="Arial"/>
                <w:sz w:val="16"/>
                <w:szCs w:val="16"/>
                <w:highlight w:val="yellow"/>
              </w:rPr>
            </w:pPr>
            <w:r>
              <w:rPr>
                <w:rFonts w:cs="Arial"/>
                <w:sz w:val="16"/>
                <w:szCs w:val="16"/>
              </w:rPr>
              <w:t>520,8</w:t>
            </w:r>
          </w:p>
        </w:tc>
        <w:tc>
          <w:tcPr>
            <w:tcW w:w="822" w:type="dxa"/>
            <w:tcBorders>
              <w:top w:val="nil"/>
              <w:left w:val="nil"/>
              <w:bottom w:val="nil"/>
              <w:right w:val="nil"/>
            </w:tcBorders>
            <w:shd w:val="clear" w:color="auto" w:fill="D9D9D9"/>
            <w:vAlign w:val="center"/>
          </w:tcPr>
          <w:p w14:paraId="3410D509" w14:textId="0C173ABA" w:rsidR="00095759" w:rsidRDefault="00095759" w:rsidP="00095759">
            <w:pPr>
              <w:spacing w:after="0" w:line="240" w:lineRule="auto"/>
              <w:jc w:val="right"/>
              <w:rPr>
                <w:rFonts w:cs="Arial"/>
                <w:sz w:val="16"/>
                <w:szCs w:val="16"/>
              </w:rPr>
            </w:pPr>
            <w:r>
              <w:rPr>
                <w:rFonts w:cs="Arial"/>
                <w:sz w:val="16"/>
                <w:szCs w:val="16"/>
              </w:rPr>
              <w:t>433,1</w:t>
            </w:r>
          </w:p>
        </w:tc>
        <w:tc>
          <w:tcPr>
            <w:tcW w:w="675" w:type="dxa"/>
            <w:tcBorders>
              <w:top w:val="nil"/>
              <w:left w:val="nil"/>
              <w:bottom w:val="nil"/>
              <w:right w:val="nil"/>
            </w:tcBorders>
          </w:tcPr>
          <w:p w14:paraId="5A92DF28" w14:textId="2D9B2616" w:rsidR="00095759" w:rsidRDefault="00095759" w:rsidP="00095759">
            <w:pPr>
              <w:spacing w:after="0" w:line="240" w:lineRule="auto"/>
              <w:jc w:val="right"/>
              <w:rPr>
                <w:rFonts w:cs="Arial"/>
                <w:sz w:val="16"/>
                <w:szCs w:val="16"/>
              </w:rPr>
            </w:pPr>
          </w:p>
        </w:tc>
      </w:tr>
      <w:tr w:rsidR="00095759" w:rsidRPr="00166BEB" w14:paraId="270EC847" w14:textId="4F87DFF1" w:rsidTr="00095759">
        <w:trPr>
          <w:trHeight w:val="300"/>
        </w:trPr>
        <w:tc>
          <w:tcPr>
            <w:tcW w:w="0" w:type="auto"/>
            <w:tcBorders>
              <w:top w:val="nil"/>
              <w:left w:val="nil"/>
              <w:bottom w:val="nil"/>
              <w:right w:val="nil"/>
            </w:tcBorders>
            <w:shd w:val="clear" w:color="auto" w:fill="auto"/>
            <w:noWrap/>
            <w:vAlign w:val="center"/>
            <w:hideMark/>
          </w:tcPr>
          <w:p w14:paraId="1A6E7A8E" w14:textId="2A467E0F"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Slovinsko</w:t>
            </w:r>
          </w:p>
        </w:tc>
        <w:tc>
          <w:tcPr>
            <w:tcW w:w="822" w:type="dxa"/>
            <w:tcBorders>
              <w:top w:val="nil"/>
              <w:left w:val="single" w:sz="4" w:space="0" w:color="000000"/>
              <w:bottom w:val="nil"/>
              <w:right w:val="nil"/>
            </w:tcBorders>
            <w:shd w:val="clear" w:color="auto" w:fill="auto"/>
            <w:noWrap/>
            <w:vAlign w:val="center"/>
            <w:hideMark/>
          </w:tcPr>
          <w:p w14:paraId="1B605335" w14:textId="69308801" w:rsidR="00095759" w:rsidRPr="00166BEB" w:rsidRDefault="00095759" w:rsidP="00095759">
            <w:pPr>
              <w:spacing w:after="0" w:line="240" w:lineRule="auto"/>
              <w:jc w:val="right"/>
              <w:rPr>
                <w:rFonts w:cs="Arial"/>
                <w:sz w:val="16"/>
                <w:szCs w:val="16"/>
                <w:highlight w:val="yellow"/>
              </w:rPr>
            </w:pPr>
            <w:r>
              <w:rPr>
                <w:rFonts w:cs="Arial"/>
                <w:sz w:val="16"/>
                <w:szCs w:val="16"/>
              </w:rPr>
              <w:t>2 006,8</w:t>
            </w:r>
          </w:p>
        </w:tc>
        <w:tc>
          <w:tcPr>
            <w:tcW w:w="822" w:type="dxa"/>
            <w:tcBorders>
              <w:top w:val="nil"/>
              <w:left w:val="nil"/>
              <w:bottom w:val="nil"/>
              <w:right w:val="nil"/>
            </w:tcBorders>
            <w:shd w:val="clear" w:color="auto" w:fill="auto"/>
            <w:noWrap/>
            <w:vAlign w:val="center"/>
            <w:hideMark/>
          </w:tcPr>
          <w:p w14:paraId="5964E5E1" w14:textId="43E83B2E" w:rsidR="00095759" w:rsidRPr="00166BEB" w:rsidRDefault="00095759" w:rsidP="00095759">
            <w:pPr>
              <w:spacing w:after="0" w:line="240" w:lineRule="auto"/>
              <w:jc w:val="right"/>
              <w:rPr>
                <w:rFonts w:cs="Arial"/>
                <w:sz w:val="16"/>
                <w:szCs w:val="16"/>
                <w:highlight w:val="yellow"/>
              </w:rPr>
            </w:pPr>
            <w:r>
              <w:rPr>
                <w:rFonts w:cs="Arial"/>
                <w:sz w:val="16"/>
                <w:szCs w:val="16"/>
              </w:rPr>
              <w:t>1 787,7</w:t>
            </w:r>
          </w:p>
        </w:tc>
        <w:tc>
          <w:tcPr>
            <w:tcW w:w="822" w:type="dxa"/>
            <w:tcBorders>
              <w:top w:val="nil"/>
              <w:left w:val="nil"/>
              <w:bottom w:val="nil"/>
              <w:right w:val="nil"/>
            </w:tcBorders>
            <w:shd w:val="clear" w:color="auto" w:fill="auto"/>
            <w:noWrap/>
            <w:vAlign w:val="center"/>
            <w:hideMark/>
          </w:tcPr>
          <w:p w14:paraId="0ED3C979" w14:textId="272E2581" w:rsidR="00095759" w:rsidRPr="00166BEB" w:rsidRDefault="00095759" w:rsidP="00095759">
            <w:pPr>
              <w:spacing w:after="0" w:line="240" w:lineRule="auto"/>
              <w:jc w:val="right"/>
              <w:rPr>
                <w:rFonts w:cs="Arial"/>
                <w:sz w:val="16"/>
                <w:szCs w:val="16"/>
                <w:highlight w:val="yellow"/>
              </w:rPr>
            </w:pPr>
            <w:r>
              <w:rPr>
                <w:rFonts w:cs="Arial"/>
                <w:sz w:val="16"/>
                <w:szCs w:val="16"/>
              </w:rPr>
              <w:t>1 594,7</w:t>
            </w:r>
          </w:p>
        </w:tc>
        <w:tc>
          <w:tcPr>
            <w:tcW w:w="822" w:type="dxa"/>
            <w:tcBorders>
              <w:top w:val="nil"/>
              <w:left w:val="nil"/>
              <w:bottom w:val="nil"/>
              <w:right w:val="nil"/>
            </w:tcBorders>
            <w:shd w:val="clear" w:color="auto" w:fill="auto"/>
            <w:noWrap/>
            <w:vAlign w:val="center"/>
            <w:hideMark/>
          </w:tcPr>
          <w:p w14:paraId="6DE4ED89" w14:textId="27F43F35" w:rsidR="00095759" w:rsidRPr="00166BEB" w:rsidRDefault="00095759" w:rsidP="00095759">
            <w:pPr>
              <w:spacing w:after="0" w:line="240" w:lineRule="auto"/>
              <w:jc w:val="right"/>
              <w:rPr>
                <w:rFonts w:cs="Arial"/>
                <w:sz w:val="16"/>
                <w:szCs w:val="16"/>
                <w:highlight w:val="yellow"/>
              </w:rPr>
            </w:pPr>
            <w:r>
              <w:rPr>
                <w:rFonts w:cs="Arial"/>
                <w:sz w:val="16"/>
                <w:szCs w:val="16"/>
              </w:rPr>
              <w:t>1 627,1</w:t>
            </w:r>
          </w:p>
        </w:tc>
        <w:tc>
          <w:tcPr>
            <w:tcW w:w="822" w:type="dxa"/>
            <w:tcBorders>
              <w:top w:val="nil"/>
              <w:left w:val="nil"/>
              <w:bottom w:val="nil"/>
              <w:right w:val="nil"/>
            </w:tcBorders>
            <w:shd w:val="clear" w:color="auto" w:fill="auto"/>
            <w:noWrap/>
            <w:vAlign w:val="center"/>
            <w:hideMark/>
          </w:tcPr>
          <w:p w14:paraId="0279A506" w14:textId="38EEED11" w:rsidR="00095759" w:rsidRPr="00166BEB" w:rsidRDefault="00095759" w:rsidP="00095759">
            <w:pPr>
              <w:spacing w:after="0" w:line="240" w:lineRule="auto"/>
              <w:jc w:val="right"/>
              <w:rPr>
                <w:rFonts w:cs="Arial"/>
                <w:sz w:val="16"/>
                <w:szCs w:val="16"/>
                <w:highlight w:val="yellow"/>
              </w:rPr>
            </w:pPr>
            <w:r>
              <w:rPr>
                <w:rFonts w:cs="Arial"/>
                <w:sz w:val="16"/>
                <w:szCs w:val="16"/>
              </w:rPr>
              <w:t>1 658,8</w:t>
            </w:r>
          </w:p>
        </w:tc>
        <w:tc>
          <w:tcPr>
            <w:tcW w:w="822" w:type="dxa"/>
            <w:tcBorders>
              <w:top w:val="nil"/>
              <w:left w:val="nil"/>
              <w:bottom w:val="nil"/>
              <w:right w:val="nil"/>
            </w:tcBorders>
            <w:shd w:val="clear" w:color="auto" w:fill="auto"/>
            <w:noWrap/>
            <w:vAlign w:val="center"/>
            <w:hideMark/>
          </w:tcPr>
          <w:p w14:paraId="0FBC7B39" w14:textId="2191AE33" w:rsidR="00095759" w:rsidRPr="00166BEB" w:rsidRDefault="00095759" w:rsidP="00095759">
            <w:pPr>
              <w:spacing w:after="0" w:line="240" w:lineRule="auto"/>
              <w:jc w:val="right"/>
              <w:rPr>
                <w:rFonts w:cs="Arial"/>
                <w:sz w:val="16"/>
                <w:szCs w:val="16"/>
                <w:highlight w:val="yellow"/>
              </w:rPr>
            </w:pPr>
            <w:r>
              <w:rPr>
                <w:rFonts w:cs="Arial"/>
                <w:sz w:val="16"/>
                <w:szCs w:val="16"/>
              </w:rPr>
              <w:t>1 556,7</w:t>
            </w:r>
          </w:p>
        </w:tc>
        <w:tc>
          <w:tcPr>
            <w:tcW w:w="822" w:type="dxa"/>
            <w:tcBorders>
              <w:top w:val="nil"/>
              <w:left w:val="nil"/>
              <w:bottom w:val="nil"/>
              <w:right w:val="nil"/>
            </w:tcBorders>
            <w:shd w:val="clear" w:color="auto" w:fill="auto"/>
            <w:noWrap/>
            <w:vAlign w:val="center"/>
            <w:hideMark/>
          </w:tcPr>
          <w:p w14:paraId="4CCFFB59" w14:textId="34F62465" w:rsidR="00095759" w:rsidRPr="00166BEB" w:rsidRDefault="00095759" w:rsidP="00095759">
            <w:pPr>
              <w:spacing w:after="0" w:line="240" w:lineRule="auto"/>
              <w:jc w:val="right"/>
              <w:rPr>
                <w:rFonts w:cs="Arial"/>
                <w:sz w:val="16"/>
                <w:szCs w:val="16"/>
                <w:highlight w:val="yellow"/>
              </w:rPr>
            </w:pPr>
            <w:r>
              <w:rPr>
                <w:rFonts w:cs="Arial"/>
                <w:sz w:val="16"/>
                <w:szCs w:val="16"/>
              </w:rPr>
              <w:t>1 636,7</w:t>
            </w:r>
          </w:p>
        </w:tc>
        <w:tc>
          <w:tcPr>
            <w:tcW w:w="822" w:type="dxa"/>
            <w:tcBorders>
              <w:top w:val="nil"/>
              <w:left w:val="nil"/>
              <w:bottom w:val="nil"/>
              <w:right w:val="nil"/>
            </w:tcBorders>
            <w:shd w:val="clear" w:color="auto" w:fill="auto"/>
            <w:noWrap/>
            <w:vAlign w:val="center"/>
            <w:hideMark/>
          </w:tcPr>
          <w:p w14:paraId="61EA544E" w14:textId="4214AAE9" w:rsidR="00095759" w:rsidRPr="00166BEB" w:rsidRDefault="00095759" w:rsidP="00095759">
            <w:pPr>
              <w:spacing w:after="0" w:line="240" w:lineRule="auto"/>
              <w:jc w:val="right"/>
              <w:rPr>
                <w:rFonts w:cs="Arial"/>
                <w:sz w:val="16"/>
                <w:szCs w:val="16"/>
                <w:highlight w:val="yellow"/>
              </w:rPr>
            </w:pPr>
            <w:r>
              <w:rPr>
                <w:rFonts w:cs="Arial"/>
                <w:sz w:val="16"/>
                <w:szCs w:val="16"/>
              </w:rPr>
              <w:t>1 567,2</w:t>
            </w:r>
          </w:p>
        </w:tc>
        <w:tc>
          <w:tcPr>
            <w:tcW w:w="822" w:type="dxa"/>
            <w:tcBorders>
              <w:top w:val="nil"/>
              <w:left w:val="nil"/>
              <w:bottom w:val="nil"/>
              <w:right w:val="nil"/>
            </w:tcBorders>
            <w:shd w:val="clear" w:color="auto" w:fill="auto"/>
            <w:noWrap/>
            <w:vAlign w:val="center"/>
            <w:hideMark/>
          </w:tcPr>
          <w:p w14:paraId="75B11F68" w14:textId="0CBA4FCF" w:rsidR="00095759" w:rsidRPr="00166BEB" w:rsidRDefault="00095759" w:rsidP="00095759">
            <w:pPr>
              <w:spacing w:after="0" w:line="240" w:lineRule="auto"/>
              <w:jc w:val="right"/>
              <w:rPr>
                <w:rFonts w:cs="Arial"/>
                <w:sz w:val="16"/>
                <w:szCs w:val="16"/>
                <w:highlight w:val="yellow"/>
              </w:rPr>
            </w:pPr>
            <w:r>
              <w:rPr>
                <w:rFonts w:cs="Arial"/>
                <w:sz w:val="16"/>
                <w:szCs w:val="16"/>
              </w:rPr>
              <w:t>1 477,0</w:t>
            </w:r>
          </w:p>
        </w:tc>
        <w:tc>
          <w:tcPr>
            <w:tcW w:w="822" w:type="dxa"/>
            <w:tcBorders>
              <w:top w:val="nil"/>
              <w:left w:val="nil"/>
              <w:bottom w:val="nil"/>
              <w:right w:val="nil"/>
            </w:tcBorders>
            <w:shd w:val="clear" w:color="auto" w:fill="D9D9D9"/>
            <w:vAlign w:val="center"/>
          </w:tcPr>
          <w:p w14:paraId="45073F0D" w14:textId="7234A498" w:rsidR="00095759" w:rsidRDefault="00095759" w:rsidP="00095759">
            <w:pPr>
              <w:spacing w:after="0" w:line="240" w:lineRule="auto"/>
              <w:jc w:val="right"/>
              <w:rPr>
                <w:rFonts w:cs="Arial"/>
                <w:sz w:val="16"/>
                <w:szCs w:val="16"/>
              </w:rPr>
            </w:pPr>
            <w:r>
              <w:rPr>
                <w:rFonts w:cs="Arial"/>
                <w:sz w:val="16"/>
                <w:szCs w:val="16"/>
              </w:rPr>
              <w:t>1 294,4</w:t>
            </w:r>
          </w:p>
        </w:tc>
        <w:tc>
          <w:tcPr>
            <w:tcW w:w="675" w:type="dxa"/>
            <w:tcBorders>
              <w:top w:val="nil"/>
              <w:left w:val="nil"/>
              <w:bottom w:val="nil"/>
              <w:right w:val="nil"/>
            </w:tcBorders>
          </w:tcPr>
          <w:p w14:paraId="2AA6F54C" w14:textId="04C99935" w:rsidR="00095759" w:rsidRDefault="00095759" w:rsidP="00095759">
            <w:pPr>
              <w:spacing w:after="0" w:line="240" w:lineRule="auto"/>
              <w:jc w:val="right"/>
              <w:rPr>
                <w:rFonts w:cs="Arial"/>
                <w:sz w:val="16"/>
                <w:szCs w:val="16"/>
              </w:rPr>
            </w:pPr>
          </w:p>
        </w:tc>
      </w:tr>
      <w:tr w:rsidR="00095759" w:rsidRPr="00166BEB" w14:paraId="22AB1CD6" w14:textId="621D28CB" w:rsidTr="00095759">
        <w:trPr>
          <w:trHeight w:val="300"/>
        </w:trPr>
        <w:tc>
          <w:tcPr>
            <w:tcW w:w="0" w:type="auto"/>
            <w:tcBorders>
              <w:top w:val="nil"/>
              <w:left w:val="nil"/>
              <w:bottom w:val="nil"/>
              <w:right w:val="nil"/>
            </w:tcBorders>
            <w:shd w:val="clear" w:color="auto" w:fill="auto"/>
            <w:noWrap/>
            <w:vAlign w:val="center"/>
            <w:hideMark/>
          </w:tcPr>
          <w:p w14:paraId="7D260A0E" w14:textId="7269A3B9"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Španělsko</w:t>
            </w:r>
          </w:p>
        </w:tc>
        <w:tc>
          <w:tcPr>
            <w:tcW w:w="822" w:type="dxa"/>
            <w:tcBorders>
              <w:top w:val="nil"/>
              <w:left w:val="single" w:sz="4" w:space="0" w:color="000000"/>
              <w:bottom w:val="nil"/>
              <w:right w:val="nil"/>
            </w:tcBorders>
            <w:shd w:val="clear" w:color="auto" w:fill="auto"/>
            <w:noWrap/>
            <w:vAlign w:val="center"/>
            <w:hideMark/>
          </w:tcPr>
          <w:p w14:paraId="375CB91E" w14:textId="747A7451" w:rsidR="00095759" w:rsidRPr="00166BEB" w:rsidRDefault="00095759" w:rsidP="00095759">
            <w:pPr>
              <w:spacing w:after="0" w:line="240" w:lineRule="auto"/>
              <w:jc w:val="right"/>
              <w:rPr>
                <w:rFonts w:cs="Arial"/>
                <w:sz w:val="16"/>
                <w:szCs w:val="16"/>
                <w:highlight w:val="yellow"/>
              </w:rPr>
            </w:pPr>
            <w:r>
              <w:rPr>
                <w:rFonts w:cs="Arial"/>
                <w:sz w:val="16"/>
                <w:szCs w:val="16"/>
              </w:rPr>
              <w:t>3 421,6</w:t>
            </w:r>
          </w:p>
        </w:tc>
        <w:tc>
          <w:tcPr>
            <w:tcW w:w="822" w:type="dxa"/>
            <w:tcBorders>
              <w:top w:val="nil"/>
              <w:left w:val="nil"/>
              <w:bottom w:val="nil"/>
              <w:right w:val="nil"/>
            </w:tcBorders>
            <w:shd w:val="clear" w:color="auto" w:fill="auto"/>
            <w:noWrap/>
            <w:vAlign w:val="center"/>
            <w:hideMark/>
          </w:tcPr>
          <w:p w14:paraId="7B367B74" w14:textId="17868E8D" w:rsidR="00095759" w:rsidRPr="00166BEB" w:rsidRDefault="00095759" w:rsidP="00095759">
            <w:pPr>
              <w:spacing w:after="0" w:line="240" w:lineRule="auto"/>
              <w:jc w:val="right"/>
              <w:rPr>
                <w:rFonts w:cs="Arial"/>
                <w:sz w:val="16"/>
                <w:szCs w:val="16"/>
                <w:highlight w:val="yellow"/>
              </w:rPr>
            </w:pPr>
            <w:r>
              <w:rPr>
                <w:rFonts w:cs="Arial"/>
                <w:sz w:val="16"/>
                <w:szCs w:val="16"/>
              </w:rPr>
              <w:t>2 889,6</w:t>
            </w:r>
          </w:p>
        </w:tc>
        <w:tc>
          <w:tcPr>
            <w:tcW w:w="822" w:type="dxa"/>
            <w:tcBorders>
              <w:top w:val="nil"/>
              <w:left w:val="nil"/>
              <w:bottom w:val="nil"/>
              <w:right w:val="nil"/>
            </w:tcBorders>
            <w:shd w:val="clear" w:color="auto" w:fill="auto"/>
            <w:noWrap/>
            <w:vAlign w:val="center"/>
            <w:hideMark/>
          </w:tcPr>
          <w:p w14:paraId="742AFCE2" w14:textId="3C87D0A8" w:rsidR="00095759" w:rsidRPr="00166BEB" w:rsidRDefault="00095759" w:rsidP="00095759">
            <w:pPr>
              <w:spacing w:after="0" w:line="240" w:lineRule="auto"/>
              <w:jc w:val="right"/>
              <w:rPr>
                <w:rFonts w:cs="Arial"/>
                <w:sz w:val="16"/>
                <w:szCs w:val="16"/>
                <w:highlight w:val="yellow"/>
              </w:rPr>
            </w:pPr>
            <w:r>
              <w:rPr>
                <w:rFonts w:cs="Arial"/>
                <w:sz w:val="16"/>
                <w:szCs w:val="16"/>
              </w:rPr>
              <w:t>2 909,0</w:t>
            </w:r>
          </w:p>
        </w:tc>
        <w:tc>
          <w:tcPr>
            <w:tcW w:w="822" w:type="dxa"/>
            <w:tcBorders>
              <w:top w:val="nil"/>
              <w:left w:val="nil"/>
              <w:bottom w:val="nil"/>
              <w:right w:val="nil"/>
            </w:tcBorders>
            <w:shd w:val="clear" w:color="auto" w:fill="auto"/>
            <w:noWrap/>
            <w:vAlign w:val="center"/>
            <w:hideMark/>
          </w:tcPr>
          <w:p w14:paraId="30347219" w14:textId="1993097C" w:rsidR="00095759" w:rsidRPr="00166BEB" w:rsidRDefault="00095759" w:rsidP="00095759">
            <w:pPr>
              <w:spacing w:after="0" w:line="240" w:lineRule="auto"/>
              <w:jc w:val="right"/>
              <w:rPr>
                <w:rFonts w:cs="Arial"/>
                <w:sz w:val="16"/>
                <w:szCs w:val="16"/>
                <w:highlight w:val="yellow"/>
              </w:rPr>
            </w:pPr>
            <w:r>
              <w:rPr>
                <w:rFonts w:cs="Arial"/>
                <w:sz w:val="16"/>
                <w:szCs w:val="16"/>
              </w:rPr>
              <w:t>3 220,4</w:t>
            </w:r>
          </w:p>
        </w:tc>
        <w:tc>
          <w:tcPr>
            <w:tcW w:w="822" w:type="dxa"/>
            <w:tcBorders>
              <w:top w:val="nil"/>
              <w:left w:val="nil"/>
              <w:bottom w:val="nil"/>
              <w:right w:val="nil"/>
            </w:tcBorders>
            <w:shd w:val="clear" w:color="auto" w:fill="auto"/>
            <w:noWrap/>
            <w:vAlign w:val="center"/>
            <w:hideMark/>
          </w:tcPr>
          <w:p w14:paraId="6709F6A1" w14:textId="774D10EC" w:rsidR="00095759" w:rsidRPr="00166BEB" w:rsidRDefault="00095759" w:rsidP="00095759">
            <w:pPr>
              <w:spacing w:after="0" w:line="240" w:lineRule="auto"/>
              <w:jc w:val="right"/>
              <w:rPr>
                <w:rFonts w:cs="Arial"/>
                <w:sz w:val="16"/>
                <w:szCs w:val="16"/>
                <w:highlight w:val="yellow"/>
              </w:rPr>
            </w:pPr>
            <w:r>
              <w:rPr>
                <w:rFonts w:cs="Arial"/>
                <w:sz w:val="16"/>
                <w:szCs w:val="16"/>
              </w:rPr>
              <w:t>3 150,9</w:t>
            </w:r>
          </w:p>
        </w:tc>
        <w:tc>
          <w:tcPr>
            <w:tcW w:w="822" w:type="dxa"/>
            <w:tcBorders>
              <w:top w:val="nil"/>
              <w:left w:val="nil"/>
              <w:bottom w:val="nil"/>
              <w:right w:val="nil"/>
            </w:tcBorders>
            <w:shd w:val="clear" w:color="auto" w:fill="auto"/>
            <w:noWrap/>
            <w:vAlign w:val="center"/>
            <w:hideMark/>
          </w:tcPr>
          <w:p w14:paraId="04477E9F" w14:textId="26922803" w:rsidR="00095759" w:rsidRPr="00166BEB" w:rsidRDefault="00095759" w:rsidP="00095759">
            <w:pPr>
              <w:spacing w:after="0" w:line="240" w:lineRule="auto"/>
              <w:jc w:val="right"/>
              <w:rPr>
                <w:rFonts w:cs="Arial"/>
                <w:sz w:val="16"/>
                <w:szCs w:val="16"/>
                <w:highlight w:val="yellow"/>
              </w:rPr>
            </w:pPr>
            <w:r>
              <w:rPr>
                <w:rFonts w:cs="Arial"/>
                <w:sz w:val="16"/>
                <w:szCs w:val="16"/>
              </w:rPr>
              <w:t>3 209,8</w:t>
            </w:r>
          </w:p>
        </w:tc>
        <w:tc>
          <w:tcPr>
            <w:tcW w:w="822" w:type="dxa"/>
            <w:tcBorders>
              <w:top w:val="nil"/>
              <w:left w:val="nil"/>
              <w:bottom w:val="nil"/>
              <w:right w:val="nil"/>
            </w:tcBorders>
            <w:shd w:val="clear" w:color="auto" w:fill="auto"/>
            <w:noWrap/>
            <w:vAlign w:val="center"/>
            <w:hideMark/>
          </w:tcPr>
          <w:p w14:paraId="45D13E1A" w14:textId="6EBC3578" w:rsidR="00095759" w:rsidRPr="00166BEB" w:rsidRDefault="00095759" w:rsidP="00095759">
            <w:pPr>
              <w:spacing w:after="0" w:line="240" w:lineRule="auto"/>
              <w:jc w:val="right"/>
              <w:rPr>
                <w:rFonts w:cs="Arial"/>
                <w:sz w:val="16"/>
                <w:szCs w:val="16"/>
                <w:highlight w:val="yellow"/>
              </w:rPr>
            </w:pPr>
            <w:r>
              <w:rPr>
                <w:rFonts w:cs="Arial"/>
                <w:sz w:val="16"/>
                <w:szCs w:val="16"/>
              </w:rPr>
              <w:t>3 267,7</w:t>
            </w:r>
          </w:p>
        </w:tc>
        <w:tc>
          <w:tcPr>
            <w:tcW w:w="822" w:type="dxa"/>
            <w:tcBorders>
              <w:top w:val="nil"/>
              <w:left w:val="nil"/>
              <w:bottom w:val="nil"/>
              <w:right w:val="nil"/>
            </w:tcBorders>
            <w:shd w:val="clear" w:color="auto" w:fill="auto"/>
            <w:noWrap/>
            <w:vAlign w:val="center"/>
            <w:hideMark/>
          </w:tcPr>
          <w:p w14:paraId="074848F6" w14:textId="7CEEA2CA" w:rsidR="00095759" w:rsidRPr="00166BEB" w:rsidRDefault="00095759" w:rsidP="00095759">
            <w:pPr>
              <w:spacing w:after="0" w:line="240" w:lineRule="auto"/>
              <w:jc w:val="right"/>
              <w:rPr>
                <w:rFonts w:cs="Arial"/>
                <w:sz w:val="16"/>
                <w:szCs w:val="16"/>
                <w:highlight w:val="yellow"/>
              </w:rPr>
            </w:pPr>
            <w:r>
              <w:rPr>
                <w:rFonts w:cs="Arial"/>
                <w:sz w:val="16"/>
                <w:szCs w:val="16"/>
              </w:rPr>
              <w:t>3 275,1</w:t>
            </w:r>
          </w:p>
        </w:tc>
        <w:tc>
          <w:tcPr>
            <w:tcW w:w="822" w:type="dxa"/>
            <w:tcBorders>
              <w:top w:val="nil"/>
              <w:left w:val="nil"/>
              <w:bottom w:val="nil"/>
              <w:right w:val="nil"/>
            </w:tcBorders>
            <w:shd w:val="clear" w:color="auto" w:fill="auto"/>
            <w:noWrap/>
            <w:vAlign w:val="center"/>
            <w:hideMark/>
          </w:tcPr>
          <w:p w14:paraId="7B23ACDA" w14:textId="07CBBDEE" w:rsidR="00095759" w:rsidRPr="00166BEB" w:rsidRDefault="00095759" w:rsidP="00095759">
            <w:pPr>
              <w:spacing w:after="0" w:line="240" w:lineRule="auto"/>
              <w:jc w:val="right"/>
              <w:rPr>
                <w:rFonts w:cs="Arial"/>
                <w:sz w:val="16"/>
                <w:szCs w:val="16"/>
                <w:highlight w:val="yellow"/>
              </w:rPr>
            </w:pPr>
            <w:r>
              <w:rPr>
                <w:rFonts w:cs="Arial"/>
                <w:sz w:val="16"/>
                <w:szCs w:val="16"/>
              </w:rPr>
              <w:t>3 697,2</w:t>
            </w:r>
          </w:p>
        </w:tc>
        <w:tc>
          <w:tcPr>
            <w:tcW w:w="822" w:type="dxa"/>
            <w:tcBorders>
              <w:top w:val="nil"/>
              <w:left w:val="nil"/>
              <w:bottom w:val="nil"/>
              <w:right w:val="nil"/>
            </w:tcBorders>
            <w:shd w:val="clear" w:color="auto" w:fill="D9D9D9"/>
            <w:vAlign w:val="center"/>
          </w:tcPr>
          <w:p w14:paraId="2D2C4DF0" w14:textId="689B4FCE" w:rsidR="00095759" w:rsidRDefault="00095759" w:rsidP="00095759">
            <w:pPr>
              <w:spacing w:after="0" w:line="240" w:lineRule="auto"/>
              <w:jc w:val="right"/>
              <w:rPr>
                <w:rFonts w:cs="Arial"/>
                <w:sz w:val="16"/>
                <w:szCs w:val="16"/>
              </w:rPr>
            </w:pPr>
            <w:r>
              <w:rPr>
                <w:rFonts w:cs="Arial"/>
                <w:sz w:val="16"/>
                <w:szCs w:val="16"/>
              </w:rPr>
              <w:t>2 384,1</w:t>
            </w:r>
          </w:p>
        </w:tc>
        <w:tc>
          <w:tcPr>
            <w:tcW w:w="675" w:type="dxa"/>
            <w:tcBorders>
              <w:top w:val="nil"/>
              <w:left w:val="nil"/>
              <w:bottom w:val="nil"/>
              <w:right w:val="nil"/>
            </w:tcBorders>
          </w:tcPr>
          <w:p w14:paraId="13B2D8D4" w14:textId="420AA36C" w:rsidR="00095759" w:rsidRDefault="00095759" w:rsidP="00095759">
            <w:pPr>
              <w:spacing w:after="0" w:line="240" w:lineRule="auto"/>
              <w:jc w:val="right"/>
              <w:rPr>
                <w:rFonts w:cs="Arial"/>
                <w:sz w:val="16"/>
                <w:szCs w:val="16"/>
              </w:rPr>
            </w:pPr>
          </w:p>
        </w:tc>
      </w:tr>
      <w:tr w:rsidR="00095759" w:rsidRPr="00166BEB" w14:paraId="6F3AE66E" w14:textId="4F34F1C4" w:rsidTr="00095759">
        <w:trPr>
          <w:trHeight w:val="300"/>
        </w:trPr>
        <w:tc>
          <w:tcPr>
            <w:tcW w:w="0" w:type="auto"/>
            <w:tcBorders>
              <w:top w:val="nil"/>
              <w:left w:val="nil"/>
              <w:bottom w:val="nil"/>
              <w:right w:val="nil"/>
            </w:tcBorders>
            <w:shd w:val="clear" w:color="auto" w:fill="auto"/>
            <w:noWrap/>
            <w:vAlign w:val="center"/>
            <w:hideMark/>
          </w:tcPr>
          <w:p w14:paraId="197DF81D" w14:textId="38E27666" w:rsidR="00095759" w:rsidRPr="00166BEB" w:rsidRDefault="00095759" w:rsidP="00095759">
            <w:pPr>
              <w:spacing w:after="0" w:line="240" w:lineRule="auto"/>
              <w:ind w:firstLineChars="100" w:firstLine="160"/>
              <w:rPr>
                <w:rFonts w:cs="Arial"/>
                <w:sz w:val="16"/>
                <w:szCs w:val="16"/>
                <w:highlight w:val="yellow"/>
              </w:rPr>
            </w:pPr>
            <w:r>
              <w:rPr>
                <w:rFonts w:cs="Arial"/>
                <w:sz w:val="16"/>
                <w:szCs w:val="16"/>
              </w:rPr>
              <w:t>Švédsko</w:t>
            </w:r>
          </w:p>
        </w:tc>
        <w:tc>
          <w:tcPr>
            <w:tcW w:w="822" w:type="dxa"/>
            <w:tcBorders>
              <w:top w:val="nil"/>
              <w:left w:val="single" w:sz="4" w:space="0" w:color="000000"/>
              <w:bottom w:val="nil"/>
              <w:right w:val="nil"/>
            </w:tcBorders>
            <w:shd w:val="clear" w:color="auto" w:fill="auto"/>
            <w:noWrap/>
            <w:vAlign w:val="center"/>
            <w:hideMark/>
          </w:tcPr>
          <w:p w14:paraId="10A4371F" w14:textId="06858130" w:rsidR="00095759" w:rsidRPr="00166BEB" w:rsidRDefault="00095759" w:rsidP="00095759">
            <w:pPr>
              <w:spacing w:after="0" w:line="240" w:lineRule="auto"/>
              <w:jc w:val="right"/>
              <w:rPr>
                <w:rFonts w:cs="Arial"/>
                <w:sz w:val="16"/>
                <w:szCs w:val="16"/>
                <w:highlight w:val="yellow"/>
              </w:rPr>
            </w:pPr>
            <w:r>
              <w:rPr>
                <w:rFonts w:cs="Arial"/>
                <w:sz w:val="16"/>
                <w:szCs w:val="16"/>
              </w:rPr>
              <w:t>874,2</w:t>
            </w:r>
          </w:p>
        </w:tc>
        <w:tc>
          <w:tcPr>
            <w:tcW w:w="822" w:type="dxa"/>
            <w:tcBorders>
              <w:top w:val="nil"/>
              <w:left w:val="nil"/>
              <w:bottom w:val="nil"/>
              <w:right w:val="nil"/>
            </w:tcBorders>
            <w:shd w:val="clear" w:color="auto" w:fill="auto"/>
            <w:noWrap/>
            <w:vAlign w:val="center"/>
            <w:hideMark/>
          </w:tcPr>
          <w:p w14:paraId="06E357CA" w14:textId="50F83AB5" w:rsidR="00095759" w:rsidRPr="00166BEB" w:rsidRDefault="00095759" w:rsidP="00095759">
            <w:pPr>
              <w:spacing w:after="0" w:line="240" w:lineRule="auto"/>
              <w:jc w:val="right"/>
              <w:rPr>
                <w:rFonts w:cs="Arial"/>
                <w:sz w:val="16"/>
                <w:szCs w:val="16"/>
                <w:highlight w:val="yellow"/>
              </w:rPr>
            </w:pPr>
            <w:r>
              <w:rPr>
                <w:rFonts w:cs="Arial"/>
                <w:sz w:val="16"/>
                <w:szCs w:val="16"/>
              </w:rPr>
              <w:t>901,4</w:t>
            </w:r>
          </w:p>
        </w:tc>
        <w:tc>
          <w:tcPr>
            <w:tcW w:w="822" w:type="dxa"/>
            <w:tcBorders>
              <w:top w:val="nil"/>
              <w:left w:val="nil"/>
              <w:bottom w:val="nil"/>
              <w:right w:val="nil"/>
            </w:tcBorders>
            <w:shd w:val="clear" w:color="auto" w:fill="auto"/>
            <w:noWrap/>
            <w:vAlign w:val="center"/>
            <w:hideMark/>
          </w:tcPr>
          <w:p w14:paraId="5AAB8459" w14:textId="05DD5ACC" w:rsidR="00095759" w:rsidRPr="00166BEB" w:rsidRDefault="00095759" w:rsidP="00095759">
            <w:pPr>
              <w:spacing w:after="0" w:line="240" w:lineRule="auto"/>
              <w:jc w:val="right"/>
              <w:rPr>
                <w:rFonts w:cs="Arial"/>
                <w:sz w:val="16"/>
                <w:szCs w:val="16"/>
                <w:highlight w:val="yellow"/>
              </w:rPr>
            </w:pPr>
            <w:r>
              <w:rPr>
                <w:rFonts w:cs="Arial"/>
                <w:sz w:val="16"/>
                <w:szCs w:val="16"/>
              </w:rPr>
              <w:t>875,0</w:t>
            </w:r>
          </w:p>
        </w:tc>
        <w:tc>
          <w:tcPr>
            <w:tcW w:w="822" w:type="dxa"/>
            <w:tcBorders>
              <w:top w:val="nil"/>
              <w:left w:val="nil"/>
              <w:bottom w:val="nil"/>
              <w:right w:val="nil"/>
            </w:tcBorders>
            <w:shd w:val="clear" w:color="auto" w:fill="auto"/>
            <w:noWrap/>
            <w:vAlign w:val="center"/>
            <w:hideMark/>
          </w:tcPr>
          <w:p w14:paraId="01012B5E" w14:textId="114BB332" w:rsidR="00095759" w:rsidRPr="00166BEB" w:rsidRDefault="00095759" w:rsidP="00095759">
            <w:pPr>
              <w:spacing w:after="0" w:line="240" w:lineRule="auto"/>
              <w:jc w:val="right"/>
              <w:rPr>
                <w:rFonts w:cs="Arial"/>
                <w:sz w:val="16"/>
                <w:szCs w:val="16"/>
                <w:highlight w:val="yellow"/>
              </w:rPr>
            </w:pPr>
            <w:r>
              <w:rPr>
                <w:rFonts w:cs="Arial"/>
                <w:sz w:val="16"/>
                <w:szCs w:val="16"/>
              </w:rPr>
              <w:t>759,8</w:t>
            </w:r>
          </w:p>
        </w:tc>
        <w:tc>
          <w:tcPr>
            <w:tcW w:w="822" w:type="dxa"/>
            <w:tcBorders>
              <w:top w:val="nil"/>
              <w:left w:val="nil"/>
              <w:bottom w:val="nil"/>
              <w:right w:val="nil"/>
            </w:tcBorders>
            <w:shd w:val="clear" w:color="auto" w:fill="auto"/>
            <w:noWrap/>
            <w:vAlign w:val="center"/>
            <w:hideMark/>
          </w:tcPr>
          <w:p w14:paraId="24E9713E" w14:textId="75381EAB" w:rsidR="00095759" w:rsidRPr="00166BEB" w:rsidRDefault="00095759" w:rsidP="00095759">
            <w:pPr>
              <w:spacing w:after="0" w:line="240" w:lineRule="auto"/>
              <w:jc w:val="right"/>
              <w:rPr>
                <w:rFonts w:cs="Arial"/>
                <w:sz w:val="16"/>
                <w:szCs w:val="16"/>
                <w:highlight w:val="yellow"/>
              </w:rPr>
            </w:pPr>
            <w:r>
              <w:rPr>
                <w:rFonts w:cs="Arial"/>
                <w:sz w:val="16"/>
                <w:szCs w:val="16"/>
              </w:rPr>
              <w:t>768,7</w:t>
            </w:r>
          </w:p>
        </w:tc>
        <w:tc>
          <w:tcPr>
            <w:tcW w:w="822" w:type="dxa"/>
            <w:tcBorders>
              <w:top w:val="nil"/>
              <w:left w:val="nil"/>
              <w:bottom w:val="nil"/>
              <w:right w:val="nil"/>
            </w:tcBorders>
            <w:shd w:val="clear" w:color="auto" w:fill="auto"/>
            <w:noWrap/>
            <w:vAlign w:val="center"/>
            <w:hideMark/>
          </w:tcPr>
          <w:p w14:paraId="2AAA24ED" w14:textId="0E1104BA" w:rsidR="00095759" w:rsidRPr="00166BEB" w:rsidRDefault="00095759" w:rsidP="00095759">
            <w:pPr>
              <w:spacing w:after="0" w:line="240" w:lineRule="auto"/>
              <w:jc w:val="right"/>
              <w:rPr>
                <w:rFonts w:cs="Arial"/>
                <w:sz w:val="16"/>
                <w:szCs w:val="16"/>
                <w:highlight w:val="yellow"/>
              </w:rPr>
            </w:pPr>
            <w:r>
              <w:rPr>
                <w:rFonts w:cs="Arial"/>
                <w:sz w:val="16"/>
                <w:szCs w:val="16"/>
              </w:rPr>
              <w:t>796,2</w:t>
            </w:r>
          </w:p>
        </w:tc>
        <w:tc>
          <w:tcPr>
            <w:tcW w:w="822" w:type="dxa"/>
            <w:tcBorders>
              <w:top w:val="nil"/>
              <w:left w:val="nil"/>
              <w:bottom w:val="nil"/>
              <w:right w:val="nil"/>
            </w:tcBorders>
            <w:shd w:val="clear" w:color="auto" w:fill="auto"/>
            <w:noWrap/>
            <w:vAlign w:val="center"/>
            <w:hideMark/>
          </w:tcPr>
          <w:p w14:paraId="5C576F6D" w14:textId="15F6C8A5" w:rsidR="00095759" w:rsidRPr="00166BEB" w:rsidRDefault="00095759" w:rsidP="00095759">
            <w:pPr>
              <w:spacing w:after="0" w:line="240" w:lineRule="auto"/>
              <w:jc w:val="right"/>
              <w:rPr>
                <w:rFonts w:cs="Arial"/>
                <w:sz w:val="16"/>
                <w:szCs w:val="16"/>
                <w:highlight w:val="yellow"/>
              </w:rPr>
            </w:pPr>
            <w:r>
              <w:rPr>
                <w:rFonts w:cs="Arial"/>
                <w:sz w:val="16"/>
                <w:szCs w:val="16"/>
              </w:rPr>
              <w:t>774,3</w:t>
            </w:r>
          </w:p>
        </w:tc>
        <w:tc>
          <w:tcPr>
            <w:tcW w:w="822" w:type="dxa"/>
            <w:tcBorders>
              <w:top w:val="nil"/>
              <w:left w:val="nil"/>
              <w:bottom w:val="nil"/>
              <w:right w:val="nil"/>
            </w:tcBorders>
            <w:shd w:val="clear" w:color="auto" w:fill="auto"/>
            <w:noWrap/>
            <w:vAlign w:val="center"/>
            <w:hideMark/>
          </w:tcPr>
          <w:p w14:paraId="215A8A32" w14:textId="3222AF72" w:rsidR="00095759" w:rsidRPr="00166BEB" w:rsidRDefault="00095759" w:rsidP="00095759">
            <w:pPr>
              <w:spacing w:after="0" w:line="240" w:lineRule="auto"/>
              <w:jc w:val="right"/>
              <w:rPr>
                <w:rFonts w:cs="Arial"/>
                <w:sz w:val="16"/>
                <w:szCs w:val="16"/>
                <w:highlight w:val="yellow"/>
              </w:rPr>
            </w:pPr>
            <w:r>
              <w:rPr>
                <w:rFonts w:cs="Arial"/>
                <w:sz w:val="16"/>
                <w:szCs w:val="16"/>
              </w:rPr>
              <w:t>781,1</w:t>
            </w:r>
          </w:p>
        </w:tc>
        <w:tc>
          <w:tcPr>
            <w:tcW w:w="822" w:type="dxa"/>
            <w:tcBorders>
              <w:top w:val="nil"/>
              <w:left w:val="nil"/>
              <w:bottom w:val="nil"/>
              <w:right w:val="nil"/>
            </w:tcBorders>
            <w:shd w:val="clear" w:color="auto" w:fill="auto"/>
            <w:noWrap/>
            <w:vAlign w:val="center"/>
            <w:hideMark/>
          </w:tcPr>
          <w:p w14:paraId="29745703" w14:textId="6C2D13D5" w:rsidR="00095759" w:rsidRPr="00166BEB" w:rsidRDefault="00095759" w:rsidP="00095759">
            <w:pPr>
              <w:spacing w:after="0" w:line="240" w:lineRule="auto"/>
              <w:jc w:val="right"/>
              <w:rPr>
                <w:rFonts w:cs="Arial"/>
                <w:sz w:val="16"/>
                <w:szCs w:val="16"/>
                <w:highlight w:val="yellow"/>
              </w:rPr>
            </w:pPr>
            <w:r>
              <w:rPr>
                <w:rFonts w:cs="Arial"/>
                <w:sz w:val="16"/>
                <w:szCs w:val="16"/>
              </w:rPr>
              <w:t>968,2</w:t>
            </w:r>
          </w:p>
        </w:tc>
        <w:tc>
          <w:tcPr>
            <w:tcW w:w="822" w:type="dxa"/>
            <w:tcBorders>
              <w:top w:val="nil"/>
              <w:left w:val="nil"/>
              <w:bottom w:val="nil"/>
              <w:right w:val="nil"/>
            </w:tcBorders>
            <w:shd w:val="clear" w:color="auto" w:fill="D9D9D9"/>
            <w:vAlign w:val="center"/>
          </w:tcPr>
          <w:p w14:paraId="56F06890" w14:textId="295183F4" w:rsidR="00095759" w:rsidRDefault="00095759" w:rsidP="00095759">
            <w:pPr>
              <w:spacing w:after="0" w:line="240" w:lineRule="auto"/>
              <w:jc w:val="right"/>
              <w:rPr>
                <w:rFonts w:cs="Arial"/>
                <w:sz w:val="16"/>
                <w:szCs w:val="16"/>
              </w:rPr>
            </w:pPr>
            <w:r>
              <w:rPr>
                <w:rFonts w:cs="Arial"/>
                <w:sz w:val="16"/>
                <w:szCs w:val="16"/>
              </w:rPr>
              <w:t>841,8</w:t>
            </w:r>
          </w:p>
        </w:tc>
        <w:tc>
          <w:tcPr>
            <w:tcW w:w="675" w:type="dxa"/>
            <w:tcBorders>
              <w:top w:val="nil"/>
              <w:left w:val="nil"/>
              <w:bottom w:val="nil"/>
              <w:right w:val="nil"/>
            </w:tcBorders>
          </w:tcPr>
          <w:p w14:paraId="3D2BC13F" w14:textId="17B6B2A7" w:rsidR="00095759" w:rsidRDefault="00095759" w:rsidP="00095759">
            <w:pPr>
              <w:spacing w:after="0" w:line="240" w:lineRule="auto"/>
              <w:jc w:val="right"/>
              <w:rPr>
                <w:rFonts w:cs="Arial"/>
                <w:sz w:val="16"/>
                <w:szCs w:val="16"/>
              </w:rPr>
            </w:pPr>
          </w:p>
        </w:tc>
      </w:tr>
    </w:tbl>
    <w:p w14:paraId="41A6E9B8" w14:textId="77777777" w:rsidR="00C13658" w:rsidRPr="00166BEB" w:rsidRDefault="00C13658" w:rsidP="001819ED">
      <w:pPr>
        <w:spacing w:after="120"/>
        <w:jc w:val="both"/>
        <w:rPr>
          <w:highlight w:val="yellow"/>
        </w:rPr>
      </w:pPr>
    </w:p>
    <w:p w14:paraId="3B611714" w14:textId="77777777" w:rsidR="0083282F" w:rsidRPr="00095759" w:rsidRDefault="0083282F" w:rsidP="00095759">
      <w:pPr>
        <w:spacing w:after="0" w:line="240" w:lineRule="auto"/>
        <w:rPr>
          <w:rFonts w:cs="Arial"/>
          <w:sz w:val="16"/>
          <w:szCs w:val="16"/>
        </w:rPr>
      </w:pPr>
      <w:r w:rsidRPr="00095759">
        <w:rPr>
          <w:rFonts w:cs="Arial"/>
          <w:sz w:val="16"/>
          <w:szCs w:val="16"/>
          <w:highlight w:val="lightGray"/>
        </w:rPr>
        <w:t>Přerušení v časové řadě</w:t>
      </w:r>
    </w:p>
    <w:p w14:paraId="16BF2EF0" w14:textId="77777777" w:rsidR="0083282F" w:rsidRPr="00095759" w:rsidRDefault="0083282F" w:rsidP="0083282F">
      <w:pPr>
        <w:spacing w:after="120"/>
        <w:jc w:val="both"/>
        <w:rPr>
          <w:sz w:val="16"/>
        </w:rPr>
      </w:pPr>
      <w:r w:rsidRPr="00095759">
        <w:rPr>
          <w:sz w:val="16"/>
        </w:rPr>
        <w:t xml:space="preserve">Zdroj: </w:t>
      </w:r>
      <w:proofErr w:type="spellStart"/>
      <w:r w:rsidRPr="00095759">
        <w:rPr>
          <w:sz w:val="16"/>
        </w:rPr>
        <w:t>Eurostat</w:t>
      </w:r>
      <w:proofErr w:type="spellEnd"/>
      <w:r w:rsidRPr="00095759">
        <w:rPr>
          <w:sz w:val="16"/>
        </w:rPr>
        <w:t xml:space="preserve"> (ESAW)</w:t>
      </w:r>
    </w:p>
    <w:p w14:paraId="0996DA9F" w14:textId="3FF326EC" w:rsidR="0083282F" w:rsidRDefault="0083282F" w:rsidP="0083282F">
      <w:pPr>
        <w:spacing w:after="120"/>
        <w:jc w:val="both"/>
      </w:pPr>
      <w:r w:rsidRPr="007C4F2E">
        <w:t xml:space="preserve">V oblasti </w:t>
      </w:r>
      <w:r w:rsidRPr="007C4F2E">
        <w:rPr>
          <w:b/>
        </w:rPr>
        <w:t>smrtelných pracovních úrazů</w:t>
      </w:r>
      <w:r w:rsidRPr="007C4F2E">
        <w:t xml:space="preserve"> se </w:t>
      </w:r>
      <w:r w:rsidRPr="007C4F2E">
        <w:rPr>
          <w:b/>
        </w:rPr>
        <w:t>Česká republika</w:t>
      </w:r>
      <w:r w:rsidRPr="007C4F2E">
        <w:t xml:space="preserve"> s hodnotou 2,</w:t>
      </w:r>
      <w:r w:rsidR="00355A4B" w:rsidRPr="007C4F2E">
        <w:t>5</w:t>
      </w:r>
      <w:r w:rsidRPr="007C4F2E">
        <w:t xml:space="preserve"> smrtelných pracovních úrazů na 100 tis. zaměstnaných osob v roce 20</w:t>
      </w:r>
      <w:r w:rsidR="00355A4B" w:rsidRPr="007C4F2E">
        <w:t>20</w:t>
      </w:r>
      <w:r w:rsidRPr="007C4F2E">
        <w:t xml:space="preserve"> řadila na </w:t>
      </w:r>
      <w:r w:rsidRPr="007C4F2E">
        <w:rPr>
          <w:b/>
        </w:rPr>
        <w:t>1</w:t>
      </w:r>
      <w:r w:rsidR="00355A4B" w:rsidRPr="007C4F2E">
        <w:rPr>
          <w:b/>
        </w:rPr>
        <w:t>3</w:t>
      </w:r>
      <w:r w:rsidRPr="007C4F2E">
        <w:rPr>
          <w:b/>
        </w:rPr>
        <w:t xml:space="preserve">. místo </w:t>
      </w:r>
      <w:r w:rsidRPr="007C4F2E">
        <w:t xml:space="preserve">v rámci </w:t>
      </w:r>
      <w:r w:rsidRPr="007C4F2E">
        <w:rPr>
          <w:b/>
        </w:rPr>
        <w:t>EU2</w:t>
      </w:r>
      <w:r w:rsidR="00581065" w:rsidRPr="007C4F2E">
        <w:rPr>
          <w:b/>
        </w:rPr>
        <w:t>7</w:t>
      </w:r>
      <w:r w:rsidRPr="007C4F2E">
        <w:t xml:space="preserve">. </w:t>
      </w:r>
      <w:r w:rsidR="007C4F2E" w:rsidRPr="007C4F2E">
        <w:t>V roce 2019 jí patřil</w:t>
      </w:r>
      <w:r w:rsidR="00FC3BC5">
        <w:t>a</w:t>
      </w:r>
      <w:r w:rsidR="007C4F2E" w:rsidRPr="007C4F2E">
        <w:t xml:space="preserve"> 17. příčka. </w:t>
      </w:r>
      <w:r w:rsidRPr="007C4F2E">
        <w:t>Zatímco v</w:t>
      </w:r>
      <w:r w:rsidR="00355A4B" w:rsidRPr="007C4F2E">
        <w:t> letech 2016 a</w:t>
      </w:r>
      <w:r w:rsidRPr="007C4F2E">
        <w:t xml:space="preserve"> 2017 byl</w:t>
      </w:r>
      <w:r w:rsidR="007C4F2E" w:rsidRPr="007C4F2E">
        <w:t>o Česko</w:t>
      </w:r>
      <w:r w:rsidRPr="007C4F2E">
        <w:t xml:space="preserve"> na úrovni celoevropského průměru, v roce 20</w:t>
      </w:r>
      <w:r w:rsidR="00355A4B" w:rsidRPr="007C4F2E">
        <w:t>20</w:t>
      </w:r>
      <w:r w:rsidRPr="007C4F2E">
        <w:t xml:space="preserve"> ho převyšoval</w:t>
      </w:r>
      <w:r w:rsidR="007C4F2E" w:rsidRPr="007C4F2E">
        <w:t>o</w:t>
      </w:r>
      <w:r w:rsidRPr="007C4F2E">
        <w:t xml:space="preserve"> o 0,</w:t>
      </w:r>
      <w:r w:rsidR="00355A4B" w:rsidRPr="007C4F2E">
        <w:t>4</w:t>
      </w:r>
      <w:r w:rsidR="007C4F2E" w:rsidRPr="007C4F2E">
        <w:t xml:space="preserve"> úrazu v přepočtu na 100 tis. zaměstnaných</w:t>
      </w:r>
      <w:r w:rsidRPr="007C4F2E">
        <w:t xml:space="preserve">. Nejvyšší míra smrtelné pracovní úrazovosti byla </w:t>
      </w:r>
      <w:r w:rsidR="007C4F2E" w:rsidRPr="007C4F2E">
        <w:t xml:space="preserve">v roce 2020 </w:t>
      </w:r>
      <w:r w:rsidRPr="007C4F2E">
        <w:t xml:space="preserve">podle </w:t>
      </w:r>
      <w:proofErr w:type="spellStart"/>
      <w:r w:rsidRPr="007C4F2E">
        <w:t>Eurostatu</w:t>
      </w:r>
      <w:proofErr w:type="spellEnd"/>
      <w:r w:rsidRPr="007C4F2E">
        <w:t xml:space="preserve"> </w:t>
      </w:r>
      <w:r w:rsidR="00355A4B" w:rsidRPr="007C4F2E">
        <w:t>na ostrovních státech Kypr (5,1</w:t>
      </w:r>
      <w:r w:rsidR="007C4F2E">
        <w:t> </w:t>
      </w:r>
      <w:r w:rsidR="00355A4B" w:rsidRPr="007C4F2E">
        <w:t>na 100 tis. zaměstnaných osob) a Malta (4,7),</w:t>
      </w:r>
      <w:r w:rsidR="00B12052" w:rsidRPr="007C4F2E">
        <w:t xml:space="preserve"> kde </w:t>
      </w:r>
      <w:r w:rsidR="00C319F1" w:rsidRPr="007C4F2E">
        <w:t xml:space="preserve">ovšem </w:t>
      </w:r>
      <w:r w:rsidR="00B12052" w:rsidRPr="007C4F2E">
        <w:t>vlivem velmi malé populace zaměstnaných osob</w:t>
      </w:r>
      <w:r w:rsidR="00C319F1" w:rsidRPr="007C4F2E">
        <w:t xml:space="preserve"> dochází každoročně k </w:t>
      </w:r>
      <w:r w:rsidR="00B25EC1" w:rsidRPr="007C4F2E">
        <w:t>velkým výkyvům tohoto ukazatele. Následoval</w:t>
      </w:r>
      <w:r w:rsidR="00355A4B" w:rsidRPr="007C4F2E">
        <w:t>o Bulharsko a Rumunsko</w:t>
      </w:r>
      <w:r w:rsidR="007C4F2E" w:rsidRPr="007C4F2E">
        <w:t xml:space="preserve"> s hodnotami</w:t>
      </w:r>
      <w:r w:rsidR="00B25EC1" w:rsidRPr="007C4F2E">
        <w:t xml:space="preserve"> </w:t>
      </w:r>
      <w:r w:rsidR="00581065" w:rsidRPr="007C4F2E">
        <w:t>4,</w:t>
      </w:r>
      <w:r w:rsidR="007C4F2E" w:rsidRPr="007C4F2E">
        <w:t>5 a 4,0</w:t>
      </w:r>
      <w:r w:rsidRPr="007C4F2E">
        <w:t xml:space="preserve">. </w:t>
      </w:r>
      <w:r w:rsidR="007C4F2E" w:rsidRPr="007C4F2E">
        <w:t>Naopak n</w:t>
      </w:r>
      <w:r w:rsidRPr="007C4F2E">
        <w:t xml:space="preserve">ejnižší míra smrtelné pracovní úrazovosti </w:t>
      </w:r>
      <w:r w:rsidR="00581065" w:rsidRPr="007C4F2E">
        <w:t xml:space="preserve">se dlouhodobě drží </w:t>
      </w:r>
      <w:r w:rsidRPr="007C4F2E">
        <w:t>v Nizozemsku (0,</w:t>
      </w:r>
      <w:r w:rsidR="007C4F2E" w:rsidRPr="007C4F2E">
        <w:t xml:space="preserve">5), Švédsku (0,8), Německu (1,0) a Finsku (1,3). </w:t>
      </w:r>
    </w:p>
    <w:p w14:paraId="7B4DBA22" w14:textId="28E197E5" w:rsidR="004229D4" w:rsidRPr="00166BEB" w:rsidRDefault="003D6DD6" w:rsidP="003D6DD6">
      <w:pPr>
        <w:spacing w:after="120"/>
        <w:jc w:val="both"/>
        <w:rPr>
          <w:rFonts w:cs="Arial"/>
          <w:b/>
          <w:bCs/>
          <w:color w:val="000000"/>
          <w:szCs w:val="20"/>
          <w:highlight w:val="yellow"/>
        </w:rPr>
      </w:pPr>
      <w:r>
        <w:t xml:space="preserve">Na rozdíl od pracovních úrazů s pracovní neschopností, na ty smrtelné neměla nemoc covid-19, lépe řečeno opatření proti </w:t>
      </w:r>
      <w:r w:rsidR="00713D34">
        <w:t xml:space="preserve">jejímu </w:t>
      </w:r>
      <w:r>
        <w:t>šíření</w:t>
      </w:r>
      <w:r w:rsidR="00713D34">
        <w:t>,</w:t>
      </w:r>
      <w:r>
        <w:t xml:space="preserve"> tak jednoznačný vliv. Rizikovější odvětví, náchylnější na smrtelné pracovní úrazy, zaměstnávající manuálně pracující, neumožňovaly takové zapojení práce z domova jako třeba administrativní obory. K meziročnímu poklesu</w:t>
      </w:r>
      <w:r w:rsidR="007C4F2E">
        <w:t xml:space="preserve"> míry smrtelné pracovní úrazovosti</w:t>
      </w:r>
      <w:r>
        <w:t xml:space="preserve"> došlo jen u 15 států</w:t>
      </w:r>
      <w:r w:rsidR="007C4F2E">
        <w:t>. Nejvíce v Lucembursku (−2,9 úrazů na 100 tis. zaměstnaných osob) a ve Francii (−1,7).</w:t>
      </w:r>
      <w:r>
        <w:t xml:space="preserve"> Naopak největší nárůst byl zaznamenán na Maltě (+2,9) a na Kypru (</w:t>
      </w:r>
      <w:r w:rsidR="00713D34">
        <w:t>+</w:t>
      </w:r>
      <w:r>
        <w:t>1,2).</w:t>
      </w:r>
    </w:p>
    <w:p w14:paraId="6FEAA947" w14:textId="4CAC3E7F" w:rsidR="00581065" w:rsidRPr="00355A4B" w:rsidRDefault="00581065" w:rsidP="00581065">
      <w:pPr>
        <w:spacing w:after="0" w:line="240" w:lineRule="auto"/>
        <w:jc w:val="both"/>
        <w:rPr>
          <w:rFonts w:cs="Arial"/>
          <w:b/>
          <w:bCs/>
          <w:color w:val="000000"/>
          <w:szCs w:val="20"/>
        </w:rPr>
      </w:pPr>
      <w:r w:rsidRPr="00355A4B">
        <w:rPr>
          <w:rFonts w:cs="Arial"/>
          <w:b/>
          <w:bCs/>
          <w:color w:val="000000"/>
          <w:szCs w:val="20"/>
        </w:rPr>
        <w:lastRenderedPageBreak/>
        <w:t>Graf 6.2: Smrtelné pracovní úrazy v zemích EU (standardizovaná míra výskytu na 100 tis. zaměstnaných osob), 20</w:t>
      </w:r>
      <w:r w:rsidR="00355A4B" w:rsidRPr="00355A4B">
        <w:rPr>
          <w:rFonts w:cs="Arial"/>
          <w:b/>
          <w:bCs/>
          <w:color w:val="000000"/>
          <w:szCs w:val="20"/>
        </w:rPr>
        <w:t>20</w:t>
      </w:r>
    </w:p>
    <w:p w14:paraId="186CFD9C" w14:textId="78D00F75" w:rsidR="0083282F" w:rsidRPr="00166BEB" w:rsidRDefault="00355A4B" w:rsidP="00F40B8C">
      <w:pPr>
        <w:rPr>
          <w:highlight w:val="yellow"/>
        </w:rPr>
      </w:pPr>
      <w:r>
        <w:rPr>
          <w:noProof/>
        </w:rPr>
        <w:drawing>
          <wp:inline distT="0" distB="0" distL="0" distR="0" wp14:anchorId="60EDE946" wp14:editId="18DCF121">
            <wp:extent cx="6066000" cy="5040000"/>
            <wp:effectExtent l="0" t="0" r="11430" b="8255"/>
            <wp:docPr id="22" name="Graf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284A040B" w14:textId="77777777" w:rsidR="00581065" w:rsidRPr="00355A4B" w:rsidRDefault="00581065" w:rsidP="00581065">
      <w:pPr>
        <w:spacing w:after="120"/>
        <w:jc w:val="both"/>
        <w:rPr>
          <w:sz w:val="16"/>
        </w:rPr>
      </w:pPr>
      <w:r w:rsidRPr="00355A4B">
        <w:rPr>
          <w:sz w:val="16"/>
        </w:rPr>
        <w:t xml:space="preserve">Zdroj: </w:t>
      </w:r>
      <w:proofErr w:type="spellStart"/>
      <w:r w:rsidRPr="00355A4B">
        <w:rPr>
          <w:sz w:val="16"/>
        </w:rPr>
        <w:t>Eurostat</w:t>
      </w:r>
      <w:proofErr w:type="spellEnd"/>
      <w:r w:rsidRPr="00355A4B">
        <w:rPr>
          <w:sz w:val="16"/>
        </w:rPr>
        <w:t xml:space="preserve"> (ESAW)</w:t>
      </w:r>
    </w:p>
    <w:p w14:paraId="3A89E094" w14:textId="77777777" w:rsidR="004229D4" w:rsidRPr="00166BEB" w:rsidRDefault="004229D4">
      <w:pPr>
        <w:spacing w:after="0" w:line="240" w:lineRule="auto"/>
        <w:rPr>
          <w:rFonts w:cs="Arial"/>
          <w:b/>
          <w:bCs/>
          <w:color w:val="000000"/>
          <w:szCs w:val="20"/>
          <w:highlight w:val="yellow"/>
        </w:rPr>
      </w:pPr>
      <w:r w:rsidRPr="00166BEB">
        <w:rPr>
          <w:rFonts w:cs="Arial"/>
          <w:b/>
          <w:bCs/>
          <w:color w:val="000000"/>
          <w:szCs w:val="20"/>
          <w:highlight w:val="yellow"/>
        </w:rPr>
        <w:br w:type="page"/>
      </w:r>
    </w:p>
    <w:p w14:paraId="56796BA6" w14:textId="2A13318D" w:rsidR="00581065" w:rsidRPr="00355A4B" w:rsidRDefault="00581065" w:rsidP="00581065">
      <w:pPr>
        <w:spacing w:after="0" w:line="240" w:lineRule="auto"/>
        <w:jc w:val="both"/>
        <w:rPr>
          <w:rFonts w:cs="Arial"/>
          <w:b/>
          <w:bCs/>
          <w:color w:val="000000"/>
          <w:szCs w:val="20"/>
        </w:rPr>
      </w:pPr>
      <w:r w:rsidRPr="00355A4B">
        <w:rPr>
          <w:rFonts w:cs="Arial"/>
          <w:b/>
          <w:bCs/>
          <w:color w:val="000000"/>
          <w:szCs w:val="20"/>
        </w:rPr>
        <w:lastRenderedPageBreak/>
        <w:t>Tab. 6.2: Smrtelné pracovní úrazy v zemích EU (standardizovaná míra výskytu na 100 tis. zaměstnaných osob), 2011–20</w:t>
      </w:r>
      <w:r w:rsidR="00355A4B" w:rsidRPr="00355A4B">
        <w:rPr>
          <w:rFonts w:cs="Arial"/>
          <w:b/>
          <w:bCs/>
          <w:color w:val="000000"/>
          <w:szCs w:val="20"/>
        </w:rPr>
        <w:t>20</w:t>
      </w:r>
    </w:p>
    <w:tbl>
      <w:tblPr>
        <w:tblW w:w="9760" w:type="dxa"/>
        <w:tblLayout w:type="fixed"/>
        <w:tblCellMar>
          <w:left w:w="70" w:type="dxa"/>
          <w:right w:w="70" w:type="dxa"/>
        </w:tblCellMar>
        <w:tblLook w:val="04A0" w:firstRow="1" w:lastRow="0" w:firstColumn="1" w:lastColumn="0" w:noHBand="0" w:noVBand="1"/>
      </w:tblPr>
      <w:tblGrid>
        <w:gridCol w:w="1380"/>
        <w:gridCol w:w="822"/>
        <w:gridCol w:w="822"/>
        <w:gridCol w:w="822"/>
        <w:gridCol w:w="822"/>
        <w:gridCol w:w="822"/>
        <w:gridCol w:w="822"/>
        <w:gridCol w:w="822"/>
        <w:gridCol w:w="822"/>
        <w:gridCol w:w="822"/>
        <w:gridCol w:w="822"/>
        <w:gridCol w:w="160"/>
      </w:tblGrid>
      <w:tr w:rsidR="00355A4B" w:rsidRPr="00166BEB" w14:paraId="63DF9EBB" w14:textId="1A7AA333" w:rsidTr="004543DD">
        <w:trPr>
          <w:gridAfter w:val="1"/>
          <w:wAfter w:w="160" w:type="dxa"/>
          <w:trHeight w:val="300"/>
        </w:trPr>
        <w:tc>
          <w:tcPr>
            <w:tcW w:w="1380" w:type="dxa"/>
            <w:tcBorders>
              <w:top w:val="single" w:sz="4" w:space="0" w:color="000000"/>
              <w:left w:val="nil"/>
              <w:bottom w:val="single" w:sz="4" w:space="0" w:color="000000"/>
              <w:right w:val="single" w:sz="4" w:space="0" w:color="auto"/>
            </w:tcBorders>
            <w:shd w:val="clear" w:color="000000" w:fill="F5DADD"/>
            <w:noWrap/>
            <w:vAlign w:val="center"/>
            <w:hideMark/>
          </w:tcPr>
          <w:p w14:paraId="0B23B000" w14:textId="2515BA3F" w:rsidR="00355A4B" w:rsidRPr="00166BEB" w:rsidRDefault="00355A4B" w:rsidP="00355A4B">
            <w:pPr>
              <w:spacing w:after="0" w:line="240" w:lineRule="auto"/>
              <w:rPr>
                <w:rFonts w:cs="Arial"/>
                <w:sz w:val="16"/>
                <w:szCs w:val="16"/>
                <w:highlight w:val="yellow"/>
              </w:rPr>
            </w:pPr>
            <w:r>
              <w:rPr>
                <w:rFonts w:cs="Arial"/>
                <w:sz w:val="16"/>
                <w:szCs w:val="16"/>
              </w:rPr>
              <w:t>Členské státy EU</w:t>
            </w:r>
          </w:p>
        </w:tc>
        <w:tc>
          <w:tcPr>
            <w:tcW w:w="822" w:type="dxa"/>
            <w:tcBorders>
              <w:top w:val="single" w:sz="4" w:space="0" w:color="000000"/>
              <w:left w:val="nil"/>
              <w:bottom w:val="single" w:sz="4" w:space="0" w:color="auto"/>
              <w:right w:val="nil"/>
            </w:tcBorders>
            <w:shd w:val="clear" w:color="000000" w:fill="F5DADD"/>
            <w:noWrap/>
            <w:vAlign w:val="center"/>
            <w:hideMark/>
          </w:tcPr>
          <w:p w14:paraId="7323AAAB" w14:textId="2ED8462B" w:rsidR="00355A4B" w:rsidRPr="00166BEB" w:rsidRDefault="00355A4B" w:rsidP="00355A4B">
            <w:pPr>
              <w:spacing w:after="0" w:line="240" w:lineRule="auto"/>
              <w:jc w:val="center"/>
              <w:rPr>
                <w:rFonts w:cs="Arial"/>
                <w:sz w:val="16"/>
                <w:szCs w:val="16"/>
                <w:highlight w:val="yellow"/>
              </w:rPr>
            </w:pPr>
            <w:r>
              <w:rPr>
                <w:rFonts w:cs="Arial"/>
                <w:sz w:val="16"/>
                <w:szCs w:val="16"/>
              </w:rPr>
              <w:t>2011</w:t>
            </w:r>
          </w:p>
        </w:tc>
        <w:tc>
          <w:tcPr>
            <w:tcW w:w="822" w:type="dxa"/>
            <w:tcBorders>
              <w:top w:val="single" w:sz="4" w:space="0" w:color="000000"/>
              <w:left w:val="nil"/>
              <w:bottom w:val="single" w:sz="4" w:space="0" w:color="auto"/>
              <w:right w:val="nil"/>
            </w:tcBorders>
            <w:shd w:val="clear" w:color="000000" w:fill="F5DADD"/>
            <w:noWrap/>
            <w:vAlign w:val="center"/>
            <w:hideMark/>
          </w:tcPr>
          <w:p w14:paraId="3A574494" w14:textId="784D3D3D" w:rsidR="00355A4B" w:rsidRPr="00166BEB" w:rsidRDefault="00355A4B" w:rsidP="00355A4B">
            <w:pPr>
              <w:spacing w:after="0" w:line="240" w:lineRule="auto"/>
              <w:jc w:val="center"/>
              <w:rPr>
                <w:rFonts w:cs="Arial"/>
                <w:sz w:val="16"/>
                <w:szCs w:val="16"/>
                <w:highlight w:val="yellow"/>
              </w:rPr>
            </w:pPr>
            <w:r>
              <w:rPr>
                <w:rFonts w:cs="Arial"/>
                <w:sz w:val="16"/>
                <w:szCs w:val="16"/>
              </w:rPr>
              <w:t>2012</w:t>
            </w:r>
          </w:p>
        </w:tc>
        <w:tc>
          <w:tcPr>
            <w:tcW w:w="822" w:type="dxa"/>
            <w:tcBorders>
              <w:top w:val="single" w:sz="4" w:space="0" w:color="000000"/>
              <w:left w:val="nil"/>
              <w:bottom w:val="single" w:sz="4" w:space="0" w:color="auto"/>
              <w:right w:val="nil"/>
            </w:tcBorders>
            <w:shd w:val="clear" w:color="000000" w:fill="F5DADD"/>
            <w:noWrap/>
            <w:vAlign w:val="center"/>
            <w:hideMark/>
          </w:tcPr>
          <w:p w14:paraId="40EEAF51" w14:textId="38FADCCE" w:rsidR="00355A4B" w:rsidRPr="00166BEB" w:rsidRDefault="00355A4B" w:rsidP="00355A4B">
            <w:pPr>
              <w:spacing w:after="0" w:line="240" w:lineRule="auto"/>
              <w:jc w:val="center"/>
              <w:rPr>
                <w:rFonts w:cs="Arial"/>
                <w:sz w:val="16"/>
                <w:szCs w:val="16"/>
                <w:highlight w:val="yellow"/>
              </w:rPr>
            </w:pPr>
            <w:r>
              <w:rPr>
                <w:rFonts w:cs="Arial"/>
                <w:sz w:val="16"/>
                <w:szCs w:val="16"/>
              </w:rPr>
              <w:t>2013</w:t>
            </w:r>
          </w:p>
        </w:tc>
        <w:tc>
          <w:tcPr>
            <w:tcW w:w="822" w:type="dxa"/>
            <w:tcBorders>
              <w:top w:val="single" w:sz="4" w:space="0" w:color="000000"/>
              <w:left w:val="nil"/>
              <w:bottom w:val="single" w:sz="4" w:space="0" w:color="auto"/>
              <w:right w:val="nil"/>
            </w:tcBorders>
            <w:shd w:val="clear" w:color="000000" w:fill="F5DADD"/>
            <w:noWrap/>
            <w:vAlign w:val="center"/>
            <w:hideMark/>
          </w:tcPr>
          <w:p w14:paraId="1FC89031" w14:textId="0DC0E6C1" w:rsidR="00355A4B" w:rsidRPr="00166BEB" w:rsidRDefault="00355A4B" w:rsidP="00355A4B">
            <w:pPr>
              <w:spacing w:after="0" w:line="240" w:lineRule="auto"/>
              <w:jc w:val="center"/>
              <w:rPr>
                <w:rFonts w:cs="Arial"/>
                <w:sz w:val="16"/>
                <w:szCs w:val="16"/>
                <w:highlight w:val="yellow"/>
              </w:rPr>
            </w:pPr>
            <w:r>
              <w:rPr>
                <w:rFonts w:cs="Arial"/>
                <w:sz w:val="16"/>
                <w:szCs w:val="16"/>
              </w:rPr>
              <w:t>2014</w:t>
            </w:r>
          </w:p>
        </w:tc>
        <w:tc>
          <w:tcPr>
            <w:tcW w:w="822" w:type="dxa"/>
            <w:tcBorders>
              <w:top w:val="single" w:sz="4" w:space="0" w:color="000000"/>
              <w:left w:val="nil"/>
              <w:bottom w:val="single" w:sz="4" w:space="0" w:color="auto"/>
              <w:right w:val="nil"/>
            </w:tcBorders>
            <w:shd w:val="clear" w:color="000000" w:fill="F5DADD"/>
            <w:noWrap/>
            <w:vAlign w:val="center"/>
            <w:hideMark/>
          </w:tcPr>
          <w:p w14:paraId="6C507280" w14:textId="78581D6D" w:rsidR="00355A4B" w:rsidRPr="00166BEB" w:rsidRDefault="00355A4B" w:rsidP="00355A4B">
            <w:pPr>
              <w:spacing w:after="0" w:line="240" w:lineRule="auto"/>
              <w:jc w:val="center"/>
              <w:rPr>
                <w:rFonts w:cs="Arial"/>
                <w:sz w:val="16"/>
                <w:szCs w:val="16"/>
                <w:highlight w:val="yellow"/>
              </w:rPr>
            </w:pPr>
            <w:r>
              <w:rPr>
                <w:rFonts w:cs="Arial"/>
                <w:sz w:val="16"/>
                <w:szCs w:val="16"/>
              </w:rPr>
              <w:t>2015</w:t>
            </w:r>
          </w:p>
        </w:tc>
        <w:tc>
          <w:tcPr>
            <w:tcW w:w="822" w:type="dxa"/>
            <w:tcBorders>
              <w:top w:val="single" w:sz="4" w:space="0" w:color="000000"/>
              <w:left w:val="nil"/>
              <w:bottom w:val="single" w:sz="4" w:space="0" w:color="auto"/>
              <w:right w:val="nil"/>
            </w:tcBorders>
            <w:shd w:val="clear" w:color="000000" w:fill="F5DADD"/>
            <w:noWrap/>
            <w:vAlign w:val="center"/>
            <w:hideMark/>
          </w:tcPr>
          <w:p w14:paraId="65459C5F" w14:textId="7EA43DCC" w:rsidR="00355A4B" w:rsidRPr="00166BEB" w:rsidRDefault="00355A4B" w:rsidP="00355A4B">
            <w:pPr>
              <w:spacing w:after="0" w:line="240" w:lineRule="auto"/>
              <w:jc w:val="center"/>
              <w:rPr>
                <w:rFonts w:cs="Arial"/>
                <w:sz w:val="16"/>
                <w:szCs w:val="16"/>
                <w:highlight w:val="yellow"/>
              </w:rPr>
            </w:pPr>
            <w:r>
              <w:rPr>
                <w:rFonts w:cs="Arial"/>
                <w:sz w:val="16"/>
                <w:szCs w:val="16"/>
              </w:rPr>
              <w:t>2016</w:t>
            </w:r>
          </w:p>
        </w:tc>
        <w:tc>
          <w:tcPr>
            <w:tcW w:w="822" w:type="dxa"/>
            <w:tcBorders>
              <w:top w:val="single" w:sz="4" w:space="0" w:color="000000"/>
              <w:left w:val="nil"/>
              <w:bottom w:val="single" w:sz="4" w:space="0" w:color="auto"/>
              <w:right w:val="nil"/>
            </w:tcBorders>
            <w:shd w:val="clear" w:color="000000" w:fill="F5DADD"/>
            <w:noWrap/>
            <w:vAlign w:val="center"/>
            <w:hideMark/>
          </w:tcPr>
          <w:p w14:paraId="3A8CDCBA" w14:textId="24875E88" w:rsidR="00355A4B" w:rsidRPr="00166BEB" w:rsidRDefault="00355A4B" w:rsidP="00355A4B">
            <w:pPr>
              <w:spacing w:after="0" w:line="240" w:lineRule="auto"/>
              <w:jc w:val="center"/>
              <w:rPr>
                <w:rFonts w:cs="Arial"/>
                <w:sz w:val="16"/>
                <w:szCs w:val="16"/>
                <w:highlight w:val="yellow"/>
              </w:rPr>
            </w:pPr>
            <w:r>
              <w:rPr>
                <w:rFonts w:cs="Arial"/>
                <w:sz w:val="16"/>
                <w:szCs w:val="16"/>
              </w:rPr>
              <w:t>2017</w:t>
            </w:r>
          </w:p>
        </w:tc>
        <w:tc>
          <w:tcPr>
            <w:tcW w:w="822" w:type="dxa"/>
            <w:tcBorders>
              <w:top w:val="single" w:sz="4" w:space="0" w:color="000000"/>
              <w:left w:val="nil"/>
              <w:bottom w:val="single" w:sz="4" w:space="0" w:color="auto"/>
              <w:right w:val="nil"/>
            </w:tcBorders>
            <w:shd w:val="clear" w:color="000000" w:fill="F5DADD"/>
            <w:noWrap/>
            <w:vAlign w:val="center"/>
            <w:hideMark/>
          </w:tcPr>
          <w:p w14:paraId="48FC9AD8" w14:textId="24F886CE" w:rsidR="00355A4B" w:rsidRPr="00166BEB" w:rsidRDefault="00355A4B" w:rsidP="00355A4B">
            <w:pPr>
              <w:spacing w:after="0" w:line="240" w:lineRule="auto"/>
              <w:jc w:val="center"/>
              <w:rPr>
                <w:rFonts w:cs="Arial"/>
                <w:sz w:val="16"/>
                <w:szCs w:val="16"/>
                <w:highlight w:val="yellow"/>
              </w:rPr>
            </w:pPr>
            <w:r>
              <w:rPr>
                <w:rFonts w:cs="Arial"/>
                <w:sz w:val="16"/>
                <w:szCs w:val="16"/>
              </w:rPr>
              <w:t>2018</w:t>
            </w:r>
          </w:p>
        </w:tc>
        <w:tc>
          <w:tcPr>
            <w:tcW w:w="822" w:type="dxa"/>
            <w:tcBorders>
              <w:top w:val="single" w:sz="4" w:space="0" w:color="000000"/>
              <w:left w:val="nil"/>
              <w:bottom w:val="single" w:sz="4" w:space="0" w:color="auto"/>
              <w:right w:val="nil"/>
            </w:tcBorders>
            <w:shd w:val="clear" w:color="000000" w:fill="F5DADD"/>
            <w:noWrap/>
            <w:vAlign w:val="center"/>
            <w:hideMark/>
          </w:tcPr>
          <w:p w14:paraId="1DCD310E" w14:textId="6DB38E37" w:rsidR="00355A4B" w:rsidRPr="00166BEB" w:rsidRDefault="00355A4B" w:rsidP="00355A4B">
            <w:pPr>
              <w:spacing w:after="0" w:line="240" w:lineRule="auto"/>
              <w:jc w:val="center"/>
              <w:rPr>
                <w:rFonts w:cs="Arial"/>
                <w:sz w:val="16"/>
                <w:szCs w:val="16"/>
                <w:highlight w:val="yellow"/>
              </w:rPr>
            </w:pPr>
            <w:r>
              <w:rPr>
                <w:rFonts w:cs="Arial"/>
                <w:sz w:val="16"/>
                <w:szCs w:val="16"/>
              </w:rPr>
              <w:t>2019</w:t>
            </w:r>
          </w:p>
        </w:tc>
        <w:tc>
          <w:tcPr>
            <w:tcW w:w="822" w:type="dxa"/>
            <w:tcBorders>
              <w:top w:val="single" w:sz="4" w:space="0" w:color="000000"/>
              <w:left w:val="nil"/>
              <w:bottom w:val="single" w:sz="4" w:space="0" w:color="auto"/>
              <w:right w:val="nil"/>
            </w:tcBorders>
            <w:shd w:val="clear" w:color="000000" w:fill="F5DADD"/>
            <w:vAlign w:val="center"/>
          </w:tcPr>
          <w:p w14:paraId="48D6E536" w14:textId="26429AE1" w:rsidR="00355A4B" w:rsidRPr="00166BEB" w:rsidRDefault="00355A4B" w:rsidP="00355A4B">
            <w:pPr>
              <w:spacing w:after="0" w:line="240" w:lineRule="auto"/>
              <w:jc w:val="center"/>
              <w:rPr>
                <w:rFonts w:cs="Arial"/>
                <w:sz w:val="16"/>
                <w:szCs w:val="16"/>
                <w:highlight w:val="yellow"/>
              </w:rPr>
            </w:pPr>
            <w:r>
              <w:rPr>
                <w:rFonts w:cs="Arial"/>
                <w:sz w:val="16"/>
                <w:szCs w:val="16"/>
              </w:rPr>
              <w:t>2020</w:t>
            </w:r>
          </w:p>
        </w:tc>
      </w:tr>
      <w:tr w:rsidR="00355A4B" w:rsidRPr="00166BEB" w14:paraId="0D21645A" w14:textId="6C5ABA68" w:rsidTr="004543DD">
        <w:trPr>
          <w:trHeight w:val="300"/>
        </w:trPr>
        <w:tc>
          <w:tcPr>
            <w:tcW w:w="1380" w:type="dxa"/>
            <w:tcBorders>
              <w:top w:val="nil"/>
              <w:left w:val="nil"/>
              <w:bottom w:val="nil"/>
              <w:right w:val="nil"/>
            </w:tcBorders>
            <w:shd w:val="clear" w:color="auto" w:fill="auto"/>
            <w:noWrap/>
            <w:vAlign w:val="center"/>
            <w:hideMark/>
          </w:tcPr>
          <w:p w14:paraId="14D95210" w14:textId="3A4BFDCA" w:rsidR="00355A4B" w:rsidRPr="00166BEB" w:rsidRDefault="00355A4B" w:rsidP="00355A4B">
            <w:pPr>
              <w:spacing w:after="0" w:line="240" w:lineRule="auto"/>
              <w:rPr>
                <w:rFonts w:cs="Arial"/>
                <w:b/>
                <w:bCs/>
                <w:sz w:val="16"/>
                <w:szCs w:val="16"/>
                <w:highlight w:val="yellow"/>
              </w:rPr>
            </w:pPr>
            <w:r>
              <w:rPr>
                <w:rFonts w:cs="Arial"/>
                <w:b/>
                <w:bCs/>
                <w:sz w:val="16"/>
                <w:szCs w:val="16"/>
              </w:rPr>
              <w:t>EU27</w:t>
            </w:r>
          </w:p>
        </w:tc>
        <w:tc>
          <w:tcPr>
            <w:tcW w:w="822" w:type="dxa"/>
            <w:tcBorders>
              <w:top w:val="nil"/>
              <w:left w:val="single" w:sz="4" w:space="0" w:color="000000"/>
              <w:bottom w:val="nil"/>
              <w:right w:val="nil"/>
            </w:tcBorders>
            <w:shd w:val="clear" w:color="auto" w:fill="auto"/>
            <w:noWrap/>
            <w:vAlign w:val="center"/>
            <w:hideMark/>
          </w:tcPr>
          <w:p w14:paraId="702DF964" w14:textId="042254FE"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2,8</w:t>
            </w:r>
          </w:p>
        </w:tc>
        <w:tc>
          <w:tcPr>
            <w:tcW w:w="822" w:type="dxa"/>
            <w:tcBorders>
              <w:top w:val="nil"/>
              <w:left w:val="nil"/>
              <w:bottom w:val="nil"/>
              <w:right w:val="nil"/>
            </w:tcBorders>
            <w:shd w:val="clear" w:color="auto" w:fill="auto"/>
            <w:noWrap/>
            <w:vAlign w:val="center"/>
            <w:hideMark/>
          </w:tcPr>
          <w:p w14:paraId="2EC55968" w14:textId="49B234D8"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2,7</w:t>
            </w:r>
          </w:p>
        </w:tc>
        <w:tc>
          <w:tcPr>
            <w:tcW w:w="822" w:type="dxa"/>
            <w:tcBorders>
              <w:top w:val="nil"/>
              <w:left w:val="nil"/>
              <w:bottom w:val="nil"/>
              <w:right w:val="nil"/>
            </w:tcBorders>
            <w:shd w:val="clear" w:color="auto" w:fill="auto"/>
            <w:noWrap/>
            <w:vAlign w:val="center"/>
            <w:hideMark/>
          </w:tcPr>
          <w:p w14:paraId="6403A9CB" w14:textId="687887A3"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2,4</w:t>
            </w:r>
          </w:p>
        </w:tc>
        <w:tc>
          <w:tcPr>
            <w:tcW w:w="822" w:type="dxa"/>
            <w:tcBorders>
              <w:top w:val="nil"/>
              <w:left w:val="nil"/>
              <w:bottom w:val="nil"/>
              <w:right w:val="nil"/>
            </w:tcBorders>
            <w:shd w:val="clear" w:color="auto" w:fill="auto"/>
            <w:noWrap/>
            <w:vAlign w:val="center"/>
            <w:hideMark/>
          </w:tcPr>
          <w:p w14:paraId="7B95C7BB" w14:textId="4127D2EE"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2,5</w:t>
            </w:r>
          </w:p>
        </w:tc>
        <w:tc>
          <w:tcPr>
            <w:tcW w:w="822" w:type="dxa"/>
            <w:tcBorders>
              <w:top w:val="nil"/>
              <w:left w:val="nil"/>
              <w:bottom w:val="nil"/>
              <w:right w:val="nil"/>
            </w:tcBorders>
            <w:shd w:val="clear" w:color="auto" w:fill="auto"/>
            <w:noWrap/>
            <w:vAlign w:val="center"/>
            <w:hideMark/>
          </w:tcPr>
          <w:p w14:paraId="3C1C3BDB" w14:textId="6D6A1CF3"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2,6</w:t>
            </w:r>
          </w:p>
        </w:tc>
        <w:tc>
          <w:tcPr>
            <w:tcW w:w="822" w:type="dxa"/>
            <w:tcBorders>
              <w:top w:val="nil"/>
              <w:left w:val="nil"/>
              <w:bottom w:val="nil"/>
              <w:right w:val="nil"/>
            </w:tcBorders>
            <w:shd w:val="clear" w:color="auto" w:fill="auto"/>
            <w:noWrap/>
            <w:vAlign w:val="center"/>
            <w:hideMark/>
          </w:tcPr>
          <w:p w14:paraId="22312231" w14:textId="73A58B9E"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2,3</w:t>
            </w:r>
          </w:p>
        </w:tc>
        <w:tc>
          <w:tcPr>
            <w:tcW w:w="822" w:type="dxa"/>
            <w:tcBorders>
              <w:top w:val="nil"/>
              <w:left w:val="nil"/>
              <w:bottom w:val="nil"/>
              <w:right w:val="nil"/>
            </w:tcBorders>
            <w:shd w:val="clear" w:color="auto" w:fill="auto"/>
            <w:noWrap/>
            <w:vAlign w:val="center"/>
            <w:hideMark/>
          </w:tcPr>
          <w:p w14:paraId="51F97F47" w14:textId="2378B937"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2,3</w:t>
            </w:r>
          </w:p>
        </w:tc>
        <w:tc>
          <w:tcPr>
            <w:tcW w:w="822" w:type="dxa"/>
            <w:tcBorders>
              <w:top w:val="nil"/>
              <w:left w:val="nil"/>
              <w:bottom w:val="nil"/>
              <w:right w:val="nil"/>
            </w:tcBorders>
            <w:shd w:val="clear" w:color="auto" w:fill="auto"/>
            <w:noWrap/>
            <w:vAlign w:val="center"/>
            <w:hideMark/>
          </w:tcPr>
          <w:p w14:paraId="6B949996" w14:textId="0EE6C7CB"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2,2</w:t>
            </w:r>
          </w:p>
        </w:tc>
        <w:tc>
          <w:tcPr>
            <w:tcW w:w="822" w:type="dxa"/>
            <w:tcBorders>
              <w:top w:val="nil"/>
              <w:left w:val="nil"/>
              <w:bottom w:val="nil"/>
              <w:right w:val="nil"/>
            </w:tcBorders>
            <w:shd w:val="clear" w:color="auto" w:fill="auto"/>
            <w:noWrap/>
            <w:vAlign w:val="center"/>
            <w:hideMark/>
          </w:tcPr>
          <w:p w14:paraId="3ED504AE" w14:textId="6B8B547E"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2,2</w:t>
            </w:r>
          </w:p>
        </w:tc>
        <w:tc>
          <w:tcPr>
            <w:tcW w:w="822" w:type="dxa"/>
            <w:tcBorders>
              <w:top w:val="nil"/>
              <w:left w:val="nil"/>
              <w:bottom w:val="nil"/>
              <w:right w:val="nil"/>
            </w:tcBorders>
            <w:shd w:val="clear" w:color="auto" w:fill="D9D9D9"/>
            <w:vAlign w:val="center"/>
          </w:tcPr>
          <w:p w14:paraId="3FA6DB8C" w14:textId="643C68FA"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2,1</w:t>
            </w:r>
          </w:p>
        </w:tc>
        <w:tc>
          <w:tcPr>
            <w:tcW w:w="160" w:type="dxa"/>
            <w:tcBorders>
              <w:top w:val="nil"/>
              <w:left w:val="nil"/>
              <w:bottom w:val="nil"/>
              <w:right w:val="nil"/>
            </w:tcBorders>
          </w:tcPr>
          <w:p w14:paraId="6FAE18B2" w14:textId="77241E2F" w:rsidR="00355A4B" w:rsidRPr="00166BEB" w:rsidRDefault="00355A4B" w:rsidP="00355A4B">
            <w:pPr>
              <w:spacing w:after="0" w:line="240" w:lineRule="auto"/>
              <w:jc w:val="center"/>
              <w:rPr>
                <w:rFonts w:cs="Arial"/>
                <w:b/>
                <w:bCs/>
                <w:sz w:val="16"/>
                <w:szCs w:val="16"/>
                <w:highlight w:val="yellow"/>
              </w:rPr>
            </w:pPr>
          </w:p>
        </w:tc>
      </w:tr>
      <w:tr w:rsidR="00355A4B" w:rsidRPr="00166BEB" w14:paraId="2700F7A0" w14:textId="04F65AAE" w:rsidTr="004543DD">
        <w:trPr>
          <w:trHeight w:val="300"/>
        </w:trPr>
        <w:tc>
          <w:tcPr>
            <w:tcW w:w="1380" w:type="dxa"/>
            <w:tcBorders>
              <w:top w:val="nil"/>
              <w:left w:val="nil"/>
              <w:bottom w:val="nil"/>
              <w:right w:val="nil"/>
            </w:tcBorders>
            <w:shd w:val="clear" w:color="auto" w:fill="auto"/>
            <w:noWrap/>
            <w:vAlign w:val="center"/>
            <w:hideMark/>
          </w:tcPr>
          <w:p w14:paraId="55137BB4" w14:textId="26E44431"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Belgie</w:t>
            </w:r>
          </w:p>
        </w:tc>
        <w:tc>
          <w:tcPr>
            <w:tcW w:w="822" w:type="dxa"/>
            <w:tcBorders>
              <w:top w:val="nil"/>
              <w:left w:val="single" w:sz="4" w:space="0" w:color="000000"/>
              <w:bottom w:val="nil"/>
              <w:right w:val="nil"/>
            </w:tcBorders>
            <w:shd w:val="clear" w:color="auto" w:fill="auto"/>
            <w:noWrap/>
            <w:vAlign w:val="center"/>
            <w:hideMark/>
          </w:tcPr>
          <w:p w14:paraId="677D8C45" w14:textId="3A6B4A8E" w:rsidR="00355A4B" w:rsidRPr="00166BEB" w:rsidRDefault="00355A4B" w:rsidP="00355A4B">
            <w:pPr>
              <w:spacing w:after="0" w:line="240" w:lineRule="auto"/>
              <w:jc w:val="center"/>
              <w:rPr>
                <w:rFonts w:cs="Arial"/>
                <w:sz w:val="16"/>
                <w:szCs w:val="16"/>
                <w:highlight w:val="yellow"/>
              </w:rPr>
            </w:pPr>
            <w:r>
              <w:rPr>
                <w:rFonts w:cs="Arial"/>
                <w:sz w:val="16"/>
                <w:szCs w:val="16"/>
              </w:rPr>
              <w:t>4,5</w:t>
            </w:r>
          </w:p>
        </w:tc>
        <w:tc>
          <w:tcPr>
            <w:tcW w:w="822" w:type="dxa"/>
            <w:tcBorders>
              <w:top w:val="nil"/>
              <w:left w:val="nil"/>
              <w:bottom w:val="nil"/>
              <w:right w:val="nil"/>
            </w:tcBorders>
            <w:shd w:val="clear" w:color="auto" w:fill="auto"/>
            <w:noWrap/>
            <w:vAlign w:val="center"/>
            <w:hideMark/>
          </w:tcPr>
          <w:p w14:paraId="567B11C6" w14:textId="5070A7F8" w:rsidR="00355A4B" w:rsidRPr="00166BEB" w:rsidRDefault="00355A4B" w:rsidP="00355A4B">
            <w:pPr>
              <w:spacing w:after="0" w:line="240" w:lineRule="auto"/>
              <w:jc w:val="center"/>
              <w:rPr>
                <w:rFonts w:cs="Arial"/>
                <w:sz w:val="16"/>
                <w:szCs w:val="16"/>
                <w:highlight w:val="yellow"/>
              </w:rPr>
            </w:pPr>
            <w:r>
              <w:rPr>
                <w:rFonts w:cs="Arial"/>
                <w:sz w:val="16"/>
                <w:szCs w:val="16"/>
              </w:rPr>
              <w:t>2,1</w:t>
            </w:r>
          </w:p>
        </w:tc>
        <w:tc>
          <w:tcPr>
            <w:tcW w:w="822" w:type="dxa"/>
            <w:tcBorders>
              <w:top w:val="nil"/>
              <w:left w:val="nil"/>
              <w:bottom w:val="nil"/>
              <w:right w:val="nil"/>
            </w:tcBorders>
            <w:shd w:val="clear" w:color="auto" w:fill="auto"/>
            <w:noWrap/>
            <w:vAlign w:val="center"/>
            <w:hideMark/>
          </w:tcPr>
          <w:p w14:paraId="4A65C98C" w14:textId="55CDF585" w:rsidR="00355A4B" w:rsidRPr="00166BEB" w:rsidRDefault="00355A4B" w:rsidP="00355A4B">
            <w:pPr>
              <w:spacing w:after="0" w:line="240" w:lineRule="auto"/>
              <w:jc w:val="center"/>
              <w:rPr>
                <w:rFonts w:cs="Arial"/>
                <w:sz w:val="16"/>
                <w:szCs w:val="16"/>
                <w:highlight w:val="yellow"/>
              </w:rPr>
            </w:pPr>
            <w:r>
              <w:rPr>
                <w:rFonts w:cs="Arial"/>
                <w:sz w:val="16"/>
                <w:szCs w:val="16"/>
              </w:rPr>
              <w:t>3,1</w:t>
            </w:r>
          </w:p>
        </w:tc>
        <w:tc>
          <w:tcPr>
            <w:tcW w:w="822" w:type="dxa"/>
            <w:tcBorders>
              <w:top w:val="nil"/>
              <w:left w:val="nil"/>
              <w:bottom w:val="nil"/>
              <w:right w:val="nil"/>
            </w:tcBorders>
            <w:shd w:val="clear" w:color="000000" w:fill="DBDBDB"/>
            <w:noWrap/>
            <w:vAlign w:val="center"/>
            <w:hideMark/>
          </w:tcPr>
          <w:p w14:paraId="3DF1D9EC" w14:textId="0E3B92EF" w:rsidR="00355A4B" w:rsidRPr="00166BEB" w:rsidRDefault="00355A4B" w:rsidP="00355A4B">
            <w:pPr>
              <w:spacing w:after="0" w:line="240" w:lineRule="auto"/>
              <w:jc w:val="center"/>
              <w:rPr>
                <w:rFonts w:cs="Arial"/>
                <w:sz w:val="16"/>
                <w:szCs w:val="16"/>
                <w:highlight w:val="yellow"/>
              </w:rPr>
            </w:pPr>
            <w:r>
              <w:rPr>
                <w:rFonts w:cs="Arial"/>
                <w:sz w:val="16"/>
                <w:szCs w:val="16"/>
              </w:rPr>
              <w:t>1,7</w:t>
            </w:r>
          </w:p>
        </w:tc>
        <w:tc>
          <w:tcPr>
            <w:tcW w:w="822" w:type="dxa"/>
            <w:tcBorders>
              <w:top w:val="nil"/>
              <w:left w:val="nil"/>
              <w:bottom w:val="nil"/>
              <w:right w:val="nil"/>
            </w:tcBorders>
            <w:shd w:val="clear" w:color="auto" w:fill="auto"/>
            <w:noWrap/>
            <w:vAlign w:val="center"/>
            <w:hideMark/>
          </w:tcPr>
          <w:p w14:paraId="02421951" w14:textId="47DF6F1D" w:rsidR="00355A4B" w:rsidRPr="00166BEB" w:rsidRDefault="00355A4B" w:rsidP="00355A4B">
            <w:pPr>
              <w:spacing w:after="0" w:line="240" w:lineRule="auto"/>
              <w:jc w:val="center"/>
              <w:rPr>
                <w:rFonts w:cs="Arial"/>
                <w:sz w:val="16"/>
                <w:szCs w:val="16"/>
                <w:highlight w:val="yellow"/>
              </w:rPr>
            </w:pPr>
            <w:r>
              <w:rPr>
                <w:rFonts w:cs="Arial"/>
                <w:sz w:val="16"/>
                <w:szCs w:val="16"/>
              </w:rPr>
              <w:t>2,4</w:t>
            </w:r>
          </w:p>
        </w:tc>
        <w:tc>
          <w:tcPr>
            <w:tcW w:w="822" w:type="dxa"/>
            <w:tcBorders>
              <w:top w:val="nil"/>
              <w:left w:val="nil"/>
              <w:bottom w:val="nil"/>
              <w:right w:val="nil"/>
            </w:tcBorders>
            <w:shd w:val="clear" w:color="auto" w:fill="auto"/>
            <w:noWrap/>
            <w:vAlign w:val="center"/>
            <w:hideMark/>
          </w:tcPr>
          <w:p w14:paraId="3CD1DF17" w14:textId="33EAD13E"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5A6844B5" w14:textId="4ADE064F"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6D20ABF1" w14:textId="4B3EF731"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197134BD" w14:textId="49AECB35"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D9D9D9"/>
            <w:vAlign w:val="center"/>
          </w:tcPr>
          <w:p w14:paraId="0B415434" w14:textId="7C942458" w:rsidR="00355A4B" w:rsidRPr="00166BEB" w:rsidRDefault="00355A4B" w:rsidP="00355A4B">
            <w:pPr>
              <w:spacing w:after="0" w:line="240" w:lineRule="auto"/>
              <w:jc w:val="center"/>
              <w:rPr>
                <w:rFonts w:cs="Arial"/>
                <w:sz w:val="16"/>
                <w:szCs w:val="16"/>
                <w:highlight w:val="yellow"/>
              </w:rPr>
            </w:pPr>
            <w:r>
              <w:rPr>
                <w:rFonts w:cs="Arial"/>
                <w:sz w:val="16"/>
                <w:szCs w:val="16"/>
              </w:rPr>
              <w:t>2,1</w:t>
            </w:r>
          </w:p>
        </w:tc>
        <w:tc>
          <w:tcPr>
            <w:tcW w:w="160" w:type="dxa"/>
            <w:tcBorders>
              <w:top w:val="nil"/>
              <w:left w:val="nil"/>
              <w:bottom w:val="nil"/>
              <w:right w:val="nil"/>
            </w:tcBorders>
          </w:tcPr>
          <w:p w14:paraId="7A017BFB" w14:textId="7F41680A" w:rsidR="00355A4B" w:rsidRPr="00166BEB" w:rsidRDefault="00355A4B" w:rsidP="00355A4B">
            <w:pPr>
              <w:spacing w:after="0" w:line="240" w:lineRule="auto"/>
              <w:jc w:val="center"/>
              <w:rPr>
                <w:rFonts w:cs="Arial"/>
                <w:sz w:val="16"/>
                <w:szCs w:val="16"/>
                <w:highlight w:val="yellow"/>
              </w:rPr>
            </w:pPr>
          </w:p>
        </w:tc>
      </w:tr>
      <w:tr w:rsidR="00355A4B" w:rsidRPr="00166BEB" w14:paraId="3C5C54A4" w14:textId="25FE43EC" w:rsidTr="004543DD">
        <w:trPr>
          <w:trHeight w:val="300"/>
        </w:trPr>
        <w:tc>
          <w:tcPr>
            <w:tcW w:w="1380" w:type="dxa"/>
            <w:tcBorders>
              <w:top w:val="nil"/>
              <w:left w:val="nil"/>
              <w:bottom w:val="nil"/>
              <w:right w:val="nil"/>
            </w:tcBorders>
            <w:shd w:val="clear" w:color="auto" w:fill="auto"/>
            <w:noWrap/>
            <w:vAlign w:val="center"/>
            <w:hideMark/>
          </w:tcPr>
          <w:p w14:paraId="6B287B1B" w14:textId="645ADB30"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Bulharsko</w:t>
            </w:r>
          </w:p>
        </w:tc>
        <w:tc>
          <w:tcPr>
            <w:tcW w:w="822" w:type="dxa"/>
            <w:tcBorders>
              <w:top w:val="nil"/>
              <w:left w:val="single" w:sz="4" w:space="0" w:color="000000"/>
              <w:bottom w:val="nil"/>
              <w:right w:val="nil"/>
            </w:tcBorders>
            <w:shd w:val="clear" w:color="auto" w:fill="auto"/>
            <w:noWrap/>
            <w:vAlign w:val="center"/>
            <w:hideMark/>
          </w:tcPr>
          <w:p w14:paraId="0B07ADAD" w14:textId="330E590A" w:rsidR="00355A4B" w:rsidRPr="00166BEB" w:rsidRDefault="00355A4B" w:rsidP="00355A4B">
            <w:pPr>
              <w:spacing w:after="0" w:line="240" w:lineRule="auto"/>
              <w:jc w:val="center"/>
              <w:rPr>
                <w:rFonts w:cs="Arial"/>
                <w:sz w:val="16"/>
                <w:szCs w:val="16"/>
                <w:highlight w:val="yellow"/>
              </w:rPr>
            </w:pPr>
            <w:r>
              <w:rPr>
                <w:rFonts w:cs="Arial"/>
                <w:sz w:val="16"/>
                <w:szCs w:val="16"/>
              </w:rPr>
              <w:t>4,6</w:t>
            </w:r>
          </w:p>
        </w:tc>
        <w:tc>
          <w:tcPr>
            <w:tcW w:w="822" w:type="dxa"/>
            <w:tcBorders>
              <w:top w:val="nil"/>
              <w:left w:val="nil"/>
              <w:bottom w:val="nil"/>
              <w:right w:val="nil"/>
            </w:tcBorders>
            <w:shd w:val="clear" w:color="auto" w:fill="auto"/>
            <w:noWrap/>
            <w:vAlign w:val="center"/>
            <w:hideMark/>
          </w:tcPr>
          <w:p w14:paraId="409E8ADB" w14:textId="22342FC8" w:rsidR="00355A4B" w:rsidRPr="00166BEB" w:rsidRDefault="00355A4B" w:rsidP="00355A4B">
            <w:pPr>
              <w:spacing w:after="0" w:line="240" w:lineRule="auto"/>
              <w:jc w:val="center"/>
              <w:rPr>
                <w:rFonts w:cs="Arial"/>
                <w:sz w:val="16"/>
                <w:szCs w:val="16"/>
                <w:highlight w:val="yellow"/>
              </w:rPr>
            </w:pPr>
            <w:r>
              <w:rPr>
                <w:rFonts w:cs="Arial"/>
                <w:sz w:val="16"/>
                <w:szCs w:val="16"/>
              </w:rPr>
              <w:t>4,7</w:t>
            </w:r>
          </w:p>
        </w:tc>
        <w:tc>
          <w:tcPr>
            <w:tcW w:w="822" w:type="dxa"/>
            <w:tcBorders>
              <w:top w:val="nil"/>
              <w:left w:val="nil"/>
              <w:bottom w:val="nil"/>
              <w:right w:val="nil"/>
            </w:tcBorders>
            <w:shd w:val="clear" w:color="auto" w:fill="auto"/>
            <w:noWrap/>
            <w:vAlign w:val="center"/>
            <w:hideMark/>
          </w:tcPr>
          <w:p w14:paraId="1D41D890" w14:textId="45ABC026" w:rsidR="00355A4B" w:rsidRPr="00166BEB" w:rsidRDefault="00355A4B" w:rsidP="00355A4B">
            <w:pPr>
              <w:spacing w:after="0" w:line="240" w:lineRule="auto"/>
              <w:jc w:val="center"/>
              <w:rPr>
                <w:rFonts w:cs="Arial"/>
                <w:sz w:val="16"/>
                <w:szCs w:val="16"/>
                <w:highlight w:val="yellow"/>
              </w:rPr>
            </w:pPr>
            <w:r>
              <w:rPr>
                <w:rFonts w:cs="Arial"/>
                <w:sz w:val="16"/>
                <w:szCs w:val="16"/>
              </w:rPr>
              <w:t>3,7</w:t>
            </w:r>
          </w:p>
        </w:tc>
        <w:tc>
          <w:tcPr>
            <w:tcW w:w="822" w:type="dxa"/>
            <w:tcBorders>
              <w:top w:val="nil"/>
              <w:left w:val="nil"/>
              <w:bottom w:val="nil"/>
              <w:right w:val="nil"/>
            </w:tcBorders>
            <w:shd w:val="clear" w:color="auto" w:fill="auto"/>
            <w:noWrap/>
            <w:vAlign w:val="center"/>
            <w:hideMark/>
          </w:tcPr>
          <w:p w14:paraId="021DE076" w14:textId="70773D9F" w:rsidR="00355A4B" w:rsidRPr="00166BEB" w:rsidRDefault="00355A4B" w:rsidP="00355A4B">
            <w:pPr>
              <w:spacing w:after="0" w:line="240" w:lineRule="auto"/>
              <w:jc w:val="center"/>
              <w:rPr>
                <w:rFonts w:cs="Arial"/>
                <w:sz w:val="16"/>
                <w:szCs w:val="16"/>
                <w:highlight w:val="yellow"/>
              </w:rPr>
            </w:pPr>
            <w:r>
              <w:rPr>
                <w:rFonts w:cs="Arial"/>
                <w:sz w:val="16"/>
                <w:szCs w:val="16"/>
              </w:rPr>
              <w:t>5,4</w:t>
            </w:r>
          </w:p>
        </w:tc>
        <w:tc>
          <w:tcPr>
            <w:tcW w:w="822" w:type="dxa"/>
            <w:tcBorders>
              <w:top w:val="nil"/>
              <w:left w:val="nil"/>
              <w:bottom w:val="nil"/>
              <w:right w:val="nil"/>
            </w:tcBorders>
            <w:shd w:val="clear" w:color="auto" w:fill="auto"/>
            <w:noWrap/>
            <w:vAlign w:val="center"/>
            <w:hideMark/>
          </w:tcPr>
          <w:p w14:paraId="4F38C1AB" w14:textId="4647902A" w:rsidR="00355A4B" w:rsidRPr="00166BEB" w:rsidRDefault="00355A4B" w:rsidP="00355A4B">
            <w:pPr>
              <w:spacing w:after="0" w:line="240" w:lineRule="auto"/>
              <w:jc w:val="center"/>
              <w:rPr>
                <w:rFonts w:cs="Arial"/>
                <w:sz w:val="16"/>
                <w:szCs w:val="16"/>
                <w:highlight w:val="yellow"/>
              </w:rPr>
            </w:pPr>
            <w:r>
              <w:rPr>
                <w:rFonts w:cs="Arial"/>
                <w:sz w:val="16"/>
                <w:szCs w:val="16"/>
              </w:rPr>
              <w:t>4,3</w:t>
            </w:r>
          </w:p>
        </w:tc>
        <w:tc>
          <w:tcPr>
            <w:tcW w:w="822" w:type="dxa"/>
            <w:tcBorders>
              <w:top w:val="nil"/>
              <w:left w:val="nil"/>
              <w:bottom w:val="nil"/>
              <w:right w:val="nil"/>
            </w:tcBorders>
            <w:shd w:val="clear" w:color="auto" w:fill="auto"/>
            <w:noWrap/>
            <w:vAlign w:val="center"/>
            <w:hideMark/>
          </w:tcPr>
          <w:p w14:paraId="4F6A9CCE" w14:textId="3ED4914B" w:rsidR="00355A4B" w:rsidRPr="00166BEB" w:rsidRDefault="00355A4B" w:rsidP="00355A4B">
            <w:pPr>
              <w:spacing w:after="0" w:line="240" w:lineRule="auto"/>
              <w:jc w:val="center"/>
              <w:rPr>
                <w:rFonts w:cs="Arial"/>
                <w:sz w:val="16"/>
                <w:szCs w:val="16"/>
                <w:highlight w:val="yellow"/>
              </w:rPr>
            </w:pPr>
            <w:r>
              <w:rPr>
                <w:rFonts w:cs="Arial"/>
                <w:sz w:val="16"/>
                <w:szCs w:val="16"/>
              </w:rPr>
              <w:t>3,7</w:t>
            </w:r>
          </w:p>
        </w:tc>
        <w:tc>
          <w:tcPr>
            <w:tcW w:w="822" w:type="dxa"/>
            <w:tcBorders>
              <w:top w:val="nil"/>
              <w:left w:val="nil"/>
              <w:bottom w:val="nil"/>
              <w:right w:val="nil"/>
            </w:tcBorders>
            <w:shd w:val="clear" w:color="auto" w:fill="auto"/>
            <w:noWrap/>
            <w:vAlign w:val="center"/>
            <w:hideMark/>
          </w:tcPr>
          <w:p w14:paraId="480E79F4" w14:textId="7952AFFB" w:rsidR="00355A4B" w:rsidRPr="00166BEB" w:rsidRDefault="00355A4B" w:rsidP="00355A4B">
            <w:pPr>
              <w:spacing w:after="0" w:line="240" w:lineRule="auto"/>
              <w:jc w:val="center"/>
              <w:rPr>
                <w:rFonts w:cs="Arial"/>
                <w:sz w:val="16"/>
                <w:szCs w:val="16"/>
                <w:highlight w:val="yellow"/>
              </w:rPr>
            </w:pPr>
            <w:r>
              <w:rPr>
                <w:rFonts w:cs="Arial"/>
                <w:sz w:val="16"/>
                <w:szCs w:val="16"/>
              </w:rPr>
              <w:t>4,3</w:t>
            </w:r>
          </w:p>
        </w:tc>
        <w:tc>
          <w:tcPr>
            <w:tcW w:w="822" w:type="dxa"/>
            <w:tcBorders>
              <w:top w:val="nil"/>
              <w:left w:val="nil"/>
              <w:bottom w:val="nil"/>
              <w:right w:val="nil"/>
            </w:tcBorders>
            <w:shd w:val="clear" w:color="auto" w:fill="auto"/>
            <w:noWrap/>
            <w:vAlign w:val="center"/>
            <w:hideMark/>
          </w:tcPr>
          <w:p w14:paraId="6E696DCA" w14:textId="5B95329C" w:rsidR="00355A4B" w:rsidRPr="00166BEB" w:rsidRDefault="00355A4B" w:rsidP="00355A4B">
            <w:pPr>
              <w:spacing w:after="0" w:line="240" w:lineRule="auto"/>
              <w:jc w:val="center"/>
              <w:rPr>
                <w:rFonts w:cs="Arial"/>
                <w:sz w:val="16"/>
                <w:szCs w:val="16"/>
                <w:highlight w:val="yellow"/>
              </w:rPr>
            </w:pPr>
            <w:r>
              <w:rPr>
                <w:rFonts w:cs="Arial"/>
                <w:sz w:val="16"/>
                <w:szCs w:val="16"/>
              </w:rPr>
              <w:t>3,8</w:t>
            </w:r>
          </w:p>
        </w:tc>
        <w:tc>
          <w:tcPr>
            <w:tcW w:w="822" w:type="dxa"/>
            <w:tcBorders>
              <w:top w:val="nil"/>
              <w:left w:val="nil"/>
              <w:bottom w:val="nil"/>
              <w:right w:val="nil"/>
            </w:tcBorders>
            <w:shd w:val="clear" w:color="auto" w:fill="auto"/>
            <w:noWrap/>
            <w:vAlign w:val="center"/>
            <w:hideMark/>
          </w:tcPr>
          <w:p w14:paraId="5DA5CAA7" w14:textId="36EAA51F" w:rsidR="00355A4B" w:rsidRPr="00166BEB" w:rsidRDefault="00355A4B" w:rsidP="00355A4B">
            <w:pPr>
              <w:spacing w:after="0" w:line="240" w:lineRule="auto"/>
              <w:jc w:val="center"/>
              <w:rPr>
                <w:rFonts w:cs="Arial"/>
                <w:sz w:val="16"/>
                <w:szCs w:val="16"/>
                <w:highlight w:val="yellow"/>
              </w:rPr>
            </w:pPr>
            <w:r>
              <w:rPr>
                <w:rFonts w:cs="Arial"/>
                <w:sz w:val="16"/>
                <w:szCs w:val="16"/>
              </w:rPr>
              <w:t>4,1</w:t>
            </w:r>
          </w:p>
        </w:tc>
        <w:tc>
          <w:tcPr>
            <w:tcW w:w="822" w:type="dxa"/>
            <w:tcBorders>
              <w:top w:val="nil"/>
              <w:left w:val="nil"/>
              <w:bottom w:val="nil"/>
              <w:right w:val="nil"/>
            </w:tcBorders>
            <w:shd w:val="clear" w:color="auto" w:fill="D9D9D9"/>
            <w:vAlign w:val="center"/>
          </w:tcPr>
          <w:p w14:paraId="382B31DC" w14:textId="5A4348E4" w:rsidR="00355A4B" w:rsidRPr="00166BEB" w:rsidRDefault="00355A4B" w:rsidP="00355A4B">
            <w:pPr>
              <w:spacing w:after="0" w:line="240" w:lineRule="auto"/>
              <w:jc w:val="center"/>
              <w:rPr>
                <w:rFonts w:cs="Arial"/>
                <w:sz w:val="16"/>
                <w:szCs w:val="16"/>
                <w:highlight w:val="yellow"/>
              </w:rPr>
            </w:pPr>
            <w:r>
              <w:rPr>
                <w:rFonts w:cs="Arial"/>
                <w:sz w:val="16"/>
                <w:szCs w:val="16"/>
              </w:rPr>
              <w:t>4,5</w:t>
            </w:r>
          </w:p>
        </w:tc>
        <w:tc>
          <w:tcPr>
            <w:tcW w:w="160" w:type="dxa"/>
            <w:tcBorders>
              <w:top w:val="nil"/>
              <w:left w:val="nil"/>
              <w:bottom w:val="nil"/>
              <w:right w:val="nil"/>
            </w:tcBorders>
          </w:tcPr>
          <w:p w14:paraId="26807267" w14:textId="6447F913" w:rsidR="00355A4B" w:rsidRPr="00166BEB" w:rsidRDefault="00355A4B" w:rsidP="00355A4B">
            <w:pPr>
              <w:spacing w:after="0" w:line="240" w:lineRule="auto"/>
              <w:jc w:val="center"/>
              <w:rPr>
                <w:rFonts w:cs="Arial"/>
                <w:sz w:val="16"/>
                <w:szCs w:val="16"/>
                <w:highlight w:val="yellow"/>
              </w:rPr>
            </w:pPr>
          </w:p>
        </w:tc>
      </w:tr>
      <w:tr w:rsidR="00355A4B" w:rsidRPr="00166BEB" w14:paraId="216F54EC" w14:textId="28B19FB4" w:rsidTr="004543DD">
        <w:trPr>
          <w:gridAfter w:val="1"/>
          <w:wAfter w:w="160" w:type="dxa"/>
          <w:trHeight w:val="300"/>
        </w:trPr>
        <w:tc>
          <w:tcPr>
            <w:tcW w:w="1380" w:type="dxa"/>
            <w:tcBorders>
              <w:top w:val="nil"/>
              <w:left w:val="nil"/>
              <w:bottom w:val="nil"/>
              <w:right w:val="nil"/>
            </w:tcBorders>
            <w:shd w:val="clear" w:color="auto" w:fill="auto"/>
            <w:noWrap/>
            <w:vAlign w:val="center"/>
            <w:hideMark/>
          </w:tcPr>
          <w:p w14:paraId="3D27E79A" w14:textId="7C303FB0" w:rsidR="00355A4B" w:rsidRPr="00166BEB" w:rsidRDefault="00355A4B" w:rsidP="00355A4B">
            <w:pPr>
              <w:spacing w:after="0" w:line="240" w:lineRule="auto"/>
              <w:ind w:firstLineChars="100" w:firstLine="160"/>
              <w:rPr>
                <w:rFonts w:cs="Arial"/>
                <w:b/>
                <w:bCs/>
                <w:sz w:val="16"/>
                <w:szCs w:val="16"/>
                <w:highlight w:val="yellow"/>
              </w:rPr>
            </w:pPr>
            <w:r>
              <w:rPr>
                <w:rFonts w:cs="Arial"/>
                <w:b/>
                <w:bCs/>
                <w:sz w:val="16"/>
                <w:szCs w:val="16"/>
              </w:rPr>
              <w:t>Česko</w:t>
            </w:r>
          </w:p>
        </w:tc>
        <w:tc>
          <w:tcPr>
            <w:tcW w:w="822" w:type="dxa"/>
            <w:tcBorders>
              <w:top w:val="nil"/>
              <w:left w:val="single" w:sz="4" w:space="0" w:color="000000"/>
              <w:bottom w:val="nil"/>
              <w:right w:val="nil"/>
            </w:tcBorders>
            <w:shd w:val="clear" w:color="auto" w:fill="auto"/>
            <w:noWrap/>
            <w:vAlign w:val="center"/>
            <w:hideMark/>
          </w:tcPr>
          <w:p w14:paraId="3EECD87C" w14:textId="6E8F35A8"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4,0</w:t>
            </w:r>
          </w:p>
        </w:tc>
        <w:tc>
          <w:tcPr>
            <w:tcW w:w="822" w:type="dxa"/>
            <w:tcBorders>
              <w:top w:val="nil"/>
              <w:left w:val="nil"/>
              <w:bottom w:val="nil"/>
              <w:right w:val="nil"/>
            </w:tcBorders>
            <w:shd w:val="clear" w:color="auto" w:fill="auto"/>
            <w:noWrap/>
            <w:vAlign w:val="center"/>
            <w:hideMark/>
          </w:tcPr>
          <w:p w14:paraId="1F39E936" w14:textId="31EC96E5"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3,0</w:t>
            </w:r>
          </w:p>
        </w:tc>
        <w:tc>
          <w:tcPr>
            <w:tcW w:w="822" w:type="dxa"/>
            <w:tcBorders>
              <w:top w:val="nil"/>
              <w:left w:val="nil"/>
              <w:bottom w:val="nil"/>
              <w:right w:val="nil"/>
            </w:tcBorders>
            <w:shd w:val="clear" w:color="auto" w:fill="auto"/>
            <w:noWrap/>
            <w:vAlign w:val="center"/>
            <w:hideMark/>
          </w:tcPr>
          <w:p w14:paraId="0BB48022" w14:textId="3EEDB94D"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2,7</w:t>
            </w:r>
          </w:p>
        </w:tc>
        <w:tc>
          <w:tcPr>
            <w:tcW w:w="822" w:type="dxa"/>
            <w:tcBorders>
              <w:top w:val="nil"/>
              <w:left w:val="nil"/>
              <w:bottom w:val="nil"/>
              <w:right w:val="nil"/>
            </w:tcBorders>
            <w:shd w:val="clear" w:color="auto" w:fill="auto"/>
            <w:noWrap/>
            <w:vAlign w:val="center"/>
            <w:hideMark/>
          </w:tcPr>
          <w:p w14:paraId="26A43EB7" w14:textId="00D02DF1"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2,6</w:t>
            </w:r>
          </w:p>
        </w:tc>
        <w:tc>
          <w:tcPr>
            <w:tcW w:w="822" w:type="dxa"/>
            <w:tcBorders>
              <w:top w:val="nil"/>
              <w:left w:val="nil"/>
              <w:bottom w:val="nil"/>
              <w:right w:val="nil"/>
            </w:tcBorders>
            <w:shd w:val="clear" w:color="auto" w:fill="auto"/>
            <w:noWrap/>
            <w:vAlign w:val="center"/>
            <w:hideMark/>
          </w:tcPr>
          <w:p w14:paraId="0606CC53" w14:textId="1FA4E0F0"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3,4</w:t>
            </w:r>
          </w:p>
        </w:tc>
        <w:tc>
          <w:tcPr>
            <w:tcW w:w="822" w:type="dxa"/>
            <w:tcBorders>
              <w:top w:val="nil"/>
              <w:left w:val="nil"/>
              <w:bottom w:val="nil"/>
              <w:right w:val="nil"/>
            </w:tcBorders>
            <w:shd w:val="clear" w:color="auto" w:fill="auto"/>
            <w:noWrap/>
            <w:vAlign w:val="center"/>
            <w:hideMark/>
          </w:tcPr>
          <w:p w14:paraId="4DD93776" w14:textId="69900EA6"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2,2</w:t>
            </w:r>
          </w:p>
        </w:tc>
        <w:tc>
          <w:tcPr>
            <w:tcW w:w="822" w:type="dxa"/>
            <w:tcBorders>
              <w:top w:val="nil"/>
              <w:left w:val="nil"/>
              <w:bottom w:val="nil"/>
              <w:right w:val="nil"/>
            </w:tcBorders>
            <w:shd w:val="clear" w:color="auto" w:fill="auto"/>
            <w:noWrap/>
            <w:vAlign w:val="center"/>
            <w:hideMark/>
          </w:tcPr>
          <w:p w14:paraId="21318342" w14:textId="4240D12E"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2,1</w:t>
            </w:r>
          </w:p>
        </w:tc>
        <w:tc>
          <w:tcPr>
            <w:tcW w:w="822" w:type="dxa"/>
            <w:tcBorders>
              <w:top w:val="nil"/>
              <w:left w:val="nil"/>
              <w:bottom w:val="nil"/>
              <w:right w:val="nil"/>
            </w:tcBorders>
            <w:shd w:val="clear" w:color="auto" w:fill="auto"/>
            <w:noWrap/>
            <w:vAlign w:val="center"/>
            <w:hideMark/>
          </w:tcPr>
          <w:p w14:paraId="03854935" w14:textId="2C76E01F"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2,9</w:t>
            </w:r>
          </w:p>
        </w:tc>
        <w:tc>
          <w:tcPr>
            <w:tcW w:w="822" w:type="dxa"/>
            <w:tcBorders>
              <w:top w:val="nil"/>
              <w:left w:val="nil"/>
              <w:bottom w:val="nil"/>
              <w:right w:val="nil"/>
            </w:tcBorders>
            <w:shd w:val="clear" w:color="auto" w:fill="auto"/>
            <w:noWrap/>
            <w:vAlign w:val="center"/>
            <w:hideMark/>
          </w:tcPr>
          <w:p w14:paraId="2B561BA5" w14:textId="54DC470C"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2,4</w:t>
            </w:r>
          </w:p>
        </w:tc>
        <w:tc>
          <w:tcPr>
            <w:tcW w:w="822" w:type="dxa"/>
            <w:tcBorders>
              <w:top w:val="nil"/>
              <w:left w:val="nil"/>
              <w:bottom w:val="nil"/>
              <w:right w:val="nil"/>
            </w:tcBorders>
            <w:shd w:val="clear" w:color="auto" w:fill="D9D9D9"/>
            <w:vAlign w:val="center"/>
          </w:tcPr>
          <w:p w14:paraId="4FF1DE4B" w14:textId="625035A8" w:rsidR="00355A4B" w:rsidRPr="00166BEB" w:rsidRDefault="00355A4B" w:rsidP="00355A4B">
            <w:pPr>
              <w:spacing w:after="0" w:line="240" w:lineRule="auto"/>
              <w:jc w:val="center"/>
              <w:rPr>
                <w:rFonts w:cs="Arial"/>
                <w:b/>
                <w:bCs/>
                <w:sz w:val="16"/>
                <w:szCs w:val="16"/>
                <w:highlight w:val="yellow"/>
              </w:rPr>
            </w:pPr>
            <w:r>
              <w:rPr>
                <w:rFonts w:cs="Arial"/>
                <w:b/>
                <w:bCs/>
                <w:sz w:val="16"/>
                <w:szCs w:val="16"/>
              </w:rPr>
              <w:t>2,5</w:t>
            </w:r>
          </w:p>
        </w:tc>
      </w:tr>
      <w:tr w:rsidR="00355A4B" w:rsidRPr="00166BEB" w14:paraId="27B0AA14" w14:textId="1526103C" w:rsidTr="004543DD">
        <w:trPr>
          <w:trHeight w:val="300"/>
        </w:trPr>
        <w:tc>
          <w:tcPr>
            <w:tcW w:w="1380" w:type="dxa"/>
            <w:tcBorders>
              <w:top w:val="nil"/>
              <w:left w:val="nil"/>
              <w:bottom w:val="nil"/>
              <w:right w:val="nil"/>
            </w:tcBorders>
            <w:shd w:val="clear" w:color="auto" w:fill="auto"/>
            <w:noWrap/>
            <w:vAlign w:val="center"/>
            <w:hideMark/>
          </w:tcPr>
          <w:p w14:paraId="47199C41" w14:textId="5A9C92D4"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Dánsko</w:t>
            </w:r>
          </w:p>
        </w:tc>
        <w:tc>
          <w:tcPr>
            <w:tcW w:w="822" w:type="dxa"/>
            <w:tcBorders>
              <w:top w:val="nil"/>
              <w:left w:val="single" w:sz="4" w:space="0" w:color="000000"/>
              <w:bottom w:val="nil"/>
              <w:right w:val="nil"/>
            </w:tcBorders>
            <w:shd w:val="clear" w:color="auto" w:fill="auto"/>
            <w:noWrap/>
            <w:vAlign w:val="center"/>
            <w:hideMark/>
          </w:tcPr>
          <w:p w14:paraId="3C8C3E22" w14:textId="493B756E" w:rsidR="00355A4B" w:rsidRPr="00166BEB" w:rsidRDefault="00355A4B" w:rsidP="00355A4B">
            <w:pPr>
              <w:spacing w:after="0" w:line="240" w:lineRule="auto"/>
              <w:jc w:val="center"/>
              <w:rPr>
                <w:rFonts w:cs="Arial"/>
                <w:sz w:val="16"/>
                <w:szCs w:val="16"/>
                <w:highlight w:val="yellow"/>
              </w:rPr>
            </w:pPr>
            <w:r>
              <w:rPr>
                <w:rFonts w:cs="Arial"/>
                <w:sz w:val="16"/>
                <w:szCs w:val="16"/>
              </w:rPr>
              <w:t>3,2</w:t>
            </w:r>
          </w:p>
        </w:tc>
        <w:tc>
          <w:tcPr>
            <w:tcW w:w="822" w:type="dxa"/>
            <w:tcBorders>
              <w:top w:val="nil"/>
              <w:left w:val="nil"/>
              <w:bottom w:val="nil"/>
              <w:right w:val="nil"/>
            </w:tcBorders>
            <w:shd w:val="clear" w:color="auto" w:fill="auto"/>
            <w:noWrap/>
            <w:vAlign w:val="center"/>
            <w:hideMark/>
          </w:tcPr>
          <w:p w14:paraId="6B3873FE" w14:textId="013BF43C" w:rsidR="00355A4B" w:rsidRPr="00166BEB" w:rsidRDefault="00355A4B" w:rsidP="00355A4B">
            <w:pPr>
              <w:spacing w:after="0" w:line="240" w:lineRule="auto"/>
              <w:jc w:val="center"/>
              <w:rPr>
                <w:rFonts w:cs="Arial"/>
                <w:sz w:val="16"/>
                <w:szCs w:val="16"/>
                <w:highlight w:val="yellow"/>
              </w:rPr>
            </w:pPr>
            <w:r>
              <w:rPr>
                <w:rFonts w:cs="Arial"/>
                <w:sz w:val="16"/>
                <w:szCs w:val="16"/>
              </w:rPr>
              <w:t>3,0</w:t>
            </w:r>
          </w:p>
        </w:tc>
        <w:tc>
          <w:tcPr>
            <w:tcW w:w="822" w:type="dxa"/>
            <w:tcBorders>
              <w:top w:val="nil"/>
              <w:left w:val="nil"/>
              <w:bottom w:val="nil"/>
              <w:right w:val="nil"/>
            </w:tcBorders>
            <w:shd w:val="clear" w:color="auto" w:fill="auto"/>
            <w:noWrap/>
            <w:vAlign w:val="center"/>
            <w:hideMark/>
          </w:tcPr>
          <w:p w14:paraId="6FC6C8B6" w14:textId="6E44D4D4"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380EEE9F" w14:textId="2EFA488B"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2FE51105" w14:textId="540BBE7F" w:rsidR="00355A4B" w:rsidRPr="00166BEB" w:rsidRDefault="00355A4B" w:rsidP="00355A4B">
            <w:pPr>
              <w:spacing w:after="0" w:line="240" w:lineRule="auto"/>
              <w:jc w:val="center"/>
              <w:rPr>
                <w:rFonts w:cs="Arial"/>
                <w:sz w:val="16"/>
                <w:szCs w:val="16"/>
                <w:highlight w:val="yellow"/>
              </w:rPr>
            </w:pPr>
            <w:r>
              <w:rPr>
                <w:rFonts w:cs="Arial"/>
                <w:sz w:val="16"/>
                <w:szCs w:val="16"/>
              </w:rPr>
              <w:t>1,4</w:t>
            </w:r>
          </w:p>
        </w:tc>
        <w:tc>
          <w:tcPr>
            <w:tcW w:w="822" w:type="dxa"/>
            <w:tcBorders>
              <w:top w:val="nil"/>
              <w:left w:val="nil"/>
              <w:bottom w:val="nil"/>
              <w:right w:val="nil"/>
            </w:tcBorders>
            <w:shd w:val="clear" w:color="auto" w:fill="auto"/>
            <w:noWrap/>
            <w:vAlign w:val="center"/>
            <w:hideMark/>
          </w:tcPr>
          <w:p w14:paraId="01CABCB2" w14:textId="1CC206F3"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59B59DE7" w14:textId="16587727" w:rsidR="00355A4B" w:rsidRPr="00166BEB" w:rsidRDefault="00355A4B" w:rsidP="00355A4B">
            <w:pPr>
              <w:spacing w:after="0" w:line="240" w:lineRule="auto"/>
              <w:jc w:val="center"/>
              <w:rPr>
                <w:rFonts w:cs="Arial"/>
                <w:sz w:val="16"/>
                <w:szCs w:val="16"/>
                <w:highlight w:val="yellow"/>
              </w:rPr>
            </w:pPr>
            <w:r>
              <w:rPr>
                <w:rFonts w:cs="Arial"/>
                <w:sz w:val="16"/>
                <w:szCs w:val="16"/>
              </w:rPr>
              <w:t>1,3</w:t>
            </w:r>
          </w:p>
        </w:tc>
        <w:tc>
          <w:tcPr>
            <w:tcW w:w="822" w:type="dxa"/>
            <w:tcBorders>
              <w:top w:val="nil"/>
              <w:left w:val="nil"/>
              <w:bottom w:val="nil"/>
              <w:right w:val="nil"/>
            </w:tcBorders>
            <w:shd w:val="clear" w:color="auto" w:fill="auto"/>
            <w:noWrap/>
            <w:vAlign w:val="center"/>
            <w:hideMark/>
          </w:tcPr>
          <w:p w14:paraId="27778B53" w14:textId="5A04A960"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3028C8EB" w14:textId="33ECE075"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822" w:type="dxa"/>
            <w:tcBorders>
              <w:top w:val="nil"/>
              <w:left w:val="nil"/>
              <w:bottom w:val="nil"/>
              <w:right w:val="nil"/>
            </w:tcBorders>
            <w:shd w:val="clear" w:color="auto" w:fill="D9D9D9"/>
            <w:vAlign w:val="center"/>
          </w:tcPr>
          <w:p w14:paraId="7E1EC5A0" w14:textId="3A275E46" w:rsidR="00355A4B" w:rsidRPr="00166BEB" w:rsidRDefault="00355A4B" w:rsidP="00355A4B">
            <w:pPr>
              <w:spacing w:after="0" w:line="240" w:lineRule="auto"/>
              <w:jc w:val="center"/>
              <w:rPr>
                <w:rFonts w:cs="Arial"/>
                <w:sz w:val="16"/>
                <w:szCs w:val="16"/>
                <w:highlight w:val="yellow"/>
              </w:rPr>
            </w:pPr>
            <w:r>
              <w:rPr>
                <w:rFonts w:cs="Arial"/>
                <w:sz w:val="16"/>
                <w:szCs w:val="16"/>
              </w:rPr>
              <w:t>2,0</w:t>
            </w:r>
          </w:p>
        </w:tc>
        <w:tc>
          <w:tcPr>
            <w:tcW w:w="160" w:type="dxa"/>
            <w:tcBorders>
              <w:top w:val="nil"/>
              <w:left w:val="nil"/>
              <w:bottom w:val="nil"/>
              <w:right w:val="nil"/>
            </w:tcBorders>
          </w:tcPr>
          <w:p w14:paraId="704986F7" w14:textId="0CE9BDB0" w:rsidR="00355A4B" w:rsidRPr="00166BEB" w:rsidRDefault="00355A4B" w:rsidP="00355A4B">
            <w:pPr>
              <w:spacing w:after="0" w:line="240" w:lineRule="auto"/>
              <w:jc w:val="center"/>
              <w:rPr>
                <w:rFonts w:cs="Arial"/>
                <w:sz w:val="16"/>
                <w:szCs w:val="16"/>
                <w:highlight w:val="yellow"/>
              </w:rPr>
            </w:pPr>
          </w:p>
        </w:tc>
      </w:tr>
      <w:tr w:rsidR="00355A4B" w:rsidRPr="00166BEB" w14:paraId="52E89011" w14:textId="4FCBA246" w:rsidTr="004543DD">
        <w:trPr>
          <w:trHeight w:val="300"/>
        </w:trPr>
        <w:tc>
          <w:tcPr>
            <w:tcW w:w="1380" w:type="dxa"/>
            <w:tcBorders>
              <w:top w:val="nil"/>
              <w:left w:val="nil"/>
              <w:bottom w:val="nil"/>
              <w:right w:val="nil"/>
            </w:tcBorders>
            <w:shd w:val="clear" w:color="auto" w:fill="auto"/>
            <w:noWrap/>
            <w:vAlign w:val="center"/>
            <w:hideMark/>
          </w:tcPr>
          <w:p w14:paraId="3F79786A" w14:textId="3A9063BB"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Estonsko</w:t>
            </w:r>
          </w:p>
        </w:tc>
        <w:tc>
          <w:tcPr>
            <w:tcW w:w="822" w:type="dxa"/>
            <w:tcBorders>
              <w:top w:val="nil"/>
              <w:left w:val="single" w:sz="4" w:space="0" w:color="000000"/>
              <w:bottom w:val="nil"/>
              <w:right w:val="nil"/>
            </w:tcBorders>
            <w:shd w:val="clear" w:color="auto" w:fill="auto"/>
            <w:noWrap/>
            <w:vAlign w:val="center"/>
            <w:hideMark/>
          </w:tcPr>
          <w:p w14:paraId="320D485C" w14:textId="7D3BA875"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auto"/>
            <w:noWrap/>
            <w:vAlign w:val="center"/>
            <w:hideMark/>
          </w:tcPr>
          <w:p w14:paraId="429DC0B2" w14:textId="34D27B8D"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38F64D3F" w14:textId="260E2A3A"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auto"/>
            <w:noWrap/>
            <w:vAlign w:val="center"/>
            <w:hideMark/>
          </w:tcPr>
          <w:p w14:paraId="5BFE48E5" w14:textId="4CAC05D7" w:rsidR="00355A4B" w:rsidRPr="00166BEB" w:rsidRDefault="00355A4B" w:rsidP="00355A4B">
            <w:pPr>
              <w:spacing w:after="0" w:line="240" w:lineRule="auto"/>
              <w:jc w:val="center"/>
              <w:rPr>
                <w:rFonts w:cs="Arial"/>
                <w:sz w:val="16"/>
                <w:szCs w:val="16"/>
                <w:highlight w:val="yellow"/>
              </w:rPr>
            </w:pPr>
            <w:r>
              <w:rPr>
                <w:rFonts w:cs="Arial"/>
                <w:sz w:val="16"/>
                <w:szCs w:val="16"/>
              </w:rPr>
              <w:t>2,2</w:t>
            </w:r>
          </w:p>
        </w:tc>
        <w:tc>
          <w:tcPr>
            <w:tcW w:w="822" w:type="dxa"/>
            <w:tcBorders>
              <w:top w:val="nil"/>
              <w:left w:val="nil"/>
              <w:bottom w:val="nil"/>
              <w:right w:val="nil"/>
            </w:tcBorders>
            <w:shd w:val="clear" w:color="auto" w:fill="auto"/>
            <w:noWrap/>
            <w:vAlign w:val="center"/>
            <w:hideMark/>
          </w:tcPr>
          <w:p w14:paraId="453F5F52" w14:textId="17B1FCC8" w:rsidR="00355A4B" w:rsidRPr="00166BEB" w:rsidRDefault="00355A4B" w:rsidP="00355A4B">
            <w:pPr>
              <w:spacing w:after="0" w:line="240" w:lineRule="auto"/>
              <w:jc w:val="center"/>
              <w:rPr>
                <w:rFonts w:cs="Arial"/>
                <w:sz w:val="16"/>
                <w:szCs w:val="16"/>
                <w:highlight w:val="yellow"/>
              </w:rPr>
            </w:pPr>
            <w:r>
              <w:rPr>
                <w:rFonts w:cs="Arial"/>
                <w:sz w:val="16"/>
                <w:szCs w:val="16"/>
              </w:rPr>
              <w:t>2,5</w:t>
            </w:r>
          </w:p>
        </w:tc>
        <w:tc>
          <w:tcPr>
            <w:tcW w:w="822" w:type="dxa"/>
            <w:tcBorders>
              <w:top w:val="nil"/>
              <w:left w:val="nil"/>
              <w:bottom w:val="nil"/>
              <w:right w:val="nil"/>
            </w:tcBorders>
            <w:shd w:val="clear" w:color="auto" w:fill="auto"/>
            <w:noWrap/>
            <w:vAlign w:val="center"/>
            <w:hideMark/>
          </w:tcPr>
          <w:p w14:paraId="2B38965F" w14:textId="5494C5A5" w:rsidR="00355A4B" w:rsidRPr="00166BEB" w:rsidRDefault="00355A4B" w:rsidP="00355A4B">
            <w:pPr>
              <w:spacing w:after="0" w:line="240" w:lineRule="auto"/>
              <w:jc w:val="center"/>
              <w:rPr>
                <w:rFonts w:cs="Arial"/>
                <w:sz w:val="16"/>
                <w:szCs w:val="16"/>
                <w:highlight w:val="yellow"/>
              </w:rPr>
            </w:pPr>
            <w:r>
              <w:rPr>
                <w:rFonts w:cs="Arial"/>
                <w:sz w:val="16"/>
                <w:szCs w:val="16"/>
              </w:rPr>
              <w:t>4,6</w:t>
            </w:r>
          </w:p>
        </w:tc>
        <w:tc>
          <w:tcPr>
            <w:tcW w:w="822" w:type="dxa"/>
            <w:tcBorders>
              <w:top w:val="nil"/>
              <w:left w:val="nil"/>
              <w:bottom w:val="nil"/>
              <w:right w:val="nil"/>
            </w:tcBorders>
            <w:shd w:val="clear" w:color="auto" w:fill="auto"/>
            <w:noWrap/>
            <w:vAlign w:val="center"/>
            <w:hideMark/>
          </w:tcPr>
          <w:p w14:paraId="34ED7C3A" w14:textId="44DD1E96" w:rsidR="00355A4B" w:rsidRPr="00166BEB" w:rsidRDefault="00355A4B" w:rsidP="00355A4B">
            <w:pPr>
              <w:spacing w:after="0" w:line="240" w:lineRule="auto"/>
              <w:jc w:val="center"/>
              <w:rPr>
                <w:rFonts w:cs="Arial"/>
                <w:sz w:val="16"/>
                <w:szCs w:val="16"/>
                <w:highlight w:val="yellow"/>
              </w:rPr>
            </w:pPr>
            <w:r>
              <w:rPr>
                <w:rFonts w:cs="Arial"/>
                <w:sz w:val="16"/>
                <w:szCs w:val="16"/>
              </w:rPr>
              <w:t>1,0</w:t>
            </w:r>
          </w:p>
        </w:tc>
        <w:tc>
          <w:tcPr>
            <w:tcW w:w="822" w:type="dxa"/>
            <w:tcBorders>
              <w:top w:val="nil"/>
              <w:left w:val="nil"/>
              <w:bottom w:val="nil"/>
              <w:right w:val="nil"/>
            </w:tcBorders>
            <w:shd w:val="clear" w:color="auto" w:fill="auto"/>
            <w:noWrap/>
            <w:vAlign w:val="center"/>
            <w:hideMark/>
          </w:tcPr>
          <w:p w14:paraId="15C37C03" w14:textId="69549319"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077948C0" w14:textId="3C6D1C17" w:rsidR="00355A4B" w:rsidRPr="00166BEB" w:rsidRDefault="00355A4B" w:rsidP="00355A4B">
            <w:pPr>
              <w:spacing w:after="0" w:line="240" w:lineRule="auto"/>
              <w:jc w:val="center"/>
              <w:rPr>
                <w:rFonts w:cs="Arial"/>
                <w:sz w:val="16"/>
                <w:szCs w:val="16"/>
                <w:highlight w:val="yellow"/>
              </w:rPr>
            </w:pPr>
            <w:r>
              <w:rPr>
                <w:rFonts w:cs="Arial"/>
                <w:sz w:val="16"/>
                <w:szCs w:val="16"/>
              </w:rPr>
              <w:t>2,5</w:t>
            </w:r>
          </w:p>
        </w:tc>
        <w:tc>
          <w:tcPr>
            <w:tcW w:w="822" w:type="dxa"/>
            <w:tcBorders>
              <w:top w:val="nil"/>
              <w:left w:val="nil"/>
              <w:bottom w:val="nil"/>
              <w:right w:val="nil"/>
            </w:tcBorders>
            <w:shd w:val="clear" w:color="auto" w:fill="D9D9D9"/>
            <w:vAlign w:val="center"/>
          </w:tcPr>
          <w:p w14:paraId="2DFB9EBA" w14:textId="13588105" w:rsidR="00355A4B" w:rsidRPr="00166BEB" w:rsidRDefault="00355A4B" w:rsidP="00355A4B">
            <w:pPr>
              <w:spacing w:after="0" w:line="240" w:lineRule="auto"/>
              <w:jc w:val="center"/>
              <w:rPr>
                <w:rFonts w:cs="Arial"/>
                <w:sz w:val="16"/>
                <w:szCs w:val="16"/>
                <w:highlight w:val="yellow"/>
              </w:rPr>
            </w:pPr>
            <w:r>
              <w:rPr>
                <w:rFonts w:cs="Arial"/>
                <w:sz w:val="16"/>
                <w:szCs w:val="16"/>
              </w:rPr>
              <w:t>2,1</w:t>
            </w:r>
          </w:p>
        </w:tc>
        <w:tc>
          <w:tcPr>
            <w:tcW w:w="160" w:type="dxa"/>
            <w:tcBorders>
              <w:top w:val="nil"/>
              <w:left w:val="nil"/>
              <w:bottom w:val="nil"/>
              <w:right w:val="nil"/>
            </w:tcBorders>
          </w:tcPr>
          <w:p w14:paraId="521D2AAD" w14:textId="7D909045" w:rsidR="00355A4B" w:rsidRPr="00166BEB" w:rsidRDefault="00355A4B" w:rsidP="00355A4B">
            <w:pPr>
              <w:spacing w:after="0" w:line="240" w:lineRule="auto"/>
              <w:jc w:val="center"/>
              <w:rPr>
                <w:rFonts w:cs="Arial"/>
                <w:sz w:val="16"/>
                <w:szCs w:val="16"/>
                <w:highlight w:val="yellow"/>
              </w:rPr>
            </w:pPr>
          </w:p>
        </w:tc>
      </w:tr>
      <w:tr w:rsidR="00355A4B" w:rsidRPr="00166BEB" w14:paraId="1593CA13" w14:textId="43FB011E" w:rsidTr="004543DD">
        <w:trPr>
          <w:trHeight w:val="300"/>
        </w:trPr>
        <w:tc>
          <w:tcPr>
            <w:tcW w:w="1380" w:type="dxa"/>
            <w:tcBorders>
              <w:top w:val="nil"/>
              <w:left w:val="nil"/>
              <w:bottom w:val="nil"/>
              <w:right w:val="nil"/>
            </w:tcBorders>
            <w:shd w:val="clear" w:color="auto" w:fill="auto"/>
            <w:noWrap/>
            <w:vAlign w:val="center"/>
            <w:hideMark/>
          </w:tcPr>
          <w:p w14:paraId="3EEBBD5C" w14:textId="3DE6F01D"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Finsko</w:t>
            </w:r>
          </w:p>
        </w:tc>
        <w:tc>
          <w:tcPr>
            <w:tcW w:w="822" w:type="dxa"/>
            <w:tcBorders>
              <w:top w:val="nil"/>
              <w:left w:val="single" w:sz="4" w:space="0" w:color="000000"/>
              <w:bottom w:val="nil"/>
              <w:right w:val="nil"/>
            </w:tcBorders>
            <w:shd w:val="clear" w:color="auto" w:fill="auto"/>
            <w:noWrap/>
            <w:vAlign w:val="center"/>
            <w:hideMark/>
          </w:tcPr>
          <w:p w14:paraId="74CC3C73" w14:textId="267F979A" w:rsidR="00355A4B" w:rsidRPr="00166BEB" w:rsidRDefault="00355A4B" w:rsidP="00355A4B">
            <w:pPr>
              <w:spacing w:after="0" w:line="240" w:lineRule="auto"/>
              <w:jc w:val="center"/>
              <w:rPr>
                <w:rFonts w:cs="Arial"/>
                <w:sz w:val="16"/>
                <w:szCs w:val="16"/>
                <w:highlight w:val="yellow"/>
              </w:rPr>
            </w:pPr>
            <w:r>
              <w:rPr>
                <w:rFonts w:cs="Arial"/>
                <w:sz w:val="16"/>
                <w:szCs w:val="16"/>
              </w:rPr>
              <w:t>1,6</w:t>
            </w:r>
          </w:p>
        </w:tc>
        <w:tc>
          <w:tcPr>
            <w:tcW w:w="822" w:type="dxa"/>
            <w:tcBorders>
              <w:top w:val="nil"/>
              <w:left w:val="nil"/>
              <w:bottom w:val="nil"/>
              <w:right w:val="nil"/>
            </w:tcBorders>
            <w:shd w:val="clear" w:color="auto" w:fill="auto"/>
            <w:noWrap/>
            <w:vAlign w:val="center"/>
            <w:hideMark/>
          </w:tcPr>
          <w:p w14:paraId="5A37F34C" w14:textId="5F3A3948"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2F7D9DA0" w14:textId="3D1D3C6E" w:rsidR="00355A4B" w:rsidRPr="00166BEB" w:rsidRDefault="00355A4B" w:rsidP="00355A4B">
            <w:pPr>
              <w:spacing w:after="0" w:line="240" w:lineRule="auto"/>
              <w:jc w:val="center"/>
              <w:rPr>
                <w:rFonts w:cs="Arial"/>
                <w:sz w:val="16"/>
                <w:szCs w:val="16"/>
                <w:highlight w:val="yellow"/>
              </w:rPr>
            </w:pPr>
            <w:r>
              <w:rPr>
                <w:rFonts w:cs="Arial"/>
                <w:sz w:val="16"/>
                <w:szCs w:val="16"/>
              </w:rPr>
              <w:t>1,2</w:t>
            </w:r>
          </w:p>
        </w:tc>
        <w:tc>
          <w:tcPr>
            <w:tcW w:w="822" w:type="dxa"/>
            <w:tcBorders>
              <w:top w:val="nil"/>
              <w:left w:val="nil"/>
              <w:bottom w:val="nil"/>
              <w:right w:val="nil"/>
            </w:tcBorders>
            <w:shd w:val="clear" w:color="auto" w:fill="auto"/>
            <w:noWrap/>
            <w:vAlign w:val="center"/>
            <w:hideMark/>
          </w:tcPr>
          <w:p w14:paraId="0114D600" w14:textId="235896AA" w:rsidR="00355A4B" w:rsidRPr="00166BEB" w:rsidRDefault="00355A4B" w:rsidP="00355A4B">
            <w:pPr>
              <w:spacing w:after="0" w:line="240" w:lineRule="auto"/>
              <w:jc w:val="center"/>
              <w:rPr>
                <w:rFonts w:cs="Arial"/>
                <w:sz w:val="16"/>
                <w:szCs w:val="16"/>
                <w:highlight w:val="yellow"/>
              </w:rPr>
            </w:pPr>
            <w:r>
              <w:rPr>
                <w:rFonts w:cs="Arial"/>
                <w:sz w:val="16"/>
                <w:szCs w:val="16"/>
              </w:rPr>
              <w:t>1,7</w:t>
            </w:r>
          </w:p>
        </w:tc>
        <w:tc>
          <w:tcPr>
            <w:tcW w:w="822" w:type="dxa"/>
            <w:tcBorders>
              <w:top w:val="nil"/>
              <w:left w:val="nil"/>
              <w:bottom w:val="nil"/>
              <w:right w:val="nil"/>
            </w:tcBorders>
            <w:shd w:val="clear" w:color="auto" w:fill="auto"/>
            <w:noWrap/>
            <w:vAlign w:val="center"/>
            <w:hideMark/>
          </w:tcPr>
          <w:p w14:paraId="17626D6F" w14:textId="38FB7446" w:rsidR="00355A4B" w:rsidRPr="00166BEB" w:rsidRDefault="00355A4B" w:rsidP="00355A4B">
            <w:pPr>
              <w:spacing w:after="0" w:line="240" w:lineRule="auto"/>
              <w:jc w:val="center"/>
              <w:rPr>
                <w:rFonts w:cs="Arial"/>
                <w:sz w:val="16"/>
                <w:szCs w:val="16"/>
                <w:highlight w:val="yellow"/>
              </w:rPr>
            </w:pPr>
            <w:r>
              <w:rPr>
                <w:rFonts w:cs="Arial"/>
                <w:sz w:val="16"/>
                <w:szCs w:val="16"/>
              </w:rPr>
              <w:t>1,8</w:t>
            </w:r>
          </w:p>
        </w:tc>
        <w:tc>
          <w:tcPr>
            <w:tcW w:w="822" w:type="dxa"/>
            <w:tcBorders>
              <w:top w:val="nil"/>
              <w:left w:val="nil"/>
              <w:bottom w:val="nil"/>
              <w:right w:val="nil"/>
            </w:tcBorders>
            <w:shd w:val="clear" w:color="auto" w:fill="auto"/>
            <w:noWrap/>
            <w:vAlign w:val="center"/>
            <w:hideMark/>
          </w:tcPr>
          <w:p w14:paraId="360CEDFA" w14:textId="55886F04" w:rsidR="00355A4B" w:rsidRPr="00166BEB" w:rsidRDefault="00355A4B" w:rsidP="00355A4B">
            <w:pPr>
              <w:spacing w:after="0" w:line="240" w:lineRule="auto"/>
              <w:jc w:val="center"/>
              <w:rPr>
                <w:rFonts w:cs="Arial"/>
                <w:sz w:val="16"/>
                <w:szCs w:val="16"/>
                <w:highlight w:val="yellow"/>
              </w:rPr>
            </w:pPr>
            <w:r>
              <w:rPr>
                <w:rFonts w:cs="Arial"/>
                <w:sz w:val="16"/>
                <w:szCs w:val="16"/>
              </w:rPr>
              <w:t>1,6</w:t>
            </w:r>
          </w:p>
        </w:tc>
        <w:tc>
          <w:tcPr>
            <w:tcW w:w="822" w:type="dxa"/>
            <w:tcBorders>
              <w:top w:val="nil"/>
              <w:left w:val="nil"/>
              <w:bottom w:val="nil"/>
              <w:right w:val="nil"/>
            </w:tcBorders>
            <w:shd w:val="clear" w:color="auto" w:fill="auto"/>
            <w:noWrap/>
            <w:vAlign w:val="center"/>
            <w:hideMark/>
          </w:tcPr>
          <w:p w14:paraId="29126D12" w14:textId="22FC2774" w:rsidR="00355A4B" w:rsidRPr="00166BEB" w:rsidRDefault="00355A4B" w:rsidP="00355A4B">
            <w:pPr>
              <w:spacing w:after="0" w:line="240" w:lineRule="auto"/>
              <w:jc w:val="center"/>
              <w:rPr>
                <w:rFonts w:cs="Arial"/>
                <w:sz w:val="16"/>
                <w:szCs w:val="16"/>
                <w:highlight w:val="yellow"/>
              </w:rPr>
            </w:pPr>
            <w:r>
              <w:rPr>
                <w:rFonts w:cs="Arial"/>
                <w:sz w:val="16"/>
                <w:szCs w:val="16"/>
              </w:rPr>
              <w:t>1,4</w:t>
            </w:r>
          </w:p>
        </w:tc>
        <w:tc>
          <w:tcPr>
            <w:tcW w:w="822" w:type="dxa"/>
            <w:tcBorders>
              <w:top w:val="nil"/>
              <w:left w:val="nil"/>
              <w:bottom w:val="nil"/>
              <w:right w:val="nil"/>
            </w:tcBorders>
            <w:shd w:val="clear" w:color="auto" w:fill="auto"/>
            <w:noWrap/>
            <w:vAlign w:val="center"/>
            <w:hideMark/>
          </w:tcPr>
          <w:p w14:paraId="42EF1438" w14:textId="26DBB4BA" w:rsidR="00355A4B" w:rsidRPr="00166BEB" w:rsidRDefault="00355A4B" w:rsidP="00355A4B">
            <w:pPr>
              <w:spacing w:after="0" w:line="240" w:lineRule="auto"/>
              <w:jc w:val="center"/>
              <w:rPr>
                <w:rFonts w:cs="Arial"/>
                <w:sz w:val="16"/>
                <w:szCs w:val="16"/>
                <w:highlight w:val="yellow"/>
              </w:rPr>
            </w:pPr>
            <w:r>
              <w:rPr>
                <w:rFonts w:cs="Arial"/>
                <w:sz w:val="16"/>
                <w:szCs w:val="16"/>
              </w:rPr>
              <w:t>1,3</w:t>
            </w:r>
          </w:p>
        </w:tc>
        <w:tc>
          <w:tcPr>
            <w:tcW w:w="822" w:type="dxa"/>
            <w:tcBorders>
              <w:top w:val="nil"/>
              <w:left w:val="nil"/>
              <w:bottom w:val="nil"/>
              <w:right w:val="nil"/>
            </w:tcBorders>
            <w:shd w:val="clear" w:color="auto" w:fill="auto"/>
            <w:noWrap/>
            <w:vAlign w:val="center"/>
            <w:hideMark/>
          </w:tcPr>
          <w:p w14:paraId="68E78986" w14:textId="0346FEE9" w:rsidR="00355A4B" w:rsidRPr="00166BEB" w:rsidRDefault="00355A4B" w:rsidP="00355A4B">
            <w:pPr>
              <w:spacing w:after="0" w:line="240" w:lineRule="auto"/>
              <w:jc w:val="center"/>
              <w:rPr>
                <w:rFonts w:cs="Arial"/>
                <w:sz w:val="16"/>
                <w:szCs w:val="16"/>
                <w:highlight w:val="yellow"/>
              </w:rPr>
            </w:pPr>
            <w:r>
              <w:rPr>
                <w:rFonts w:cs="Arial"/>
                <w:sz w:val="16"/>
                <w:szCs w:val="16"/>
              </w:rPr>
              <w:t>1,3</w:t>
            </w:r>
          </w:p>
        </w:tc>
        <w:tc>
          <w:tcPr>
            <w:tcW w:w="822" w:type="dxa"/>
            <w:tcBorders>
              <w:top w:val="nil"/>
              <w:left w:val="nil"/>
              <w:bottom w:val="nil"/>
              <w:right w:val="nil"/>
            </w:tcBorders>
            <w:shd w:val="clear" w:color="auto" w:fill="D9D9D9"/>
            <w:vAlign w:val="center"/>
          </w:tcPr>
          <w:p w14:paraId="450B8B62" w14:textId="455A4B46" w:rsidR="00355A4B" w:rsidRPr="00166BEB" w:rsidRDefault="00355A4B" w:rsidP="00355A4B">
            <w:pPr>
              <w:spacing w:after="0" w:line="240" w:lineRule="auto"/>
              <w:jc w:val="center"/>
              <w:rPr>
                <w:rFonts w:cs="Arial"/>
                <w:sz w:val="16"/>
                <w:szCs w:val="16"/>
                <w:highlight w:val="yellow"/>
              </w:rPr>
            </w:pPr>
            <w:r>
              <w:rPr>
                <w:rFonts w:cs="Arial"/>
                <w:sz w:val="16"/>
                <w:szCs w:val="16"/>
              </w:rPr>
              <w:t>1,3</w:t>
            </w:r>
          </w:p>
        </w:tc>
        <w:tc>
          <w:tcPr>
            <w:tcW w:w="160" w:type="dxa"/>
            <w:tcBorders>
              <w:top w:val="nil"/>
              <w:left w:val="nil"/>
              <w:bottom w:val="nil"/>
              <w:right w:val="nil"/>
            </w:tcBorders>
          </w:tcPr>
          <w:p w14:paraId="0F66C6AD" w14:textId="2905228F" w:rsidR="00355A4B" w:rsidRPr="00166BEB" w:rsidRDefault="00355A4B" w:rsidP="00355A4B">
            <w:pPr>
              <w:spacing w:after="0" w:line="240" w:lineRule="auto"/>
              <w:jc w:val="center"/>
              <w:rPr>
                <w:rFonts w:cs="Arial"/>
                <w:sz w:val="16"/>
                <w:szCs w:val="16"/>
                <w:highlight w:val="yellow"/>
              </w:rPr>
            </w:pPr>
          </w:p>
        </w:tc>
      </w:tr>
      <w:tr w:rsidR="00355A4B" w:rsidRPr="00166BEB" w14:paraId="59EC3112" w14:textId="74E0881A" w:rsidTr="004543DD">
        <w:trPr>
          <w:trHeight w:val="300"/>
        </w:trPr>
        <w:tc>
          <w:tcPr>
            <w:tcW w:w="1380" w:type="dxa"/>
            <w:tcBorders>
              <w:top w:val="nil"/>
              <w:left w:val="nil"/>
              <w:bottom w:val="nil"/>
              <w:right w:val="nil"/>
            </w:tcBorders>
            <w:shd w:val="clear" w:color="auto" w:fill="auto"/>
            <w:noWrap/>
            <w:vAlign w:val="center"/>
            <w:hideMark/>
          </w:tcPr>
          <w:p w14:paraId="61BC000F" w14:textId="0CBEB7CD"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Francie</w:t>
            </w:r>
          </w:p>
        </w:tc>
        <w:tc>
          <w:tcPr>
            <w:tcW w:w="822" w:type="dxa"/>
            <w:tcBorders>
              <w:top w:val="nil"/>
              <w:left w:val="single" w:sz="4" w:space="0" w:color="000000"/>
              <w:bottom w:val="nil"/>
              <w:right w:val="nil"/>
            </w:tcBorders>
            <w:shd w:val="clear" w:color="auto" w:fill="auto"/>
            <w:noWrap/>
            <w:vAlign w:val="center"/>
            <w:hideMark/>
          </w:tcPr>
          <w:p w14:paraId="045B3265" w14:textId="41E8BE83" w:rsidR="00355A4B" w:rsidRPr="00166BEB" w:rsidRDefault="00355A4B" w:rsidP="00355A4B">
            <w:pPr>
              <w:spacing w:after="0" w:line="240" w:lineRule="auto"/>
              <w:jc w:val="center"/>
              <w:rPr>
                <w:rFonts w:cs="Arial"/>
                <w:sz w:val="16"/>
                <w:szCs w:val="16"/>
                <w:highlight w:val="yellow"/>
              </w:rPr>
            </w:pPr>
            <w:r>
              <w:rPr>
                <w:rFonts w:cs="Arial"/>
                <w:sz w:val="16"/>
                <w:szCs w:val="16"/>
              </w:rPr>
              <w:t>8,1</w:t>
            </w:r>
          </w:p>
        </w:tc>
        <w:tc>
          <w:tcPr>
            <w:tcW w:w="822" w:type="dxa"/>
            <w:tcBorders>
              <w:top w:val="nil"/>
              <w:left w:val="nil"/>
              <w:bottom w:val="nil"/>
              <w:right w:val="nil"/>
            </w:tcBorders>
            <w:shd w:val="clear" w:color="auto" w:fill="auto"/>
            <w:noWrap/>
            <w:vAlign w:val="center"/>
            <w:hideMark/>
          </w:tcPr>
          <w:p w14:paraId="39A8F23B" w14:textId="1E93C61C"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auto"/>
            <w:noWrap/>
            <w:vAlign w:val="center"/>
            <w:hideMark/>
          </w:tcPr>
          <w:p w14:paraId="21619B5A" w14:textId="48CBA9D8" w:rsidR="00355A4B" w:rsidRPr="00166BEB" w:rsidRDefault="00355A4B" w:rsidP="00355A4B">
            <w:pPr>
              <w:spacing w:after="0" w:line="240" w:lineRule="auto"/>
              <w:jc w:val="center"/>
              <w:rPr>
                <w:rFonts w:cs="Arial"/>
                <w:sz w:val="16"/>
                <w:szCs w:val="16"/>
                <w:highlight w:val="yellow"/>
              </w:rPr>
            </w:pPr>
            <w:r>
              <w:rPr>
                <w:rFonts w:cs="Arial"/>
                <w:sz w:val="16"/>
                <w:szCs w:val="16"/>
              </w:rPr>
              <w:t>3,7</w:t>
            </w:r>
          </w:p>
        </w:tc>
        <w:tc>
          <w:tcPr>
            <w:tcW w:w="822" w:type="dxa"/>
            <w:tcBorders>
              <w:top w:val="nil"/>
              <w:left w:val="nil"/>
              <w:bottom w:val="nil"/>
              <w:right w:val="nil"/>
            </w:tcBorders>
            <w:shd w:val="clear" w:color="000000" w:fill="DBDBDB"/>
            <w:noWrap/>
            <w:vAlign w:val="center"/>
            <w:hideMark/>
          </w:tcPr>
          <w:p w14:paraId="38917DF9" w14:textId="4DECB591" w:rsidR="00355A4B" w:rsidRPr="00166BEB" w:rsidRDefault="00355A4B" w:rsidP="00355A4B">
            <w:pPr>
              <w:spacing w:after="0" w:line="240" w:lineRule="auto"/>
              <w:jc w:val="center"/>
              <w:rPr>
                <w:rFonts w:cs="Arial"/>
                <w:sz w:val="16"/>
                <w:szCs w:val="16"/>
                <w:highlight w:val="yellow"/>
              </w:rPr>
            </w:pPr>
            <w:r>
              <w:rPr>
                <w:rFonts w:cs="Arial"/>
                <w:sz w:val="16"/>
                <w:szCs w:val="16"/>
              </w:rPr>
              <w:t>3,7</w:t>
            </w:r>
          </w:p>
        </w:tc>
        <w:tc>
          <w:tcPr>
            <w:tcW w:w="822" w:type="dxa"/>
            <w:tcBorders>
              <w:top w:val="nil"/>
              <w:left w:val="nil"/>
              <w:bottom w:val="nil"/>
              <w:right w:val="nil"/>
            </w:tcBorders>
            <w:shd w:val="clear" w:color="auto" w:fill="auto"/>
            <w:noWrap/>
            <w:vAlign w:val="center"/>
            <w:hideMark/>
          </w:tcPr>
          <w:p w14:paraId="409A8EBA" w14:textId="138561BE" w:rsidR="00355A4B" w:rsidRPr="00166BEB" w:rsidRDefault="00355A4B" w:rsidP="00355A4B">
            <w:pPr>
              <w:spacing w:after="0" w:line="240" w:lineRule="auto"/>
              <w:jc w:val="center"/>
              <w:rPr>
                <w:rFonts w:cs="Arial"/>
                <w:sz w:val="16"/>
                <w:szCs w:val="16"/>
                <w:highlight w:val="yellow"/>
              </w:rPr>
            </w:pPr>
            <w:r>
              <w:rPr>
                <w:rFonts w:cs="Arial"/>
                <w:sz w:val="16"/>
                <w:szCs w:val="16"/>
              </w:rPr>
              <w:t>4,0</w:t>
            </w:r>
          </w:p>
        </w:tc>
        <w:tc>
          <w:tcPr>
            <w:tcW w:w="822" w:type="dxa"/>
            <w:tcBorders>
              <w:top w:val="nil"/>
              <w:left w:val="nil"/>
              <w:bottom w:val="nil"/>
              <w:right w:val="nil"/>
            </w:tcBorders>
            <w:shd w:val="clear" w:color="auto" w:fill="auto"/>
            <w:noWrap/>
            <w:vAlign w:val="center"/>
            <w:hideMark/>
          </w:tcPr>
          <w:p w14:paraId="0462442D" w14:textId="405ACC07" w:rsidR="00355A4B" w:rsidRPr="00166BEB" w:rsidRDefault="00355A4B" w:rsidP="00355A4B">
            <w:pPr>
              <w:spacing w:after="0" w:line="240" w:lineRule="auto"/>
              <w:jc w:val="center"/>
              <w:rPr>
                <w:rFonts w:cs="Arial"/>
                <w:sz w:val="16"/>
                <w:szCs w:val="16"/>
                <w:highlight w:val="yellow"/>
              </w:rPr>
            </w:pPr>
            <w:r>
              <w:rPr>
                <w:rFonts w:cs="Arial"/>
                <w:sz w:val="16"/>
                <w:szCs w:val="16"/>
              </w:rPr>
              <w:t>4,1</w:t>
            </w:r>
          </w:p>
        </w:tc>
        <w:tc>
          <w:tcPr>
            <w:tcW w:w="822" w:type="dxa"/>
            <w:tcBorders>
              <w:top w:val="nil"/>
              <w:left w:val="nil"/>
              <w:bottom w:val="nil"/>
              <w:right w:val="nil"/>
            </w:tcBorders>
            <w:shd w:val="clear" w:color="000000" w:fill="DBDBDB"/>
            <w:noWrap/>
            <w:vAlign w:val="center"/>
            <w:hideMark/>
          </w:tcPr>
          <w:p w14:paraId="48DE1437" w14:textId="41609039"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822" w:type="dxa"/>
            <w:tcBorders>
              <w:top w:val="nil"/>
              <w:left w:val="nil"/>
              <w:bottom w:val="nil"/>
              <w:right w:val="nil"/>
            </w:tcBorders>
            <w:shd w:val="clear" w:color="auto" w:fill="auto"/>
            <w:noWrap/>
            <w:vAlign w:val="center"/>
            <w:hideMark/>
          </w:tcPr>
          <w:p w14:paraId="0ABA5FB8" w14:textId="301F16AB" w:rsidR="00355A4B" w:rsidRPr="00166BEB" w:rsidRDefault="00355A4B" w:rsidP="00355A4B">
            <w:pPr>
              <w:spacing w:after="0" w:line="240" w:lineRule="auto"/>
              <w:jc w:val="center"/>
              <w:rPr>
                <w:rFonts w:cs="Arial"/>
                <w:sz w:val="16"/>
                <w:szCs w:val="16"/>
                <w:highlight w:val="yellow"/>
              </w:rPr>
            </w:pPr>
            <w:r>
              <w:rPr>
                <w:rFonts w:cs="Arial"/>
                <w:sz w:val="16"/>
                <w:szCs w:val="16"/>
              </w:rPr>
              <w:t>3,7</w:t>
            </w:r>
          </w:p>
        </w:tc>
        <w:tc>
          <w:tcPr>
            <w:tcW w:w="822" w:type="dxa"/>
            <w:tcBorders>
              <w:top w:val="nil"/>
              <w:left w:val="nil"/>
              <w:bottom w:val="nil"/>
              <w:right w:val="nil"/>
            </w:tcBorders>
            <w:shd w:val="clear" w:color="auto" w:fill="auto"/>
            <w:noWrap/>
            <w:vAlign w:val="center"/>
            <w:hideMark/>
          </w:tcPr>
          <w:p w14:paraId="2AF6D23D" w14:textId="50EDCAE3" w:rsidR="00355A4B" w:rsidRPr="00166BEB" w:rsidRDefault="00355A4B" w:rsidP="00355A4B">
            <w:pPr>
              <w:spacing w:after="0" w:line="240" w:lineRule="auto"/>
              <w:jc w:val="center"/>
              <w:rPr>
                <w:rFonts w:cs="Arial"/>
                <w:sz w:val="16"/>
                <w:szCs w:val="16"/>
                <w:highlight w:val="yellow"/>
              </w:rPr>
            </w:pPr>
            <w:r>
              <w:rPr>
                <w:rFonts w:cs="Arial"/>
                <w:sz w:val="16"/>
                <w:szCs w:val="16"/>
              </w:rPr>
              <w:t>4,8</w:t>
            </w:r>
          </w:p>
        </w:tc>
        <w:tc>
          <w:tcPr>
            <w:tcW w:w="822" w:type="dxa"/>
            <w:tcBorders>
              <w:top w:val="nil"/>
              <w:left w:val="nil"/>
              <w:bottom w:val="nil"/>
              <w:right w:val="nil"/>
            </w:tcBorders>
            <w:shd w:val="clear" w:color="auto" w:fill="D9D9D9"/>
            <w:vAlign w:val="center"/>
          </w:tcPr>
          <w:p w14:paraId="7DE1092A" w14:textId="34068795" w:rsidR="00355A4B" w:rsidRPr="00166BEB" w:rsidRDefault="00355A4B" w:rsidP="00355A4B">
            <w:pPr>
              <w:spacing w:after="0" w:line="240" w:lineRule="auto"/>
              <w:jc w:val="center"/>
              <w:rPr>
                <w:rFonts w:cs="Arial"/>
                <w:sz w:val="16"/>
                <w:szCs w:val="16"/>
                <w:highlight w:val="yellow"/>
              </w:rPr>
            </w:pPr>
            <w:r>
              <w:rPr>
                <w:rFonts w:cs="Arial"/>
                <w:sz w:val="16"/>
                <w:szCs w:val="16"/>
              </w:rPr>
              <w:t>3,2</w:t>
            </w:r>
          </w:p>
        </w:tc>
        <w:tc>
          <w:tcPr>
            <w:tcW w:w="160" w:type="dxa"/>
            <w:tcBorders>
              <w:top w:val="nil"/>
              <w:left w:val="nil"/>
              <w:bottom w:val="nil"/>
              <w:right w:val="nil"/>
            </w:tcBorders>
          </w:tcPr>
          <w:p w14:paraId="64D2428E" w14:textId="66EF1AB9" w:rsidR="00355A4B" w:rsidRPr="00166BEB" w:rsidRDefault="00355A4B" w:rsidP="00355A4B">
            <w:pPr>
              <w:spacing w:after="0" w:line="240" w:lineRule="auto"/>
              <w:jc w:val="center"/>
              <w:rPr>
                <w:rFonts w:cs="Arial"/>
                <w:sz w:val="16"/>
                <w:szCs w:val="16"/>
                <w:highlight w:val="yellow"/>
              </w:rPr>
            </w:pPr>
          </w:p>
        </w:tc>
      </w:tr>
      <w:tr w:rsidR="00355A4B" w:rsidRPr="00166BEB" w14:paraId="40E7F228" w14:textId="71503E30" w:rsidTr="004543DD">
        <w:trPr>
          <w:trHeight w:val="300"/>
        </w:trPr>
        <w:tc>
          <w:tcPr>
            <w:tcW w:w="1380" w:type="dxa"/>
            <w:tcBorders>
              <w:top w:val="nil"/>
              <w:left w:val="nil"/>
              <w:bottom w:val="nil"/>
              <w:right w:val="nil"/>
            </w:tcBorders>
            <w:shd w:val="clear" w:color="auto" w:fill="auto"/>
            <w:noWrap/>
            <w:vAlign w:val="center"/>
            <w:hideMark/>
          </w:tcPr>
          <w:p w14:paraId="5523613F" w14:textId="407B2FE7"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Chorvatsko</w:t>
            </w:r>
          </w:p>
        </w:tc>
        <w:tc>
          <w:tcPr>
            <w:tcW w:w="822" w:type="dxa"/>
            <w:tcBorders>
              <w:top w:val="nil"/>
              <w:left w:val="single" w:sz="4" w:space="0" w:color="000000"/>
              <w:bottom w:val="nil"/>
              <w:right w:val="nil"/>
            </w:tcBorders>
            <w:shd w:val="clear" w:color="auto" w:fill="auto"/>
            <w:noWrap/>
            <w:vAlign w:val="center"/>
            <w:hideMark/>
          </w:tcPr>
          <w:p w14:paraId="49568255" w14:textId="2A324983"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auto"/>
            <w:noWrap/>
            <w:vAlign w:val="center"/>
            <w:hideMark/>
          </w:tcPr>
          <w:p w14:paraId="16D2C58E" w14:textId="7F4A5C1D" w:rsidR="00355A4B" w:rsidRPr="00166BEB" w:rsidRDefault="00355A4B" w:rsidP="00355A4B">
            <w:pPr>
              <w:spacing w:after="0" w:line="240" w:lineRule="auto"/>
              <w:jc w:val="center"/>
              <w:rPr>
                <w:rFonts w:cs="Arial"/>
                <w:sz w:val="16"/>
                <w:szCs w:val="16"/>
                <w:highlight w:val="yellow"/>
              </w:rPr>
            </w:pPr>
            <w:r>
              <w:rPr>
                <w:rFonts w:cs="Arial"/>
                <w:sz w:val="16"/>
                <w:szCs w:val="16"/>
              </w:rPr>
              <w:t>4,6</w:t>
            </w:r>
          </w:p>
        </w:tc>
        <w:tc>
          <w:tcPr>
            <w:tcW w:w="822" w:type="dxa"/>
            <w:tcBorders>
              <w:top w:val="nil"/>
              <w:left w:val="nil"/>
              <w:bottom w:val="nil"/>
              <w:right w:val="nil"/>
            </w:tcBorders>
            <w:shd w:val="clear" w:color="auto" w:fill="auto"/>
            <w:noWrap/>
            <w:vAlign w:val="center"/>
            <w:hideMark/>
          </w:tcPr>
          <w:p w14:paraId="2EF1A7C9" w14:textId="7EF1171C" w:rsidR="00355A4B" w:rsidRPr="00166BEB" w:rsidRDefault="00355A4B" w:rsidP="00355A4B">
            <w:pPr>
              <w:spacing w:after="0" w:line="240" w:lineRule="auto"/>
              <w:jc w:val="center"/>
              <w:rPr>
                <w:rFonts w:cs="Arial"/>
                <w:sz w:val="16"/>
                <w:szCs w:val="16"/>
                <w:highlight w:val="yellow"/>
              </w:rPr>
            </w:pPr>
            <w:r>
              <w:rPr>
                <w:rFonts w:cs="Arial"/>
                <w:sz w:val="16"/>
                <w:szCs w:val="16"/>
              </w:rPr>
              <w:t>2,4</w:t>
            </w:r>
          </w:p>
        </w:tc>
        <w:tc>
          <w:tcPr>
            <w:tcW w:w="822" w:type="dxa"/>
            <w:tcBorders>
              <w:top w:val="nil"/>
              <w:left w:val="nil"/>
              <w:bottom w:val="nil"/>
              <w:right w:val="nil"/>
            </w:tcBorders>
            <w:shd w:val="clear" w:color="auto" w:fill="auto"/>
            <w:noWrap/>
            <w:vAlign w:val="center"/>
            <w:hideMark/>
          </w:tcPr>
          <w:p w14:paraId="07BEA3A3" w14:textId="50994736"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379860FC" w14:textId="76AE6F69"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6BCD62EF" w14:textId="7FC521CD" w:rsidR="00355A4B" w:rsidRPr="00166BEB" w:rsidRDefault="00355A4B" w:rsidP="00355A4B">
            <w:pPr>
              <w:spacing w:after="0" w:line="240" w:lineRule="auto"/>
              <w:jc w:val="center"/>
              <w:rPr>
                <w:rFonts w:cs="Arial"/>
                <w:sz w:val="16"/>
                <w:szCs w:val="16"/>
                <w:highlight w:val="yellow"/>
              </w:rPr>
            </w:pPr>
            <w:r>
              <w:rPr>
                <w:rFonts w:cs="Arial"/>
                <w:sz w:val="16"/>
                <w:szCs w:val="16"/>
              </w:rPr>
              <w:t>3,1</w:t>
            </w:r>
          </w:p>
        </w:tc>
        <w:tc>
          <w:tcPr>
            <w:tcW w:w="822" w:type="dxa"/>
            <w:tcBorders>
              <w:top w:val="nil"/>
              <w:left w:val="nil"/>
              <w:bottom w:val="nil"/>
              <w:right w:val="nil"/>
            </w:tcBorders>
            <w:shd w:val="clear" w:color="auto" w:fill="auto"/>
            <w:noWrap/>
            <w:vAlign w:val="center"/>
            <w:hideMark/>
          </w:tcPr>
          <w:p w14:paraId="41595E4A" w14:textId="70152FD5" w:rsidR="00355A4B" w:rsidRPr="00166BEB" w:rsidRDefault="00355A4B" w:rsidP="00355A4B">
            <w:pPr>
              <w:spacing w:after="0" w:line="240" w:lineRule="auto"/>
              <w:jc w:val="center"/>
              <w:rPr>
                <w:rFonts w:cs="Arial"/>
                <w:sz w:val="16"/>
                <w:szCs w:val="16"/>
                <w:highlight w:val="yellow"/>
              </w:rPr>
            </w:pPr>
            <w:r>
              <w:rPr>
                <w:rFonts w:cs="Arial"/>
                <w:sz w:val="16"/>
                <w:szCs w:val="16"/>
              </w:rPr>
              <w:t>2,8</w:t>
            </w:r>
          </w:p>
        </w:tc>
        <w:tc>
          <w:tcPr>
            <w:tcW w:w="822" w:type="dxa"/>
            <w:tcBorders>
              <w:top w:val="nil"/>
              <w:left w:val="nil"/>
              <w:bottom w:val="nil"/>
              <w:right w:val="nil"/>
            </w:tcBorders>
            <w:shd w:val="clear" w:color="auto" w:fill="auto"/>
            <w:noWrap/>
            <w:vAlign w:val="center"/>
            <w:hideMark/>
          </w:tcPr>
          <w:p w14:paraId="1C831347" w14:textId="59669A90" w:rsidR="00355A4B" w:rsidRPr="00166BEB" w:rsidRDefault="00355A4B" w:rsidP="00355A4B">
            <w:pPr>
              <w:spacing w:after="0" w:line="240" w:lineRule="auto"/>
              <w:jc w:val="center"/>
              <w:rPr>
                <w:rFonts w:cs="Arial"/>
                <w:sz w:val="16"/>
                <w:szCs w:val="16"/>
                <w:highlight w:val="yellow"/>
              </w:rPr>
            </w:pPr>
            <w:r>
              <w:rPr>
                <w:rFonts w:cs="Arial"/>
                <w:sz w:val="16"/>
                <w:szCs w:val="16"/>
              </w:rPr>
              <w:t>3,3</w:t>
            </w:r>
          </w:p>
        </w:tc>
        <w:tc>
          <w:tcPr>
            <w:tcW w:w="822" w:type="dxa"/>
            <w:tcBorders>
              <w:top w:val="nil"/>
              <w:left w:val="nil"/>
              <w:bottom w:val="nil"/>
              <w:right w:val="nil"/>
            </w:tcBorders>
            <w:shd w:val="clear" w:color="auto" w:fill="auto"/>
            <w:noWrap/>
            <w:vAlign w:val="center"/>
            <w:hideMark/>
          </w:tcPr>
          <w:p w14:paraId="6B874ED3" w14:textId="6CFDE93F" w:rsidR="00355A4B" w:rsidRPr="00166BEB" w:rsidRDefault="00355A4B" w:rsidP="00355A4B">
            <w:pPr>
              <w:spacing w:after="0" w:line="240" w:lineRule="auto"/>
              <w:jc w:val="center"/>
              <w:rPr>
                <w:rFonts w:cs="Arial"/>
                <w:sz w:val="16"/>
                <w:szCs w:val="16"/>
                <w:highlight w:val="yellow"/>
              </w:rPr>
            </w:pPr>
            <w:r>
              <w:rPr>
                <w:rFonts w:cs="Arial"/>
                <w:sz w:val="16"/>
                <w:szCs w:val="16"/>
              </w:rPr>
              <w:t>3,0</w:t>
            </w:r>
          </w:p>
        </w:tc>
        <w:tc>
          <w:tcPr>
            <w:tcW w:w="822" w:type="dxa"/>
            <w:tcBorders>
              <w:top w:val="nil"/>
              <w:left w:val="nil"/>
              <w:bottom w:val="nil"/>
              <w:right w:val="nil"/>
            </w:tcBorders>
            <w:shd w:val="clear" w:color="auto" w:fill="D9D9D9"/>
            <w:vAlign w:val="center"/>
          </w:tcPr>
          <w:p w14:paraId="7D501F5B" w14:textId="798C4015" w:rsidR="00355A4B" w:rsidRPr="00166BEB" w:rsidRDefault="00355A4B" w:rsidP="00355A4B">
            <w:pPr>
              <w:spacing w:after="0" w:line="240" w:lineRule="auto"/>
              <w:jc w:val="center"/>
              <w:rPr>
                <w:rFonts w:cs="Arial"/>
                <w:sz w:val="16"/>
                <w:szCs w:val="16"/>
                <w:highlight w:val="yellow"/>
              </w:rPr>
            </w:pPr>
            <w:r>
              <w:rPr>
                <w:rFonts w:cs="Arial"/>
                <w:sz w:val="16"/>
                <w:szCs w:val="16"/>
              </w:rPr>
              <w:t>3,1</w:t>
            </w:r>
          </w:p>
        </w:tc>
        <w:tc>
          <w:tcPr>
            <w:tcW w:w="160" w:type="dxa"/>
            <w:tcBorders>
              <w:top w:val="nil"/>
              <w:left w:val="nil"/>
              <w:bottom w:val="nil"/>
              <w:right w:val="nil"/>
            </w:tcBorders>
          </w:tcPr>
          <w:p w14:paraId="2E6EBA44" w14:textId="3D2987EB" w:rsidR="00355A4B" w:rsidRPr="00166BEB" w:rsidRDefault="00355A4B" w:rsidP="00355A4B">
            <w:pPr>
              <w:spacing w:after="0" w:line="240" w:lineRule="auto"/>
              <w:jc w:val="center"/>
              <w:rPr>
                <w:rFonts w:cs="Arial"/>
                <w:sz w:val="16"/>
                <w:szCs w:val="16"/>
                <w:highlight w:val="yellow"/>
              </w:rPr>
            </w:pPr>
          </w:p>
        </w:tc>
      </w:tr>
      <w:tr w:rsidR="00355A4B" w:rsidRPr="00166BEB" w14:paraId="02C3AF1E" w14:textId="68EC7BDF" w:rsidTr="004543DD">
        <w:trPr>
          <w:trHeight w:val="300"/>
        </w:trPr>
        <w:tc>
          <w:tcPr>
            <w:tcW w:w="1380" w:type="dxa"/>
            <w:tcBorders>
              <w:top w:val="nil"/>
              <w:left w:val="nil"/>
              <w:bottom w:val="nil"/>
              <w:right w:val="nil"/>
            </w:tcBorders>
            <w:shd w:val="clear" w:color="auto" w:fill="auto"/>
            <w:noWrap/>
            <w:vAlign w:val="center"/>
            <w:hideMark/>
          </w:tcPr>
          <w:p w14:paraId="1D41CBF7" w14:textId="25E58789"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Irsko</w:t>
            </w:r>
          </w:p>
        </w:tc>
        <w:tc>
          <w:tcPr>
            <w:tcW w:w="822" w:type="dxa"/>
            <w:tcBorders>
              <w:top w:val="nil"/>
              <w:left w:val="single" w:sz="4" w:space="0" w:color="000000"/>
              <w:bottom w:val="nil"/>
              <w:right w:val="nil"/>
            </w:tcBorders>
            <w:shd w:val="clear" w:color="auto" w:fill="auto"/>
            <w:noWrap/>
            <w:vAlign w:val="center"/>
            <w:hideMark/>
          </w:tcPr>
          <w:p w14:paraId="003A77A2" w14:textId="57B7E36C" w:rsidR="00355A4B" w:rsidRPr="00166BEB" w:rsidRDefault="00355A4B" w:rsidP="00355A4B">
            <w:pPr>
              <w:spacing w:after="0" w:line="240" w:lineRule="auto"/>
              <w:jc w:val="center"/>
              <w:rPr>
                <w:rFonts w:cs="Arial"/>
                <w:sz w:val="16"/>
                <w:szCs w:val="16"/>
                <w:highlight w:val="yellow"/>
              </w:rPr>
            </w:pPr>
            <w:r>
              <w:rPr>
                <w:rFonts w:cs="Arial"/>
                <w:sz w:val="16"/>
                <w:szCs w:val="16"/>
              </w:rPr>
              <w:t>4,2</w:t>
            </w:r>
          </w:p>
        </w:tc>
        <w:tc>
          <w:tcPr>
            <w:tcW w:w="822" w:type="dxa"/>
            <w:tcBorders>
              <w:top w:val="nil"/>
              <w:left w:val="nil"/>
              <w:bottom w:val="nil"/>
              <w:right w:val="nil"/>
            </w:tcBorders>
            <w:shd w:val="clear" w:color="auto" w:fill="auto"/>
            <w:noWrap/>
            <w:vAlign w:val="center"/>
            <w:hideMark/>
          </w:tcPr>
          <w:p w14:paraId="5E0C3E78" w14:textId="45CA0977" w:rsidR="00355A4B" w:rsidRPr="00166BEB" w:rsidRDefault="00355A4B" w:rsidP="00355A4B">
            <w:pPr>
              <w:spacing w:after="0" w:line="240" w:lineRule="auto"/>
              <w:jc w:val="center"/>
              <w:rPr>
                <w:rFonts w:cs="Arial"/>
                <w:sz w:val="16"/>
                <w:szCs w:val="16"/>
                <w:highlight w:val="yellow"/>
              </w:rPr>
            </w:pPr>
            <w:r>
              <w:rPr>
                <w:rFonts w:cs="Arial"/>
                <w:sz w:val="16"/>
                <w:szCs w:val="16"/>
              </w:rPr>
              <w:t>3,4</w:t>
            </w:r>
          </w:p>
        </w:tc>
        <w:tc>
          <w:tcPr>
            <w:tcW w:w="822" w:type="dxa"/>
            <w:tcBorders>
              <w:top w:val="nil"/>
              <w:left w:val="nil"/>
              <w:bottom w:val="nil"/>
              <w:right w:val="nil"/>
            </w:tcBorders>
            <w:shd w:val="clear" w:color="auto" w:fill="auto"/>
            <w:noWrap/>
            <w:vAlign w:val="center"/>
            <w:hideMark/>
          </w:tcPr>
          <w:p w14:paraId="16C5596A" w14:textId="3143C7E1"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2C03F4E0" w14:textId="167962A5" w:rsidR="00355A4B" w:rsidRPr="00166BEB" w:rsidRDefault="00355A4B" w:rsidP="00355A4B">
            <w:pPr>
              <w:spacing w:after="0" w:line="240" w:lineRule="auto"/>
              <w:jc w:val="center"/>
              <w:rPr>
                <w:rFonts w:cs="Arial"/>
                <w:sz w:val="16"/>
                <w:szCs w:val="16"/>
                <w:highlight w:val="yellow"/>
              </w:rPr>
            </w:pPr>
            <w:r>
              <w:rPr>
                <w:rFonts w:cs="Arial"/>
                <w:sz w:val="16"/>
                <w:szCs w:val="16"/>
              </w:rPr>
              <w:t>3,1</w:t>
            </w:r>
          </w:p>
        </w:tc>
        <w:tc>
          <w:tcPr>
            <w:tcW w:w="822" w:type="dxa"/>
            <w:tcBorders>
              <w:top w:val="nil"/>
              <w:left w:val="nil"/>
              <w:bottom w:val="nil"/>
              <w:right w:val="nil"/>
            </w:tcBorders>
            <w:shd w:val="clear" w:color="auto" w:fill="auto"/>
            <w:noWrap/>
            <w:vAlign w:val="center"/>
            <w:hideMark/>
          </w:tcPr>
          <w:p w14:paraId="2ED60626" w14:textId="6A797847"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822" w:type="dxa"/>
            <w:tcBorders>
              <w:top w:val="nil"/>
              <w:left w:val="nil"/>
              <w:bottom w:val="nil"/>
              <w:right w:val="nil"/>
            </w:tcBorders>
            <w:shd w:val="clear" w:color="auto" w:fill="auto"/>
            <w:noWrap/>
            <w:vAlign w:val="center"/>
            <w:hideMark/>
          </w:tcPr>
          <w:p w14:paraId="63B6B24D" w14:textId="40719FA9"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72E30D49" w14:textId="3C60E051" w:rsidR="00355A4B" w:rsidRPr="00166BEB" w:rsidRDefault="00355A4B" w:rsidP="00355A4B">
            <w:pPr>
              <w:spacing w:after="0" w:line="240" w:lineRule="auto"/>
              <w:jc w:val="center"/>
              <w:rPr>
                <w:rFonts w:cs="Arial"/>
                <w:sz w:val="16"/>
                <w:szCs w:val="16"/>
                <w:highlight w:val="yellow"/>
              </w:rPr>
            </w:pPr>
            <w:r>
              <w:rPr>
                <w:rFonts w:cs="Arial"/>
                <w:sz w:val="16"/>
                <w:szCs w:val="16"/>
              </w:rPr>
              <w:t>2,5</w:t>
            </w:r>
          </w:p>
        </w:tc>
        <w:tc>
          <w:tcPr>
            <w:tcW w:w="822" w:type="dxa"/>
            <w:tcBorders>
              <w:top w:val="nil"/>
              <w:left w:val="nil"/>
              <w:bottom w:val="nil"/>
              <w:right w:val="nil"/>
            </w:tcBorders>
            <w:shd w:val="clear" w:color="auto" w:fill="auto"/>
            <w:noWrap/>
            <w:vAlign w:val="center"/>
            <w:hideMark/>
          </w:tcPr>
          <w:p w14:paraId="0B819725" w14:textId="37BB3945" w:rsidR="00355A4B" w:rsidRPr="00166BEB" w:rsidRDefault="00355A4B" w:rsidP="00355A4B">
            <w:pPr>
              <w:spacing w:after="0" w:line="240" w:lineRule="auto"/>
              <w:jc w:val="center"/>
              <w:rPr>
                <w:rFonts w:cs="Arial"/>
                <w:sz w:val="16"/>
                <w:szCs w:val="16"/>
                <w:highlight w:val="yellow"/>
              </w:rPr>
            </w:pPr>
            <w:r>
              <w:rPr>
                <w:rFonts w:cs="Arial"/>
                <w:sz w:val="16"/>
                <w:szCs w:val="16"/>
              </w:rPr>
              <w:t>2,0</w:t>
            </w:r>
          </w:p>
        </w:tc>
        <w:tc>
          <w:tcPr>
            <w:tcW w:w="822" w:type="dxa"/>
            <w:tcBorders>
              <w:top w:val="nil"/>
              <w:left w:val="nil"/>
              <w:bottom w:val="nil"/>
              <w:right w:val="nil"/>
            </w:tcBorders>
            <w:shd w:val="clear" w:color="auto" w:fill="auto"/>
            <w:noWrap/>
            <w:vAlign w:val="center"/>
            <w:hideMark/>
          </w:tcPr>
          <w:p w14:paraId="05901008" w14:textId="658BCA0E"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D9D9D9"/>
            <w:vAlign w:val="center"/>
          </w:tcPr>
          <w:p w14:paraId="1065F0AF" w14:textId="1483677C" w:rsidR="00355A4B" w:rsidRPr="00166BEB" w:rsidRDefault="00355A4B" w:rsidP="00355A4B">
            <w:pPr>
              <w:spacing w:after="0" w:line="240" w:lineRule="auto"/>
              <w:jc w:val="center"/>
              <w:rPr>
                <w:rFonts w:cs="Arial"/>
                <w:sz w:val="16"/>
                <w:szCs w:val="16"/>
                <w:highlight w:val="yellow"/>
              </w:rPr>
            </w:pPr>
            <w:r>
              <w:rPr>
                <w:rFonts w:cs="Arial"/>
                <w:sz w:val="16"/>
                <w:szCs w:val="16"/>
              </w:rPr>
              <w:t>2,4</w:t>
            </w:r>
          </w:p>
        </w:tc>
        <w:tc>
          <w:tcPr>
            <w:tcW w:w="160" w:type="dxa"/>
            <w:tcBorders>
              <w:top w:val="nil"/>
              <w:left w:val="nil"/>
              <w:bottom w:val="nil"/>
              <w:right w:val="nil"/>
            </w:tcBorders>
          </w:tcPr>
          <w:p w14:paraId="53590A8E" w14:textId="05CFCFDC" w:rsidR="00355A4B" w:rsidRPr="00166BEB" w:rsidRDefault="00355A4B" w:rsidP="00355A4B">
            <w:pPr>
              <w:spacing w:after="0" w:line="240" w:lineRule="auto"/>
              <w:jc w:val="center"/>
              <w:rPr>
                <w:rFonts w:cs="Arial"/>
                <w:sz w:val="16"/>
                <w:szCs w:val="16"/>
                <w:highlight w:val="yellow"/>
              </w:rPr>
            </w:pPr>
          </w:p>
        </w:tc>
      </w:tr>
      <w:tr w:rsidR="00355A4B" w:rsidRPr="00166BEB" w14:paraId="0F9399D5" w14:textId="19F6BCAF" w:rsidTr="004543DD">
        <w:trPr>
          <w:trHeight w:val="300"/>
        </w:trPr>
        <w:tc>
          <w:tcPr>
            <w:tcW w:w="1380" w:type="dxa"/>
            <w:tcBorders>
              <w:top w:val="nil"/>
              <w:left w:val="nil"/>
              <w:bottom w:val="nil"/>
              <w:right w:val="nil"/>
            </w:tcBorders>
            <w:shd w:val="clear" w:color="auto" w:fill="auto"/>
            <w:noWrap/>
            <w:vAlign w:val="center"/>
            <w:hideMark/>
          </w:tcPr>
          <w:p w14:paraId="2821CBD2" w14:textId="4FAF7444"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Itálie</w:t>
            </w:r>
          </w:p>
        </w:tc>
        <w:tc>
          <w:tcPr>
            <w:tcW w:w="822" w:type="dxa"/>
            <w:tcBorders>
              <w:top w:val="nil"/>
              <w:left w:val="single" w:sz="4" w:space="0" w:color="000000"/>
              <w:bottom w:val="nil"/>
              <w:right w:val="nil"/>
            </w:tcBorders>
            <w:shd w:val="clear" w:color="auto" w:fill="auto"/>
            <w:noWrap/>
            <w:vAlign w:val="center"/>
            <w:hideMark/>
          </w:tcPr>
          <w:p w14:paraId="3394FA6E" w14:textId="0270E709" w:rsidR="00355A4B" w:rsidRPr="00166BEB" w:rsidRDefault="00355A4B" w:rsidP="00355A4B">
            <w:pPr>
              <w:spacing w:after="0" w:line="240" w:lineRule="auto"/>
              <w:jc w:val="center"/>
              <w:rPr>
                <w:rFonts w:cs="Arial"/>
                <w:sz w:val="16"/>
                <w:szCs w:val="16"/>
                <w:highlight w:val="yellow"/>
              </w:rPr>
            </w:pPr>
            <w:r>
              <w:rPr>
                <w:rFonts w:cs="Arial"/>
                <w:sz w:val="16"/>
                <w:szCs w:val="16"/>
              </w:rPr>
              <w:t>3,3</w:t>
            </w:r>
          </w:p>
        </w:tc>
        <w:tc>
          <w:tcPr>
            <w:tcW w:w="822" w:type="dxa"/>
            <w:tcBorders>
              <w:top w:val="nil"/>
              <w:left w:val="nil"/>
              <w:bottom w:val="nil"/>
              <w:right w:val="nil"/>
            </w:tcBorders>
            <w:shd w:val="clear" w:color="auto" w:fill="auto"/>
            <w:noWrap/>
            <w:vAlign w:val="center"/>
            <w:hideMark/>
          </w:tcPr>
          <w:p w14:paraId="75580ED9" w14:textId="234D6B49"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822" w:type="dxa"/>
            <w:tcBorders>
              <w:top w:val="nil"/>
              <w:left w:val="nil"/>
              <w:bottom w:val="nil"/>
              <w:right w:val="nil"/>
            </w:tcBorders>
            <w:shd w:val="clear" w:color="auto" w:fill="auto"/>
            <w:noWrap/>
            <w:vAlign w:val="center"/>
            <w:hideMark/>
          </w:tcPr>
          <w:p w14:paraId="4E3E8036" w14:textId="2F2FA3D8" w:rsidR="00355A4B" w:rsidRPr="00166BEB" w:rsidRDefault="00355A4B" w:rsidP="00355A4B">
            <w:pPr>
              <w:spacing w:after="0" w:line="240" w:lineRule="auto"/>
              <w:jc w:val="center"/>
              <w:rPr>
                <w:rFonts w:cs="Arial"/>
                <w:sz w:val="16"/>
                <w:szCs w:val="16"/>
                <w:highlight w:val="yellow"/>
              </w:rPr>
            </w:pPr>
            <w:r>
              <w:rPr>
                <w:rFonts w:cs="Arial"/>
                <w:sz w:val="16"/>
                <w:szCs w:val="16"/>
              </w:rPr>
              <w:t>3,0</w:t>
            </w:r>
          </w:p>
        </w:tc>
        <w:tc>
          <w:tcPr>
            <w:tcW w:w="822" w:type="dxa"/>
            <w:tcBorders>
              <w:top w:val="nil"/>
              <w:left w:val="nil"/>
              <w:bottom w:val="nil"/>
              <w:right w:val="nil"/>
            </w:tcBorders>
            <w:shd w:val="clear" w:color="auto" w:fill="auto"/>
            <w:noWrap/>
            <w:vAlign w:val="center"/>
            <w:hideMark/>
          </w:tcPr>
          <w:p w14:paraId="4EC96850" w14:textId="062F3464" w:rsidR="00355A4B" w:rsidRPr="00166BEB" w:rsidRDefault="00355A4B" w:rsidP="00355A4B">
            <w:pPr>
              <w:spacing w:after="0" w:line="240" w:lineRule="auto"/>
              <w:jc w:val="center"/>
              <w:rPr>
                <w:rFonts w:cs="Arial"/>
                <w:sz w:val="16"/>
                <w:szCs w:val="16"/>
                <w:highlight w:val="yellow"/>
              </w:rPr>
            </w:pPr>
            <w:r>
              <w:rPr>
                <w:rFonts w:cs="Arial"/>
                <w:sz w:val="16"/>
                <w:szCs w:val="16"/>
              </w:rPr>
              <w:t>3,0</w:t>
            </w:r>
          </w:p>
        </w:tc>
        <w:tc>
          <w:tcPr>
            <w:tcW w:w="822" w:type="dxa"/>
            <w:tcBorders>
              <w:top w:val="nil"/>
              <w:left w:val="nil"/>
              <w:bottom w:val="nil"/>
              <w:right w:val="nil"/>
            </w:tcBorders>
            <w:shd w:val="clear" w:color="auto" w:fill="auto"/>
            <w:noWrap/>
            <w:vAlign w:val="center"/>
            <w:hideMark/>
          </w:tcPr>
          <w:p w14:paraId="1FB3B6F5" w14:textId="11BC0B18" w:rsidR="00355A4B" w:rsidRPr="00166BEB" w:rsidRDefault="00355A4B" w:rsidP="00355A4B">
            <w:pPr>
              <w:spacing w:after="0" w:line="240" w:lineRule="auto"/>
              <w:jc w:val="center"/>
              <w:rPr>
                <w:rFonts w:cs="Arial"/>
                <w:sz w:val="16"/>
                <w:szCs w:val="16"/>
                <w:highlight w:val="yellow"/>
              </w:rPr>
            </w:pPr>
            <w:r>
              <w:rPr>
                <w:rFonts w:cs="Arial"/>
                <w:sz w:val="16"/>
                <w:szCs w:val="16"/>
              </w:rPr>
              <w:t>3,1</w:t>
            </w:r>
          </w:p>
        </w:tc>
        <w:tc>
          <w:tcPr>
            <w:tcW w:w="822" w:type="dxa"/>
            <w:tcBorders>
              <w:top w:val="nil"/>
              <w:left w:val="nil"/>
              <w:bottom w:val="nil"/>
              <w:right w:val="nil"/>
            </w:tcBorders>
            <w:shd w:val="clear" w:color="auto" w:fill="auto"/>
            <w:noWrap/>
            <w:vAlign w:val="center"/>
            <w:hideMark/>
          </w:tcPr>
          <w:p w14:paraId="4C7E8C13" w14:textId="54EE2217"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auto"/>
            <w:noWrap/>
            <w:vAlign w:val="center"/>
            <w:hideMark/>
          </w:tcPr>
          <w:p w14:paraId="2DD0A226" w14:textId="365229BC" w:rsidR="00355A4B" w:rsidRPr="00166BEB" w:rsidRDefault="00355A4B" w:rsidP="00355A4B">
            <w:pPr>
              <w:spacing w:after="0" w:line="240" w:lineRule="auto"/>
              <w:jc w:val="center"/>
              <w:rPr>
                <w:rFonts w:cs="Arial"/>
                <w:sz w:val="16"/>
                <w:szCs w:val="16"/>
                <w:highlight w:val="yellow"/>
              </w:rPr>
            </w:pPr>
            <w:r>
              <w:rPr>
                <w:rFonts w:cs="Arial"/>
                <w:sz w:val="16"/>
                <w:szCs w:val="16"/>
              </w:rPr>
              <w:t>2,5</w:t>
            </w:r>
          </w:p>
        </w:tc>
        <w:tc>
          <w:tcPr>
            <w:tcW w:w="822" w:type="dxa"/>
            <w:tcBorders>
              <w:top w:val="nil"/>
              <w:left w:val="nil"/>
              <w:bottom w:val="nil"/>
              <w:right w:val="nil"/>
            </w:tcBorders>
            <w:shd w:val="clear" w:color="auto" w:fill="auto"/>
            <w:noWrap/>
            <w:vAlign w:val="center"/>
            <w:hideMark/>
          </w:tcPr>
          <w:p w14:paraId="37E95F33" w14:textId="74E6B7EB"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0EF607BD" w14:textId="4B847DFA"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D9D9D9"/>
            <w:vAlign w:val="center"/>
          </w:tcPr>
          <w:p w14:paraId="72386647" w14:textId="1025AB49" w:rsidR="00355A4B" w:rsidRPr="00166BEB" w:rsidRDefault="00355A4B" w:rsidP="00355A4B">
            <w:pPr>
              <w:spacing w:after="0" w:line="240" w:lineRule="auto"/>
              <w:jc w:val="center"/>
              <w:rPr>
                <w:rFonts w:cs="Arial"/>
                <w:sz w:val="16"/>
                <w:szCs w:val="16"/>
                <w:highlight w:val="yellow"/>
              </w:rPr>
            </w:pPr>
            <w:r>
              <w:rPr>
                <w:rFonts w:cs="Arial"/>
                <w:sz w:val="16"/>
                <w:szCs w:val="16"/>
              </w:rPr>
              <w:t>3,0</w:t>
            </w:r>
          </w:p>
        </w:tc>
        <w:tc>
          <w:tcPr>
            <w:tcW w:w="160" w:type="dxa"/>
            <w:tcBorders>
              <w:top w:val="nil"/>
              <w:left w:val="nil"/>
              <w:bottom w:val="nil"/>
              <w:right w:val="nil"/>
            </w:tcBorders>
          </w:tcPr>
          <w:p w14:paraId="29B149E9" w14:textId="31CF212C" w:rsidR="00355A4B" w:rsidRPr="00166BEB" w:rsidRDefault="00355A4B" w:rsidP="00355A4B">
            <w:pPr>
              <w:spacing w:after="0" w:line="240" w:lineRule="auto"/>
              <w:jc w:val="center"/>
              <w:rPr>
                <w:rFonts w:cs="Arial"/>
                <w:sz w:val="16"/>
                <w:szCs w:val="16"/>
                <w:highlight w:val="yellow"/>
              </w:rPr>
            </w:pPr>
          </w:p>
        </w:tc>
      </w:tr>
      <w:tr w:rsidR="00355A4B" w:rsidRPr="00166BEB" w14:paraId="71E1C686" w14:textId="116D3C4D" w:rsidTr="004543DD">
        <w:trPr>
          <w:trHeight w:val="300"/>
        </w:trPr>
        <w:tc>
          <w:tcPr>
            <w:tcW w:w="1380" w:type="dxa"/>
            <w:tcBorders>
              <w:top w:val="nil"/>
              <w:left w:val="nil"/>
              <w:bottom w:val="nil"/>
              <w:right w:val="nil"/>
            </w:tcBorders>
            <w:shd w:val="clear" w:color="auto" w:fill="auto"/>
            <w:noWrap/>
            <w:vAlign w:val="center"/>
            <w:hideMark/>
          </w:tcPr>
          <w:p w14:paraId="2C812E63" w14:textId="51E18279"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Kypr</w:t>
            </w:r>
          </w:p>
        </w:tc>
        <w:tc>
          <w:tcPr>
            <w:tcW w:w="822" w:type="dxa"/>
            <w:tcBorders>
              <w:top w:val="nil"/>
              <w:left w:val="single" w:sz="4" w:space="0" w:color="000000"/>
              <w:bottom w:val="nil"/>
              <w:right w:val="nil"/>
            </w:tcBorders>
            <w:shd w:val="clear" w:color="auto" w:fill="auto"/>
            <w:noWrap/>
            <w:vAlign w:val="center"/>
            <w:hideMark/>
          </w:tcPr>
          <w:p w14:paraId="72DD53AB" w14:textId="538C86B8" w:rsidR="00355A4B" w:rsidRPr="00166BEB" w:rsidRDefault="00355A4B" w:rsidP="00355A4B">
            <w:pPr>
              <w:spacing w:after="0" w:line="240" w:lineRule="auto"/>
              <w:jc w:val="center"/>
              <w:rPr>
                <w:rFonts w:cs="Arial"/>
                <w:sz w:val="16"/>
                <w:szCs w:val="16"/>
                <w:highlight w:val="yellow"/>
              </w:rPr>
            </w:pPr>
            <w:r>
              <w:rPr>
                <w:rFonts w:cs="Arial"/>
                <w:sz w:val="16"/>
                <w:szCs w:val="16"/>
              </w:rPr>
              <w:t>4,0</w:t>
            </w:r>
          </w:p>
        </w:tc>
        <w:tc>
          <w:tcPr>
            <w:tcW w:w="822" w:type="dxa"/>
            <w:tcBorders>
              <w:top w:val="nil"/>
              <w:left w:val="nil"/>
              <w:bottom w:val="nil"/>
              <w:right w:val="nil"/>
            </w:tcBorders>
            <w:shd w:val="clear" w:color="auto" w:fill="auto"/>
            <w:noWrap/>
            <w:vAlign w:val="center"/>
            <w:hideMark/>
          </w:tcPr>
          <w:p w14:paraId="2FDFC0CE" w14:textId="4E93F58B" w:rsidR="00355A4B" w:rsidRPr="00166BEB" w:rsidRDefault="00355A4B" w:rsidP="00355A4B">
            <w:pPr>
              <w:spacing w:after="0" w:line="240" w:lineRule="auto"/>
              <w:jc w:val="center"/>
              <w:rPr>
                <w:rFonts w:cs="Arial"/>
                <w:sz w:val="16"/>
                <w:szCs w:val="16"/>
                <w:highlight w:val="yellow"/>
              </w:rPr>
            </w:pPr>
            <w:r>
              <w:rPr>
                <w:rFonts w:cs="Arial"/>
                <w:sz w:val="16"/>
                <w:szCs w:val="16"/>
              </w:rPr>
              <w:t>3,9</w:t>
            </w:r>
          </w:p>
        </w:tc>
        <w:tc>
          <w:tcPr>
            <w:tcW w:w="822" w:type="dxa"/>
            <w:tcBorders>
              <w:top w:val="nil"/>
              <w:left w:val="nil"/>
              <w:bottom w:val="nil"/>
              <w:right w:val="nil"/>
            </w:tcBorders>
            <w:shd w:val="clear" w:color="auto" w:fill="auto"/>
            <w:noWrap/>
            <w:vAlign w:val="center"/>
            <w:hideMark/>
          </w:tcPr>
          <w:p w14:paraId="35F47814" w14:textId="2F44A745" w:rsidR="00355A4B" w:rsidRPr="00166BEB" w:rsidRDefault="00355A4B" w:rsidP="00355A4B">
            <w:pPr>
              <w:spacing w:after="0" w:line="240" w:lineRule="auto"/>
              <w:jc w:val="center"/>
              <w:rPr>
                <w:rFonts w:cs="Arial"/>
                <w:sz w:val="16"/>
                <w:szCs w:val="16"/>
                <w:highlight w:val="yellow"/>
              </w:rPr>
            </w:pPr>
            <w:r>
              <w:rPr>
                <w:rFonts w:cs="Arial"/>
                <w:sz w:val="16"/>
                <w:szCs w:val="16"/>
              </w:rPr>
              <w:t>3,7</w:t>
            </w:r>
          </w:p>
        </w:tc>
        <w:tc>
          <w:tcPr>
            <w:tcW w:w="822" w:type="dxa"/>
            <w:tcBorders>
              <w:top w:val="nil"/>
              <w:left w:val="nil"/>
              <w:bottom w:val="nil"/>
              <w:right w:val="nil"/>
            </w:tcBorders>
            <w:shd w:val="clear" w:color="auto" w:fill="auto"/>
            <w:noWrap/>
            <w:vAlign w:val="center"/>
            <w:hideMark/>
          </w:tcPr>
          <w:p w14:paraId="7EAF578D" w14:textId="45C6694B"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auto"/>
            <w:noWrap/>
            <w:vAlign w:val="center"/>
            <w:hideMark/>
          </w:tcPr>
          <w:p w14:paraId="27BEB695" w14:textId="228A9E07" w:rsidR="00355A4B" w:rsidRPr="00166BEB" w:rsidRDefault="00355A4B" w:rsidP="00355A4B">
            <w:pPr>
              <w:spacing w:after="0" w:line="240" w:lineRule="auto"/>
              <w:jc w:val="center"/>
              <w:rPr>
                <w:rFonts w:cs="Arial"/>
                <w:sz w:val="16"/>
                <w:szCs w:val="16"/>
                <w:highlight w:val="yellow"/>
              </w:rPr>
            </w:pPr>
            <w:r>
              <w:rPr>
                <w:rFonts w:cs="Arial"/>
                <w:sz w:val="16"/>
                <w:szCs w:val="16"/>
              </w:rPr>
              <w:t>1,5</w:t>
            </w:r>
          </w:p>
        </w:tc>
        <w:tc>
          <w:tcPr>
            <w:tcW w:w="822" w:type="dxa"/>
            <w:tcBorders>
              <w:top w:val="nil"/>
              <w:left w:val="nil"/>
              <w:bottom w:val="nil"/>
              <w:right w:val="nil"/>
            </w:tcBorders>
            <w:shd w:val="clear" w:color="auto" w:fill="auto"/>
            <w:noWrap/>
            <w:vAlign w:val="center"/>
            <w:hideMark/>
          </w:tcPr>
          <w:p w14:paraId="5A6F3D6E" w14:textId="52DFCA47"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789493DA" w14:textId="713542F3" w:rsidR="00355A4B" w:rsidRPr="00166BEB" w:rsidRDefault="00355A4B" w:rsidP="00355A4B">
            <w:pPr>
              <w:spacing w:after="0" w:line="240" w:lineRule="auto"/>
              <w:jc w:val="center"/>
              <w:rPr>
                <w:rFonts w:cs="Arial"/>
                <w:sz w:val="16"/>
                <w:szCs w:val="16"/>
                <w:highlight w:val="yellow"/>
              </w:rPr>
            </w:pPr>
            <w:r>
              <w:rPr>
                <w:rFonts w:cs="Arial"/>
                <w:sz w:val="16"/>
                <w:szCs w:val="16"/>
              </w:rPr>
              <w:t>0,9</w:t>
            </w:r>
          </w:p>
        </w:tc>
        <w:tc>
          <w:tcPr>
            <w:tcW w:w="822" w:type="dxa"/>
            <w:tcBorders>
              <w:top w:val="nil"/>
              <w:left w:val="nil"/>
              <w:bottom w:val="nil"/>
              <w:right w:val="nil"/>
            </w:tcBorders>
            <w:shd w:val="clear" w:color="auto" w:fill="auto"/>
            <w:noWrap/>
            <w:vAlign w:val="center"/>
            <w:hideMark/>
          </w:tcPr>
          <w:p w14:paraId="76F90BCD" w14:textId="41ECB05D" w:rsidR="00355A4B" w:rsidRPr="00166BEB" w:rsidRDefault="00355A4B" w:rsidP="00355A4B">
            <w:pPr>
              <w:spacing w:after="0" w:line="240" w:lineRule="auto"/>
              <w:jc w:val="center"/>
              <w:rPr>
                <w:rFonts w:cs="Arial"/>
                <w:sz w:val="16"/>
                <w:szCs w:val="16"/>
                <w:highlight w:val="yellow"/>
              </w:rPr>
            </w:pPr>
            <w:r>
              <w:rPr>
                <w:rFonts w:cs="Arial"/>
                <w:sz w:val="16"/>
                <w:szCs w:val="16"/>
              </w:rPr>
              <w:t>4,5</w:t>
            </w:r>
          </w:p>
        </w:tc>
        <w:tc>
          <w:tcPr>
            <w:tcW w:w="822" w:type="dxa"/>
            <w:tcBorders>
              <w:top w:val="nil"/>
              <w:left w:val="nil"/>
              <w:bottom w:val="nil"/>
              <w:right w:val="nil"/>
            </w:tcBorders>
            <w:shd w:val="clear" w:color="auto" w:fill="auto"/>
            <w:noWrap/>
            <w:vAlign w:val="center"/>
            <w:hideMark/>
          </w:tcPr>
          <w:p w14:paraId="4B46B02F" w14:textId="40A10819" w:rsidR="00355A4B" w:rsidRPr="00166BEB" w:rsidRDefault="00355A4B" w:rsidP="00355A4B">
            <w:pPr>
              <w:spacing w:after="0" w:line="240" w:lineRule="auto"/>
              <w:jc w:val="center"/>
              <w:rPr>
                <w:rFonts w:cs="Arial"/>
                <w:sz w:val="16"/>
                <w:szCs w:val="16"/>
                <w:highlight w:val="yellow"/>
              </w:rPr>
            </w:pPr>
            <w:r>
              <w:rPr>
                <w:rFonts w:cs="Arial"/>
                <w:sz w:val="16"/>
                <w:szCs w:val="16"/>
              </w:rPr>
              <w:t>3,9</w:t>
            </w:r>
          </w:p>
        </w:tc>
        <w:tc>
          <w:tcPr>
            <w:tcW w:w="822" w:type="dxa"/>
            <w:tcBorders>
              <w:top w:val="nil"/>
              <w:left w:val="nil"/>
              <w:bottom w:val="nil"/>
              <w:right w:val="nil"/>
            </w:tcBorders>
            <w:shd w:val="clear" w:color="auto" w:fill="D9D9D9"/>
            <w:vAlign w:val="center"/>
          </w:tcPr>
          <w:p w14:paraId="61073001" w14:textId="1028BB95" w:rsidR="00355A4B" w:rsidRPr="00166BEB" w:rsidRDefault="00355A4B" w:rsidP="00355A4B">
            <w:pPr>
              <w:spacing w:after="0" w:line="240" w:lineRule="auto"/>
              <w:jc w:val="center"/>
              <w:rPr>
                <w:rFonts w:cs="Arial"/>
                <w:sz w:val="16"/>
                <w:szCs w:val="16"/>
                <w:highlight w:val="yellow"/>
              </w:rPr>
            </w:pPr>
            <w:r>
              <w:rPr>
                <w:rFonts w:cs="Arial"/>
                <w:sz w:val="16"/>
                <w:szCs w:val="16"/>
              </w:rPr>
              <w:t>5,1</w:t>
            </w:r>
          </w:p>
        </w:tc>
        <w:tc>
          <w:tcPr>
            <w:tcW w:w="160" w:type="dxa"/>
            <w:tcBorders>
              <w:top w:val="nil"/>
              <w:left w:val="nil"/>
              <w:bottom w:val="nil"/>
              <w:right w:val="nil"/>
            </w:tcBorders>
          </w:tcPr>
          <w:p w14:paraId="26AF027B" w14:textId="78B8B510" w:rsidR="00355A4B" w:rsidRPr="00166BEB" w:rsidRDefault="00355A4B" w:rsidP="00355A4B">
            <w:pPr>
              <w:spacing w:after="0" w:line="240" w:lineRule="auto"/>
              <w:jc w:val="center"/>
              <w:rPr>
                <w:rFonts w:cs="Arial"/>
                <w:sz w:val="16"/>
                <w:szCs w:val="16"/>
                <w:highlight w:val="yellow"/>
              </w:rPr>
            </w:pPr>
          </w:p>
        </w:tc>
      </w:tr>
      <w:tr w:rsidR="00355A4B" w:rsidRPr="00166BEB" w14:paraId="7B33BBB3" w14:textId="22FEFE7B" w:rsidTr="004543DD">
        <w:trPr>
          <w:trHeight w:val="300"/>
        </w:trPr>
        <w:tc>
          <w:tcPr>
            <w:tcW w:w="1380" w:type="dxa"/>
            <w:tcBorders>
              <w:top w:val="nil"/>
              <w:left w:val="nil"/>
              <w:bottom w:val="nil"/>
              <w:right w:val="nil"/>
            </w:tcBorders>
            <w:shd w:val="clear" w:color="auto" w:fill="auto"/>
            <w:noWrap/>
            <w:vAlign w:val="center"/>
            <w:hideMark/>
          </w:tcPr>
          <w:p w14:paraId="7D89FF82" w14:textId="7D13B273"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Litva</w:t>
            </w:r>
          </w:p>
        </w:tc>
        <w:tc>
          <w:tcPr>
            <w:tcW w:w="822" w:type="dxa"/>
            <w:tcBorders>
              <w:top w:val="nil"/>
              <w:left w:val="single" w:sz="4" w:space="0" w:color="000000"/>
              <w:bottom w:val="nil"/>
              <w:right w:val="nil"/>
            </w:tcBorders>
            <w:shd w:val="clear" w:color="auto" w:fill="auto"/>
            <w:noWrap/>
            <w:vAlign w:val="center"/>
            <w:hideMark/>
          </w:tcPr>
          <w:p w14:paraId="321C0FBE" w14:textId="7F661934" w:rsidR="00355A4B" w:rsidRPr="00166BEB" w:rsidRDefault="00355A4B" w:rsidP="00355A4B">
            <w:pPr>
              <w:spacing w:after="0" w:line="240" w:lineRule="auto"/>
              <w:jc w:val="center"/>
              <w:rPr>
                <w:rFonts w:cs="Arial"/>
                <w:sz w:val="16"/>
                <w:szCs w:val="16"/>
                <w:highlight w:val="yellow"/>
              </w:rPr>
            </w:pPr>
            <w:r>
              <w:rPr>
                <w:rFonts w:cs="Arial"/>
                <w:sz w:val="16"/>
                <w:szCs w:val="16"/>
              </w:rPr>
              <w:t>4,8</w:t>
            </w:r>
          </w:p>
        </w:tc>
        <w:tc>
          <w:tcPr>
            <w:tcW w:w="822" w:type="dxa"/>
            <w:tcBorders>
              <w:top w:val="nil"/>
              <w:left w:val="nil"/>
              <w:bottom w:val="nil"/>
              <w:right w:val="nil"/>
            </w:tcBorders>
            <w:shd w:val="clear" w:color="auto" w:fill="auto"/>
            <w:noWrap/>
            <w:vAlign w:val="center"/>
            <w:hideMark/>
          </w:tcPr>
          <w:p w14:paraId="7994CD0D" w14:textId="13FD65E3" w:rsidR="00355A4B" w:rsidRPr="00166BEB" w:rsidRDefault="00355A4B" w:rsidP="00355A4B">
            <w:pPr>
              <w:spacing w:after="0" w:line="240" w:lineRule="auto"/>
              <w:jc w:val="center"/>
              <w:rPr>
                <w:rFonts w:cs="Arial"/>
                <w:sz w:val="16"/>
                <w:szCs w:val="16"/>
                <w:highlight w:val="yellow"/>
              </w:rPr>
            </w:pPr>
            <w:r>
              <w:rPr>
                <w:rFonts w:cs="Arial"/>
                <w:sz w:val="16"/>
                <w:szCs w:val="16"/>
              </w:rPr>
              <w:t>6,3</w:t>
            </w:r>
          </w:p>
        </w:tc>
        <w:tc>
          <w:tcPr>
            <w:tcW w:w="822" w:type="dxa"/>
            <w:tcBorders>
              <w:top w:val="nil"/>
              <w:left w:val="nil"/>
              <w:bottom w:val="nil"/>
              <w:right w:val="nil"/>
            </w:tcBorders>
            <w:shd w:val="clear" w:color="auto" w:fill="auto"/>
            <w:noWrap/>
            <w:vAlign w:val="center"/>
            <w:hideMark/>
          </w:tcPr>
          <w:p w14:paraId="5C8B748A" w14:textId="0A855AFA" w:rsidR="00355A4B" w:rsidRPr="00166BEB" w:rsidRDefault="00355A4B" w:rsidP="00355A4B">
            <w:pPr>
              <w:spacing w:after="0" w:line="240" w:lineRule="auto"/>
              <w:jc w:val="center"/>
              <w:rPr>
                <w:rFonts w:cs="Arial"/>
                <w:sz w:val="16"/>
                <w:szCs w:val="16"/>
                <w:highlight w:val="yellow"/>
              </w:rPr>
            </w:pPr>
            <w:r>
              <w:rPr>
                <w:rFonts w:cs="Arial"/>
                <w:sz w:val="16"/>
                <w:szCs w:val="16"/>
              </w:rPr>
              <w:t>5,0</w:t>
            </w:r>
          </w:p>
        </w:tc>
        <w:tc>
          <w:tcPr>
            <w:tcW w:w="822" w:type="dxa"/>
            <w:tcBorders>
              <w:top w:val="nil"/>
              <w:left w:val="nil"/>
              <w:bottom w:val="nil"/>
              <w:right w:val="nil"/>
            </w:tcBorders>
            <w:shd w:val="clear" w:color="auto" w:fill="auto"/>
            <w:noWrap/>
            <w:vAlign w:val="center"/>
            <w:hideMark/>
          </w:tcPr>
          <w:p w14:paraId="6D02C60B" w14:textId="4B4E5A4C" w:rsidR="00355A4B" w:rsidRPr="00166BEB" w:rsidRDefault="00355A4B" w:rsidP="00355A4B">
            <w:pPr>
              <w:spacing w:after="0" w:line="240" w:lineRule="auto"/>
              <w:jc w:val="center"/>
              <w:rPr>
                <w:rFonts w:cs="Arial"/>
                <w:sz w:val="16"/>
                <w:szCs w:val="16"/>
                <w:highlight w:val="yellow"/>
              </w:rPr>
            </w:pPr>
            <w:r>
              <w:rPr>
                <w:rFonts w:cs="Arial"/>
                <w:sz w:val="16"/>
                <w:szCs w:val="16"/>
              </w:rPr>
              <w:t>5,6</w:t>
            </w:r>
          </w:p>
        </w:tc>
        <w:tc>
          <w:tcPr>
            <w:tcW w:w="822" w:type="dxa"/>
            <w:tcBorders>
              <w:top w:val="nil"/>
              <w:left w:val="nil"/>
              <w:bottom w:val="nil"/>
              <w:right w:val="nil"/>
            </w:tcBorders>
            <w:shd w:val="clear" w:color="auto" w:fill="auto"/>
            <w:noWrap/>
            <w:vAlign w:val="center"/>
            <w:hideMark/>
          </w:tcPr>
          <w:p w14:paraId="1E749420" w14:textId="2C04D409" w:rsidR="00355A4B" w:rsidRPr="00166BEB" w:rsidRDefault="00355A4B" w:rsidP="00355A4B">
            <w:pPr>
              <w:spacing w:after="0" w:line="240" w:lineRule="auto"/>
              <w:jc w:val="center"/>
              <w:rPr>
                <w:rFonts w:cs="Arial"/>
                <w:sz w:val="16"/>
                <w:szCs w:val="16"/>
                <w:highlight w:val="yellow"/>
              </w:rPr>
            </w:pPr>
            <w:r>
              <w:rPr>
                <w:rFonts w:cs="Arial"/>
                <w:sz w:val="16"/>
                <w:szCs w:val="16"/>
              </w:rPr>
              <w:t>4,3</w:t>
            </w:r>
          </w:p>
        </w:tc>
        <w:tc>
          <w:tcPr>
            <w:tcW w:w="822" w:type="dxa"/>
            <w:tcBorders>
              <w:top w:val="nil"/>
              <w:left w:val="nil"/>
              <w:bottom w:val="nil"/>
              <w:right w:val="nil"/>
            </w:tcBorders>
            <w:shd w:val="clear" w:color="auto" w:fill="auto"/>
            <w:noWrap/>
            <w:vAlign w:val="center"/>
            <w:hideMark/>
          </w:tcPr>
          <w:p w14:paraId="79635A7A" w14:textId="553CD450" w:rsidR="00355A4B" w:rsidRPr="00166BEB" w:rsidRDefault="00355A4B" w:rsidP="00355A4B">
            <w:pPr>
              <w:spacing w:after="0" w:line="240" w:lineRule="auto"/>
              <w:jc w:val="center"/>
              <w:rPr>
                <w:rFonts w:cs="Arial"/>
                <w:sz w:val="16"/>
                <w:szCs w:val="16"/>
                <w:highlight w:val="yellow"/>
              </w:rPr>
            </w:pPr>
            <w:r>
              <w:rPr>
                <w:rFonts w:cs="Arial"/>
                <w:sz w:val="16"/>
                <w:szCs w:val="16"/>
              </w:rPr>
              <w:t>4,4</w:t>
            </w:r>
          </w:p>
        </w:tc>
        <w:tc>
          <w:tcPr>
            <w:tcW w:w="822" w:type="dxa"/>
            <w:tcBorders>
              <w:top w:val="nil"/>
              <w:left w:val="nil"/>
              <w:bottom w:val="nil"/>
              <w:right w:val="nil"/>
            </w:tcBorders>
            <w:shd w:val="clear" w:color="auto" w:fill="auto"/>
            <w:noWrap/>
            <w:vAlign w:val="center"/>
            <w:hideMark/>
          </w:tcPr>
          <w:p w14:paraId="7392E5C4" w14:textId="23372D7D"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auto"/>
            <w:noWrap/>
            <w:vAlign w:val="center"/>
            <w:hideMark/>
          </w:tcPr>
          <w:p w14:paraId="65857C53" w14:textId="1A7B2776" w:rsidR="00355A4B" w:rsidRPr="00166BEB" w:rsidRDefault="00355A4B" w:rsidP="00355A4B">
            <w:pPr>
              <w:spacing w:after="0" w:line="240" w:lineRule="auto"/>
              <w:jc w:val="center"/>
              <w:rPr>
                <w:rFonts w:cs="Arial"/>
                <w:sz w:val="16"/>
                <w:szCs w:val="16"/>
                <w:highlight w:val="yellow"/>
              </w:rPr>
            </w:pPr>
            <w:r>
              <w:rPr>
                <w:rFonts w:cs="Arial"/>
                <w:sz w:val="16"/>
                <w:szCs w:val="16"/>
              </w:rPr>
              <w:t>3,9</w:t>
            </w:r>
          </w:p>
        </w:tc>
        <w:tc>
          <w:tcPr>
            <w:tcW w:w="822" w:type="dxa"/>
            <w:tcBorders>
              <w:top w:val="nil"/>
              <w:left w:val="nil"/>
              <w:bottom w:val="nil"/>
              <w:right w:val="nil"/>
            </w:tcBorders>
            <w:shd w:val="clear" w:color="auto" w:fill="auto"/>
            <w:noWrap/>
            <w:vAlign w:val="center"/>
            <w:hideMark/>
          </w:tcPr>
          <w:p w14:paraId="4CFF5A30" w14:textId="479F3578"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822" w:type="dxa"/>
            <w:tcBorders>
              <w:top w:val="nil"/>
              <w:left w:val="nil"/>
              <w:bottom w:val="nil"/>
              <w:right w:val="nil"/>
            </w:tcBorders>
            <w:shd w:val="clear" w:color="auto" w:fill="D9D9D9"/>
            <w:vAlign w:val="center"/>
          </w:tcPr>
          <w:p w14:paraId="2D40A5C4" w14:textId="05B0EF1E" w:rsidR="00355A4B" w:rsidRPr="00166BEB" w:rsidRDefault="00355A4B" w:rsidP="00355A4B">
            <w:pPr>
              <w:spacing w:after="0" w:line="240" w:lineRule="auto"/>
              <w:jc w:val="center"/>
              <w:rPr>
                <w:rFonts w:cs="Arial"/>
                <w:sz w:val="16"/>
                <w:szCs w:val="16"/>
                <w:highlight w:val="yellow"/>
              </w:rPr>
            </w:pPr>
            <w:r>
              <w:rPr>
                <w:rFonts w:cs="Arial"/>
                <w:sz w:val="16"/>
                <w:szCs w:val="16"/>
              </w:rPr>
              <w:t>3,8</w:t>
            </w:r>
          </w:p>
        </w:tc>
        <w:tc>
          <w:tcPr>
            <w:tcW w:w="160" w:type="dxa"/>
            <w:tcBorders>
              <w:top w:val="nil"/>
              <w:left w:val="nil"/>
              <w:bottom w:val="nil"/>
              <w:right w:val="nil"/>
            </w:tcBorders>
          </w:tcPr>
          <w:p w14:paraId="2B756756" w14:textId="6BC986AE" w:rsidR="00355A4B" w:rsidRPr="00166BEB" w:rsidRDefault="00355A4B" w:rsidP="00355A4B">
            <w:pPr>
              <w:spacing w:after="0" w:line="240" w:lineRule="auto"/>
              <w:jc w:val="center"/>
              <w:rPr>
                <w:rFonts w:cs="Arial"/>
                <w:sz w:val="16"/>
                <w:szCs w:val="16"/>
                <w:highlight w:val="yellow"/>
              </w:rPr>
            </w:pPr>
          </w:p>
        </w:tc>
      </w:tr>
      <w:tr w:rsidR="00355A4B" w:rsidRPr="00166BEB" w14:paraId="543FA42A" w14:textId="520A1FFD" w:rsidTr="004543DD">
        <w:trPr>
          <w:trHeight w:val="300"/>
        </w:trPr>
        <w:tc>
          <w:tcPr>
            <w:tcW w:w="1380" w:type="dxa"/>
            <w:tcBorders>
              <w:top w:val="nil"/>
              <w:left w:val="nil"/>
              <w:bottom w:val="nil"/>
              <w:right w:val="nil"/>
            </w:tcBorders>
            <w:shd w:val="clear" w:color="auto" w:fill="auto"/>
            <w:noWrap/>
            <w:vAlign w:val="center"/>
            <w:hideMark/>
          </w:tcPr>
          <w:p w14:paraId="0AB4C12F" w14:textId="584A51E4"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Lotyšsko</w:t>
            </w:r>
          </w:p>
        </w:tc>
        <w:tc>
          <w:tcPr>
            <w:tcW w:w="822" w:type="dxa"/>
            <w:tcBorders>
              <w:top w:val="nil"/>
              <w:left w:val="single" w:sz="4" w:space="0" w:color="000000"/>
              <w:bottom w:val="nil"/>
              <w:right w:val="nil"/>
            </w:tcBorders>
            <w:shd w:val="clear" w:color="auto" w:fill="auto"/>
            <w:noWrap/>
            <w:vAlign w:val="center"/>
            <w:hideMark/>
          </w:tcPr>
          <w:p w14:paraId="5363E4FD" w14:textId="194C2D01" w:rsidR="00355A4B" w:rsidRPr="00166BEB" w:rsidRDefault="00355A4B" w:rsidP="00355A4B">
            <w:pPr>
              <w:spacing w:after="0" w:line="240" w:lineRule="auto"/>
              <w:jc w:val="center"/>
              <w:rPr>
                <w:rFonts w:cs="Arial"/>
                <w:sz w:val="16"/>
                <w:szCs w:val="16"/>
                <w:highlight w:val="yellow"/>
              </w:rPr>
            </w:pPr>
            <w:r>
              <w:rPr>
                <w:rFonts w:cs="Arial"/>
                <w:sz w:val="16"/>
                <w:szCs w:val="16"/>
              </w:rPr>
              <w:t>6,1</w:t>
            </w:r>
          </w:p>
        </w:tc>
        <w:tc>
          <w:tcPr>
            <w:tcW w:w="822" w:type="dxa"/>
            <w:tcBorders>
              <w:top w:val="nil"/>
              <w:left w:val="nil"/>
              <w:bottom w:val="nil"/>
              <w:right w:val="nil"/>
            </w:tcBorders>
            <w:shd w:val="clear" w:color="auto" w:fill="auto"/>
            <w:noWrap/>
            <w:vAlign w:val="center"/>
            <w:hideMark/>
          </w:tcPr>
          <w:p w14:paraId="3A54B19A" w14:textId="07B6AA02" w:rsidR="00355A4B" w:rsidRPr="00166BEB" w:rsidRDefault="00355A4B" w:rsidP="00355A4B">
            <w:pPr>
              <w:spacing w:after="0" w:line="240" w:lineRule="auto"/>
              <w:jc w:val="center"/>
              <w:rPr>
                <w:rFonts w:cs="Arial"/>
                <w:sz w:val="16"/>
                <w:szCs w:val="16"/>
                <w:highlight w:val="yellow"/>
              </w:rPr>
            </w:pPr>
            <w:r>
              <w:rPr>
                <w:rFonts w:cs="Arial"/>
                <w:sz w:val="16"/>
                <w:szCs w:val="16"/>
              </w:rPr>
              <w:t>5,3</w:t>
            </w:r>
          </w:p>
        </w:tc>
        <w:tc>
          <w:tcPr>
            <w:tcW w:w="822" w:type="dxa"/>
            <w:tcBorders>
              <w:top w:val="nil"/>
              <w:left w:val="nil"/>
              <w:bottom w:val="nil"/>
              <w:right w:val="nil"/>
            </w:tcBorders>
            <w:shd w:val="clear" w:color="auto" w:fill="auto"/>
            <w:noWrap/>
            <w:vAlign w:val="center"/>
            <w:hideMark/>
          </w:tcPr>
          <w:p w14:paraId="5E2E25CE" w14:textId="1E67634C" w:rsidR="00355A4B" w:rsidRPr="00166BEB" w:rsidRDefault="00355A4B" w:rsidP="00355A4B">
            <w:pPr>
              <w:spacing w:after="0" w:line="240" w:lineRule="auto"/>
              <w:jc w:val="center"/>
              <w:rPr>
                <w:rFonts w:cs="Arial"/>
                <w:sz w:val="16"/>
                <w:szCs w:val="16"/>
                <w:highlight w:val="yellow"/>
              </w:rPr>
            </w:pPr>
            <w:r>
              <w:rPr>
                <w:rFonts w:cs="Arial"/>
                <w:sz w:val="16"/>
                <w:szCs w:val="16"/>
              </w:rPr>
              <w:t>4,5</w:t>
            </w:r>
          </w:p>
        </w:tc>
        <w:tc>
          <w:tcPr>
            <w:tcW w:w="822" w:type="dxa"/>
            <w:tcBorders>
              <w:top w:val="nil"/>
              <w:left w:val="nil"/>
              <w:bottom w:val="nil"/>
              <w:right w:val="nil"/>
            </w:tcBorders>
            <w:shd w:val="clear" w:color="auto" w:fill="auto"/>
            <w:noWrap/>
            <w:vAlign w:val="center"/>
            <w:hideMark/>
          </w:tcPr>
          <w:p w14:paraId="2B6D26E7" w14:textId="166454D5" w:rsidR="00355A4B" w:rsidRPr="00166BEB" w:rsidRDefault="00355A4B" w:rsidP="00355A4B">
            <w:pPr>
              <w:spacing w:after="0" w:line="240" w:lineRule="auto"/>
              <w:jc w:val="center"/>
              <w:rPr>
                <w:rFonts w:cs="Arial"/>
                <w:sz w:val="16"/>
                <w:szCs w:val="16"/>
                <w:highlight w:val="yellow"/>
              </w:rPr>
            </w:pPr>
            <w:r>
              <w:rPr>
                <w:rFonts w:cs="Arial"/>
                <w:sz w:val="16"/>
                <w:szCs w:val="16"/>
              </w:rPr>
              <w:t>6,0</w:t>
            </w:r>
          </w:p>
        </w:tc>
        <w:tc>
          <w:tcPr>
            <w:tcW w:w="822" w:type="dxa"/>
            <w:tcBorders>
              <w:top w:val="nil"/>
              <w:left w:val="nil"/>
              <w:bottom w:val="nil"/>
              <w:right w:val="nil"/>
            </w:tcBorders>
            <w:shd w:val="clear" w:color="auto" w:fill="auto"/>
            <w:noWrap/>
            <w:vAlign w:val="center"/>
            <w:hideMark/>
          </w:tcPr>
          <w:p w14:paraId="157A484F" w14:textId="6C61C013" w:rsidR="00355A4B" w:rsidRPr="00166BEB" w:rsidRDefault="00355A4B" w:rsidP="00355A4B">
            <w:pPr>
              <w:spacing w:after="0" w:line="240" w:lineRule="auto"/>
              <w:jc w:val="center"/>
              <w:rPr>
                <w:rFonts w:cs="Arial"/>
                <w:sz w:val="16"/>
                <w:szCs w:val="16"/>
                <w:highlight w:val="yellow"/>
              </w:rPr>
            </w:pPr>
            <w:r>
              <w:rPr>
                <w:rFonts w:cs="Arial"/>
                <w:sz w:val="16"/>
                <w:szCs w:val="16"/>
              </w:rPr>
              <w:t>4,1</w:t>
            </w:r>
          </w:p>
        </w:tc>
        <w:tc>
          <w:tcPr>
            <w:tcW w:w="822" w:type="dxa"/>
            <w:tcBorders>
              <w:top w:val="nil"/>
              <w:left w:val="nil"/>
              <w:bottom w:val="nil"/>
              <w:right w:val="nil"/>
            </w:tcBorders>
            <w:shd w:val="clear" w:color="auto" w:fill="auto"/>
            <w:noWrap/>
            <w:vAlign w:val="center"/>
            <w:hideMark/>
          </w:tcPr>
          <w:p w14:paraId="0F34B0C1" w14:textId="49CE1D7E" w:rsidR="00355A4B" w:rsidRPr="00166BEB" w:rsidRDefault="00355A4B" w:rsidP="00355A4B">
            <w:pPr>
              <w:spacing w:after="0" w:line="240" w:lineRule="auto"/>
              <w:jc w:val="center"/>
              <w:rPr>
                <w:rFonts w:cs="Arial"/>
                <w:sz w:val="16"/>
                <w:szCs w:val="16"/>
                <w:highlight w:val="yellow"/>
              </w:rPr>
            </w:pPr>
            <w:r>
              <w:rPr>
                <w:rFonts w:cs="Arial"/>
                <w:sz w:val="16"/>
                <w:szCs w:val="16"/>
              </w:rPr>
              <w:t>5,5</w:t>
            </w:r>
          </w:p>
        </w:tc>
        <w:tc>
          <w:tcPr>
            <w:tcW w:w="822" w:type="dxa"/>
            <w:tcBorders>
              <w:top w:val="nil"/>
              <w:left w:val="nil"/>
              <w:bottom w:val="nil"/>
              <w:right w:val="nil"/>
            </w:tcBorders>
            <w:shd w:val="clear" w:color="auto" w:fill="auto"/>
            <w:noWrap/>
            <w:vAlign w:val="center"/>
            <w:hideMark/>
          </w:tcPr>
          <w:p w14:paraId="736D9C79" w14:textId="6BB99791" w:rsidR="00355A4B" w:rsidRPr="00166BEB" w:rsidRDefault="00355A4B" w:rsidP="00355A4B">
            <w:pPr>
              <w:spacing w:after="0" w:line="240" w:lineRule="auto"/>
              <w:jc w:val="center"/>
              <w:rPr>
                <w:rFonts w:cs="Arial"/>
                <w:sz w:val="16"/>
                <w:szCs w:val="16"/>
                <w:highlight w:val="yellow"/>
              </w:rPr>
            </w:pPr>
            <w:r>
              <w:rPr>
                <w:rFonts w:cs="Arial"/>
                <w:sz w:val="16"/>
                <w:szCs w:val="16"/>
              </w:rPr>
              <w:t>2,8</w:t>
            </w:r>
          </w:p>
        </w:tc>
        <w:tc>
          <w:tcPr>
            <w:tcW w:w="822" w:type="dxa"/>
            <w:tcBorders>
              <w:top w:val="nil"/>
              <w:left w:val="nil"/>
              <w:bottom w:val="nil"/>
              <w:right w:val="nil"/>
            </w:tcBorders>
            <w:shd w:val="clear" w:color="auto" w:fill="auto"/>
            <w:noWrap/>
            <w:vAlign w:val="center"/>
            <w:hideMark/>
          </w:tcPr>
          <w:p w14:paraId="4F18CF48" w14:textId="60AC00A3" w:rsidR="00355A4B" w:rsidRPr="00166BEB" w:rsidRDefault="00355A4B" w:rsidP="00355A4B">
            <w:pPr>
              <w:spacing w:after="0" w:line="240" w:lineRule="auto"/>
              <w:jc w:val="center"/>
              <w:rPr>
                <w:rFonts w:cs="Arial"/>
                <w:sz w:val="16"/>
                <w:szCs w:val="16"/>
                <w:highlight w:val="yellow"/>
              </w:rPr>
            </w:pPr>
            <w:r>
              <w:rPr>
                <w:rFonts w:cs="Arial"/>
                <w:sz w:val="16"/>
                <w:szCs w:val="16"/>
              </w:rPr>
              <w:t>4,7</w:t>
            </w:r>
          </w:p>
        </w:tc>
        <w:tc>
          <w:tcPr>
            <w:tcW w:w="822" w:type="dxa"/>
            <w:tcBorders>
              <w:top w:val="nil"/>
              <w:left w:val="nil"/>
              <w:bottom w:val="nil"/>
              <w:right w:val="nil"/>
            </w:tcBorders>
            <w:shd w:val="clear" w:color="auto" w:fill="auto"/>
            <w:noWrap/>
            <w:vAlign w:val="center"/>
            <w:hideMark/>
          </w:tcPr>
          <w:p w14:paraId="05D4EAC8" w14:textId="63CDCEA5" w:rsidR="00355A4B" w:rsidRPr="00166BEB" w:rsidRDefault="00355A4B" w:rsidP="00355A4B">
            <w:pPr>
              <w:spacing w:after="0" w:line="240" w:lineRule="auto"/>
              <w:jc w:val="center"/>
              <w:rPr>
                <w:rFonts w:cs="Arial"/>
                <w:sz w:val="16"/>
                <w:szCs w:val="16"/>
                <w:highlight w:val="yellow"/>
              </w:rPr>
            </w:pPr>
            <w:r>
              <w:rPr>
                <w:rFonts w:cs="Arial"/>
                <w:sz w:val="16"/>
                <w:szCs w:val="16"/>
              </w:rPr>
              <w:t>3,4</w:t>
            </w:r>
          </w:p>
        </w:tc>
        <w:tc>
          <w:tcPr>
            <w:tcW w:w="822" w:type="dxa"/>
            <w:tcBorders>
              <w:top w:val="nil"/>
              <w:left w:val="nil"/>
              <w:bottom w:val="nil"/>
              <w:right w:val="nil"/>
            </w:tcBorders>
            <w:shd w:val="clear" w:color="auto" w:fill="D9D9D9"/>
            <w:vAlign w:val="center"/>
          </w:tcPr>
          <w:p w14:paraId="1914C931" w14:textId="6FD1F6E9" w:rsidR="00355A4B" w:rsidRPr="00166BEB" w:rsidRDefault="00355A4B" w:rsidP="00355A4B">
            <w:pPr>
              <w:spacing w:after="0" w:line="240" w:lineRule="auto"/>
              <w:jc w:val="center"/>
              <w:rPr>
                <w:rFonts w:cs="Arial"/>
                <w:sz w:val="16"/>
                <w:szCs w:val="16"/>
                <w:highlight w:val="yellow"/>
              </w:rPr>
            </w:pPr>
            <w:r>
              <w:rPr>
                <w:rFonts w:cs="Arial"/>
                <w:sz w:val="16"/>
                <w:szCs w:val="16"/>
              </w:rPr>
              <w:t>3,2</w:t>
            </w:r>
          </w:p>
        </w:tc>
        <w:tc>
          <w:tcPr>
            <w:tcW w:w="160" w:type="dxa"/>
            <w:tcBorders>
              <w:top w:val="nil"/>
              <w:left w:val="nil"/>
              <w:bottom w:val="nil"/>
              <w:right w:val="nil"/>
            </w:tcBorders>
          </w:tcPr>
          <w:p w14:paraId="697A0D44" w14:textId="2424210E" w:rsidR="00355A4B" w:rsidRPr="00166BEB" w:rsidRDefault="00355A4B" w:rsidP="00355A4B">
            <w:pPr>
              <w:spacing w:after="0" w:line="240" w:lineRule="auto"/>
              <w:jc w:val="center"/>
              <w:rPr>
                <w:rFonts w:cs="Arial"/>
                <w:sz w:val="16"/>
                <w:szCs w:val="16"/>
                <w:highlight w:val="yellow"/>
              </w:rPr>
            </w:pPr>
          </w:p>
        </w:tc>
      </w:tr>
      <w:tr w:rsidR="00355A4B" w:rsidRPr="00166BEB" w14:paraId="2209DFC8" w14:textId="0A5BDA2D" w:rsidTr="004543DD">
        <w:trPr>
          <w:trHeight w:val="300"/>
        </w:trPr>
        <w:tc>
          <w:tcPr>
            <w:tcW w:w="1380" w:type="dxa"/>
            <w:tcBorders>
              <w:top w:val="nil"/>
              <w:left w:val="nil"/>
              <w:bottom w:val="nil"/>
              <w:right w:val="nil"/>
            </w:tcBorders>
            <w:shd w:val="clear" w:color="auto" w:fill="auto"/>
            <w:noWrap/>
            <w:vAlign w:val="center"/>
            <w:hideMark/>
          </w:tcPr>
          <w:p w14:paraId="2889D13A" w14:textId="0BC5CA07"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Lucembursko</w:t>
            </w:r>
          </w:p>
        </w:tc>
        <w:tc>
          <w:tcPr>
            <w:tcW w:w="822" w:type="dxa"/>
            <w:tcBorders>
              <w:top w:val="nil"/>
              <w:left w:val="single" w:sz="4" w:space="0" w:color="000000"/>
              <w:bottom w:val="nil"/>
              <w:right w:val="nil"/>
            </w:tcBorders>
            <w:shd w:val="clear" w:color="auto" w:fill="auto"/>
            <w:noWrap/>
            <w:vAlign w:val="center"/>
            <w:hideMark/>
          </w:tcPr>
          <w:p w14:paraId="4A2C5C1C" w14:textId="775564D1"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822" w:type="dxa"/>
            <w:tcBorders>
              <w:top w:val="nil"/>
              <w:left w:val="nil"/>
              <w:bottom w:val="nil"/>
              <w:right w:val="nil"/>
            </w:tcBorders>
            <w:shd w:val="clear" w:color="auto" w:fill="auto"/>
            <w:noWrap/>
            <w:vAlign w:val="center"/>
            <w:hideMark/>
          </w:tcPr>
          <w:p w14:paraId="22D6874C" w14:textId="66767A53" w:rsidR="00355A4B" w:rsidRPr="00166BEB" w:rsidRDefault="00355A4B" w:rsidP="00355A4B">
            <w:pPr>
              <w:spacing w:after="0" w:line="240" w:lineRule="auto"/>
              <w:jc w:val="center"/>
              <w:rPr>
                <w:rFonts w:cs="Arial"/>
                <w:sz w:val="16"/>
                <w:szCs w:val="16"/>
                <w:highlight w:val="yellow"/>
              </w:rPr>
            </w:pPr>
            <w:r>
              <w:rPr>
                <w:rFonts w:cs="Arial"/>
                <w:sz w:val="16"/>
                <w:szCs w:val="16"/>
              </w:rPr>
              <w:t>5,2</w:t>
            </w:r>
          </w:p>
        </w:tc>
        <w:tc>
          <w:tcPr>
            <w:tcW w:w="822" w:type="dxa"/>
            <w:tcBorders>
              <w:top w:val="nil"/>
              <w:left w:val="nil"/>
              <w:bottom w:val="nil"/>
              <w:right w:val="nil"/>
            </w:tcBorders>
            <w:shd w:val="clear" w:color="auto" w:fill="auto"/>
            <w:noWrap/>
            <w:vAlign w:val="center"/>
            <w:hideMark/>
          </w:tcPr>
          <w:p w14:paraId="1B114262" w14:textId="266144A9" w:rsidR="00355A4B" w:rsidRPr="00166BEB" w:rsidRDefault="00355A4B" w:rsidP="00355A4B">
            <w:pPr>
              <w:spacing w:after="0" w:line="240" w:lineRule="auto"/>
              <w:jc w:val="center"/>
              <w:rPr>
                <w:rFonts w:cs="Arial"/>
                <w:sz w:val="16"/>
                <w:szCs w:val="16"/>
                <w:highlight w:val="yellow"/>
              </w:rPr>
            </w:pPr>
            <w:r>
              <w:rPr>
                <w:rFonts w:cs="Arial"/>
                <w:sz w:val="16"/>
                <w:szCs w:val="16"/>
              </w:rPr>
              <w:t>1,6</w:t>
            </w:r>
          </w:p>
        </w:tc>
        <w:tc>
          <w:tcPr>
            <w:tcW w:w="822" w:type="dxa"/>
            <w:tcBorders>
              <w:top w:val="nil"/>
              <w:left w:val="nil"/>
              <w:bottom w:val="nil"/>
              <w:right w:val="nil"/>
            </w:tcBorders>
            <w:shd w:val="clear" w:color="auto" w:fill="auto"/>
            <w:noWrap/>
            <w:vAlign w:val="center"/>
            <w:hideMark/>
          </w:tcPr>
          <w:p w14:paraId="002C5FEE" w14:textId="4EF57AD3" w:rsidR="00355A4B" w:rsidRPr="00166BEB" w:rsidRDefault="00355A4B" w:rsidP="00355A4B">
            <w:pPr>
              <w:spacing w:after="0" w:line="240" w:lineRule="auto"/>
              <w:jc w:val="center"/>
              <w:rPr>
                <w:rFonts w:cs="Arial"/>
                <w:sz w:val="16"/>
                <w:szCs w:val="16"/>
                <w:highlight w:val="yellow"/>
              </w:rPr>
            </w:pPr>
            <w:r>
              <w:rPr>
                <w:rFonts w:cs="Arial"/>
                <w:sz w:val="16"/>
                <w:szCs w:val="16"/>
              </w:rPr>
              <w:t>3,7</w:t>
            </w:r>
          </w:p>
        </w:tc>
        <w:tc>
          <w:tcPr>
            <w:tcW w:w="822" w:type="dxa"/>
            <w:tcBorders>
              <w:top w:val="nil"/>
              <w:left w:val="nil"/>
              <w:bottom w:val="nil"/>
              <w:right w:val="nil"/>
            </w:tcBorders>
            <w:shd w:val="clear" w:color="auto" w:fill="auto"/>
            <w:noWrap/>
            <w:vAlign w:val="center"/>
            <w:hideMark/>
          </w:tcPr>
          <w:p w14:paraId="4168D506" w14:textId="53679B22" w:rsidR="00355A4B" w:rsidRPr="00166BEB" w:rsidRDefault="00355A4B" w:rsidP="00355A4B">
            <w:pPr>
              <w:spacing w:after="0" w:line="240" w:lineRule="auto"/>
              <w:jc w:val="center"/>
              <w:rPr>
                <w:rFonts w:cs="Arial"/>
                <w:sz w:val="16"/>
                <w:szCs w:val="16"/>
                <w:highlight w:val="yellow"/>
              </w:rPr>
            </w:pPr>
            <w:r>
              <w:rPr>
                <w:rFonts w:cs="Arial"/>
                <w:sz w:val="16"/>
                <w:szCs w:val="16"/>
              </w:rPr>
              <w:t>4,4</w:t>
            </w:r>
          </w:p>
        </w:tc>
        <w:tc>
          <w:tcPr>
            <w:tcW w:w="822" w:type="dxa"/>
            <w:tcBorders>
              <w:top w:val="nil"/>
              <w:left w:val="nil"/>
              <w:bottom w:val="nil"/>
              <w:right w:val="nil"/>
            </w:tcBorders>
            <w:shd w:val="clear" w:color="auto" w:fill="auto"/>
            <w:noWrap/>
            <w:vAlign w:val="center"/>
            <w:hideMark/>
          </w:tcPr>
          <w:p w14:paraId="6DC11D6C" w14:textId="3D68D724" w:rsidR="00355A4B" w:rsidRPr="00166BEB" w:rsidRDefault="00355A4B" w:rsidP="00355A4B">
            <w:pPr>
              <w:spacing w:after="0" w:line="240" w:lineRule="auto"/>
              <w:jc w:val="center"/>
              <w:rPr>
                <w:rFonts w:cs="Arial"/>
                <w:sz w:val="16"/>
                <w:szCs w:val="16"/>
                <w:highlight w:val="yellow"/>
              </w:rPr>
            </w:pPr>
            <w:r>
              <w:rPr>
                <w:rFonts w:cs="Arial"/>
                <w:sz w:val="16"/>
                <w:szCs w:val="16"/>
              </w:rPr>
              <w:t>10,8</w:t>
            </w:r>
          </w:p>
        </w:tc>
        <w:tc>
          <w:tcPr>
            <w:tcW w:w="822" w:type="dxa"/>
            <w:tcBorders>
              <w:top w:val="nil"/>
              <w:left w:val="nil"/>
              <w:bottom w:val="nil"/>
              <w:right w:val="nil"/>
            </w:tcBorders>
            <w:shd w:val="clear" w:color="auto" w:fill="auto"/>
            <w:noWrap/>
            <w:vAlign w:val="center"/>
            <w:hideMark/>
          </w:tcPr>
          <w:p w14:paraId="2492A316" w14:textId="2B2D73C5"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auto"/>
            <w:noWrap/>
            <w:vAlign w:val="center"/>
            <w:hideMark/>
          </w:tcPr>
          <w:p w14:paraId="2887375E" w14:textId="056AB2DF" w:rsidR="00355A4B" w:rsidRPr="00166BEB" w:rsidRDefault="00355A4B" w:rsidP="00355A4B">
            <w:pPr>
              <w:spacing w:after="0" w:line="240" w:lineRule="auto"/>
              <w:jc w:val="center"/>
              <w:rPr>
                <w:rFonts w:cs="Arial"/>
                <w:sz w:val="16"/>
                <w:szCs w:val="16"/>
                <w:highlight w:val="yellow"/>
              </w:rPr>
            </w:pPr>
            <w:r>
              <w:rPr>
                <w:rFonts w:cs="Arial"/>
                <w:sz w:val="16"/>
                <w:szCs w:val="16"/>
              </w:rPr>
              <w:t>6,4</w:t>
            </w:r>
          </w:p>
        </w:tc>
        <w:tc>
          <w:tcPr>
            <w:tcW w:w="822" w:type="dxa"/>
            <w:tcBorders>
              <w:top w:val="nil"/>
              <w:left w:val="nil"/>
              <w:bottom w:val="nil"/>
              <w:right w:val="nil"/>
            </w:tcBorders>
            <w:shd w:val="clear" w:color="auto" w:fill="auto"/>
            <w:noWrap/>
            <w:vAlign w:val="center"/>
            <w:hideMark/>
          </w:tcPr>
          <w:p w14:paraId="6663E9B6" w14:textId="26987FB0" w:rsidR="00355A4B" w:rsidRPr="00166BEB" w:rsidRDefault="00355A4B" w:rsidP="00355A4B">
            <w:pPr>
              <w:spacing w:after="0" w:line="240" w:lineRule="auto"/>
              <w:jc w:val="center"/>
              <w:rPr>
                <w:rFonts w:cs="Arial"/>
                <w:sz w:val="16"/>
                <w:szCs w:val="16"/>
                <w:highlight w:val="yellow"/>
              </w:rPr>
            </w:pPr>
            <w:r>
              <w:rPr>
                <w:rFonts w:cs="Arial"/>
                <w:sz w:val="16"/>
                <w:szCs w:val="16"/>
              </w:rPr>
              <w:t>5,2</w:t>
            </w:r>
          </w:p>
        </w:tc>
        <w:tc>
          <w:tcPr>
            <w:tcW w:w="822" w:type="dxa"/>
            <w:tcBorders>
              <w:top w:val="nil"/>
              <w:left w:val="nil"/>
              <w:bottom w:val="nil"/>
              <w:right w:val="nil"/>
            </w:tcBorders>
            <w:shd w:val="clear" w:color="auto" w:fill="D9D9D9"/>
            <w:vAlign w:val="center"/>
          </w:tcPr>
          <w:p w14:paraId="6B060D7B" w14:textId="64FA3E81"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160" w:type="dxa"/>
            <w:tcBorders>
              <w:top w:val="nil"/>
              <w:left w:val="nil"/>
              <w:bottom w:val="nil"/>
              <w:right w:val="nil"/>
            </w:tcBorders>
          </w:tcPr>
          <w:p w14:paraId="00CD961E" w14:textId="4D770BA1" w:rsidR="00355A4B" w:rsidRPr="00166BEB" w:rsidRDefault="00355A4B" w:rsidP="00355A4B">
            <w:pPr>
              <w:spacing w:after="0" w:line="240" w:lineRule="auto"/>
              <w:jc w:val="center"/>
              <w:rPr>
                <w:rFonts w:cs="Arial"/>
                <w:sz w:val="16"/>
                <w:szCs w:val="16"/>
                <w:highlight w:val="yellow"/>
              </w:rPr>
            </w:pPr>
          </w:p>
        </w:tc>
      </w:tr>
      <w:tr w:rsidR="00355A4B" w:rsidRPr="00166BEB" w14:paraId="0EC34725" w14:textId="6A049EFD" w:rsidTr="004543DD">
        <w:trPr>
          <w:trHeight w:val="300"/>
        </w:trPr>
        <w:tc>
          <w:tcPr>
            <w:tcW w:w="1380" w:type="dxa"/>
            <w:tcBorders>
              <w:top w:val="nil"/>
              <w:left w:val="nil"/>
              <w:bottom w:val="nil"/>
              <w:right w:val="nil"/>
            </w:tcBorders>
            <w:shd w:val="clear" w:color="auto" w:fill="auto"/>
            <w:noWrap/>
            <w:vAlign w:val="center"/>
            <w:hideMark/>
          </w:tcPr>
          <w:p w14:paraId="6FDACE60" w14:textId="6E341D6A"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Maďarsko</w:t>
            </w:r>
          </w:p>
        </w:tc>
        <w:tc>
          <w:tcPr>
            <w:tcW w:w="822" w:type="dxa"/>
            <w:tcBorders>
              <w:top w:val="nil"/>
              <w:left w:val="single" w:sz="4" w:space="0" w:color="000000"/>
              <w:bottom w:val="nil"/>
              <w:right w:val="nil"/>
            </w:tcBorders>
            <w:shd w:val="clear" w:color="auto" w:fill="auto"/>
            <w:noWrap/>
            <w:vAlign w:val="center"/>
            <w:hideMark/>
          </w:tcPr>
          <w:p w14:paraId="382C2718" w14:textId="5CB1EE79"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822" w:type="dxa"/>
            <w:tcBorders>
              <w:top w:val="nil"/>
              <w:left w:val="nil"/>
              <w:bottom w:val="nil"/>
              <w:right w:val="nil"/>
            </w:tcBorders>
            <w:shd w:val="clear" w:color="auto" w:fill="auto"/>
            <w:noWrap/>
            <w:vAlign w:val="center"/>
            <w:hideMark/>
          </w:tcPr>
          <w:p w14:paraId="10E4A50E" w14:textId="472C38DB" w:rsidR="00355A4B" w:rsidRPr="00166BEB" w:rsidRDefault="00355A4B" w:rsidP="00355A4B">
            <w:pPr>
              <w:spacing w:after="0" w:line="240" w:lineRule="auto"/>
              <w:jc w:val="center"/>
              <w:rPr>
                <w:rFonts w:cs="Arial"/>
                <w:sz w:val="16"/>
                <w:szCs w:val="16"/>
                <w:highlight w:val="yellow"/>
              </w:rPr>
            </w:pPr>
            <w:r>
              <w:rPr>
                <w:rFonts w:cs="Arial"/>
                <w:sz w:val="16"/>
                <w:szCs w:val="16"/>
              </w:rPr>
              <w:t>2,0</w:t>
            </w:r>
          </w:p>
        </w:tc>
        <w:tc>
          <w:tcPr>
            <w:tcW w:w="822" w:type="dxa"/>
            <w:tcBorders>
              <w:top w:val="nil"/>
              <w:left w:val="nil"/>
              <w:bottom w:val="nil"/>
              <w:right w:val="nil"/>
            </w:tcBorders>
            <w:shd w:val="clear" w:color="auto" w:fill="auto"/>
            <w:noWrap/>
            <w:vAlign w:val="center"/>
            <w:hideMark/>
          </w:tcPr>
          <w:p w14:paraId="2E9CBBB1" w14:textId="11CECA19" w:rsidR="00355A4B" w:rsidRPr="00166BEB" w:rsidRDefault="00355A4B" w:rsidP="00355A4B">
            <w:pPr>
              <w:spacing w:after="0" w:line="240" w:lineRule="auto"/>
              <w:jc w:val="center"/>
              <w:rPr>
                <w:rFonts w:cs="Arial"/>
                <w:sz w:val="16"/>
                <w:szCs w:val="16"/>
                <w:highlight w:val="yellow"/>
              </w:rPr>
            </w:pPr>
            <w:r>
              <w:rPr>
                <w:rFonts w:cs="Arial"/>
                <w:sz w:val="16"/>
                <w:szCs w:val="16"/>
              </w:rPr>
              <w:t>1,8</w:t>
            </w:r>
          </w:p>
        </w:tc>
        <w:tc>
          <w:tcPr>
            <w:tcW w:w="822" w:type="dxa"/>
            <w:tcBorders>
              <w:top w:val="nil"/>
              <w:left w:val="nil"/>
              <w:bottom w:val="nil"/>
              <w:right w:val="nil"/>
            </w:tcBorders>
            <w:shd w:val="clear" w:color="auto" w:fill="auto"/>
            <w:noWrap/>
            <w:vAlign w:val="center"/>
            <w:hideMark/>
          </w:tcPr>
          <w:p w14:paraId="4DD93238" w14:textId="4143788E"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822" w:type="dxa"/>
            <w:tcBorders>
              <w:top w:val="nil"/>
              <w:left w:val="nil"/>
              <w:bottom w:val="nil"/>
              <w:right w:val="nil"/>
            </w:tcBorders>
            <w:shd w:val="clear" w:color="auto" w:fill="auto"/>
            <w:noWrap/>
            <w:vAlign w:val="center"/>
            <w:hideMark/>
          </w:tcPr>
          <w:p w14:paraId="20685BAC" w14:textId="1E396DEB"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822" w:type="dxa"/>
            <w:tcBorders>
              <w:top w:val="nil"/>
              <w:left w:val="nil"/>
              <w:bottom w:val="nil"/>
              <w:right w:val="nil"/>
            </w:tcBorders>
            <w:shd w:val="clear" w:color="auto" w:fill="auto"/>
            <w:noWrap/>
            <w:vAlign w:val="center"/>
            <w:hideMark/>
          </w:tcPr>
          <w:p w14:paraId="5E919A58" w14:textId="0C3FC93D" w:rsidR="00355A4B" w:rsidRPr="00166BEB" w:rsidRDefault="00355A4B" w:rsidP="00355A4B">
            <w:pPr>
              <w:spacing w:after="0" w:line="240" w:lineRule="auto"/>
              <w:jc w:val="center"/>
              <w:rPr>
                <w:rFonts w:cs="Arial"/>
                <w:sz w:val="16"/>
                <w:szCs w:val="16"/>
                <w:highlight w:val="yellow"/>
              </w:rPr>
            </w:pPr>
            <w:r>
              <w:rPr>
                <w:rFonts w:cs="Arial"/>
                <w:sz w:val="16"/>
                <w:szCs w:val="16"/>
              </w:rPr>
              <w:t>2,8</w:t>
            </w:r>
          </w:p>
        </w:tc>
        <w:tc>
          <w:tcPr>
            <w:tcW w:w="822" w:type="dxa"/>
            <w:tcBorders>
              <w:top w:val="nil"/>
              <w:left w:val="nil"/>
              <w:bottom w:val="nil"/>
              <w:right w:val="nil"/>
            </w:tcBorders>
            <w:shd w:val="clear" w:color="auto" w:fill="auto"/>
            <w:noWrap/>
            <w:vAlign w:val="center"/>
            <w:hideMark/>
          </w:tcPr>
          <w:p w14:paraId="12DAF90A" w14:textId="5F04AD87"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auto"/>
            <w:noWrap/>
            <w:vAlign w:val="center"/>
            <w:hideMark/>
          </w:tcPr>
          <w:p w14:paraId="7590AAA7" w14:textId="040800D1" w:rsidR="00355A4B" w:rsidRPr="00166BEB" w:rsidRDefault="00355A4B" w:rsidP="00355A4B">
            <w:pPr>
              <w:spacing w:after="0" w:line="240" w:lineRule="auto"/>
              <w:jc w:val="center"/>
              <w:rPr>
                <w:rFonts w:cs="Arial"/>
                <w:sz w:val="16"/>
                <w:szCs w:val="16"/>
                <w:highlight w:val="yellow"/>
              </w:rPr>
            </w:pPr>
            <w:r>
              <w:rPr>
                <w:rFonts w:cs="Arial"/>
                <w:sz w:val="16"/>
                <w:szCs w:val="16"/>
              </w:rPr>
              <w:t>2,4</w:t>
            </w:r>
          </w:p>
        </w:tc>
        <w:tc>
          <w:tcPr>
            <w:tcW w:w="822" w:type="dxa"/>
            <w:tcBorders>
              <w:top w:val="nil"/>
              <w:left w:val="nil"/>
              <w:bottom w:val="nil"/>
              <w:right w:val="nil"/>
            </w:tcBorders>
            <w:shd w:val="clear" w:color="auto" w:fill="auto"/>
            <w:noWrap/>
            <w:vAlign w:val="center"/>
            <w:hideMark/>
          </w:tcPr>
          <w:p w14:paraId="49EFC772" w14:textId="13F23FAC"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D9D9D9"/>
            <w:vAlign w:val="center"/>
          </w:tcPr>
          <w:p w14:paraId="5041987D" w14:textId="6F3CD06C" w:rsidR="00355A4B" w:rsidRPr="00166BEB" w:rsidRDefault="00355A4B" w:rsidP="00355A4B">
            <w:pPr>
              <w:spacing w:after="0" w:line="240" w:lineRule="auto"/>
              <w:jc w:val="center"/>
              <w:rPr>
                <w:rFonts w:cs="Arial"/>
                <w:sz w:val="16"/>
                <w:szCs w:val="16"/>
                <w:highlight w:val="yellow"/>
              </w:rPr>
            </w:pPr>
            <w:r>
              <w:rPr>
                <w:rFonts w:cs="Arial"/>
                <w:sz w:val="16"/>
                <w:szCs w:val="16"/>
              </w:rPr>
              <w:t>2,2</w:t>
            </w:r>
          </w:p>
        </w:tc>
        <w:tc>
          <w:tcPr>
            <w:tcW w:w="160" w:type="dxa"/>
            <w:tcBorders>
              <w:top w:val="nil"/>
              <w:left w:val="nil"/>
              <w:bottom w:val="nil"/>
              <w:right w:val="nil"/>
            </w:tcBorders>
          </w:tcPr>
          <w:p w14:paraId="4E54428D" w14:textId="62401A66" w:rsidR="00355A4B" w:rsidRPr="00166BEB" w:rsidRDefault="00355A4B" w:rsidP="00355A4B">
            <w:pPr>
              <w:spacing w:after="0" w:line="240" w:lineRule="auto"/>
              <w:jc w:val="center"/>
              <w:rPr>
                <w:rFonts w:cs="Arial"/>
                <w:sz w:val="16"/>
                <w:szCs w:val="16"/>
                <w:highlight w:val="yellow"/>
              </w:rPr>
            </w:pPr>
          </w:p>
        </w:tc>
      </w:tr>
      <w:tr w:rsidR="00355A4B" w:rsidRPr="00166BEB" w14:paraId="37E2D363" w14:textId="1189FD15" w:rsidTr="004543DD">
        <w:trPr>
          <w:trHeight w:val="300"/>
        </w:trPr>
        <w:tc>
          <w:tcPr>
            <w:tcW w:w="1380" w:type="dxa"/>
            <w:tcBorders>
              <w:top w:val="nil"/>
              <w:left w:val="nil"/>
              <w:bottom w:val="nil"/>
              <w:right w:val="nil"/>
            </w:tcBorders>
            <w:shd w:val="clear" w:color="auto" w:fill="auto"/>
            <w:noWrap/>
            <w:vAlign w:val="center"/>
            <w:hideMark/>
          </w:tcPr>
          <w:p w14:paraId="748D0B0A" w14:textId="3261E953"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Malta</w:t>
            </w:r>
          </w:p>
        </w:tc>
        <w:tc>
          <w:tcPr>
            <w:tcW w:w="822" w:type="dxa"/>
            <w:tcBorders>
              <w:top w:val="nil"/>
              <w:left w:val="single" w:sz="4" w:space="0" w:color="000000"/>
              <w:bottom w:val="nil"/>
              <w:right w:val="nil"/>
            </w:tcBorders>
            <w:shd w:val="clear" w:color="auto" w:fill="auto"/>
            <w:noWrap/>
            <w:vAlign w:val="center"/>
            <w:hideMark/>
          </w:tcPr>
          <w:p w14:paraId="61ED6C1A" w14:textId="5EED282F" w:rsidR="00355A4B" w:rsidRPr="00166BEB" w:rsidRDefault="00355A4B" w:rsidP="00355A4B">
            <w:pPr>
              <w:spacing w:after="0" w:line="240" w:lineRule="auto"/>
              <w:jc w:val="center"/>
              <w:rPr>
                <w:rFonts w:cs="Arial"/>
                <w:sz w:val="16"/>
                <w:szCs w:val="16"/>
                <w:highlight w:val="yellow"/>
              </w:rPr>
            </w:pPr>
            <w:r>
              <w:rPr>
                <w:rFonts w:cs="Arial"/>
                <w:sz w:val="16"/>
                <w:szCs w:val="16"/>
              </w:rPr>
              <w:t>0,8</w:t>
            </w:r>
          </w:p>
        </w:tc>
        <w:tc>
          <w:tcPr>
            <w:tcW w:w="822" w:type="dxa"/>
            <w:tcBorders>
              <w:top w:val="nil"/>
              <w:left w:val="nil"/>
              <w:bottom w:val="nil"/>
              <w:right w:val="nil"/>
            </w:tcBorders>
            <w:shd w:val="clear" w:color="auto" w:fill="auto"/>
            <w:noWrap/>
            <w:vAlign w:val="center"/>
            <w:hideMark/>
          </w:tcPr>
          <w:p w14:paraId="6C5909D1" w14:textId="5C545ACC" w:rsidR="00355A4B" w:rsidRPr="00166BEB" w:rsidRDefault="00355A4B" w:rsidP="00355A4B">
            <w:pPr>
              <w:spacing w:after="0" w:line="240" w:lineRule="auto"/>
              <w:jc w:val="center"/>
              <w:rPr>
                <w:rFonts w:cs="Arial"/>
                <w:sz w:val="16"/>
                <w:szCs w:val="16"/>
                <w:highlight w:val="yellow"/>
              </w:rPr>
            </w:pPr>
            <w:r>
              <w:rPr>
                <w:rFonts w:cs="Arial"/>
                <w:sz w:val="16"/>
                <w:szCs w:val="16"/>
              </w:rPr>
              <w:t>7,6</w:t>
            </w:r>
          </w:p>
        </w:tc>
        <w:tc>
          <w:tcPr>
            <w:tcW w:w="822" w:type="dxa"/>
            <w:tcBorders>
              <w:top w:val="nil"/>
              <w:left w:val="nil"/>
              <w:bottom w:val="nil"/>
              <w:right w:val="nil"/>
            </w:tcBorders>
            <w:shd w:val="clear" w:color="auto" w:fill="auto"/>
            <w:noWrap/>
            <w:vAlign w:val="center"/>
            <w:hideMark/>
          </w:tcPr>
          <w:p w14:paraId="2EDA981B" w14:textId="5AEC9241" w:rsidR="00355A4B" w:rsidRPr="00166BEB" w:rsidRDefault="00355A4B" w:rsidP="00355A4B">
            <w:pPr>
              <w:spacing w:after="0" w:line="240" w:lineRule="auto"/>
              <w:jc w:val="center"/>
              <w:rPr>
                <w:rFonts w:cs="Arial"/>
                <w:sz w:val="16"/>
                <w:szCs w:val="16"/>
                <w:highlight w:val="yellow"/>
              </w:rPr>
            </w:pPr>
            <w:r>
              <w:rPr>
                <w:rFonts w:cs="Arial"/>
                <w:sz w:val="16"/>
                <w:szCs w:val="16"/>
              </w:rPr>
              <w:t>4,7</w:t>
            </w:r>
          </w:p>
        </w:tc>
        <w:tc>
          <w:tcPr>
            <w:tcW w:w="822" w:type="dxa"/>
            <w:tcBorders>
              <w:top w:val="nil"/>
              <w:left w:val="nil"/>
              <w:bottom w:val="nil"/>
              <w:right w:val="nil"/>
            </w:tcBorders>
            <w:shd w:val="clear" w:color="auto" w:fill="auto"/>
            <w:noWrap/>
            <w:vAlign w:val="center"/>
            <w:hideMark/>
          </w:tcPr>
          <w:p w14:paraId="1309FCFB" w14:textId="459378D5" w:rsidR="00355A4B" w:rsidRPr="00166BEB" w:rsidRDefault="00355A4B" w:rsidP="00355A4B">
            <w:pPr>
              <w:spacing w:after="0" w:line="240" w:lineRule="auto"/>
              <w:jc w:val="center"/>
              <w:rPr>
                <w:rFonts w:cs="Arial"/>
                <w:sz w:val="16"/>
                <w:szCs w:val="16"/>
                <w:highlight w:val="yellow"/>
              </w:rPr>
            </w:pPr>
            <w:r>
              <w:rPr>
                <w:rFonts w:cs="Arial"/>
                <w:sz w:val="16"/>
                <w:szCs w:val="16"/>
              </w:rPr>
              <w:t>4,6</w:t>
            </w:r>
          </w:p>
        </w:tc>
        <w:tc>
          <w:tcPr>
            <w:tcW w:w="822" w:type="dxa"/>
            <w:tcBorders>
              <w:top w:val="nil"/>
              <w:left w:val="nil"/>
              <w:bottom w:val="nil"/>
              <w:right w:val="nil"/>
            </w:tcBorders>
            <w:shd w:val="clear" w:color="auto" w:fill="auto"/>
            <w:noWrap/>
            <w:vAlign w:val="center"/>
            <w:hideMark/>
          </w:tcPr>
          <w:p w14:paraId="013AF35E" w14:textId="25F2964C"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auto"/>
            <w:noWrap/>
            <w:vAlign w:val="center"/>
            <w:hideMark/>
          </w:tcPr>
          <w:p w14:paraId="4D9709E1" w14:textId="564D6932" w:rsidR="00355A4B" w:rsidRPr="00166BEB" w:rsidRDefault="00355A4B" w:rsidP="00355A4B">
            <w:pPr>
              <w:spacing w:after="0" w:line="240" w:lineRule="auto"/>
              <w:jc w:val="center"/>
              <w:rPr>
                <w:rFonts w:cs="Arial"/>
                <w:sz w:val="16"/>
                <w:szCs w:val="16"/>
                <w:highlight w:val="yellow"/>
              </w:rPr>
            </w:pPr>
            <w:r>
              <w:rPr>
                <w:rFonts w:cs="Arial"/>
                <w:sz w:val="16"/>
                <w:szCs w:val="16"/>
              </w:rPr>
              <w:t>4,0</w:t>
            </w:r>
          </w:p>
        </w:tc>
        <w:tc>
          <w:tcPr>
            <w:tcW w:w="822" w:type="dxa"/>
            <w:tcBorders>
              <w:top w:val="nil"/>
              <w:left w:val="nil"/>
              <w:bottom w:val="nil"/>
              <w:right w:val="nil"/>
            </w:tcBorders>
            <w:shd w:val="clear" w:color="auto" w:fill="auto"/>
            <w:noWrap/>
            <w:vAlign w:val="center"/>
            <w:hideMark/>
          </w:tcPr>
          <w:p w14:paraId="3662E770" w14:textId="37B356B1" w:rsidR="00355A4B" w:rsidRPr="00166BEB" w:rsidRDefault="00355A4B" w:rsidP="00355A4B">
            <w:pPr>
              <w:spacing w:after="0" w:line="240" w:lineRule="auto"/>
              <w:jc w:val="center"/>
              <w:rPr>
                <w:rFonts w:cs="Arial"/>
                <w:sz w:val="16"/>
                <w:szCs w:val="16"/>
                <w:highlight w:val="yellow"/>
              </w:rPr>
            </w:pPr>
            <w:r>
              <w:rPr>
                <w:rFonts w:cs="Arial"/>
                <w:sz w:val="16"/>
                <w:szCs w:val="16"/>
              </w:rPr>
              <w:t>0,6</w:t>
            </w:r>
          </w:p>
        </w:tc>
        <w:tc>
          <w:tcPr>
            <w:tcW w:w="822" w:type="dxa"/>
            <w:tcBorders>
              <w:top w:val="nil"/>
              <w:left w:val="nil"/>
              <w:bottom w:val="nil"/>
              <w:right w:val="nil"/>
            </w:tcBorders>
            <w:shd w:val="clear" w:color="auto" w:fill="auto"/>
            <w:noWrap/>
            <w:vAlign w:val="center"/>
            <w:hideMark/>
          </w:tcPr>
          <w:p w14:paraId="0B558BCF" w14:textId="19774496"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6BE128B0" w14:textId="77F2B397" w:rsidR="00355A4B" w:rsidRPr="00166BEB" w:rsidRDefault="00355A4B" w:rsidP="00355A4B">
            <w:pPr>
              <w:spacing w:after="0" w:line="240" w:lineRule="auto"/>
              <w:jc w:val="center"/>
              <w:rPr>
                <w:rFonts w:cs="Arial"/>
                <w:sz w:val="16"/>
                <w:szCs w:val="16"/>
                <w:highlight w:val="yellow"/>
              </w:rPr>
            </w:pPr>
            <w:r>
              <w:rPr>
                <w:rFonts w:cs="Arial"/>
                <w:sz w:val="16"/>
                <w:szCs w:val="16"/>
              </w:rPr>
              <w:t>1,5</w:t>
            </w:r>
          </w:p>
        </w:tc>
        <w:tc>
          <w:tcPr>
            <w:tcW w:w="822" w:type="dxa"/>
            <w:tcBorders>
              <w:top w:val="nil"/>
              <w:left w:val="nil"/>
              <w:bottom w:val="nil"/>
              <w:right w:val="nil"/>
            </w:tcBorders>
            <w:shd w:val="clear" w:color="auto" w:fill="D9D9D9"/>
            <w:vAlign w:val="center"/>
          </w:tcPr>
          <w:p w14:paraId="014E606E" w14:textId="0B14BF37" w:rsidR="00355A4B" w:rsidRPr="00166BEB" w:rsidRDefault="00355A4B" w:rsidP="00355A4B">
            <w:pPr>
              <w:spacing w:after="0" w:line="240" w:lineRule="auto"/>
              <w:jc w:val="center"/>
              <w:rPr>
                <w:rFonts w:cs="Arial"/>
                <w:sz w:val="16"/>
                <w:szCs w:val="16"/>
                <w:highlight w:val="yellow"/>
              </w:rPr>
            </w:pPr>
            <w:r>
              <w:rPr>
                <w:rFonts w:cs="Arial"/>
                <w:sz w:val="16"/>
                <w:szCs w:val="16"/>
              </w:rPr>
              <w:t>4,7</w:t>
            </w:r>
          </w:p>
        </w:tc>
        <w:tc>
          <w:tcPr>
            <w:tcW w:w="160" w:type="dxa"/>
            <w:tcBorders>
              <w:top w:val="nil"/>
              <w:left w:val="nil"/>
              <w:bottom w:val="nil"/>
              <w:right w:val="nil"/>
            </w:tcBorders>
          </w:tcPr>
          <w:p w14:paraId="75BECAA5" w14:textId="7F83E0A7" w:rsidR="00355A4B" w:rsidRPr="00166BEB" w:rsidRDefault="00355A4B" w:rsidP="00355A4B">
            <w:pPr>
              <w:spacing w:after="0" w:line="240" w:lineRule="auto"/>
              <w:jc w:val="center"/>
              <w:rPr>
                <w:rFonts w:cs="Arial"/>
                <w:sz w:val="16"/>
                <w:szCs w:val="16"/>
                <w:highlight w:val="yellow"/>
              </w:rPr>
            </w:pPr>
          </w:p>
        </w:tc>
      </w:tr>
      <w:tr w:rsidR="00355A4B" w:rsidRPr="00166BEB" w14:paraId="4FAF41AF" w14:textId="337108BD" w:rsidTr="004543DD">
        <w:trPr>
          <w:trHeight w:val="300"/>
        </w:trPr>
        <w:tc>
          <w:tcPr>
            <w:tcW w:w="1380" w:type="dxa"/>
            <w:tcBorders>
              <w:top w:val="nil"/>
              <w:left w:val="nil"/>
              <w:bottom w:val="nil"/>
              <w:right w:val="nil"/>
            </w:tcBorders>
            <w:shd w:val="clear" w:color="auto" w:fill="auto"/>
            <w:noWrap/>
            <w:vAlign w:val="center"/>
            <w:hideMark/>
          </w:tcPr>
          <w:p w14:paraId="13D442BA" w14:textId="27D5EDA2"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Německo</w:t>
            </w:r>
          </w:p>
        </w:tc>
        <w:tc>
          <w:tcPr>
            <w:tcW w:w="822" w:type="dxa"/>
            <w:tcBorders>
              <w:top w:val="nil"/>
              <w:left w:val="single" w:sz="4" w:space="0" w:color="000000"/>
              <w:bottom w:val="nil"/>
              <w:right w:val="nil"/>
            </w:tcBorders>
            <w:shd w:val="clear" w:color="auto" w:fill="auto"/>
            <w:noWrap/>
            <w:vAlign w:val="center"/>
            <w:hideMark/>
          </w:tcPr>
          <w:p w14:paraId="5110912B" w14:textId="7F6625BE" w:rsidR="00355A4B" w:rsidRPr="00166BEB" w:rsidRDefault="00355A4B" w:rsidP="00355A4B">
            <w:pPr>
              <w:spacing w:after="0" w:line="240" w:lineRule="auto"/>
              <w:jc w:val="center"/>
              <w:rPr>
                <w:rFonts w:cs="Arial"/>
                <w:sz w:val="16"/>
                <w:szCs w:val="16"/>
                <w:highlight w:val="yellow"/>
              </w:rPr>
            </w:pPr>
            <w:r>
              <w:rPr>
                <w:rFonts w:cs="Arial"/>
                <w:sz w:val="16"/>
                <w:szCs w:val="16"/>
              </w:rPr>
              <w:t>1,5</w:t>
            </w:r>
          </w:p>
        </w:tc>
        <w:tc>
          <w:tcPr>
            <w:tcW w:w="822" w:type="dxa"/>
            <w:tcBorders>
              <w:top w:val="nil"/>
              <w:left w:val="nil"/>
              <w:bottom w:val="nil"/>
              <w:right w:val="nil"/>
            </w:tcBorders>
            <w:shd w:val="clear" w:color="auto" w:fill="auto"/>
            <w:noWrap/>
            <w:vAlign w:val="center"/>
            <w:hideMark/>
          </w:tcPr>
          <w:p w14:paraId="039DEFEC" w14:textId="2D781B32" w:rsidR="00355A4B" w:rsidRPr="00166BEB" w:rsidRDefault="00355A4B" w:rsidP="00355A4B">
            <w:pPr>
              <w:spacing w:after="0" w:line="240" w:lineRule="auto"/>
              <w:jc w:val="center"/>
              <w:rPr>
                <w:rFonts w:cs="Arial"/>
                <w:sz w:val="16"/>
                <w:szCs w:val="16"/>
                <w:highlight w:val="yellow"/>
              </w:rPr>
            </w:pPr>
            <w:r>
              <w:rPr>
                <w:rFonts w:cs="Arial"/>
                <w:sz w:val="16"/>
                <w:szCs w:val="16"/>
              </w:rPr>
              <w:t>1,5</w:t>
            </w:r>
          </w:p>
        </w:tc>
        <w:tc>
          <w:tcPr>
            <w:tcW w:w="822" w:type="dxa"/>
            <w:tcBorders>
              <w:top w:val="nil"/>
              <w:left w:val="nil"/>
              <w:bottom w:val="nil"/>
              <w:right w:val="nil"/>
            </w:tcBorders>
            <w:shd w:val="clear" w:color="auto" w:fill="auto"/>
            <w:noWrap/>
            <w:vAlign w:val="center"/>
            <w:hideMark/>
          </w:tcPr>
          <w:p w14:paraId="5D09E748" w14:textId="76AF71B8" w:rsidR="00355A4B" w:rsidRPr="00166BEB" w:rsidRDefault="00355A4B" w:rsidP="00355A4B">
            <w:pPr>
              <w:spacing w:after="0" w:line="240" w:lineRule="auto"/>
              <w:jc w:val="center"/>
              <w:rPr>
                <w:rFonts w:cs="Arial"/>
                <w:sz w:val="16"/>
                <w:szCs w:val="16"/>
                <w:highlight w:val="yellow"/>
              </w:rPr>
            </w:pPr>
            <w:r>
              <w:rPr>
                <w:rFonts w:cs="Arial"/>
                <w:sz w:val="16"/>
                <w:szCs w:val="16"/>
              </w:rPr>
              <w:t>1,3</w:t>
            </w:r>
          </w:p>
        </w:tc>
        <w:tc>
          <w:tcPr>
            <w:tcW w:w="822" w:type="dxa"/>
            <w:tcBorders>
              <w:top w:val="nil"/>
              <w:left w:val="nil"/>
              <w:bottom w:val="nil"/>
              <w:right w:val="nil"/>
            </w:tcBorders>
            <w:shd w:val="clear" w:color="auto" w:fill="auto"/>
            <w:noWrap/>
            <w:vAlign w:val="center"/>
            <w:hideMark/>
          </w:tcPr>
          <w:p w14:paraId="5FFA97FC" w14:textId="02778D5F" w:rsidR="00355A4B" w:rsidRPr="00166BEB" w:rsidRDefault="00355A4B" w:rsidP="00355A4B">
            <w:pPr>
              <w:spacing w:after="0" w:line="240" w:lineRule="auto"/>
              <w:jc w:val="center"/>
              <w:rPr>
                <w:rFonts w:cs="Arial"/>
                <w:sz w:val="16"/>
                <w:szCs w:val="16"/>
                <w:highlight w:val="yellow"/>
              </w:rPr>
            </w:pPr>
            <w:r>
              <w:rPr>
                <w:rFonts w:cs="Arial"/>
                <w:sz w:val="16"/>
                <w:szCs w:val="16"/>
              </w:rPr>
              <w:t>1,4</w:t>
            </w:r>
          </w:p>
        </w:tc>
        <w:tc>
          <w:tcPr>
            <w:tcW w:w="822" w:type="dxa"/>
            <w:tcBorders>
              <w:top w:val="nil"/>
              <w:left w:val="nil"/>
              <w:bottom w:val="nil"/>
              <w:right w:val="nil"/>
            </w:tcBorders>
            <w:shd w:val="clear" w:color="auto" w:fill="auto"/>
            <w:noWrap/>
            <w:vAlign w:val="center"/>
            <w:hideMark/>
          </w:tcPr>
          <w:p w14:paraId="2BA58ECB" w14:textId="58892DCD" w:rsidR="00355A4B" w:rsidRPr="00166BEB" w:rsidRDefault="00355A4B" w:rsidP="00355A4B">
            <w:pPr>
              <w:spacing w:after="0" w:line="240" w:lineRule="auto"/>
              <w:jc w:val="center"/>
              <w:rPr>
                <w:rFonts w:cs="Arial"/>
                <w:sz w:val="16"/>
                <w:szCs w:val="16"/>
                <w:highlight w:val="yellow"/>
              </w:rPr>
            </w:pPr>
            <w:r>
              <w:rPr>
                <w:rFonts w:cs="Arial"/>
                <w:sz w:val="16"/>
                <w:szCs w:val="16"/>
              </w:rPr>
              <w:t>1,3</w:t>
            </w:r>
          </w:p>
        </w:tc>
        <w:tc>
          <w:tcPr>
            <w:tcW w:w="822" w:type="dxa"/>
            <w:tcBorders>
              <w:top w:val="nil"/>
              <w:left w:val="nil"/>
              <w:bottom w:val="nil"/>
              <w:right w:val="nil"/>
            </w:tcBorders>
            <w:shd w:val="clear" w:color="auto" w:fill="auto"/>
            <w:noWrap/>
            <w:vAlign w:val="center"/>
            <w:hideMark/>
          </w:tcPr>
          <w:p w14:paraId="0963B8F9" w14:textId="4EF368D2" w:rsidR="00355A4B" w:rsidRPr="00166BEB" w:rsidRDefault="00355A4B" w:rsidP="00355A4B">
            <w:pPr>
              <w:spacing w:after="0" w:line="240" w:lineRule="auto"/>
              <w:jc w:val="center"/>
              <w:rPr>
                <w:rFonts w:cs="Arial"/>
                <w:sz w:val="16"/>
                <w:szCs w:val="16"/>
                <w:highlight w:val="yellow"/>
              </w:rPr>
            </w:pPr>
            <w:r>
              <w:rPr>
                <w:rFonts w:cs="Arial"/>
                <w:sz w:val="16"/>
                <w:szCs w:val="16"/>
              </w:rPr>
              <w:t>1,1</w:t>
            </w:r>
          </w:p>
        </w:tc>
        <w:tc>
          <w:tcPr>
            <w:tcW w:w="822" w:type="dxa"/>
            <w:tcBorders>
              <w:top w:val="nil"/>
              <w:left w:val="nil"/>
              <w:bottom w:val="nil"/>
              <w:right w:val="nil"/>
            </w:tcBorders>
            <w:shd w:val="clear" w:color="auto" w:fill="auto"/>
            <w:noWrap/>
            <w:vAlign w:val="center"/>
            <w:hideMark/>
          </w:tcPr>
          <w:p w14:paraId="51BBD6E9" w14:textId="56B23BDE" w:rsidR="00355A4B" w:rsidRPr="00166BEB" w:rsidRDefault="00355A4B" w:rsidP="00355A4B">
            <w:pPr>
              <w:spacing w:after="0" w:line="240" w:lineRule="auto"/>
              <w:jc w:val="center"/>
              <w:rPr>
                <w:rFonts w:cs="Arial"/>
                <w:sz w:val="16"/>
                <w:szCs w:val="16"/>
                <w:highlight w:val="yellow"/>
              </w:rPr>
            </w:pPr>
            <w:r>
              <w:rPr>
                <w:rFonts w:cs="Arial"/>
                <w:sz w:val="16"/>
                <w:szCs w:val="16"/>
              </w:rPr>
              <w:t>1,2</w:t>
            </w:r>
          </w:p>
        </w:tc>
        <w:tc>
          <w:tcPr>
            <w:tcW w:w="822" w:type="dxa"/>
            <w:tcBorders>
              <w:top w:val="nil"/>
              <w:left w:val="nil"/>
              <w:bottom w:val="nil"/>
              <w:right w:val="nil"/>
            </w:tcBorders>
            <w:shd w:val="clear" w:color="auto" w:fill="auto"/>
            <w:noWrap/>
            <w:vAlign w:val="center"/>
            <w:hideMark/>
          </w:tcPr>
          <w:p w14:paraId="2E309A2A" w14:textId="00AE3C42" w:rsidR="00355A4B" w:rsidRPr="00166BEB" w:rsidRDefault="00355A4B" w:rsidP="00355A4B">
            <w:pPr>
              <w:spacing w:after="0" w:line="240" w:lineRule="auto"/>
              <w:jc w:val="center"/>
              <w:rPr>
                <w:rFonts w:cs="Arial"/>
                <w:sz w:val="16"/>
                <w:szCs w:val="16"/>
                <w:highlight w:val="yellow"/>
              </w:rPr>
            </w:pPr>
            <w:r>
              <w:rPr>
                <w:rFonts w:cs="Arial"/>
                <w:sz w:val="16"/>
                <w:szCs w:val="16"/>
              </w:rPr>
              <w:t>1,0</w:t>
            </w:r>
          </w:p>
        </w:tc>
        <w:tc>
          <w:tcPr>
            <w:tcW w:w="822" w:type="dxa"/>
            <w:tcBorders>
              <w:top w:val="nil"/>
              <w:left w:val="nil"/>
              <w:bottom w:val="nil"/>
              <w:right w:val="nil"/>
            </w:tcBorders>
            <w:shd w:val="clear" w:color="auto" w:fill="auto"/>
            <w:noWrap/>
            <w:vAlign w:val="center"/>
            <w:hideMark/>
          </w:tcPr>
          <w:p w14:paraId="1996F7DB" w14:textId="3AD37674" w:rsidR="00355A4B" w:rsidRPr="00166BEB" w:rsidRDefault="00355A4B" w:rsidP="00355A4B">
            <w:pPr>
              <w:spacing w:after="0" w:line="240" w:lineRule="auto"/>
              <w:jc w:val="center"/>
              <w:rPr>
                <w:rFonts w:cs="Arial"/>
                <w:sz w:val="16"/>
                <w:szCs w:val="16"/>
                <w:highlight w:val="yellow"/>
              </w:rPr>
            </w:pPr>
            <w:r>
              <w:rPr>
                <w:rFonts w:cs="Arial"/>
                <w:sz w:val="16"/>
                <w:szCs w:val="16"/>
              </w:rPr>
              <w:t>1,1</w:t>
            </w:r>
          </w:p>
        </w:tc>
        <w:tc>
          <w:tcPr>
            <w:tcW w:w="822" w:type="dxa"/>
            <w:tcBorders>
              <w:top w:val="nil"/>
              <w:left w:val="nil"/>
              <w:bottom w:val="nil"/>
              <w:right w:val="nil"/>
            </w:tcBorders>
            <w:shd w:val="clear" w:color="auto" w:fill="D9D9D9"/>
            <w:vAlign w:val="center"/>
          </w:tcPr>
          <w:p w14:paraId="4E12423D" w14:textId="35F85DC0" w:rsidR="00355A4B" w:rsidRPr="00166BEB" w:rsidRDefault="00355A4B" w:rsidP="00355A4B">
            <w:pPr>
              <w:spacing w:after="0" w:line="240" w:lineRule="auto"/>
              <w:jc w:val="center"/>
              <w:rPr>
                <w:rFonts w:cs="Arial"/>
                <w:sz w:val="16"/>
                <w:szCs w:val="16"/>
                <w:highlight w:val="yellow"/>
              </w:rPr>
            </w:pPr>
            <w:r>
              <w:rPr>
                <w:rFonts w:cs="Arial"/>
                <w:sz w:val="16"/>
                <w:szCs w:val="16"/>
              </w:rPr>
              <w:t>1,0</w:t>
            </w:r>
          </w:p>
        </w:tc>
        <w:tc>
          <w:tcPr>
            <w:tcW w:w="160" w:type="dxa"/>
            <w:tcBorders>
              <w:top w:val="nil"/>
              <w:left w:val="nil"/>
              <w:bottom w:val="nil"/>
              <w:right w:val="nil"/>
            </w:tcBorders>
          </w:tcPr>
          <w:p w14:paraId="12690A9D" w14:textId="36D615E2" w:rsidR="00355A4B" w:rsidRPr="00166BEB" w:rsidRDefault="00355A4B" w:rsidP="00355A4B">
            <w:pPr>
              <w:spacing w:after="0" w:line="240" w:lineRule="auto"/>
              <w:jc w:val="center"/>
              <w:rPr>
                <w:rFonts w:cs="Arial"/>
                <w:sz w:val="16"/>
                <w:szCs w:val="16"/>
                <w:highlight w:val="yellow"/>
              </w:rPr>
            </w:pPr>
          </w:p>
        </w:tc>
      </w:tr>
      <w:tr w:rsidR="00355A4B" w:rsidRPr="00166BEB" w14:paraId="28DBACA3" w14:textId="62C8D53E" w:rsidTr="004543DD">
        <w:trPr>
          <w:trHeight w:val="300"/>
        </w:trPr>
        <w:tc>
          <w:tcPr>
            <w:tcW w:w="1380" w:type="dxa"/>
            <w:tcBorders>
              <w:top w:val="nil"/>
              <w:left w:val="nil"/>
              <w:bottom w:val="nil"/>
              <w:right w:val="nil"/>
            </w:tcBorders>
            <w:shd w:val="clear" w:color="auto" w:fill="auto"/>
            <w:noWrap/>
            <w:vAlign w:val="center"/>
            <w:hideMark/>
          </w:tcPr>
          <w:p w14:paraId="1177A819" w14:textId="49D366D4"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Nizozemsko</w:t>
            </w:r>
          </w:p>
        </w:tc>
        <w:tc>
          <w:tcPr>
            <w:tcW w:w="822" w:type="dxa"/>
            <w:tcBorders>
              <w:top w:val="nil"/>
              <w:left w:val="single" w:sz="4" w:space="0" w:color="000000"/>
              <w:bottom w:val="nil"/>
              <w:right w:val="nil"/>
            </w:tcBorders>
            <w:shd w:val="clear" w:color="auto" w:fill="auto"/>
            <w:noWrap/>
            <w:vAlign w:val="center"/>
            <w:hideMark/>
          </w:tcPr>
          <w:p w14:paraId="36789289" w14:textId="3FC3A0D7" w:rsidR="00355A4B" w:rsidRPr="00166BEB" w:rsidRDefault="00355A4B" w:rsidP="00355A4B">
            <w:pPr>
              <w:spacing w:after="0" w:line="240" w:lineRule="auto"/>
              <w:jc w:val="center"/>
              <w:rPr>
                <w:rFonts w:cs="Arial"/>
                <w:sz w:val="16"/>
                <w:szCs w:val="16"/>
                <w:highlight w:val="yellow"/>
              </w:rPr>
            </w:pPr>
            <w:r>
              <w:rPr>
                <w:rFonts w:cs="Arial"/>
                <w:sz w:val="16"/>
                <w:szCs w:val="16"/>
              </w:rPr>
              <w:t>0,7</w:t>
            </w:r>
          </w:p>
        </w:tc>
        <w:tc>
          <w:tcPr>
            <w:tcW w:w="822" w:type="dxa"/>
            <w:tcBorders>
              <w:top w:val="nil"/>
              <w:left w:val="nil"/>
              <w:bottom w:val="nil"/>
              <w:right w:val="nil"/>
            </w:tcBorders>
            <w:shd w:val="clear" w:color="auto" w:fill="auto"/>
            <w:noWrap/>
            <w:vAlign w:val="center"/>
            <w:hideMark/>
          </w:tcPr>
          <w:p w14:paraId="4A9A683D" w14:textId="07565388" w:rsidR="00355A4B" w:rsidRPr="00166BEB" w:rsidRDefault="00355A4B" w:rsidP="00355A4B">
            <w:pPr>
              <w:spacing w:after="0" w:line="240" w:lineRule="auto"/>
              <w:jc w:val="center"/>
              <w:rPr>
                <w:rFonts w:cs="Arial"/>
                <w:sz w:val="16"/>
                <w:szCs w:val="16"/>
                <w:highlight w:val="yellow"/>
              </w:rPr>
            </w:pPr>
            <w:r>
              <w:rPr>
                <w:rFonts w:cs="Arial"/>
                <w:sz w:val="16"/>
                <w:szCs w:val="16"/>
              </w:rPr>
              <w:t>0,7</w:t>
            </w:r>
          </w:p>
        </w:tc>
        <w:tc>
          <w:tcPr>
            <w:tcW w:w="822" w:type="dxa"/>
            <w:tcBorders>
              <w:top w:val="nil"/>
              <w:left w:val="nil"/>
              <w:bottom w:val="nil"/>
              <w:right w:val="nil"/>
            </w:tcBorders>
            <w:shd w:val="clear" w:color="auto" w:fill="auto"/>
            <w:noWrap/>
            <w:vAlign w:val="center"/>
            <w:hideMark/>
          </w:tcPr>
          <w:p w14:paraId="209DB72A" w14:textId="4A923AC4" w:rsidR="00355A4B" w:rsidRPr="00166BEB" w:rsidRDefault="00355A4B" w:rsidP="00355A4B">
            <w:pPr>
              <w:spacing w:after="0" w:line="240" w:lineRule="auto"/>
              <w:jc w:val="center"/>
              <w:rPr>
                <w:rFonts w:cs="Arial"/>
                <w:sz w:val="16"/>
                <w:szCs w:val="16"/>
                <w:highlight w:val="yellow"/>
              </w:rPr>
            </w:pPr>
            <w:r>
              <w:rPr>
                <w:rFonts w:cs="Arial"/>
                <w:sz w:val="16"/>
                <w:szCs w:val="16"/>
              </w:rPr>
              <w:t>0,8</w:t>
            </w:r>
          </w:p>
        </w:tc>
        <w:tc>
          <w:tcPr>
            <w:tcW w:w="822" w:type="dxa"/>
            <w:tcBorders>
              <w:top w:val="nil"/>
              <w:left w:val="nil"/>
              <w:bottom w:val="nil"/>
              <w:right w:val="nil"/>
            </w:tcBorders>
            <w:shd w:val="clear" w:color="000000" w:fill="DBDBDB"/>
            <w:noWrap/>
            <w:vAlign w:val="center"/>
            <w:hideMark/>
          </w:tcPr>
          <w:p w14:paraId="5D889947" w14:textId="0385AD4E" w:rsidR="00355A4B" w:rsidRPr="00166BEB" w:rsidRDefault="00355A4B" w:rsidP="00355A4B">
            <w:pPr>
              <w:spacing w:after="0" w:line="240" w:lineRule="auto"/>
              <w:jc w:val="center"/>
              <w:rPr>
                <w:rFonts w:cs="Arial"/>
                <w:sz w:val="16"/>
                <w:szCs w:val="16"/>
                <w:highlight w:val="yellow"/>
              </w:rPr>
            </w:pPr>
            <w:r>
              <w:rPr>
                <w:rFonts w:cs="Arial"/>
                <w:sz w:val="16"/>
                <w:szCs w:val="16"/>
              </w:rPr>
              <w:t>1,0</w:t>
            </w:r>
          </w:p>
        </w:tc>
        <w:tc>
          <w:tcPr>
            <w:tcW w:w="822" w:type="dxa"/>
            <w:tcBorders>
              <w:top w:val="nil"/>
              <w:left w:val="nil"/>
              <w:bottom w:val="nil"/>
              <w:right w:val="nil"/>
            </w:tcBorders>
            <w:shd w:val="clear" w:color="auto" w:fill="auto"/>
            <w:noWrap/>
            <w:vAlign w:val="center"/>
            <w:hideMark/>
          </w:tcPr>
          <w:p w14:paraId="5C6D1C85" w14:textId="182E7755" w:rsidR="00355A4B" w:rsidRPr="00166BEB" w:rsidRDefault="00355A4B" w:rsidP="00355A4B">
            <w:pPr>
              <w:spacing w:after="0" w:line="240" w:lineRule="auto"/>
              <w:jc w:val="center"/>
              <w:rPr>
                <w:rFonts w:cs="Arial"/>
                <w:sz w:val="16"/>
                <w:szCs w:val="16"/>
                <w:highlight w:val="yellow"/>
              </w:rPr>
            </w:pPr>
            <w:r>
              <w:rPr>
                <w:rFonts w:cs="Arial"/>
                <w:sz w:val="16"/>
                <w:szCs w:val="16"/>
              </w:rPr>
              <w:t>0,8</w:t>
            </w:r>
          </w:p>
        </w:tc>
        <w:tc>
          <w:tcPr>
            <w:tcW w:w="822" w:type="dxa"/>
            <w:tcBorders>
              <w:top w:val="nil"/>
              <w:left w:val="nil"/>
              <w:bottom w:val="nil"/>
              <w:right w:val="nil"/>
            </w:tcBorders>
            <w:shd w:val="clear" w:color="auto" w:fill="auto"/>
            <w:noWrap/>
            <w:vAlign w:val="center"/>
            <w:hideMark/>
          </w:tcPr>
          <w:p w14:paraId="60EC1173" w14:textId="5150C58F" w:rsidR="00355A4B" w:rsidRPr="00166BEB" w:rsidRDefault="00355A4B" w:rsidP="00355A4B">
            <w:pPr>
              <w:spacing w:after="0" w:line="240" w:lineRule="auto"/>
              <w:jc w:val="center"/>
              <w:rPr>
                <w:rFonts w:cs="Arial"/>
                <w:sz w:val="16"/>
                <w:szCs w:val="16"/>
                <w:highlight w:val="yellow"/>
              </w:rPr>
            </w:pPr>
            <w:r>
              <w:rPr>
                <w:rFonts w:cs="Arial"/>
                <w:sz w:val="16"/>
                <w:szCs w:val="16"/>
              </w:rPr>
              <w:t>0,7</w:t>
            </w:r>
          </w:p>
        </w:tc>
        <w:tc>
          <w:tcPr>
            <w:tcW w:w="822" w:type="dxa"/>
            <w:tcBorders>
              <w:top w:val="nil"/>
              <w:left w:val="nil"/>
              <w:bottom w:val="nil"/>
              <w:right w:val="nil"/>
            </w:tcBorders>
            <w:shd w:val="clear" w:color="auto" w:fill="auto"/>
            <w:noWrap/>
            <w:vAlign w:val="center"/>
            <w:hideMark/>
          </w:tcPr>
          <w:p w14:paraId="5B6661A3" w14:textId="05B084C5" w:rsidR="00355A4B" w:rsidRPr="00166BEB" w:rsidRDefault="00355A4B" w:rsidP="00355A4B">
            <w:pPr>
              <w:spacing w:after="0" w:line="240" w:lineRule="auto"/>
              <w:jc w:val="center"/>
              <w:rPr>
                <w:rFonts w:cs="Arial"/>
                <w:sz w:val="16"/>
                <w:szCs w:val="16"/>
                <w:highlight w:val="yellow"/>
              </w:rPr>
            </w:pPr>
            <w:r>
              <w:rPr>
                <w:rFonts w:cs="Arial"/>
                <w:sz w:val="16"/>
                <w:szCs w:val="16"/>
              </w:rPr>
              <w:t>0,8</w:t>
            </w:r>
          </w:p>
        </w:tc>
        <w:tc>
          <w:tcPr>
            <w:tcW w:w="822" w:type="dxa"/>
            <w:tcBorders>
              <w:top w:val="nil"/>
              <w:left w:val="nil"/>
              <w:bottom w:val="nil"/>
              <w:right w:val="nil"/>
            </w:tcBorders>
            <w:shd w:val="clear" w:color="auto" w:fill="auto"/>
            <w:noWrap/>
            <w:vAlign w:val="center"/>
            <w:hideMark/>
          </w:tcPr>
          <w:p w14:paraId="01BC8389" w14:textId="021AB9DB" w:rsidR="00355A4B" w:rsidRPr="00166BEB" w:rsidRDefault="00355A4B" w:rsidP="00355A4B">
            <w:pPr>
              <w:spacing w:after="0" w:line="240" w:lineRule="auto"/>
              <w:jc w:val="center"/>
              <w:rPr>
                <w:rFonts w:cs="Arial"/>
                <w:sz w:val="16"/>
                <w:szCs w:val="16"/>
                <w:highlight w:val="yellow"/>
              </w:rPr>
            </w:pPr>
            <w:r>
              <w:rPr>
                <w:rFonts w:cs="Arial"/>
                <w:sz w:val="16"/>
                <w:szCs w:val="16"/>
              </w:rPr>
              <w:t>0,9</w:t>
            </w:r>
          </w:p>
        </w:tc>
        <w:tc>
          <w:tcPr>
            <w:tcW w:w="822" w:type="dxa"/>
            <w:tcBorders>
              <w:top w:val="nil"/>
              <w:left w:val="nil"/>
              <w:bottom w:val="nil"/>
              <w:right w:val="nil"/>
            </w:tcBorders>
            <w:shd w:val="clear" w:color="auto" w:fill="auto"/>
            <w:noWrap/>
            <w:vAlign w:val="center"/>
            <w:hideMark/>
          </w:tcPr>
          <w:p w14:paraId="380EBFAA" w14:textId="22AF766C" w:rsidR="00355A4B" w:rsidRPr="00166BEB" w:rsidRDefault="00355A4B" w:rsidP="00355A4B">
            <w:pPr>
              <w:spacing w:after="0" w:line="240" w:lineRule="auto"/>
              <w:jc w:val="center"/>
              <w:rPr>
                <w:rFonts w:cs="Arial"/>
                <w:sz w:val="16"/>
                <w:szCs w:val="16"/>
                <w:highlight w:val="yellow"/>
              </w:rPr>
            </w:pPr>
            <w:r>
              <w:rPr>
                <w:rFonts w:cs="Arial"/>
                <w:sz w:val="16"/>
                <w:szCs w:val="16"/>
              </w:rPr>
              <w:t>0,7</w:t>
            </w:r>
          </w:p>
        </w:tc>
        <w:tc>
          <w:tcPr>
            <w:tcW w:w="822" w:type="dxa"/>
            <w:tcBorders>
              <w:top w:val="nil"/>
              <w:left w:val="nil"/>
              <w:bottom w:val="nil"/>
              <w:right w:val="nil"/>
            </w:tcBorders>
            <w:shd w:val="clear" w:color="auto" w:fill="D9D9D9"/>
            <w:vAlign w:val="center"/>
          </w:tcPr>
          <w:p w14:paraId="3B15C670" w14:textId="14314E24" w:rsidR="00355A4B" w:rsidRPr="00166BEB" w:rsidRDefault="00355A4B" w:rsidP="00355A4B">
            <w:pPr>
              <w:spacing w:after="0" w:line="240" w:lineRule="auto"/>
              <w:jc w:val="center"/>
              <w:rPr>
                <w:rFonts w:cs="Arial"/>
                <w:sz w:val="16"/>
                <w:szCs w:val="16"/>
                <w:highlight w:val="yellow"/>
              </w:rPr>
            </w:pPr>
            <w:r>
              <w:rPr>
                <w:rFonts w:cs="Arial"/>
                <w:sz w:val="16"/>
                <w:szCs w:val="16"/>
              </w:rPr>
              <w:t>0,5</w:t>
            </w:r>
          </w:p>
        </w:tc>
        <w:tc>
          <w:tcPr>
            <w:tcW w:w="160" w:type="dxa"/>
            <w:tcBorders>
              <w:top w:val="nil"/>
              <w:left w:val="nil"/>
              <w:bottom w:val="nil"/>
              <w:right w:val="nil"/>
            </w:tcBorders>
          </w:tcPr>
          <w:p w14:paraId="4DA98BCE" w14:textId="2D83F9E0" w:rsidR="00355A4B" w:rsidRPr="00166BEB" w:rsidRDefault="00355A4B" w:rsidP="00355A4B">
            <w:pPr>
              <w:spacing w:after="0" w:line="240" w:lineRule="auto"/>
              <w:jc w:val="center"/>
              <w:rPr>
                <w:rFonts w:cs="Arial"/>
                <w:sz w:val="16"/>
                <w:szCs w:val="16"/>
                <w:highlight w:val="yellow"/>
              </w:rPr>
            </w:pPr>
          </w:p>
        </w:tc>
      </w:tr>
      <w:tr w:rsidR="00355A4B" w:rsidRPr="00166BEB" w14:paraId="254E004F" w14:textId="7C654755" w:rsidTr="004543DD">
        <w:trPr>
          <w:trHeight w:val="300"/>
        </w:trPr>
        <w:tc>
          <w:tcPr>
            <w:tcW w:w="1380" w:type="dxa"/>
            <w:tcBorders>
              <w:top w:val="nil"/>
              <w:left w:val="nil"/>
              <w:bottom w:val="nil"/>
              <w:right w:val="nil"/>
            </w:tcBorders>
            <w:shd w:val="clear" w:color="auto" w:fill="auto"/>
            <w:noWrap/>
            <w:vAlign w:val="center"/>
            <w:hideMark/>
          </w:tcPr>
          <w:p w14:paraId="0E7AA576" w14:textId="1263A622"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Polsko</w:t>
            </w:r>
          </w:p>
        </w:tc>
        <w:tc>
          <w:tcPr>
            <w:tcW w:w="822" w:type="dxa"/>
            <w:tcBorders>
              <w:top w:val="nil"/>
              <w:left w:val="single" w:sz="4" w:space="0" w:color="000000"/>
              <w:bottom w:val="nil"/>
              <w:right w:val="nil"/>
            </w:tcBorders>
            <w:shd w:val="clear" w:color="auto" w:fill="auto"/>
            <w:noWrap/>
            <w:vAlign w:val="center"/>
            <w:hideMark/>
          </w:tcPr>
          <w:p w14:paraId="122A54D8" w14:textId="6F0F7D04"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7D05A60D" w14:textId="55B261A5"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auto"/>
            <w:noWrap/>
            <w:vAlign w:val="center"/>
            <w:hideMark/>
          </w:tcPr>
          <w:p w14:paraId="5CC03AC8" w14:textId="65F7F2B2"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559BE073" w14:textId="05740B79"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57FE74CB" w14:textId="336C6983" w:rsidR="00355A4B" w:rsidRPr="00166BEB" w:rsidRDefault="00355A4B" w:rsidP="00355A4B">
            <w:pPr>
              <w:spacing w:after="0" w:line="240" w:lineRule="auto"/>
              <w:jc w:val="center"/>
              <w:rPr>
                <w:rFonts w:cs="Arial"/>
                <w:sz w:val="16"/>
                <w:szCs w:val="16"/>
                <w:highlight w:val="yellow"/>
              </w:rPr>
            </w:pPr>
            <w:r>
              <w:rPr>
                <w:rFonts w:cs="Arial"/>
                <w:sz w:val="16"/>
                <w:szCs w:val="16"/>
              </w:rPr>
              <w:t>2,0</w:t>
            </w:r>
          </w:p>
        </w:tc>
        <w:tc>
          <w:tcPr>
            <w:tcW w:w="822" w:type="dxa"/>
            <w:tcBorders>
              <w:top w:val="nil"/>
              <w:left w:val="nil"/>
              <w:bottom w:val="nil"/>
              <w:right w:val="nil"/>
            </w:tcBorders>
            <w:shd w:val="clear" w:color="auto" w:fill="auto"/>
            <w:noWrap/>
            <w:vAlign w:val="center"/>
            <w:hideMark/>
          </w:tcPr>
          <w:p w14:paraId="57D3617E" w14:textId="0890307B" w:rsidR="00355A4B" w:rsidRPr="00166BEB" w:rsidRDefault="00355A4B" w:rsidP="00355A4B">
            <w:pPr>
              <w:spacing w:after="0" w:line="240" w:lineRule="auto"/>
              <w:jc w:val="center"/>
              <w:rPr>
                <w:rFonts w:cs="Arial"/>
                <w:sz w:val="16"/>
                <w:szCs w:val="16"/>
                <w:highlight w:val="yellow"/>
              </w:rPr>
            </w:pPr>
            <w:r>
              <w:rPr>
                <w:rFonts w:cs="Arial"/>
                <w:sz w:val="16"/>
                <w:szCs w:val="16"/>
              </w:rPr>
              <w:t>1,6</w:t>
            </w:r>
          </w:p>
        </w:tc>
        <w:tc>
          <w:tcPr>
            <w:tcW w:w="822" w:type="dxa"/>
            <w:tcBorders>
              <w:top w:val="nil"/>
              <w:left w:val="nil"/>
              <w:bottom w:val="nil"/>
              <w:right w:val="nil"/>
            </w:tcBorders>
            <w:shd w:val="clear" w:color="auto" w:fill="auto"/>
            <w:noWrap/>
            <w:vAlign w:val="center"/>
            <w:hideMark/>
          </w:tcPr>
          <w:p w14:paraId="634FFF21" w14:textId="1319694A" w:rsidR="00355A4B" w:rsidRPr="00166BEB" w:rsidRDefault="00355A4B" w:rsidP="00355A4B">
            <w:pPr>
              <w:spacing w:after="0" w:line="240" w:lineRule="auto"/>
              <w:jc w:val="center"/>
              <w:rPr>
                <w:rFonts w:cs="Arial"/>
                <w:sz w:val="16"/>
                <w:szCs w:val="16"/>
                <w:highlight w:val="yellow"/>
              </w:rPr>
            </w:pPr>
            <w:r>
              <w:rPr>
                <w:rFonts w:cs="Arial"/>
                <w:sz w:val="16"/>
                <w:szCs w:val="16"/>
              </w:rPr>
              <w:t>1,8</w:t>
            </w:r>
          </w:p>
        </w:tc>
        <w:tc>
          <w:tcPr>
            <w:tcW w:w="822" w:type="dxa"/>
            <w:tcBorders>
              <w:top w:val="nil"/>
              <w:left w:val="nil"/>
              <w:bottom w:val="nil"/>
              <w:right w:val="nil"/>
            </w:tcBorders>
            <w:shd w:val="clear" w:color="auto" w:fill="auto"/>
            <w:noWrap/>
            <w:vAlign w:val="center"/>
            <w:hideMark/>
          </w:tcPr>
          <w:p w14:paraId="0EFB8575" w14:textId="16F382E7" w:rsidR="00355A4B" w:rsidRPr="00166BEB" w:rsidRDefault="00355A4B" w:rsidP="00355A4B">
            <w:pPr>
              <w:spacing w:after="0" w:line="240" w:lineRule="auto"/>
              <w:jc w:val="center"/>
              <w:rPr>
                <w:rFonts w:cs="Arial"/>
                <w:sz w:val="16"/>
                <w:szCs w:val="16"/>
                <w:highlight w:val="yellow"/>
              </w:rPr>
            </w:pPr>
            <w:r>
              <w:rPr>
                <w:rFonts w:cs="Arial"/>
                <w:sz w:val="16"/>
                <w:szCs w:val="16"/>
              </w:rPr>
              <w:t>1,8</w:t>
            </w:r>
          </w:p>
        </w:tc>
        <w:tc>
          <w:tcPr>
            <w:tcW w:w="822" w:type="dxa"/>
            <w:tcBorders>
              <w:top w:val="nil"/>
              <w:left w:val="nil"/>
              <w:bottom w:val="nil"/>
              <w:right w:val="nil"/>
            </w:tcBorders>
            <w:shd w:val="clear" w:color="auto" w:fill="auto"/>
            <w:noWrap/>
            <w:vAlign w:val="center"/>
            <w:hideMark/>
          </w:tcPr>
          <w:p w14:paraId="623BA5A1" w14:textId="4C1E6C1F" w:rsidR="00355A4B" w:rsidRPr="00166BEB" w:rsidRDefault="00355A4B" w:rsidP="00355A4B">
            <w:pPr>
              <w:spacing w:after="0" w:line="240" w:lineRule="auto"/>
              <w:jc w:val="center"/>
              <w:rPr>
                <w:rFonts w:cs="Arial"/>
                <w:sz w:val="16"/>
                <w:szCs w:val="16"/>
                <w:highlight w:val="yellow"/>
              </w:rPr>
            </w:pPr>
            <w:r>
              <w:rPr>
                <w:rFonts w:cs="Arial"/>
                <w:sz w:val="16"/>
                <w:szCs w:val="16"/>
              </w:rPr>
              <w:t>1,1</w:t>
            </w:r>
          </w:p>
        </w:tc>
        <w:tc>
          <w:tcPr>
            <w:tcW w:w="822" w:type="dxa"/>
            <w:tcBorders>
              <w:top w:val="nil"/>
              <w:left w:val="nil"/>
              <w:bottom w:val="nil"/>
              <w:right w:val="nil"/>
            </w:tcBorders>
            <w:shd w:val="clear" w:color="auto" w:fill="D9D9D9"/>
            <w:vAlign w:val="center"/>
          </w:tcPr>
          <w:p w14:paraId="0DF4E8AC" w14:textId="428F882E" w:rsidR="00355A4B" w:rsidRPr="00166BEB" w:rsidRDefault="00355A4B" w:rsidP="00355A4B">
            <w:pPr>
              <w:spacing w:after="0" w:line="240" w:lineRule="auto"/>
              <w:jc w:val="center"/>
              <w:rPr>
                <w:rFonts w:cs="Arial"/>
                <w:sz w:val="16"/>
                <w:szCs w:val="16"/>
                <w:highlight w:val="yellow"/>
              </w:rPr>
            </w:pPr>
            <w:r>
              <w:rPr>
                <w:rFonts w:cs="Arial"/>
                <w:sz w:val="16"/>
                <w:szCs w:val="16"/>
              </w:rPr>
              <w:t>1,5</w:t>
            </w:r>
          </w:p>
        </w:tc>
        <w:tc>
          <w:tcPr>
            <w:tcW w:w="160" w:type="dxa"/>
            <w:tcBorders>
              <w:top w:val="nil"/>
              <w:left w:val="nil"/>
              <w:bottom w:val="nil"/>
              <w:right w:val="nil"/>
            </w:tcBorders>
          </w:tcPr>
          <w:p w14:paraId="546E7E7D" w14:textId="4D6A9C24" w:rsidR="00355A4B" w:rsidRPr="00166BEB" w:rsidRDefault="00355A4B" w:rsidP="00355A4B">
            <w:pPr>
              <w:spacing w:after="0" w:line="240" w:lineRule="auto"/>
              <w:jc w:val="center"/>
              <w:rPr>
                <w:rFonts w:cs="Arial"/>
                <w:sz w:val="16"/>
                <w:szCs w:val="16"/>
                <w:highlight w:val="yellow"/>
              </w:rPr>
            </w:pPr>
          </w:p>
        </w:tc>
      </w:tr>
      <w:tr w:rsidR="00355A4B" w:rsidRPr="00166BEB" w14:paraId="769FD3AE" w14:textId="2DF76FEE" w:rsidTr="004543DD">
        <w:trPr>
          <w:trHeight w:val="300"/>
        </w:trPr>
        <w:tc>
          <w:tcPr>
            <w:tcW w:w="1380" w:type="dxa"/>
            <w:tcBorders>
              <w:top w:val="nil"/>
              <w:left w:val="nil"/>
              <w:bottom w:val="nil"/>
              <w:right w:val="nil"/>
            </w:tcBorders>
            <w:shd w:val="clear" w:color="auto" w:fill="auto"/>
            <w:noWrap/>
            <w:vAlign w:val="center"/>
            <w:hideMark/>
          </w:tcPr>
          <w:p w14:paraId="3C6EA2FA" w14:textId="56BC67ED"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Portugalsko</w:t>
            </w:r>
          </w:p>
        </w:tc>
        <w:tc>
          <w:tcPr>
            <w:tcW w:w="822" w:type="dxa"/>
            <w:tcBorders>
              <w:top w:val="nil"/>
              <w:left w:val="single" w:sz="4" w:space="0" w:color="000000"/>
              <w:bottom w:val="nil"/>
              <w:right w:val="nil"/>
            </w:tcBorders>
            <w:shd w:val="clear" w:color="auto" w:fill="auto"/>
            <w:noWrap/>
            <w:vAlign w:val="center"/>
            <w:hideMark/>
          </w:tcPr>
          <w:p w14:paraId="7B6F2736" w14:textId="375CD045" w:rsidR="00355A4B" w:rsidRPr="00166BEB" w:rsidRDefault="00355A4B" w:rsidP="00355A4B">
            <w:pPr>
              <w:spacing w:after="0" w:line="240" w:lineRule="auto"/>
              <w:jc w:val="center"/>
              <w:rPr>
                <w:rFonts w:cs="Arial"/>
                <w:sz w:val="16"/>
                <w:szCs w:val="16"/>
                <w:highlight w:val="yellow"/>
              </w:rPr>
            </w:pPr>
            <w:r>
              <w:rPr>
                <w:rFonts w:cs="Arial"/>
                <w:sz w:val="16"/>
                <w:szCs w:val="16"/>
              </w:rPr>
              <w:t>4,9</w:t>
            </w:r>
          </w:p>
        </w:tc>
        <w:tc>
          <w:tcPr>
            <w:tcW w:w="822" w:type="dxa"/>
            <w:tcBorders>
              <w:top w:val="nil"/>
              <w:left w:val="nil"/>
              <w:bottom w:val="nil"/>
              <w:right w:val="nil"/>
            </w:tcBorders>
            <w:shd w:val="clear" w:color="auto" w:fill="auto"/>
            <w:noWrap/>
            <w:vAlign w:val="center"/>
            <w:hideMark/>
          </w:tcPr>
          <w:p w14:paraId="72402D03" w14:textId="10B29B63" w:rsidR="00355A4B" w:rsidRPr="00166BEB" w:rsidRDefault="00355A4B" w:rsidP="00355A4B">
            <w:pPr>
              <w:spacing w:after="0" w:line="240" w:lineRule="auto"/>
              <w:jc w:val="center"/>
              <w:rPr>
                <w:rFonts w:cs="Arial"/>
                <w:sz w:val="16"/>
                <w:szCs w:val="16"/>
                <w:highlight w:val="yellow"/>
              </w:rPr>
            </w:pPr>
            <w:r>
              <w:rPr>
                <w:rFonts w:cs="Arial"/>
                <w:sz w:val="16"/>
                <w:szCs w:val="16"/>
              </w:rPr>
              <w:t>4,8</w:t>
            </w:r>
          </w:p>
        </w:tc>
        <w:tc>
          <w:tcPr>
            <w:tcW w:w="822" w:type="dxa"/>
            <w:tcBorders>
              <w:top w:val="nil"/>
              <w:left w:val="nil"/>
              <w:bottom w:val="nil"/>
              <w:right w:val="nil"/>
            </w:tcBorders>
            <w:shd w:val="clear" w:color="auto" w:fill="auto"/>
            <w:noWrap/>
            <w:vAlign w:val="center"/>
            <w:hideMark/>
          </w:tcPr>
          <w:p w14:paraId="230BC999" w14:textId="2AFF179E" w:rsidR="00355A4B" w:rsidRPr="00166BEB" w:rsidRDefault="00355A4B" w:rsidP="00355A4B">
            <w:pPr>
              <w:spacing w:after="0" w:line="240" w:lineRule="auto"/>
              <w:jc w:val="center"/>
              <w:rPr>
                <w:rFonts w:cs="Arial"/>
                <w:sz w:val="16"/>
                <w:szCs w:val="16"/>
                <w:highlight w:val="yellow"/>
              </w:rPr>
            </w:pPr>
            <w:r>
              <w:rPr>
                <w:rFonts w:cs="Arial"/>
                <w:sz w:val="16"/>
                <w:szCs w:val="16"/>
              </w:rPr>
              <w:t>4,5</w:t>
            </w:r>
          </w:p>
        </w:tc>
        <w:tc>
          <w:tcPr>
            <w:tcW w:w="822" w:type="dxa"/>
            <w:tcBorders>
              <w:top w:val="nil"/>
              <w:left w:val="nil"/>
              <w:bottom w:val="nil"/>
              <w:right w:val="nil"/>
            </w:tcBorders>
            <w:shd w:val="clear" w:color="auto" w:fill="auto"/>
            <w:noWrap/>
            <w:vAlign w:val="center"/>
            <w:hideMark/>
          </w:tcPr>
          <w:p w14:paraId="1641AFA7" w14:textId="1FB7F1B8" w:rsidR="00355A4B" w:rsidRPr="00166BEB" w:rsidRDefault="00355A4B" w:rsidP="00355A4B">
            <w:pPr>
              <w:spacing w:after="0" w:line="240" w:lineRule="auto"/>
              <w:jc w:val="center"/>
              <w:rPr>
                <w:rFonts w:cs="Arial"/>
                <w:sz w:val="16"/>
                <w:szCs w:val="16"/>
                <w:highlight w:val="yellow"/>
              </w:rPr>
            </w:pPr>
            <w:r>
              <w:rPr>
                <w:rFonts w:cs="Arial"/>
                <w:sz w:val="16"/>
                <w:szCs w:val="16"/>
              </w:rPr>
              <w:t>4,7</w:t>
            </w:r>
          </w:p>
        </w:tc>
        <w:tc>
          <w:tcPr>
            <w:tcW w:w="822" w:type="dxa"/>
            <w:tcBorders>
              <w:top w:val="nil"/>
              <w:left w:val="nil"/>
              <w:bottom w:val="nil"/>
              <w:right w:val="nil"/>
            </w:tcBorders>
            <w:shd w:val="clear" w:color="auto" w:fill="auto"/>
            <w:noWrap/>
            <w:vAlign w:val="center"/>
            <w:hideMark/>
          </w:tcPr>
          <w:p w14:paraId="70FC4E91" w14:textId="773B39AA" w:rsidR="00355A4B" w:rsidRPr="00166BEB" w:rsidRDefault="00355A4B" w:rsidP="00355A4B">
            <w:pPr>
              <w:spacing w:after="0" w:line="240" w:lineRule="auto"/>
              <w:jc w:val="center"/>
              <w:rPr>
                <w:rFonts w:cs="Arial"/>
                <w:sz w:val="16"/>
                <w:szCs w:val="16"/>
                <w:highlight w:val="yellow"/>
              </w:rPr>
            </w:pPr>
            <w:r>
              <w:rPr>
                <w:rFonts w:cs="Arial"/>
                <w:sz w:val="16"/>
                <w:szCs w:val="16"/>
              </w:rPr>
              <w:t>4,6</w:t>
            </w:r>
          </w:p>
        </w:tc>
        <w:tc>
          <w:tcPr>
            <w:tcW w:w="822" w:type="dxa"/>
            <w:tcBorders>
              <w:top w:val="nil"/>
              <w:left w:val="nil"/>
              <w:bottom w:val="nil"/>
              <w:right w:val="nil"/>
            </w:tcBorders>
            <w:shd w:val="clear" w:color="auto" w:fill="auto"/>
            <w:noWrap/>
            <w:vAlign w:val="center"/>
            <w:hideMark/>
          </w:tcPr>
          <w:p w14:paraId="1A5EF3A9" w14:textId="09EA79CF" w:rsidR="00355A4B" w:rsidRPr="00166BEB" w:rsidRDefault="00355A4B" w:rsidP="00355A4B">
            <w:pPr>
              <w:spacing w:after="0" w:line="240" w:lineRule="auto"/>
              <w:jc w:val="center"/>
              <w:rPr>
                <w:rFonts w:cs="Arial"/>
                <w:sz w:val="16"/>
                <w:szCs w:val="16"/>
                <w:highlight w:val="yellow"/>
              </w:rPr>
            </w:pPr>
            <w:r>
              <w:rPr>
                <w:rFonts w:cs="Arial"/>
                <w:sz w:val="16"/>
                <w:szCs w:val="16"/>
              </w:rPr>
              <w:t>4,0</w:t>
            </w:r>
          </w:p>
        </w:tc>
        <w:tc>
          <w:tcPr>
            <w:tcW w:w="822" w:type="dxa"/>
            <w:tcBorders>
              <w:top w:val="nil"/>
              <w:left w:val="nil"/>
              <w:bottom w:val="nil"/>
              <w:right w:val="nil"/>
            </w:tcBorders>
            <w:shd w:val="clear" w:color="auto" w:fill="auto"/>
            <w:noWrap/>
            <w:vAlign w:val="center"/>
            <w:hideMark/>
          </w:tcPr>
          <w:p w14:paraId="47B64BEC" w14:textId="24D49FDB" w:rsidR="00355A4B" w:rsidRPr="00166BEB" w:rsidRDefault="00355A4B" w:rsidP="00355A4B">
            <w:pPr>
              <w:spacing w:after="0" w:line="240" w:lineRule="auto"/>
              <w:jc w:val="center"/>
              <w:rPr>
                <w:rFonts w:cs="Arial"/>
                <w:sz w:val="16"/>
                <w:szCs w:val="16"/>
                <w:highlight w:val="yellow"/>
              </w:rPr>
            </w:pPr>
            <w:r>
              <w:rPr>
                <w:rFonts w:cs="Arial"/>
                <w:sz w:val="16"/>
                <w:szCs w:val="16"/>
              </w:rPr>
              <w:t>3,9</w:t>
            </w:r>
          </w:p>
        </w:tc>
        <w:tc>
          <w:tcPr>
            <w:tcW w:w="822" w:type="dxa"/>
            <w:tcBorders>
              <w:top w:val="nil"/>
              <w:left w:val="nil"/>
              <w:bottom w:val="nil"/>
              <w:right w:val="nil"/>
            </w:tcBorders>
            <w:shd w:val="clear" w:color="auto" w:fill="auto"/>
            <w:noWrap/>
            <w:vAlign w:val="center"/>
            <w:hideMark/>
          </w:tcPr>
          <w:p w14:paraId="378B790C" w14:textId="438F3417"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7CAF92CE" w14:textId="69CB9A7A"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D9D9D9"/>
            <w:vAlign w:val="center"/>
          </w:tcPr>
          <w:p w14:paraId="0CA515AB" w14:textId="17682308"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160" w:type="dxa"/>
            <w:tcBorders>
              <w:top w:val="nil"/>
              <w:left w:val="nil"/>
              <w:bottom w:val="nil"/>
              <w:right w:val="nil"/>
            </w:tcBorders>
          </w:tcPr>
          <w:p w14:paraId="088DD43B" w14:textId="078ECEED" w:rsidR="00355A4B" w:rsidRPr="00166BEB" w:rsidRDefault="00355A4B" w:rsidP="00355A4B">
            <w:pPr>
              <w:spacing w:after="0" w:line="240" w:lineRule="auto"/>
              <w:jc w:val="center"/>
              <w:rPr>
                <w:rFonts w:cs="Arial"/>
                <w:sz w:val="16"/>
                <w:szCs w:val="16"/>
                <w:highlight w:val="yellow"/>
              </w:rPr>
            </w:pPr>
          </w:p>
        </w:tc>
      </w:tr>
      <w:tr w:rsidR="00355A4B" w:rsidRPr="00166BEB" w14:paraId="004256F1" w14:textId="44139BF2" w:rsidTr="004543DD">
        <w:trPr>
          <w:trHeight w:val="300"/>
        </w:trPr>
        <w:tc>
          <w:tcPr>
            <w:tcW w:w="1380" w:type="dxa"/>
            <w:tcBorders>
              <w:top w:val="nil"/>
              <w:left w:val="nil"/>
              <w:bottom w:val="nil"/>
              <w:right w:val="nil"/>
            </w:tcBorders>
            <w:shd w:val="clear" w:color="auto" w:fill="auto"/>
            <w:noWrap/>
            <w:vAlign w:val="center"/>
            <w:hideMark/>
          </w:tcPr>
          <w:p w14:paraId="6C88BB4F" w14:textId="5CA8B2CE"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Rakousko</w:t>
            </w:r>
          </w:p>
        </w:tc>
        <w:tc>
          <w:tcPr>
            <w:tcW w:w="822" w:type="dxa"/>
            <w:tcBorders>
              <w:top w:val="nil"/>
              <w:left w:val="single" w:sz="4" w:space="0" w:color="000000"/>
              <w:bottom w:val="nil"/>
              <w:right w:val="nil"/>
            </w:tcBorders>
            <w:shd w:val="clear" w:color="auto" w:fill="auto"/>
            <w:noWrap/>
            <w:vAlign w:val="center"/>
            <w:hideMark/>
          </w:tcPr>
          <w:p w14:paraId="5486C4B4" w14:textId="14557492"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822" w:type="dxa"/>
            <w:tcBorders>
              <w:top w:val="nil"/>
              <w:left w:val="nil"/>
              <w:bottom w:val="nil"/>
              <w:right w:val="nil"/>
            </w:tcBorders>
            <w:shd w:val="clear" w:color="auto" w:fill="auto"/>
            <w:noWrap/>
            <w:vAlign w:val="center"/>
            <w:hideMark/>
          </w:tcPr>
          <w:p w14:paraId="513502BC" w14:textId="331C6959" w:rsidR="00355A4B" w:rsidRPr="00166BEB" w:rsidRDefault="00355A4B" w:rsidP="00355A4B">
            <w:pPr>
              <w:spacing w:after="0" w:line="240" w:lineRule="auto"/>
              <w:jc w:val="center"/>
              <w:rPr>
                <w:rFonts w:cs="Arial"/>
                <w:sz w:val="16"/>
                <w:szCs w:val="16"/>
                <w:highlight w:val="yellow"/>
              </w:rPr>
            </w:pPr>
            <w:r>
              <w:rPr>
                <w:rFonts w:cs="Arial"/>
                <w:sz w:val="16"/>
                <w:szCs w:val="16"/>
              </w:rPr>
              <w:t>4,4</w:t>
            </w:r>
          </w:p>
        </w:tc>
        <w:tc>
          <w:tcPr>
            <w:tcW w:w="822" w:type="dxa"/>
            <w:tcBorders>
              <w:top w:val="nil"/>
              <w:left w:val="nil"/>
              <w:bottom w:val="nil"/>
              <w:right w:val="nil"/>
            </w:tcBorders>
            <w:shd w:val="clear" w:color="auto" w:fill="auto"/>
            <w:noWrap/>
            <w:vAlign w:val="center"/>
            <w:hideMark/>
          </w:tcPr>
          <w:p w14:paraId="79B6BBDD" w14:textId="49310328" w:rsidR="00355A4B" w:rsidRPr="00166BEB" w:rsidRDefault="00355A4B" w:rsidP="00355A4B">
            <w:pPr>
              <w:spacing w:after="0" w:line="240" w:lineRule="auto"/>
              <w:jc w:val="center"/>
              <w:rPr>
                <w:rFonts w:cs="Arial"/>
                <w:sz w:val="16"/>
                <w:szCs w:val="16"/>
                <w:highlight w:val="yellow"/>
              </w:rPr>
            </w:pPr>
            <w:r>
              <w:rPr>
                <w:rFonts w:cs="Arial"/>
                <w:sz w:val="16"/>
                <w:szCs w:val="16"/>
              </w:rPr>
              <w:t>4,2</w:t>
            </w:r>
          </w:p>
        </w:tc>
        <w:tc>
          <w:tcPr>
            <w:tcW w:w="822" w:type="dxa"/>
            <w:tcBorders>
              <w:top w:val="nil"/>
              <w:left w:val="nil"/>
              <w:bottom w:val="nil"/>
              <w:right w:val="nil"/>
            </w:tcBorders>
            <w:shd w:val="clear" w:color="auto" w:fill="auto"/>
            <w:noWrap/>
            <w:vAlign w:val="center"/>
            <w:hideMark/>
          </w:tcPr>
          <w:p w14:paraId="7251F7C1" w14:textId="1F517139" w:rsidR="00355A4B" w:rsidRPr="00166BEB" w:rsidRDefault="00355A4B" w:rsidP="00355A4B">
            <w:pPr>
              <w:spacing w:after="0" w:line="240" w:lineRule="auto"/>
              <w:jc w:val="center"/>
              <w:rPr>
                <w:rFonts w:cs="Arial"/>
                <w:sz w:val="16"/>
                <w:szCs w:val="16"/>
                <w:highlight w:val="yellow"/>
              </w:rPr>
            </w:pPr>
            <w:r>
              <w:rPr>
                <w:rFonts w:cs="Arial"/>
                <w:sz w:val="16"/>
                <w:szCs w:val="16"/>
              </w:rPr>
              <w:t>4,0</w:t>
            </w:r>
          </w:p>
        </w:tc>
        <w:tc>
          <w:tcPr>
            <w:tcW w:w="822" w:type="dxa"/>
            <w:tcBorders>
              <w:top w:val="nil"/>
              <w:left w:val="nil"/>
              <w:bottom w:val="nil"/>
              <w:right w:val="nil"/>
            </w:tcBorders>
            <w:shd w:val="clear" w:color="auto" w:fill="auto"/>
            <w:noWrap/>
            <w:vAlign w:val="center"/>
            <w:hideMark/>
          </w:tcPr>
          <w:p w14:paraId="4D9AABA9" w14:textId="212A070E" w:rsidR="00355A4B" w:rsidRPr="00166BEB" w:rsidRDefault="00355A4B" w:rsidP="00355A4B">
            <w:pPr>
              <w:spacing w:after="0" w:line="240" w:lineRule="auto"/>
              <w:jc w:val="center"/>
              <w:rPr>
                <w:rFonts w:cs="Arial"/>
                <w:sz w:val="16"/>
                <w:szCs w:val="16"/>
                <w:highlight w:val="yellow"/>
              </w:rPr>
            </w:pPr>
            <w:r>
              <w:rPr>
                <w:rFonts w:cs="Arial"/>
                <w:sz w:val="16"/>
                <w:szCs w:val="16"/>
              </w:rPr>
              <w:t>4,2</w:t>
            </w:r>
          </w:p>
        </w:tc>
        <w:tc>
          <w:tcPr>
            <w:tcW w:w="822" w:type="dxa"/>
            <w:tcBorders>
              <w:top w:val="nil"/>
              <w:left w:val="nil"/>
              <w:bottom w:val="nil"/>
              <w:right w:val="nil"/>
            </w:tcBorders>
            <w:shd w:val="clear" w:color="auto" w:fill="auto"/>
            <w:noWrap/>
            <w:vAlign w:val="center"/>
            <w:hideMark/>
          </w:tcPr>
          <w:p w14:paraId="41B858AC" w14:textId="708F8BF5" w:rsidR="00355A4B" w:rsidRPr="00166BEB" w:rsidRDefault="00355A4B" w:rsidP="00355A4B">
            <w:pPr>
              <w:spacing w:after="0" w:line="240" w:lineRule="auto"/>
              <w:jc w:val="center"/>
              <w:rPr>
                <w:rFonts w:cs="Arial"/>
                <w:sz w:val="16"/>
                <w:szCs w:val="16"/>
                <w:highlight w:val="yellow"/>
              </w:rPr>
            </w:pPr>
            <w:r>
              <w:rPr>
                <w:rFonts w:cs="Arial"/>
                <w:sz w:val="16"/>
                <w:szCs w:val="16"/>
              </w:rPr>
              <w:t>5,4</w:t>
            </w:r>
          </w:p>
        </w:tc>
        <w:tc>
          <w:tcPr>
            <w:tcW w:w="822" w:type="dxa"/>
            <w:tcBorders>
              <w:top w:val="nil"/>
              <w:left w:val="nil"/>
              <w:bottom w:val="nil"/>
              <w:right w:val="nil"/>
            </w:tcBorders>
            <w:shd w:val="clear" w:color="auto" w:fill="auto"/>
            <w:noWrap/>
            <w:vAlign w:val="center"/>
            <w:hideMark/>
          </w:tcPr>
          <w:p w14:paraId="582E9600" w14:textId="6C50E49F" w:rsidR="00355A4B" w:rsidRPr="00166BEB" w:rsidRDefault="00355A4B" w:rsidP="00355A4B">
            <w:pPr>
              <w:spacing w:after="0" w:line="240" w:lineRule="auto"/>
              <w:jc w:val="center"/>
              <w:rPr>
                <w:rFonts w:cs="Arial"/>
                <w:sz w:val="16"/>
                <w:szCs w:val="16"/>
                <w:highlight w:val="yellow"/>
              </w:rPr>
            </w:pPr>
            <w:r>
              <w:rPr>
                <w:rFonts w:cs="Arial"/>
                <w:sz w:val="16"/>
                <w:szCs w:val="16"/>
              </w:rPr>
              <w:t>4,1</w:t>
            </w:r>
          </w:p>
        </w:tc>
        <w:tc>
          <w:tcPr>
            <w:tcW w:w="822" w:type="dxa"/>
            <w:tcBorders>
              <w:top w:val="nil"/>
              <w:left w:val="nil"/>
              <w:bottom w:val="nil"/>
              <w:right w:val="nil"/>
            </w:tcBorders>
            <w:shd w:val="clear" w:color="auto" w:fill="auto"/>
            <w:noWrap/>
            <w:vAlign w:val="center"/>
            <w:hideMark/>
          </w:tcPr>
          <w:p w14:paraId="0E3D5DD6" w14:textId="4A015700" w:rsidR="00355A4B" w:rsidRPr="00166BEB" w:rsidRDefault="00355A4B" w:rsidP="00355A4B">
            <w:pPr>
              <w:spacing w:after="0" w:line="240" w:lineRule="auto"/>
              <w:jc w:val="center"/>
              <w:rPr>
                <w:rFonts w:cs="Arial"/>
                <w:sz w:val="16"/>
                <w:szCs w:val="16"/>
                <w:highlight w:val="yellow"/>
              </w:rPr>
            </w:pPr>
            <w:r>
              <w:rPr>
                <w:rFonts w:cs="Arial"/>
                <w:sz w:val="16"/>
                <w:szCs w:val="16"/>
              </w:rPr>
              <w:t>4,3</w:t>
            </w:r>
          </w:p>
        </w:tc>
        <w:tc>
          <w:tcPr>
            <w:tcW w:w="822" w:type="dxa"/>
            <w:tcBorders>
              <w:top w:val="nil"/>
              <w:left w:val="nil"/>
              <w:bottom w:val="nil"/>
              <w:right w:val="nil"/>
            </w:tcBorders>
            <w:shd w:val="clear" w:color="auto" w:fill="auto"/>
            <w:noWrap/>
            <w:vAlign w:val="center"/>
            <w:hideMark/>
          </w:tcPr>
          <w:p w14:paraId="63459A6E" w14:textId="55E949B6"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D9D9D9"/>
            <w:vAlign w:val="center"/>
          </w:tcPr>
          <w:p w14:paraId="23D3687C" w14:textId="1114A6FA"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160" w:type="dxa"/>
            <w:tcBorders>
              <w:top w:val="nil"/>
              <w:left w:val="nil"/>
              <w:bottom w:val="nil"/>
              <w:right w:val="nil"/>
            </w:tcBorders>
          </w:tcPr>
          <w:p w14:paraId="3F527BD0" w14:textId="343D041C" w:rsidR="00355A4B" w:rsidRPr="00166BEB" w:rsidRDefault="00355A4B" w:rsidP="00355A4B">
            <w:pPr>
              <w:spacing w:after="0" w:line="240" w:lineRule="auto"/>
              <w:jc w:val="center"/>
              <w:rPr>
                <w:rFonts w:cs="Arial"/>
                <w:sz w:val="16"/>
                <w:szCs w:val="16"/>
                <w:highlight w:val="yellow"/>
              </w:rPr>
            </w:pPr>
          </w:p>
        </w:tc>
      </w:tr>
      <w:tr w:rsidR="00355A4B" w:rsidRPr="00166BEB" w14:paraId="717B1898" w14:textId="5A64BFCA" w:rsidTr="004543DD">
        <w:trPr>
          <w:trHeight w:val="300"/>
        </w:trPr>
        <w:tc>
          <w:tcPr>
            <w:tcW w:w="1380" w:type="dxa"/>
            <w:tcBorders>
              <w:top w:val="nil"/>
              <w:left w:val="nil"/>
              <w:bottom w:val="nil"/>
              <w:right w:val="nil"/>
            </w:tcBorders>
            <w:shd w:val="clear" w:color="auto" w:fill="auto"/>
            <w:noWrap/>
            <w:vAlign w:val="center"/>
            <w:hideMark/>
          </w:tcPr>
          <w:p w14:paraId="0C0DFB06" w14:textId="1487D001"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Rumunsko</w:t>
            </w:r>
          </w:p>
        </w:tc>
        <w:tc>
          <w:tcPr>
            <w:tcW w:w="822" w:type="dxa"/>
            <w:tcBorders>
              <w:top w:val="nil"/>
              <w:left w:val="single" w:sz="4" w:space="0" w:color="000000"/>
              <w:bottom w:val="nil"/>
              <w:right w:val="nil"/>
            </w:tcBorders>
            <w:shd w:val="clear" w:color="auto" w:fill="auto"/>
            <w:noWrap/>
            <w:vAlign w:val="center"/>
            <w:hideMark/>
          </w:tcPr>
          <w:p w14:paraId="0F63D3C0" w14:textId="6CE69041" w:rsidR="00355A4B" w:rsidRPr="00166BEB" w:rsidRDefault="00355A4B" w:rsidP="00355A4B">
            <w:pPr>
              <w:spacing w:after="0" w:line="240" w:lineRule="auto"/>
              <w:jc w:val="center"/>
              <w:rPr>
                <w:rFonts w:cs="Arial"/>
                <w:sz w:val="16"/>
                <w:szCs w:val="16"/>
                <w:highlight w:val="yellow"/>
              </w:rPr>
            </w:pPr>
            <w:r>
              <w:rPr>
                <w:rFonts w:cs="Arial"/>
                <w:sz w:val="16"/>
                <w:szCs w:val="16"/>
              </w:rPr>
              <w:t>8,7</w:t>
            </w:r>
          </w:p>
        </w:tc>
        <w:tc>
          <w:tcPr>
            <w:tcW w:w="822" w:type="dxa"/>
            <w:tcBorders>
              <w:top w:val="nil"/>
              <w:left w:val="nil"/>
              <w:bottom w:val="nil"/>
              <w:right w:val="nil"/>
            </w:tcBorders>
            <w:shd w:val="clear" w:color="auto" w:fill="auto"/>
            <w:noWrap/>
            <w:vAlign w:val="center"/>
            <w:hideMark/>
          </w:tcPr>
          <w:p w14:paraId="03BF21F2" w14:textId="79BD34B9" w:rsidR="00355A4B" w:rsidRPr="00166BEB" w:rsidRDefault="00355A4B" w:rsidP="00355A4B">
            <w:pPr>
              <w:spacing w:after="0" w:line="240" w:lineRule="auto"/>
              <w:jc w:val="center"/>
              <w:rPr>
                <w:rFonts w:cs="Arial"/>
                <w:sz w:val="16"/>
                <w:szCs w:val="16"/>
                <w:highlight w:val="yellow"/>
              </w:rPr>
            </w:pPr>
            <w:r>
              <w:rPr>
                <w:rFonts w:cs="Arial"/>
                <w:sz w:val="16"/>
                <w:szCs w:val="16"/>
              </w:rPr>
              <w:t>7,6</w:t>
            </w:r>
          </w:p>
        </w:tc>
        <w:tc>
          <w:tcPr>
            <w:tcW w:w="822" w:type="dxa"/>
            <w:tcBorders>
              <w:top w:val="nil"/>
              <w:left w:val="nil"/>
              <w:bottom w:val="nil"/>
              <w:right w:val="nil"/>
            </w:tcBorders>
            <w:shd w:val="clear" w:color="auto" w:fill="auto"/>
            <w:noWrap/>
            <w:vAlign w:val="center"/>
            <w:hideMark/>
          </w:tcPr>
          <w:p w14:paraId="5685E3CB" w14:textId="162CECDC" w:rsidR="00355A4B" w:rsidRPr="00166BEB" w:rsidRDefault="00355A4B" w:rsidP="00355A4B">
            <w:pPr>
              <w:spacing w:after="0" w:line="240" w:lineRule="auto"/>
              <w:jc w:val="center"/>
              <w:rPr>
                <w:rFonts w:cs="Arial"/>
                <w:sz w:val="16"/>
                <w:szCs w:val="16"/>
                <w:highlight w:val="yellow"/>
              </w:rPr>
            </w:pPr>
            <w:r>
              <w:rPr>
                <w:rFonts w:cs="Arial"/>
                <w:sz w:val="16"/>
                <w:szCs w:val="16"/>
              </w:rPr>
              <w:t>6,9</w:t>
            </w:r>
          </w:p>
        </w:tc>
        <w:tc>
          <w:tcPr>
            <w:tcW w:w="822" w:type="dxa"/>
            <w:tcBorders>
              <w:top w:val="nil"/>
              <w:left w:val="nil"/>
              <w:bottom w:val="nil"/>
              <w:right w:val="nil"/>
            </w:tcBorders>
            <w:shd w:val="clear" w:color="auto" w:fill="auto"/>
            <w:noWrap/>
            <w:vAlign w:val="center"/>
            <w:hideMark/>
          </w:tcPr>
          <w:p w14:paraId="6980BEA5" w14:textId="6DB57643" w:rsidR="00355A4B" w:rsidRPr="00166BEB" w:rsidRDefault="00355A4B" w:rsidP="00355A4B">
            <w:pPr>
              <w:spacing w:after="0" w:line="240" w:lineRule="auto"/>
              <w:jc w:val="center"/>
              <w:rPr>
                <w:rFonts w:cs="Arial"/>
                <w:sz w:val="16"/>
                <w:szCs w:val="16"/>
                <w:highlight w:val="yellow"/>
              </w:rPr>
            </w:pPr>
            <w:r>
              <w:rPr>
                <w:rFonts w:cs="Arial"/>
                <w:sz w:val="16"/>
                <w:szCs w:val="16"/>
              </w:rPr>
              <w:t>7,1</w:t>
            </w:r>
          </w:p>
        </w:tc>
        <w:tc>
          <w:tcPr>
            <w:tcW w:w="822" w:type="dxa"/>
            <w:tcBorders>
              <w:top w:val="nil"/>
              <w:left w:val="nil"/>
              <w:bottom w:val="nil"/>
              <w:right w:val="nil"/>
            </w:tcBorders>
            <w:shd w:val="clear" w:color="auto" w:fill="auto"/>
            <w:noWrap/>
            <w:vAlign w:val="center"/>
            <w:hideMark/>
          </w:tcPr>
          <w:p w14:paraId="0B1EA4A6" w14:textId="0112EB03" w:rsidR="00355A4B" w:rsidRPr="00166BEB" w:rsidRDefault="00355A4B" w:rsidP="00355A4B">
            <w:pPr>
              <w:spacing w:after="0" w:line="240" w:lineRule="auto"/>
              <w:jc w:val="center"/>
              <w:rPr>
                <w:rFonts w:cs="Arial"/>
                <w:sz w:val="16"/>
                <w:szCs w:val="16"/>
                <w:highlight w:val="yellow"/>
              </w:rPr>
            </w:pPr>
            <w:r>
              <w:rPr>
                <w:rFonts w:cs="Arial"/>
                <w:sz w:val="16"/>
                <w:szCs w:val="16"/>
              </w:rPr>
              <w:t>7,5</w:t>
            </w:r>
          </w:p>
        </w:tc>
        <w:tc>
          <w:tcPr>
            <w:tcW w:w="822" w:type="dxa"/>
            <w:tcBorders>
              <w:top w:val="nil"/>
              <w:left w:val="nil"/>
              <w:bottom w:val="nil"/>
              <w:right w:val="nil"/>
            </w:tcBorders>
            <w:shd w:val="clear" w:color="auto" w:fill="auto"/>
            <w:noWrap/>
            <w:vAlign w:val="center"/>
            <w:hideMark/>
          </w:tcPr>
          <w:p w14:paraId="319F2C94" w14:textId="0693811A" w:rsidR="00355A4B" w:rsidRPr="00166BEB" w:rsidRDefault="00355A4B" w:rsidP="00355A4B">
            <w:pPr>
              <w:spacing w:after="0" w:line="240" w:lineRule="auto"/>
              <w:jc w:val="center"/>
              <w:rPr>
                <w:rFonts w:cs="Arial"/>
                <w:sz w:val="16"/>
                <w:szCs w:val="16"/>
                <w:highlight w:val="yellow"/>
              </w:rPr>
            </w:pPr>
            <w:r>
              <w:rPr>
                <w:rFonts w:cs="Arial"/>
                <w:sz w:val="16"/>
                <w:szCs w:val="16"/>
              </w:rPr>
              <w:t>6,1</w:t>
            </w:r>
          </w:p>
        </w:tc>
        <w:tc>
          <w:tcPr>
            <w:tcW w:w="822" w:type="dxa"/>
            <w:tcBorders>
              <w:top w:val="nil"/>
              <w:left w:val="nil"/>
              <w:bottom w:val="nil"/>
              <w:right w:val="nil"/>
            </w:tcBorders>
            <w:shd w:val="clear" w:color="auto" w:fill="auto"/>
            <w:noWrap/>
            <w:vAlign w:val="center"/>
            <w:hideMark/>
          </w:tcPr>
          <w:p w14:paraId="427DED0D" w14:textId="3824D5C4" w:rsidR="00355A4B" w:rsidRPr="00166BEB" w:rsidRDefault="00355A4B" w:rsidP="00355A4B">
            <w:pPr>
              <w:spacing w:after="0" w:line="240" w:lineRule="auto"/>
              <w:jc w:val="center"/>
              <w:rPr>
                <w:rFonts w:cs="Arial"/>
                <w:sz w:val="16"/>
                <w:szCs w:val="16"/>
                <w:highlight w:val="yellow"/>
              </w:rPr>
            </w:pPr>
            <w:r>
              <w:rPr>
                <w:rFonts w:cs="Arial"/>
                <w:sz w:val="16"/>
                <w:szCs w:val="16"/>
              </w:rPr>
              <w:t>5,7</w:t>
            </w:r>
          </w:p>
        </w:tc>
        <w:tc>
          <w:tcPr>
            <w:tcW w:w="822" w:type="dxa"/>
            <w:tcBorders>
              <w:top w:val="nil"/>
              <w:left w:val="nil"/>
              <w:bottom w:val="nil"/>
              <w:right w:val="nil"/>
            </w:tcBorders>
            <w:shd w:val="clear" w:color="auto" w:fill="auto"/>
            <w:noWrap/>
            <w:vAlign w:val="center"/>
            <w:hideMark/>
          </w:tcPr>
          <w:p w14:paraId="73FBE9E8" w14:textId="6E3872FA" w:rsidR="00355A4B" w:rsidRPr="00166BEB" w:rsidRDefault="00355A4B" w:rsidP="00355A4B">
            <w:pPr>
              <w:spacing w:after="0" w:line="240" w:lineRule="auto"/>
              <w:jc w:val="center"/>
              <w:rPr>
                <w:rFonts w:cs="Arial"/>
                <w:sz w:val="16"/>
                <w:szCs w:val="16"/>
                <w:highlight w:val="yellow"/>
              </w:rPr>
            </w:pPr>
            <w:r>
              <w:rPr>
                <w:rFonts w:cs="Arial"/>
                <w:sz w:val="16"/>
                <w:szCs w:val="16"/>
              </w:rPr>
              <w:t>5,3</w:t>
            </w:r>
          </w:p>
        </w:tc>
        <w:tc>
          <w:tcPr>
            <w:tcW w:w="822" w:type="dxa"/>
            <w:tcBorders>
              <w:top w:val="nil"/>
              <w:left w:val="nil"/>
              <w:bottom w:val="nil"/>
              <w:right w:val="nil"/>
            </w:tcBorders>
            <w:shd w:val="clear" w:color="auto" w:fill="auto"/>
            <w:noWrap/>
            <w:vAlign w:val="center"/>
            <w:hideMark/>
          </w:tcPr>
          <w:p w14:paraId="22494F7C" w14:textId="3CF60708" w:rsidR="00355A4B" w:rsidRPr="00166BEB" w:rsidRDefault="00355A4B" w:rsidP="00355A4B">
            <w:pPr>
              <w:spacing w:after="0" w:line="240" w:lineRule="auto"/>
              <w:jc w:val="center"/>
              <w:rPr>
                <w:rFonts w:cs="Arial"/>
                <w:sz w:val="16"/>
                <w:szCs w:val="16"/>
                <w:highlight w:val="yellow"/>
              </w:rPr>
            </w:pPr>
            <w:r>
              <w:rPr>
                <w:rFonts w:cs="Arial"/>
                <w:sz w:val="16"/>
                <w:szCs w:val="16"/>
              </w:rPr>
              <w:t>3,4</w:t>
            </w:r>
          </w:p>
        </w:tc>
        <w:tc>
          <w:tcPr>
            <w:tcW w:w="822" w:type="dxa"/>
            <w:tcBorders>
              <w:top w:val="nil"/>
              <w:left w:val="nil"/>
              <w:bottom w:val="nil"/>
              <w:right w:val="nil"/>
            </w:tcBorders>
            <w:shd w:val="clear" w:color="auto" w:fill="D9D9D9"/>
            <w:vAlign w:val="center"/>
          </w:tcPr>
          <w:p w14:paraId="6B45648F" w14:textId="605679B8" w:rsidR="00355A4B" w:rsidRPr="00166BEB" w:rsidRDefault="00355A4B" w:rsidP="00355A4B">
            <w:pPr>
              <w:spacing w:after="0" w:line="240" w:lineRule="auto"/>
              <w:jc w:val="center"/>
              <w:rPr>
                <w:rFonts w:cs="Arial"/>
                <w:sz w:val="16"/>
                <w:szCs w:val="16"/>
                <w:highlight w:val="yellow"/>
              </w:rPr>
            </w:pPr>
            <w:r>
              <w:rPr>
                <w:rFonts w:cs="Arial"/>
                <w:sz w:val="16"/>
                <w:szCs w:val="16"/>
              </w:rPr>
              <w:t>4,0</w:t>
            </w:r>
          </w:p>
        </w:tc>
        <w:tc>
          <w:tcPr>
            <w:tcW w:w="160" w:type="dxa"/>
            <w:tcBorders>
              <w:top w:val="nil"/>
              <w:left w:val="nil"/>
              <w:bottom w:val="nil"/>
              <w:right w:val="nil"/>
            </w:tcBorders>
          </w:tcPr>
          <w:p w14:paraId="661E916E" w14:textId="005C2D60" w:rsidR="00355A4B" w:rsidRPr="00166BEB" w:rsidRDefault="00355A4B" w:rsidP="00355A4B">
            <w:pPr>
              <w:spacing w:after="0" w:line="240" w:lineRule="auto"/>
              <w:jc w:val="center"/>
              <w:rPr>
                <w:rFonts w:cs="Arial"/>
                <w:sz w:val="16"/>
                <w:szCs w:val="16"/>
                <w:highlight w:val="yellow"/>
              </w:rPr>
            </w:pPr>
          </w:p>
        </w:tc>
      </w:tr>
      <w:tr w:rsidR="00355A4B" w:rsidRPr="00166BEB" w14:paraId="2C886F24" w14:textId="3DBE1C20" w:rsidTr="004543DD">
        <w:trPr>
          <w:trHeight w:val="300"/>
        </w:trPr>
        <w:tc>
          <w:tcPr>
            <w:tcW w:w="1380" w:type="dxa"/>
            <w:tcBorders>
              <w:top w:val="nil"/>
              <w:left w:val="nil"/>
              <w:bottom w:val="nil"/>
              <w:right w:val="nil"/>
            </w:tcBorders>
            <w:shd w:val="clear" w:color="auto" w:fill="auto"/>
            <w:noWrap/>
            <w:vAlign w:val="center"/>
            <w:hideMark/>
          </w:tcPr>
          <w:p w14:paraId="1A6B632D" w14:textId="3F95DE39"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Řecko</w:t>
            </w:r>
          </w:p>
        </w:tc>
        <w:tc>
          <w:tcPr>
            <w:tcW w:w="822" w:type="dxa"/>
            <w:tcBorders>
              <w:top w:val="nil"/>
              <w:left w:val="single" w:sz="4" w:space="0" w:color="000000"/>
              <w:bottom w:val="nil"/>
              <w:right w:val="nil"/>
            </w:tcBorders>
            <w:shd w:val="clear" w:color="auto" w:fill="auto"/>
            <w:noWrap/>
            <w:vAlign w:val="center"/>
            <w:hideMark/>
          </w:tcPr>
          <w:p w14:paraId="24C874D0" w14:textId="4F67F007" w:rsidR="00355A4B" w:rsidRPr="00166BEB" w:rsidRDefault="00355A4B" w:rsidP="00355A4B">
            <w:pPr>
              <w:spacing w:after="0" w:line="240" w:lineRule="auto"/>
              <w:jc w:val="center"/>
              <w:rPr>
                <w:rFonts w:cs="Arial"/>
                <w:sz w:val="16"/>
                <w:szCs w:val="16"/>
                <w:highlight w:val="yellow"/>
              </w:rPr>
            </w:pPr>
            <w:r>
              <w:rPr>
                <w:rFonts w:cs="Arial"/>
                <w:sz w:val="16"/>
                <w:szCs w:val="16"/>
              </w:rPr>
              <w:t>1,4</w:t>
            </w:r>
          </w:p>
        </w:tc>
        <w:tc>
          <w:tcPr>
            <w:tcW w:w="822" w:type="dxa"/>
            <w:tcBorders>
              <w:top w:val="nil"/>
              <w:left w:val="nil"/>
              <w:bottom w:val="nil"/>
              <w:right w:val="nil"/>
            </w:tcBorders>
            <w:shd w:val="clear" w:color="auto" w:fill="auto"/>
            <w:noWrap/>
            <w:vAlign w:val="center"/>
            <w:hideMark/>
          </w:tcPr>
          <w:p w14:paraId="393623A2" w14:textId="23038BB1" w:rsidR="00355A4B" w:rsidRPr="00166BEB" w:rsidRDefault="00355A4B" w:rsidP="00355A4B">
            <w:pPr>
              <w:spacing w:after="0" w:line="240" w:lineRule="auto"/>
              <w:jc w:val="center"/>
              <w:rPr>
                <w:rFonts w:cs="Arial"/>
                <w:sz w:val="16"/>
                <w:szCs w:val="16"/>
                <w:highlight w:val="yellow"/>
              </w:rPr>
            </w:pPr>
            <w:r>
              <w:rPr>
                <w:rFonts w:cs="Arial"/>
                <w:sz w:val="16"/>
                <w:szCs w:val="16"/>
              </w:rPr>
              <w:t>1,3</w:t>
            </w:r>
          </w:p>
        </w:tc>
        <w:tc>
          <w:tcPr>
            <w:tcW w:w="822" w:type="dxa"/>
            <w:tcBorders>
              <w:top w:val="nil"/>
              <w:left w:val="nil"/>
              <w:bottom w:val="nil"/>
              <w:right w:val="nil"/>
            </w:tcBorders>
            <w:shd w:val="clear" w:color="auto" w:fill="auto"/>
            <w:noWrap/>
            <w:vAlign w:val="center"/>
            <w:hideMark/>
          </w:tcPr>
          <w:p w14:paraId="6D01D00C" w14:textId="1D02280D" w:rsidR="00355A4B" w:rsidRPr="00166BEB" w:rsidRDefault="00355A4B" w:rsidP="00355A4B">
            <w:pPr>
              <w:spacing w:after="0" w:line="240" w:lineRule="auto"/>
              <w:jc w:val="center"/>
              <w:rPr>
                <w:rFonts w:cs="Arial"/>
                <w:sz w:val="16"/>
                <w:szCs w:val="16"/>
                <w:highlight w:val="yellow"/>
              </w:rPr>
            </w:pPr>
            <w:r>
              <w:rPr>
                <w:rFonts w:cs="Arial"/>
                <w:sz w:val="16"/>
                <w:szCs w:val="16"/>
              </w:rPr>
              <w:t>1,2</w:t>
            </w:r>
          </w:p>
        </w:tc>
        <w:tc>
          <w:tcPr>
            <w:tcW w:w="822" w:type="dxa"/>
            <w:tcBorders>
              <w:top w:val="nil"/>
              <w:left w:val="nil"/>
              <w:bottom w:val="nil"/>
              <w:right w:val="nil"/>
            </w:tcBorders>
            <w:shd w:val="clear" w:color="000000" w:fill="DBDBDB"/>
            <w:noWrap/>
            <w:vAlign w:val="center"/>
            <w:hideMark/>
          </w:tcPr>
          <w:p w14:paraId="79974029" w14:textId="54D38EB6" w:rsidR="00355A4B" w:rsidRPr="00166BEB" w:rsidRDefault="00355A4B" w:rsidP="00355A4B">
            <w:pPr>
              <w:spacing w:after="0" w:line="240" w:lineRule="auto"/>
              <w:jc w:val="center"/>
              <w:rPr>
                <w:rFonts w:cs="Arial"/>
                <w:sz w:val="16"/>
                <w:szCs w:val="16"/>
                <w:highlight w:val="yellow"/>
              </w:rPr>
            </w:pPr>
            <w:r>
              <w:rPr>
                <w:rFonts w:cs="Arial"/>
                <w:sz w:val="16"/>
                <w:szCs w:val="16"/>
              </w:rPr>
              <w:t>1,2</w:t>
            </w:r>
          </w:p>
        </w:tc>
        <w:tc>
          <w:tcPr>
            <w:tcW w:w="822" w:type="dxa"/>
            <w:tcBorders>
              <w:top w:val="nil"/>
              <w:left w:val="nil"/>
              <w:bottom w:val="nil"/>
              <w:right w:val="nil"/>
            </w:tcBorders>
            <w:shd w:val="clear" w:color="auto" w:fill="auto"/>
            <w:noWrap/>
            <w:vAlign w:val="center"/>
            <w:hideMark/>
          </w:tcPr>
          <w:p w14:paraId="3A856300" w14:textId="2C2F2892" w:rsidR="00355A4B" w:rsidRPr="00166BEB" w:rsidRDefault="00355A4B" w:rsidP="00355A4B">
            <w:pPr>
              <w:spacing w:after="0" w:line="240" w:lineRule="auto"/>
              <w:jc w:val="center"/>
              <w:rPr>
                <w:rFonts w:cs="Arial"/>
                <w:sz w:val="16"/>
                <w:szCs w:val="16"/>
                <w:highlight w:val="yellow"/>
              </w:rPr>
            </w:pPr>
            <w:r>
              <w:rPr>
                <w:rFonts w:cs="Arial"/>
                <w:sz w:val="16"/>
                <w:szCs w:val="16"/>
              </w:rPr>
              <w:t>2,4</w:t>
            </w:r>
          </w:p>
        </w:tc>
        <w:tc>
          <w:tcPr>
            <w:tcW w:w="822" w:type="dxa"/>
            <w:tcBorders>
              <w:top w:val="nil"/>
              <w:left w:val="nil"/>
              <w:bottom w:val="nil"/>
              <w:right w:val="nil"/>
            </w:tcBorders>
            <w:shd w:val="clear" w:color="auto" w:fill="auto"/>
            <w:noWrap/>
            <w:vAlign w:val="center"/>
            <w:hideMark/>
          </w:tcPr>
          <w:p w14:paraId="2A33C574" w14:textId="7505654A"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auto"/>
            <w:noWrap/>
            <w:vAlign w:val="center"/>
            <w:hideMark/>
          </w:tcPr>
          <w:p w14:paraId="1F2AAD70" w14:textId="3ECB3CF2" w:rsidR="00355A4B" w:rsidRPr="00166BEB" w:rsidRDefault="00355A4B" w:rsidP="00355A4B">
            <w:pPr>
              <w:spacing w:after="0" w:line="240" w:lineRule="auto"/>
              <w:jc w:val="center"/>
              <w:rPr>
                <w:rFonts w:cs="Arial"/>
                <w:sz w:val="16"/>
                <w:szCs w:val="16"/>
                <w:highlight w:val="yellow"/>
              </w:rPr>
            </w:pPr>
            <w:r>
              <w:rPr>
                <w:rFonts w:cs="Arial"/>
                <w:sz w:val="16"/>
                <w:szCs w:val="16"/>
              </w:rPr>
              <w:t>2,0</w:t>
            </w:r>
          </w:p>
        </w:tc>
        <w:tc>
          <w:tcPr>
            <w:tcW w:w="822" w:type="dxa"/>
            <w:tcBorders>
              <w:top w:val="nil"/>
              <w:left w:val="nil"/>
              <w:bottom w:val="nil"/>
              <w:right w:val="nil"/>
            </w:tcBorders>
            <w:shd w:val="clear" w:color="auto" w:fill="auto"/>
            <w:noWrap/>
            <w:vAlign w:val="center"/>
            <w:hideMark/>
          </w:tcPr>
          <w:p w14:paraId="434C614D" w14:textId="6269EB94" w:rsidR="00355A4B" w:rsidRPr="00166BEB" w:rsidRDefault="00355A4B" w:rsidP="00355A4B">
            <w:pPr>
              <w:spacing w:after="0" w:line="240" w:lineRule="auto"/>
              <w:jc w:val="center"/>
              <w:rPr>
                <w:rFonts w:cs="Arial"/>
                <w:sz w:val="16"/>
                <w:szCs w:val="16"/>
                <w:highlight w:val="yellow"/>
              </w:rPr>
            </w:pPr>
            <w:r>
              <w:rPr>
                <w:rFonts w:cs="Arial"/>
                <w:sz w:val="16"/>
                <w:szCs w:val="16"/>
              </w:rPr>
              <w:t>1,7</w:t>
            </w:r>
          </w:p>
        </w:tc>
        <w:tc>
          <w:tcPr>
            <w:tcW w:w="822" w:type="dxa"/>
            <w:tcBorders>
              <w:top w:val="nil"/>
              <w:left w:val="nil"/>
              <w:bottom w:val="nil"/>
              <w:right w:val="nil"/>
            </w:tcBorders>
            <w:shd w:val="clear" w:color="auto" w:fill="auto"/>
            <w:noWrap/>
            <w:vAlign w:val="center"/>
            <w:hideMark/>
          </w:tcPr>
          <w:p w14:paraId="643DA8FA" w14:textId="783F4694" w:rsidR="00355A4B" w:rsidRPr="00166BEB" w:rsidRDefault="00355A4B" w:rsidP="00355A4B">
            <w:pPr>
              <w:spacing w:after="0" w:line="240" w:lineRule="auto"/>
              <w:jc w:val="center"/>
              <w:rPr>
                <w:rFonts w:cs="Arial"/>
                <w:sz w:val="16"/>
                <w:szCs w:val="16"/>
                <w:highlight w:val="yellow"/>
              </w:rPr>
            </w:pPr>
            <w:r>
              <w:rPr>
                <w:rFonts w:cs="Arial"/>
                <w:sz w:val="16"/>
                <w:szCs w:val="16"/>
              </w:rPr>
              <w:t>1,6</w:t>
            </w:r>
          </w:p>
        </w:tc>
        <w:tc>
          <w:tcPr>
            <w:tcW w:w="822" w:type="dxa"/>
            <w:tcBorders>
              <w:top w:val="nil"/>
              <w:left w:val="nil"/>
              <w:bottom w:val="nil"/>
              <w:right w:val="nil"/>
            </w:tcBorders>
            <w:shd w:val="clear" w:color="auto" w:fill="D9D9D9"/>
            <w:vAlign w:val="center"/>
          </w:tcPr>
          <w:p w14:paraId="2118EAAC" w14:textId="70886AD2" w:rsidR="00355A4B" w:rsidRPr="00166BEB" w:rsidRDefault="00355A4B" w:rsidP="00355A4B">
            <w:pPr>
              <w:spacing w:after="0" w:line="240" w:lineRule="auto"/>
              <w:jc w:val="center"/>
              <w:rPr>
                <w:rFonts w:cs="Arial"/>
                <w:sz w:val="16"/>
                <w:szCs w:val="16"/>
                <w:highlight w:val="yellow"/>
              </w:rPr>
            </w:pPr>
            <w:r>
              <w:rPr>
                <w:rFonts w:cs="Arial"/>
                <w:sz w:val="16"/>
                <w:szCs w:val="16"/>
              </w:rPr>
              <w:t>1,4</w:t>
            </w:r>
          </w:p>
        </w:tc>
        <w:tc>
          <w:tcPr>
            <w:tcW w:w="160" w:type="dxa"/>
            <w:tcBorders>
              <w:top w:val="nil"/>
              <w:left w:val="nil"/>
              <w:bottom w:val="nil"/>
              <w:right w:val="nil"/>
            </w:tcBorders>
          </w:tcPr>
          <w:p w14:paraId="4149D86F" w14:textId="602FB3FD" w:rsidR="00355A4B" w:rsidRPr="00166BEB" w:rsidRDefault="00355A4B" w:rsidP="00355A4B">
            <w:pPr>
              <w:spacing w:after="0" w:line="240" w:lineRule="auto"/>
              <w:jc w:val="center"/>
              <w:rPr>
                <w:rFonts w:cs="Arial"/>
                <w:sz w:val="16"/>
                <w:szCs w:val="16"/>
                <w:highlight w:val="yellow"/>
              </w:rPr>
            </w:pPr>
          </w:p>
        </w:tc>
      </w:tr>
      <w:tr w:rsidR="00355A4B" w:rsidRPr="00166BEB" w14:paraId="45A853D9" w14:textId="4900E7E0" w:rsidTr="004543DD">
        <w:trPr>
          <w:trHeight w:val="300"/>
        </w:trPr>
        <w:tc>
          <w:tcPr>
            <w:tcW w:w="1380" w:type="dxa"/>
            <w:tcBorders>
              <w:top w:val="nil"/>
              <w:left w:val="nil"/>
              <w:bottom w:val="nil"/>
              <w:right w:val="nil"/>
            </w:tcBorders>
            <w:shd w:val="clear" w:color="auto" w:fill="auto"/>
            <w:noWrap/>
            <w:vAlign w:val="center"/>
            <w:hideMark/>
          </w:tcPr>
          <w:p w14:paraId="091C7646" w14:textId="094B531F"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Slovensko</w:t>
            </w:r>
          </w:p>
        </w:tc>
        <w:tc>
          <w:tcPr>
            <w:tcW w:w="822" w:type="dxa"/>
            <w:tcBorders>
              <w:top w:val="nil"/>
              <w:left w:val="single" w:sz="4" w:space="0" w:color="000000"/>
              <w:bottom w:val="nil"/>
              <w:right w:val="nil"/>
            </w:tcBorders>
            <w:shd w:val="clear" w:color="auto" w:fill="auto"/>
            <w:noWrap/>
            <w:vAlign w:val="center"/>
            <w:hideMark/>
          </w:tcPr>
          <w:p w14:paraId="23F205C4" w14:textId="5933645B"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16D3FBBC" w14:textId="7B5D96F4" w:rsidR="00355A4B" w:rsidRPr="00166BEB" w:rsidRDefault="00355A4B" w:rsidP="00355A4B">
            <w:pPr>
              <w:spacing w:after="0" w:line="240" w:lineRule="auto"/>
              <w:jc w:val="center"/>
              <w:rPr>
                <w:rFonts w:cs="Arial"/>
                <w:sz w:val="16"/>
                <w:szCs w:val="16"/>
                <w:highlight w:val="yellow"/>
              </w:rPr>
            </w:pPr>
            <w:r>
              <w:rPr>
                <w:rFonts w:cs="Arial"/>
                <w:sz w:val="16"/>
                <w:szCs w:val="16"/>
              </w:rPr>
              <w:t>3,1</w:t>
            </w:r>
          </w:p>
        </w:tc>
        <w:tc>
          <w:tcPr>
            <w:tcW w:w="822" w:type="dxa"/>
            <w:tcBorders>
              <w:top w:val="nil"/>
              <w:left w:val="nil"/>
              <w:bottom w:val="nil"/>
              <w:right w:val="nil"/>
            </w:tcBorders>
            <w:shd w:val="clear" w:color="auto" w:fill="auto"/>
            <w:noWrap/>
            <w:vAlign w:val="center"/>
            <w:hideMark/>
          </w:tcPr>
          <w:p w14:paraId="5D6D125E" w14:textId="330705FA" w:rsidR="00355A4B" w:rsidRPr="00166BEB" w:rsidRDefault="00355A4B" w:rsidP="00355A4B">
            <w:pPr>
              <w:spacing w:after="0" w:line="240" w:lineRule="auto"/>
              <w:jc w:val="center"/>
              <w:rPr>
                <w:rFonts w:cs="Arial"/>
                <w:sz w:val="16"/>
                <w:szCs w:val="16"/>
                <w:highlight w:val="yellow"/>
              </w:rPr>
            </w:pPr>
            <w:r>
              <w:rPr>
                <w:rFonts w:cs="Arial"/>
                <w:sz w:val="16"/>
                <w:szCs w:val="16"/>
              </w:rPr>
              <w:t>3,3</w:t>
            </w:r>
          </w:p>
        </w:tc>
        <w:tc>
          <w:tcPr>
            <w:tcW w:w="822" w:type="dxa"/>
            <w:tcBorders>
              <w:top w:val="nil"/>
              <w:left w:val="nil"/>
              <w:bottom w:val="nil"/>
              <w:right w:val="nil"/>
            </w:tcBorders>
            <w:shd w:val="clear" w:color="auto" w:fill="auto"/>
            <w:noWrap/>
            <w:vAlign w:val="center"/>
            <w:hideMark/>
          </w:tcPr>
          <w:p w14:paraId="3C668D65" w14:textId="6C9B57EC"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454B2F16" w14:textId="02D4F9A3"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822" w:type="dxa"/>
            <w:tcBorders>
              <w:top w:val="nil"/>
              <w:left w:val="nil"/>
              <w:bottom w:val="nil"/>
              <w:right w:val="nil"/>
            </w:tcBorders>
            <w:shd w:val="clear" w:color="auto" w:fill="auto"/>
            <w:noWrap/>
            <w:vAlign w:val="center"/>
            <w:hideMark/>
          </w:tcPr>
          <w:p w14:paraId="705A3F33" w14:textId="37480F47"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51376A0F" w14:textId="38306790" w:rsidR="00355A4B" w:rsidRPr="00166BEB" w:rsidRDefault="00355A4B" w:rsidP="00355A4B">
            <w:pPr>
              <w:spacing w:after="0" w:line="240" w:lineRule="auto"/>
              <w:jc w:val="center"/>
              <w:rPr>
                <w:rFonts w:cs="Arial"/>
                <w:sz w:val="16"/>
                <w:szCs w:val="16"/>
                <w:highlight w:val="yellow"/>
              </w:rPr>
            </w:pPr>
            <w:r>
              <w:rPr>
                <w:rFonts w:cs="Arial"/>
                <w:sz w:val="16"/>
                <w:szCs w:val="16"/>
              </w:rPr>
              <w:t>2,8</w:t>
            </w:r>
          </w:p>
        </w:tc>
        <w:tc>
          <w:tcPr>
            <w:tcW w:w="822" w:type="dxa"/>
            <w:tcBorders>
              <w:top w:val="nil"/>
              <w:left w:val="nil"/>
              <w:bottom w:val="nil"/>
              <w:right w:val="nil"/>
            </w:tcBorders>
            <w:shd w:val="clear" w:color="auto" w:fill="auto"/>
            <w:noWrap/>
            <w:vAlign w:val="center"/>
            <w:hideMark/>
          </w:tcPr>
          <w:p w14:paraId="55EC95E4" w14:textId="44A14E1A" w:rsidR="00355A4B" w:rsidRPr="00166BEB" w:rsidRDefault="00355A4B" w:rsidP="00355A4B">
            <w:pPr>
              <w:spacing w:after="0" w:line="240" w:lineRule="auto"/>
              <w:jc w:val="center"/>
              <w:rPr>
                <w:rFonts w:cs="Arial"/>
                <w:sz w:val="16"/>
                <w:szCs w:val="16"/>
                <w:highlight w:val="yellow"/>
              </w:rPr>
            </w:pPr>
            <w:r>
              <w:rPr>
                <w:rFonts w:cs="Arial"/>
                <w:sz w:val="16"/>
                <w:szCs w:val="16"/>
              </w:rPr>
              <w:t>2,6</w:t>
            </w:r>
          </w:p>
        </w:tc>
        <w:tc>
          <w:tcPr>
            <w:tcW w:w="822" w:type="dxa"/>
            <w:tcBorders>
              <w:top w:val="nil"/>
              <w:left w:val="nil"/>
              <w:bottom w:val="nil"/>
              <w:right w:val="nil"/>
            </w:tcBorders>
            <w:shd w:val="clear" w:color="auto" w:fill="auto"/>
            <w:noWrap/>
            <w:vAlign w:val="center"/>
            <w:hideMark/>
          </w:tcPr>
          <w:p w14:paraId="703F40DD" w14:textId="15D4F970" w:rsidR="00355A4B" w:rsidRPr="00166BEB" w:rsidRDefault="00355A4B" w:rsidP="00355A4B">
            <w:pPr>
              <w:spacing w:after="0" w:line="240" w:lineRule="auto"/>
              <w:jc w:val="center"/>
              <w:rPr>
                <w:rFonts w:cs="Arial"/>
                <w:sz w:val="16"/>
                <w:szCs w:val="16"/>
                <w:highlight w:val="yellow"/>
              </w:rPr>
            </w:pPr>
            <w:r>
              <w:rPr>
                <w:rFonts w:cs="Arial"/>
                <w:sz w:val="16"/>
                <w:szCs w:val="16"/>
              </w:rPr>
              <w:t>2,2</w:t>
            </w:r>
          </w:p>
        </w:tc>
        <w:tc>
          <w:tcPr>
            <w:tcW w:w="822" w:type="dxa"/>
            <w:tcBorders>
              <w:top w:val="nil"/>
              <w:left w:val="nil"/>
              <w:bottom w:val="nil"/>
              <w:right w:val="nil"/>
            </w:tcBorders>
            <w:shd w:val="clear" w:color="auto" w:fill="D9D9D9"/>
            <w:vAlign w:val="center"/>
          </w:tcPr>
          <w:p w14:paraId="2667B30C" w14:textId="3C76F878" w:rsidR="00355A4B" w:rsidRPr="00166BEB" w:rsidRDefault="00355A4B" w:rsidP="00355A4B">
            <w:pPr>
              <w:spacing w:after="0" w:line="240" w:lineRule="auto"/>
              <w:jc w:val="center"/>
              <w:rPr>
                <w:rFonts w:cs="Arial"/>
                <w:sz w:val="16"/>
                <w:szCs w:val="16"/>
                <w:highlight w:val="yellow"/>
              </w:rPr>
            </w:pPr>
            <w:r>
              <w:rPr>
                <w:rFonts w:cs="Arial"/>
                <w:sz w:val="16"/>
                <w:szCs w:val="16"/>
              </w:rPr>
              <w:t>2,2</w:t>
            </w:r>
          </w:p>
        </w:tc>
        <w:tc>
          <w:tcPr>
            <w:tcW w:w="160" w:type="dxa"/>
            <w:tcBorders>
              <w:top w:val="nil"/>
              <w:left w:val="nil"/>
              <w:bottom w:val="nil"/>
              <w:right w:val="nil"/>
            </w:tcBorders>
          </w:tcPr>
          <w:p w14:paraId="42CC5624" w14:textId="53EF8254" w:rsidR="00355A4B" w:rsidRPr="00166BEB" w:rsidRDefault="00355A4B" w:rsidP="00355A4B">
            <w:pPr>
              <w:spacing w:after="0" w:line="240" w:lineRule="auto"/>
              <w:jc w:val="center"/>
              <w:rPr>
                <w:rFonts w:cs="Arial"/>
                <w:sz w:val="16"/>
                <w:szCs w:val="16"/>
                <w:highlight w:val="yellow"/>
              </w:rPr>
            </w:pPr>
          </w:p>
        </w:tc>
      </w:tr>
      <w:tr w:rsidR="00355A4B" w:rsidRPr="00166BEB" w14:paraId="326F0093" w14:textId="34116DC8" w:rsidTr="004543DD">
        <w:trPr>
          <w:trHeight w:val="300"/>
        </w:trPr>
        <w:tc>
          <w:tcPr>
            <w:tcW w:w="1380" w:type="dxa"/>
            <w:tcBorders>
              <w:top w:val="nil"/>
              <w:left w:val="nil"/>
              <w:bottom w:val="nil"/>
              <w:right w:val="nil"/>
            </w:tcBorders>
            <w:shd w:val="clear" w:color="auto" w:fill="auto"/>
            <w:noWrap/>
            <w:vAlign w:val="center"/>
            <w:hideMark/>
          </w:tcPr>
          <w:p w14:paraId="65A58585" w14:textId="7EEF8AE3"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Slovinsko</w:t>
            </w:r>
          </w:p>
        </w:tc>
        <w:tc>
          <w:tcPr>
            <w:tcW w:w="822" w:type="dxa"/>
            <w:tcBorders>
              <w:top w:val="nil"/>
              <w:left w:val="single" w:sz="4" w:space="0" w:color="000000"/>
              <w:bottom w:val="nil"/>
              <w:right w:val="nil"/>
            </w:tcBorders>
            <w:shd w:val="clear" w:color="auto" w:fill="auto"/>
            <w:noWrap/>
            <w:vAlign w:val="center"/>
            <w:hideMark/>
          </w:tcPr>
          <w:p w14:paraId="1A00296B" w14:textId="6FF8F228" w:rsidR="00355A4B" w:rsidRPr="00166BEB" w:rsidRDefault="00355A4B" w:rsidP="00355A4B">
            <w:pPr>
              <w:spacing w:after="0" w:line="240" w:lineRule="auto"/>
              <w:jc w:val="center"/>
              <w:rPr>
                <w:rFonts w:cs="Arial"/>
                <w:sz w:val="16"/>
                <w:szCs w:val="16"/>
                <w:highlight w:val="yellow"/>
              </w:rPr>
            </w:pPr>
            <w:r>
              <w:rPr>
                <w:rFonts w:cs="Arial"/>
                <w:sz w:val="16"/>
                <w:szCs w:val="16"/>
              </w:rPr>
              <w:t>4,2</w:t>
            </w:r>
          </w:p>
        </w:tc>
        <w:tc>
          <w:tcPr>
            <w:tcW w:w="822" w:type="dxa"/>
            <w:tcBorders>
              <w:top w:val="nil"/>
              <w:left w:val="nil"/>
              <w:bottom w:val="nil"/>
              <w:right w:val="nil"/>
            </w:tcBorders>
            <w:shd w:val="clear" w:color="auto" w:fill="auto"/>
            <w:noWrap/>
            <w:vAlign w:val="center"/>
            <w:hideMark/>
          </w:tcPr>
          <w:p w14:paraId="1341A924" w14:textId="04A43454" w:rsidR="00355A4B" w:rsidRPr="00166BEB" w:rsidRDefault="00355A4B" w:rsidP="00355A4B">
            <w:pPr>
              <w:spacing w:after="0" w:line="240" w:lineRule="auto"/>
              <w:jc w:val="center"/>
              <w:rPr>
                <w:rFonts w:cs="Arial"/>
                <w:sz w:val="16"/>
                <w:szCs w:val="16"/>
                <w:highlight w:val="yellow"/>
              </w:rPr>
            </w:pPr>
            <w:r>
              <w:rPr>
                <w:rFonts w:cs="Arial"/>
                <w:sz w:val="16"/>
                <w:szCs w:val="16"/>
              </w:rPr>
              <w:t>3,2</w:t>
            </w:r>
          </w:p>
        </w:tc>
        <w:tc>
          <w:tcPr>
            <w:tcW w:w="822" w:type="dxa"/>
            <w:tcBorders>
              <w:top w:val="nil"/>
              <w:left w:val="nil"/>
              <w:bottom w:val="nil"/>
              <w:right w:val="nil"/>
            </w:tcBorders>
            <w:shd w:val="clear" w:color="auto" w:fill="auto"/>
            <w:noWrap/>
            <w:vAlign w:val="center"/>
            <w:hideMark/>
          </w:tcPr>
          <w:p w14:paraId="5902978E" w14:textId="5F07E0C3" w:rsidR="00355A4B" w:rsidRPr="00166BEB" w:rsidRDefault="00355A4B" w:rsidP="00355A4B">
            <w:pPr>
              <w:spacing w:after="0" w:line="240" w:lineRule="auto"/>
              <w:jc w:val="center"/>
              <w:rPr>
                <w:rFonts w:cs="Arial"/>
                <w:sz w:val="16"/>
                <w:szCs w:val="16"/>
                <w:highlight w:val="yellow"/>
              </w:rPr>
            </w:pPr>
            <w:r>
              <w:rPr>
                <w:rFonts w:cs="Arial"/>
                <w:sz w:val="16"/>
                <w:szCs w:val="16"/>
              </w:rPr>
              <w:t>3,0</w:t>
            </w:r>
          </w:p>
        </w:tc>
        <w:tc>
          <w:tcPr>
            <w:tcW w:w="822" w:type="dxa"/>
            <w:tcBorders>
              <w:top w:val="nil"/>
              <w:left w:val="nil"/>
              <w:bottom w:val="nil"/>
              <w:right w:val="nil"/>
            </w:tcBorders>
            <w:shd w:val="clear" w:color="auto" w:fill="auto"/>
            <w:noWrap/>
            <w:vAlign w:val="center"/>
            <w:hideMark/>
          </w:tcPr>
          <w:p w14:paraId="537CF561" w14:textId="4A647870" w:rsidR="00355A4B" w:rsidRPr="00166BEB" w:rsidRDefault="00355A4B" w:rsidP="00355A4B">
            <w:pPr>
              <w:spacing w:after="0" w:line="240" w:lineRule="auto"/>
              <w:jc w:val="center"/>
              <w:rPr>
                <w:rFonts w:cs="Arial"/>
                <w:sz w:val="16"/>
                <w:szCs w:val="16"/>
                <w:highlight w:val="yellow"/>
              </w:rPr>
            </w:pPr>
            <w:r>
              <w:rPr>
                <w:rFonts w:cs="Arial"/>
                <w:sz w:val="16"/>
                <w:szCs w:val="16"/>
              </w:rPr>
              <w:t>4,0</w:t>
            </w:r>
          </w:p>
        </w:tc>
        <w:tc>
          <w:tcPr>
            <w:tcW w:w="822" w:type="dxa"/>
            <w:tcBorders>
              <w:top w:val="nil"/>
              <w:left w:val="nil"/>
              <w:bottom w:val="nil"/>
              <w:right w:val="nil"/>
            </w:tcBorders>
            <w:shd w:val="clear" w:color="auto" w:fill="auto"/>
            <w:noWrap/>
            <w:vAlign w:val="center"/>
            <w:hideMark/>
          </w:tcPr>
          <w:p w14:paraId="7BDE7F6C" w14:textId="770F4E5C" w:rsidR="00355A4B" w:rsidRPr="00166BEB" w:rsidRDefault="00355A4B" w:rsidP="00355A4B">
            <w:pPr>
              <w:spacing w:after="0" w:line="240" w:lineRule="auto"/>
              <w:jc w:val="center"/>
              <w:rPr>
                <w:rFonts w:cs="Arial"/>
                <w:sz w:val="16"/>
                <w:szCs w:val="16"/>
                <w:highlight w:val="yellow"/>
              </w:rPr>
            </w:pPr>
            <w:r>
              <w:rPr>
                <w:rFonts w:cs="Arial"/>
                <w:sz w:val="16"/>
                <w:szCs w:val="16"/>
              </w:rPr>
              <w:t>3,6</w:t>
            </w:r>
          </w:p>
        </w:tc>
        <w:tc>
          <w:tcPr>
            <w:tcW w:w="822" w:type="dxa"/>
            <w:tcBorders>
              <w:top w:val="nil"/>
              <w:left w:val="nil"/>
              <w:bottom w:val="nil"/>
              <w:right w:val="nil"/>
            </w:tcBorders>
            <w:shd w:val="clear" w:color="auto" w:fill="auto"/>
            <w:noWrap/>
            <w:vAlign w:val="center"/>
            <w:hideMark/>
          </w:tcPr>
          <w:p w14:paraId="21CB55BC" w14:textId="673BEFB3" w:rsidR="00355A4B" w:rsidRPr="00166BEB" w:rsidRDefault="00355A4B" w:rsidP="00355A4B">
            <w:pPr>
              <w:spacing w:after="0" w:line="240" w:lineRule="auto"/>
              <w:jc w:val="center"/>
              <w:rPr>
                <w:rFonts w:cs="Arial"/>
                <w:sz w:val="16"/>
                <w:szCs w:val="16"/>
                <w:highlight w:val="yellow"/>
              </w:rPr>
            </w:pPr>
            <w:r>
              <w:rPr>
                <w:rFonts w:cs="Arial"/>
                <w:sz w:val="16"/>
                <w:szCs w:val="16"/>
              </w:rPr>
              <w:t>2,2</w:t>
            </w:r>
          </w:p>
        </w:tc>
        <w:tc>
          <w:tcPr>
            <w:tcW w:w="822" w:type="dxa"/>
            <w:tcBorders>
              <w:top w:val="nil"/>
              <w:left w:val="nil"/>
              <w:bottom w:val="nil"/>
              <w:right w:val="nil"/>
            </w:tcBorders>
            <w:shd w:val="clear" w:color="auto" w:fill="auto"/>
            <w:noWrap/>
            <w:vAlign w:val="center"/>
            <w:hideMark/>
          </w:tcPr>
          <w:p w14:paraId="10A4DEBF" w14:textId="7EE2A84D" w:rsidR="00355A4B" w:rsidRPr="00166BEB" w:rsidRDefault="00355A4B" w:rsidP="00355A4B">
            <w:pPr>
              <w:spacing w:after="0" w:line="240" w:lineRule="auto"/>
              <w:jc w:val="center"/>
              <w:rPr>
                <w:rFonts w:cs="Arial"/>
                <w:sz w:val="16"/>
                <w:szCs w:val="16"/>
                <w:highlight w:val="yellow"/>
              </w:rPr>
            </w:pPr>
            <w:r>
              <w:rPr>
                <w:rFonts w:cs="Arial"/>
                <w:sz w:val="16"/>
                <w:szCs w:val="16"/>
              </w:rPr>
              <w:t>2,8</w:t>
            </w:r>
          </w:p>
        </w:tc>
        <w:tc>
          <w:tcPr>
            <w:tcW w:w="822" w:type="dxa"/>
            <w:tcBorders>
              <w:top w:val="nil"/>
              <w:left w:val="nil"/>
              <w:bottom w:val="nil"/>
              <w:right w:val="nil"/>
            </w:tcBorders>
            <w:shd w:val="clear" w:color="auto" w:fill="auto"/>
            <w:noWrap/>
            <w:vAlign w:val="center"/>
            <w:hideMark/>
          </w:tcPr>
          <w:p w14:paraId="200209E0" w14:textId="670CF352" w:rsidR="00355A4B" w:rsidRPr="00166BEB" w:rsidRDefault="00355A4B" w:rsidP="00355A4B">
            <w:pPr>
              <w:spacing w:after="0" w:line="240" w:lineRule="auto"/>
              <w:jc w:val="center"/>
              <w:rPr>
                <w:rFonts w:cs="Arial"/>
                <w:sz w:val="16"/>
                <w:szCs w:val="16"/>
                <w:highlight w:val="yellow"/>
              </w:rPr>
            </w:pPr>
            <w:r>
              <w:rPr>
                <w:rFonts w:cs="Arial"/>
                <w:sz w:val="16"/>
                <w:szCs w:val="16"/>
              </w:rPr>
              <w:t>2,1</w:t>
            </w:r>
          </w:p>
        </w:tc>
        <w:tc>
          <w:tcPr>
            <w:tcW w:w="822" w:type="dxa"/>
            <w:tcBorders>
              <w:top w:val="nil"/>
              <w:left w:val="nil"/>
              <w:bottom w:val="nil"/>
              <w:right w:val="nil"/>
            </w:tcBorders>
            <w:shd w:val="clear" w:color="auto" w:fill="auto"/>
            <w:noWrap/>
            <w:vAlign w:val="center"/>
            <w:hideMark/>
          </w:tcPr>
          <w:p w14:paraId="09418A9B" w14:textId="78B91E3A" w:rsidR="00355A4B" w:rsidRPr="00166BEB" w:rsidRDefault="00355A4B" w:rsidP="00355A4B">
            <w:pPr>
              <w:spacing w:after="0" w:line="240" w:lineRule="auto"/>
              <w:jc w:val="center"/>
              <w:rPr>
                <w:rFonts w:cs="Arial"/>
                <w:sz w:val="16"/>
                <w:szCs w:val="16"/>
                <w:highlight w:val="yellow"/>
              </w:rPr>
            </w:pPr>
            <w:r>
              <w:rPr>
                <w:rFonts w:cs="Arial"/>
                <w:sz w:val="16"/>
                <w:szCs w:val="16"/>
              </w:rPr>
              <w:t>1,9</w:t>
            </w:r>
          </w:p>
        </w:tc>
        <w:tc>
          <w:tcPr>
            <w:tcW w:w="822" w:type="dxa"/>
            <w:tcBorders>
              <w:top w:val="nil"/>
              <w:left w:val="nil"/>
              <w:bottom w:val="nil"/>
              <w:right w:val="nil"/>
            </w:tcBorders>
            <w:shd w:val="clear" w:color="auto" w:fill="D9D9D9"/>
            <w:vAlign w:val="center"/>
          </w:tcPr>
          <w:p w14:paraId="5ECB78A3" w14:textId="3B26E8F0"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160" w:type="dxa"/>
            <w:tcBorders>
              <w:top w:val="nil"/>
              <w:left w:val="nil"/>
              <w:bottom w:val="nil"/>
              <w:right w:val="nil"/>
            </w:tcBorders>
          </w:tcPr>
          <w:p w14:paraId="1BAD6F2B" w14:textId="734CA7BA" w:rsidR="00355A4B" w:rsidRPr="00166BEB" w:rsidRDefault="00355A4B" w:rsidP="00355A4B">
            <w:pPr>
              <w:spacing w:after="0" w:line="240" w:lineRule="auto"/>
              <w:jc w:val="center"/>
              <w:rPr>
                <w:rFonts w:cs="Arial"/>
                <w:sz w:val="16"/>
                <w:szCs w:val="16"/>
                <w:highlight w:val="yellow"/>
              </w:rPr>
            </w:pPr>
          </w:p>
        </w:tc>
      </w:tr>
      <w:tr w:rsidR="00355A4B" w:rsidRPr="00166BEB" w14:paraId="51CE5545" w14:textId="678E9278" w:rsidTr="004543DD">
        <w:trPr>
          <w:trHeight w:val="300"/>
        </w:trPr>
        <w:tc>
          <w:tcPr>
            <w:tcW w:w="1380" w:type="dxa"/>
            <w:tcBorders>
              <w:top w:val="nil"/>
              <w:left w:val="nil"/>
              <w:bottom w:val="nil"/>
              <w:right w:val="nil"/>
            </w:tcBorders>
            <w:shd w:val="clear" w:color="auto" w:fill="auto"/>
            <w:noWrap/>
            <w:vAlign w:val="center"/>
            <w:hideMark/>
          </w:tcPr>
          <w:p w14:paraId="6775DDF1" w14:textId="01DC9D3F"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Španělsko</w:t>
            </w:r>
          </w:p>
        </w:tc>
        <w:tc>
          <w:tcPr>
            <w:tcW w:w="822" w:type="dxa"/>
            <w:tcBorders>
              <w:top w:val="nil"/>
              <w:left w:val="single" w:sz="4" w:space="0" w:color="000000"/>
              <w:bottom w:val="nil"/>
              <w:right w:val="nil"/>
            </w:tcBorders>
            <w:shd w:val="clear" w:color="000000" w:fill="DBDBDB"/>
            <w:noWrap/>
            <w:vAlign w:val="center"/>
            <w:hideMark/>
          </w:tcPr>
          <w:p w14:paraId="2FD05EE3" w14:textId="37167E02" w:rsidR="00355A4B" w:rsidRPr="00166BEB" w:rsidRDefault="00355A4B" w:rsidP="00355A4B">
            <w:pPr>
              <w:spacing w:after="0" w:line="240" w:lineRule="auto"/>
              <w:jc w:val="center"/>
              <w:rPr>
                <w:rFonts w:cs="Arial"/>
                <w:sz w:val="16"/>
                <w:szCs w:val="16"/>
                <w:highlight w:val="yellow"/>
              </w:rPr>
            </w:pPr>
            <w:r>
              <w:rPr>
                <w:rFonts w:cs="Arial"/>
                <w:sz w:val="16"/>
                <w:szCs w:val="16"/>
              </w:rPr>
              <w:t>3,3</w:t>
            </w:r>
          </w:p>
        </w:tc>
        <w:tc>
          <w:tcPr>
            <w:tcW w:w="822" w:type="dxa"/>
            <w:tcBorders>
              <w:top w:val="nil"/>
              <w:left w:val="nil"/>
              <w:bottom w:val="nil"/>
              <w:right w:val="nil"/>
            </w:tcBorders>
            <w:shd w:val="clear" w:color="auto" w:fill="auto"/>
            <w:noWrap/>
            <w:vAlign w:val="center"/>
            <w:hideMark/>
          </w:tcPr>
          <w:p w14:paraId="67D4F95D" w14:textId="3FF9CF4F" w:rsidR="00355A4B" w:rsidRPr="00166BEB" w:rsidRDefault="00355A4B" w:rsidP="00355A4B">
            <w:pPr>
              <w:spacing w:after="0" w:line="240" w:lineRule="auto"/>
              <w:jc w:val="center"/>
              <w:rPr>
                <w:rFonts w:cs="Arial"/>
                <w:sz w:val="16"/>
                <w:szCs w:val="16"/>
                <w:highlight w:val="yellow"/>
              </w:rPr>
            </w:pPr>
            <w:r>
              <w:rPr>
                <w:rFonts w:cs="Arial"/>
                <w:sz w:val="16"/>
                <w:szCs w:val="16"/>
              </w:rPr>
              <w:t>3,0</w:t>
            </w:r>
          </w:p>
        </w:tc>
        <w:tc>
          <w:tcPr>
            <w:tcW w:w="822" w:type="dxa"/>
            <w:tcBorders>
              <w:top w:val="nil"/>
              <w:left w:val="nil"/>
              <w:bottom w:val="nil"/>
              <w:right w:val="nil"/>
            </w:tcBorders>
            <w:shd w:val="clear" w:color="auto" w:fill="auto"/>
            <w:noWrap/>
            <w:vAlign w:val="center"/>
            <w:hideMark/>
          </w:tcPr>
          <w:p w14:paraId="706F48E3" w14:textId="3985DBE8" w:rsidR="00355A4B" w:rsidRPr="00166BEB" w:rsidRDefault="00355A4B" w:rsidP="00355A4B">
            <w:pPr>
              <w:spacing w:after="0" w:line="240" w:lineRule="auto"/>
              <w:jc w:val="center"/>
              <w:rPr>
                <w:rFonts w:cs="Arial"/>
                <w:sz w:val="16"/>
                <w:szCs w:val="16"/>
                <w:highlight w:val="yellow"/>
              </w:rPr>
            </w:pPr>
            <w:r>
              <w:rPr>
                <w:rFonts w:cs="Arial"/>
                <w:sz w:val="16"/>
                <w:szCs w:val="16"/>
              </w:rPr>
              <w:t>2,7</w:t>
            </w:r>
          </w:p>
        </w:tc>
        <w:tc>
          <w:tcPr>
            <w:tcW w:w="822" w:type="dxa"/>
            <w:tcBorders>
              <w:top w:val="nil"/>
              <w:left w:val="nil"/>
              <w:bottom w:val="nil"/>
              <w:right w:val="nil"/>
            </w:tcBorders>
            <w:shd w:val="clear" w:color="auto" w:fill="auto"/>
            <w:noWrap/>
            <w:vAlign w:val="center"/>
            <w:hideMark/>
          </w:tcPr>
          <w:p w14:paraId="784C2013" w14:textId="6C946736" w:rsidR="00355A4B" w:rsidRPr="00166BEB" w:rsidRDefault="00355A4B" w:rsidP="00355A4B">
            <w:pPr>
              <w:spacing w:after="0" w:line="240" w:lineRule="auto"/>
              <w:jc w:val="center"/>
              <w:rPr>
                <w:rFonts w:cs="Arial"/>
                <w:sz w:val="16"/>
                <w:szCs w:val="16"/>
                <w:highlight w:val="yellow"/>
              </w:rPr>
            </w:pPr>
            <w:r>
              <w:rPr>
                <w:rFonts w:cs="Arial"/>
                <w:sz w:val="16"/>
                <w:szCs w:val="16"/>
              </w:rPr>
              <w:t>3,1</w:t>
            </w:r>
          </w:p>
        </w:tc>
        <w:tc>
          <w:tcPr>
            <w:tcW w:w="822" w:type="dxa"/>
            <w:tcBorders>
              <w:top w:val="nil"/>
              <w:left w:val="nil"/>
              <w:bottom w:val="nil"/>
              <w:right w:val="nil"/>
            </w:tcBorders>
            <w:shd w:val="clear" w:color="auto" w:fill="auto"/>
            <w:noWrap/>
            <w:vAlign w:val="center"/>
            <w:hideMark/>
          </w:tcPr>
          <w:p w14:paraId="1B778399" w14:textId="38ECF0C9" w:rsidR="00355A4B" w:rsidRPr="00166BEB" w:rsidRDefault="00355A4B" w:rsidP="00355A4B">
            <w:pPr>
              <w:spacing w:after="0" w:line="240" w:lineRule="auto"/>
              <w:jc w:val="center"/>
              <w:rPr>
                <w:rFonts w:cs="Arial"/>
                <w:sz w:val="16"/>
                <w:szCs w:val="16"/>
                <w:highlight w:val="yellow"/>
              </w:rPr>
            </w:pPr>
            <w:r>
              <w:rPr>
                <w:rFonts w:cs="Arial"/>
                <w:sz w:val="16"/>
                <w:szCs w:val="16"/>
              </w:rPr>
              <w:t>3,5</w:t>
            </w:r>
          </w:p>
        </w:tc>
        <w:tc>
          <w:tcPr>
            <w:tcW w:w="822" w:type="dxa"/>
            <w:tcBorders>
              <w:top w:val="nil"/>
              <w:left w:val="nil"/>
              <w:bottom w:val="nil"/>
              <w:right w:val="nil"/>
            </w:tcBorders>
            <w:shd w:val="clear" w:color="auto" w:fill="auto"/>
            <w:noWrap/>
            <w:vAlign w:val="center"/>
            <w:hideMark/>
          </w:tcPr>
          <w:p w14:paraId="53004073" w14:textId="0603DD70"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822" w:type="dxa"/>
            <w:tcBorders>
              <w:top w:val="nil"/>
              <w:left w:val="nil"/>
              <w:bottom w:val="nil"/>
              <w:right w:val="nil"/>
            </w:tcBorders>
            <w:shd w:val="clear" w:color="auto" w:fill="auto"/>
            <w:noWrap/>
            <w:vAlign w:val="center"/>
            <w:hideMark/>
          </w:tcPr>
          <w:p w14:paraId="4BB55AA3" w14:textId="4DB89308" w:rsidR="00355A4B" w:rsidRPr="00166BEB" w:rsidRDefault="00355A4B" w:rsidP="00355A4B">
            <w:pPr>
              <w:spacing w:after="0" w:line="240" w:lineRule="auto"/>
              <w:jc w:val="center"/>
              <w:rPr>
                <w:rFonts w:cs="Arial"/>
                <w:sz w:val="16"/>
                <w:szCs w:val="16"/>
                <w:highlight w:val="yellow"/>
              </w:rPr>
            </w:pPr>
            <w:r>
              <w:rPr>
                <w:rFonts w:cs="Arial"/>
                <w:sz w:val="16"/>
                <w:szCs w:val="16"/>
              </w:rPr>
              <w:t>2,9</w:t>
            </w:r>
          </w:p>
        </w:tc>
        <w:tc>
          <w:tcPr>
            <w:tcW w:w="822" w:type="dxa"/>
            <w:tcBorders>
              <w:top w:val="nil"/>
              <w:left w:val="nil"/>
              <w:bottom w:val="nil"/>
              <w:right w:val="nil"/>
            </w:tcBorders>
            <w:shd w:val="clear" w:color="auto" w:fill="auto"/>
            <w:noWrap/>
            <w:vAlign w:val="center"/>
            <w:hideMark/>
          </w:tcPr>
          <w:p w14:paraId="0762F769" w14:textId="7A730F98" w:rsidR="00355A4B" w:rsidRPr="00166BEB" w:rsidRDefault="00355A4B" w:rsidP="00355A4B">
            <w:pPr>
              <w:spacing w:after="0" w:line="240" w:lineRule="auto"/>
              <w:jc w:val="center"/>
              <w:rPr>
                <w:rFonts w:cs="Arial"/>
                <w:sz w:val="16"/>
                <w:szCs w:val="16"/>
                <w:highlight w:val="yellow"/>
              </w:rPr>
            </w:pPr>
            <w:r>
              <w:rPr>
                <w:rFonts w:cs="Arial"/>
                <w:sz w:val="16"/>
                <w:szCs w:val="16"/>
              </w:rPr>
              <w:t>2,8</w:t>
            </w:r>
          </w:p>
        </w:tc>
        <w:tc>
          <w:tcPr>
            <w:tcW w:w="822" w:type="dxa"/>
            <w:tcBorders>
              <w:top w:val="nil"/>
              <w:left w:val="nil"/>
              <w:bottom w:val="nil"/>
              <w:right w:val="nil"/>
            </w:tcBorders>
            <w:shd w:val="clear" w:color="auto" w:fill="auto"/>
            <w:noWrap/>
            <w:vAlign w:val="center"/>
            <w:hideMark/>
          </w:tcPr>
          <w:p w14:paraId="7ABA229A" w14:textId="0B69B181" w:rsidR="00355A4B" w:rsidRPr="00166BEB" w:rsidRDefault="00355A4B" w:rsidP="00355A4B">
            <w:pPr>
              <w:spacing w:after="0" w:line="240" w:lineRule="auto"/>
              <w:jc w:val="center"/>
              <w:rPr>
                <w:rFonts w:cs="Arial"/>
                <w:sz w:val="16"/>
                <w:szCs w:val="16"/>
                <w:highlight w:val="yellow"/>
              </w:rPr>
            </w:pPr>
            <w:r>
              <w:rPr>
                <w:rFonts w:cs="Arial"/>
                <w:sz w:val="16"/>
                <w:szCs w:val="16"/>
              </w:rPr>
              <w:t>3,3</w:t>
            </w:r>
          </w:p>
        </w:tc>
        <w:tc>
          <w:tcPr>
            <w:tcW w:w="822" w:type="dxa"/>
            <w:tcBorders>
              <w:top w:val="nil"/>
              <w:left w:val="nil"/>
              <w:bottom w:val="nil"/>
              <w:right w:val="nil"/>
            </w:tcBorders>
            <w:shd w:val="clear" w:color="auto" w:fill="D9D9D9"/>
            <w:vAlign w:val="center"/>
          </w:tcPr>
          <w:p w14:paraId="324576AB" w14:textId="5EC314C1" w:rsidR="00355A4B" w:rsidRPr="00166BEB" w:rsidRDefault="00355A4B" w:rsidP="00355A4B">
            <w:pPr>
              <w:spacing w:after="0" w:line="240" w:lineRule="auto"/>
              <w:jc w:val="center"/>
              <w:rPr>
                <w:rFonts w:cs="Arial"/>
                <w:sz w:val="16"/>
                <w:szCs w:val="16"/>
                <w:highlight w:val="yellow"/>
              </w:rPr>
            </w:pPr>
            <w:r>
              <w:rPr>
                <w:rFonts w:cs="Arial"/>
                <w:sz w:val="16"/>
                <w:szCs w:val="16"/>
              </w:rPr>
              <w:t>2,8</w:t>
            </w:r>
          </w:p>
        </w:tc>
        <w:tc>
          <w:tcPr>
            <w:tcW w:w="160" w:type="dxa"/>
            <w:tcBorders>
              <w:top w:val="nil"/>
              <w:left w:val="nil"/>
              <w:bottom w:val="nil"/>
              <w:right w:val="nil"/>
            </w:tcBorders>
          </w:tcPr>
          <w:p w14:paraId="6395FB3B" w14:textId="3EDFFEF9" w:rsidR="00355A4B" w:rsidRPr="00166BEB" w:rsidRDefault="00355A4B" w:rsidP="00355A4B">
            <w:pPr>
              <w:spacing w:after="0" w:line="240" w:lineRule="auto"/>
              <w:jc w:val="center"/>
              <w:rPr>
                <w:rFonts w:cs="Arial"/>
                <w:sz w:val="16"/>
                <w:szCs w:val="16"/>
                <w:highlight w:val="yellow"/>
              </w:rPr>
            </w:pPr>
          </w:p>
        </w:tc>
      </w:tr>
      <w:tr w:rsidR="00355A4B" w:rsidRPr="00166BEB" w14:paraId="56C5606B" w14:textId="0BD3E705" w:rsidTr="004543DD">
        <w:trPr>
          <w:trHeight w:val="300"/>
        </w:trPr>
        <w:tc>
          <w:tcPr>
            <w:tcW w:w="1380" w:type="dxa"/>
            <w:tcBorders>
              <w:top w:val="nil"/>
              <w:left w:val="nil"/>
              <w:bottom w:val="nil"/>
              <w:right w:val="nil"/>
            </w:tcBorders>
            <w:shd w:val="clear" w:color="auto" w:fill="auto"/>
            <w:noWrap/>
            <w:vAlign w:val="center"/>
            <w:hideMark/>
          </w:tcPr>
          <w:p w14:paraId="73AA247C" w14:textId="469539BF" w:rsidR="00355A4B" w:rsidRPr="00166BEB" w:rsidRDefault="00355A4B" w:rsidP="00355A4B">
            <w:pPr>
              <w:spacing w:after="0" w:line="240" w:lineRule="auto"/>
              <w:ind w:firstLineChars="100" w:firstLine="160"/>
              <w:rPr>
                <w:rFonts w:cs="Arial"/>
                <w:sz w:val="16"/>
                <w:szCs w:val="16"/>
                <w:highlight w:val="yellow"/>
              </w:rPr>
            </w:pPr>
            <w:r>
              <w:rPr>
                <w:rFonts w:cs="Arial"/>
                <w:sz w:val="16"/>
                <w:szCs w:val="16"/>
              </w:rPr>
              <w:t>Švédsko</w:t>
            </w:r>
          </w:p>
        </w:tc>
        <w:tc>
          <w:tcPr>
            <w:tcW w:w="822" w:type="dxa"/>
            <w:tcBorders>
              <w:top w:val="nil"/>
              <w:left w:val="single" w:sz="4" w:space="0" w:color="000000"/>
              <w:bottom w:val="nil"/>
              <w:right w:val="nil"/>
            </w:tcBorders>
            <w:shd w:val="clear" w:color="auto" w:fill="auto"/>
            <w:noWrap/>
            <w:vAlign w:val="center"/>
            <w:hideMark/>
          </w:tcPr>
          <w:p w14:paraId="6146A2E1" w14:textId="4021644F" w:rsidR="00355A4B" w:rsidRPr="00166BEB" w:rsidRDefault="00355A4B" w:rsidP="00355A4B">
            <w:pPr>
              <w:spacing w:after="0" w:line="240" w:lineRule="auto"/>
              <w:jc w:val="center"/>
              <w:rPr>
                <w:rFonts w:cs="Arial"/>
                <w:sz w:val="16"/>
                <w:szCs w:val="16"/>
                <w:highlight w:val="yellow"/>
              </w:rPr>
            </w:pPr>
            <w:r>
              <w:rPr>
                <w:rFonts w:cs="Arial"/>
                <w:sz w:val="16"/>
                <w:szCs w:val="16"/>
              </w:rPr>
              <w:t>2,3</w:t>
            </w:r>
          </w:p>
        </w:tc>
        <w:tc>
          <w:tcPr>
            <w:tcW w:w="822" w:type="dxa"/>
            <w:tcBorders>
              <w:top w:val="nil"/>
              <w:left w:val="nil"/>
              <w:bottom w:val="nil"/>
              <w:right w:val="nil"/>
            </w:tcBorders>
            <w:shd w:val="clear" w:color="auto" w:fill="auto"/>
            <w:noWrap/>
            <w:vAlign w:val="center"/>
            <w:hideMark/>
          </w:tcPr>
          <w:p w14:paraId="6DE37910" w14:textId="3A5BF2C5" w:rsidR="00355A4B" w:rsidRPr="00166BEB" w:rsidRDefault="00355A4B" w:rsidP="00355A4B">
            <w:pPr>
              <w:spacing w:after="0" w:line="240" w:lineRule="auto"/>
              <w:jc w:val="center"/>
              <w:rPr>
                <w:rFonts w:cs="Arial"/>
                <w:sz w:val="16"/>
                <w:szCs w:val="16"/>
                <w:highlight w:val="yellow"/>
              </w:rPr>
            </w:pPr>
            <w:r>
              <w:rPr>
                <w:rFonts w:cs="Arial"/>
                <w:sz w:val="16"/>
                <w:szCs w:val="16"/>
              </w:rPr>
              <w:t>1,4</w:t>
            </w:r>
          </w:p>
        </w:tc>
        <w:tc>
          <w:tcPr>
            <w:tcW w:w="822" w:type="dxa"/>
            <w:tcBorders>
              <w:top w:val="nil"/>
              <w:left w:val="nil"/>
              <w:bottom w:val="nil"/>
              <w:right w:val="nil"/>
            </w:tcBorders>
            <w:shd w:val="clear" w:color="auto" w:fill="auto"/>
            <w:noWrap/>
            <w:vAlign w:val="center"/>
            <w:hideMark/>
          </w:tcPr>
          <w:p w14:paraId="4AA84729" w14:textId="0633A3EC" w:rsidR="00355A4B" w:rsidRPr="00166BEB" w:rsidRDefault="00355A4B" w:rsidP="00355A4B">
            <w:pPr>
              <w:spacing w:after="0" w:line="240" w:lineRule="auto"/>
              <w:jc w:val="center"/>
              <w:rPr>
                <w:rFonts w:cs="Arial"/>
                <w:sz w:val="16"/>
                <w:szCs w:val="16"/>
                <w:highlight w:val="yellow"/>
              </w:rPr>
            </w:pPr>
            <w:r>
              <w:rPr>
                <w:rFonts w:cs="Arial"/>
                <w:sz w:val="16"/>
                <w:szCs w:val="16"/>
              </w:rPr>
              <w:t>1,2</w:t>
            </w:r>
          </w:p>
        </w:tc>
        <w:tc>
          <w:tcPr>
            <w:tcW w:w="822" w:type="dxa"/>
            <w:tcBorders>
              <w:top w:val="nil"/>
              <w:left w:val="nil"/>
              <w:bottom w:val="nil"/>
              <w:right w:val="nil"/>
            </w:tcBorders>
            <w:shd w:val="clear" w:color="auto" w:fill="auto"/>
            <w:noWrap/>
            <w:vAlign w:val="center"/>
            <w:hideMark/>
          </w:tcPr>
          <w:p w14:paraId="34BEBC8C" w14:textId="385D9804" w:rsidR="00355A4B" w:rsidRPr="00166BEB" w:rsidRDefault="00355A4B" w:rsidP="00355A4B">
            <w:pPr>
              <w:spacing w:after="0" w:line="240" w:lineRule="auto"/>
              <w:jc w:val="center"/>
              <w:rPr>
                <w:rFonts w:cs="Arial"/>
                <w:sz w:val="16"/>
                <w:szCs w:val="16"/>
                <w:highlight w:val="yellow"/>
              </w:rPr>
            </w:pPr>
            <w:r>
              <w:rPr>
                <w:rFonts w:cs="Arial"/>
                <w:sz w:val="16"/>
                <w:szCs w:val="16"/>
              </w:rPr>
              <w:t>1,5</w:t>
            </w:r>
          </w:p>
        </w:tc>
        <w:tc>
          <w:tcPr>
            <w:tcW w:w="822" w:type="dxa"/>
            <w:tcBorders>
              <w:top w:val="nil"/>
              <w:left w:val="nil"/>
              <w:bottom w:val="nil"/>
              <w:right w:val="nil"/>
            </w:tcBorders>
            <w:shd w:val="clear" w:color="auto" w:fill="auto"/>
            <w:noWrap/>
            <w:vAlign w:val="center"/>
            <w:hideMark/>
          </w:tcPr>
          <w:p w14:paraId="145419BC" w14:textId="2E4E8A1D" w:rsidR="00355A4B" w:rsidRPr="00166BEB" w:rsidRDefault="00355A4B" w:rsidP="00355A4B">
            <w:pPr>
              <w:spacing w:after="0" w:line="240" w:lineRule="auto"/>
              <w:jc w:val="center"/>
              <w:rPr>
                <w:rFonts w:cs="Arial"/>
                <w:sz w:val="16"/>
                <w:szCs w:val="16"/>
                <w:highlight w:val="yellow"/>
              </w:rPr>
            </w:pPr>
            <w:r>
              <w:rPr>
                <w:rFonts w:cs="Arial"/>
                <w:sz w:val="16"/>
                <w:szCs w:val="16"/>
              </w:rPr>
              <w:t>1,2</w:t>
            </w:r>
          </w:p>
        </w:tc>
        <w:tc>
          <w:tcPr>
            <w:tcW w:w="822" w:type="dxa"/>
            <w:tcBorders>
              <w:top w:val="nil"/>
              <w:left w:val="nil"/>
              <w:bottom w:val="nil"/>
              <w:right w:val="nil"/>
            </w:tcBorders>
            <w:shd w:val="clear" w:color="auto" w:fill="auto"/>
            <w:noWrap/>
            <w:vAlign w:val="center"/>
            <w:hideMark/>
          </w:tcPr>
          <w:p w14:paraId="796BF0B9" w14:textId="47E8DFDD" w:rsidR="00355A4B" w:rsidRPr="00166BEB" w:rsidRDefault="00355A4B" w:rsidP="00355A4B">
            <w:pPr>
              <w:spacing w:after="0" w:line="240" w:lineRule="auto"/>
              <w:jc w:val="center"/>
              <w:rPr>
                <w:rFonts w:cs="Arial"/>
                <w:sz w:val="16"/>
                <w:szCs w:val="16"/>
                <w:highlight w:val="yellow"/>
              </w:rPr>
            </w:pPr>
            <w:r>
              <w:rPr>
                <w:rFonts w:cs="Arial"/>
                <w:sz w:val="16"/>
                <w:szCs w:val="16"/>
              </w:rPr>
              <w:t>1,2</w:t>
            </w:r>
          </w:p>
        </w:tc>
        <w:tc>
          <w:tcPr>
            <w:tcW w:w="822" w:type="dxa"/>
            <w:tcBorders>
              <w:top w:val="nil"/>
              <w:left w:val="nil"/>
              <w:bottom w:val="nil"/>
              <w:right w:val="nil"/>
            </w:tcBorders>
            <w:shd w:val="clear" w:color="auto" w:fill="auto"/>
            <w:noWrap/>
            <w:vAlign w:val="center"/>
            <w:hideMark/>
          </w:tcPr>
          <w:p w14:paraId="3CFEE896" w14:textId="0F03A3D6" w:rsidR="00355A4B" w:rsidRPr="00166BEB" w:rsidRDefault="00355A4B" w:rsidP="00355A4B">
            <w:pPr>
              <w:spacing w:after="0" w:line="240" w:lineRule="auto"/>
              <w:jc w:val="center"/>
              <w:rPr>
                <w:rFonts w:cs="Arial"/>
                <w:sz w:val="16"/>
                <w:szCs w:val="16"/>
                <w:highlight w:val="yellow"/>
              </w:rPr>
            </w:pPr>
            <w:r>
              <w:rPr>
                <w:rFonts w:cs="Arial"/>
                <w:sz w:val="16"/>
                <w:szCs w:val="16"/>
              </w:rPr>
              <w:t>1,7</w:t>
            </w:r>
          </w:p>
        </w:tc>
        <w:tc>
          <w:tcPr>
            <w:tcW w:w="822" w:type="dxa"/>
            <w:tcBorders>
              <w:top w:val="nil"/>
              <w:left w:val="nil"/>
              <w:bottom w:val="nil"/>
              <w:right w:val="nil"/>
            </w:tcBorders>
            <w:shd w:val="clear" w:color="auto" w:fill="auto"/>
            <w:noWrap/>
            <w:vAlign w:val="center"/>
            <w:hideMark/>
          </w:tcPr>
          <w:p w14:paraId="1A2D943E" w14:textId="38E21E53" w:rsidR="00355A4B" w:rsidRPr="00166BEB" w:rsidRDefault="00355A4B" w:rsidP="00355A4B">
            <w:pPr>
              <w:spacing w:after="0" w:line="240" w:lineRule="auto"/>
              <w:jc w:val="center"/>
              <w:rPr>
                <w:rFonts w:cs="Arial"/>
                <w:sz w:val="16"/>
                <w:szCs w:val="16"/>
                <w:highlight w:val="yellow"/>
              </w:rPr>
            </w:pPr>
            <w:r>
              <w:rPr>
                <w:rFonts w:cs="Arial"/>
                <w:sz w:val="16"/>
                <w:szCs w:val="16"/>
              </w:rPr>
              <w:t>1,7</w:t>
            </w:r>
          </w:p>
        </w:tc>
        <w:tc>
          <w:tcPr>
            <w:tcW w:w="822" w:type="dxa"/>
            <w:tcBorders>
              <w:top w:val="nil"/>
              <w:left w:val="nil"/>
              <w:bottom w:val="nil"/>
              <w:right w:val="nil"/>
            </w:tcBorders>
            <w:shd w:val="clear" w:color="auto" w:fill="auto"/>
            <w:noWrap/>
            <w:vAlign w:val="center"/>
            <w:hideMark/>
          </w:tcPr>
          <w:p w14:paraId="619CC884" w14:textId="2C1C60A9" w:rsidR="00355A4B" w:rsidRPr="00166BEB" w:rsidRDefault="00355A4B" w:rsidP="00355A4B">
            <w:pPr>
              <w:spacing w:after="0" w:line="240" w:lineRule="auto"/>
              <w:jc w:val="center"/>
              <w:rPr>
                <w:rFonts w:cs="Arial"/>
                <w:sz w:val="16"/>
                <w:szCs w:val="16"/>
                <w:highlight w:val="yellow"/>
              </w:rPr>
            </w:pPr>
            <w:r>
              <w:rPr>
                <w:rFonts w:cs="Arial"/>
                <w:sz w:val="16"/>
                <w:szCs w:val="16"/>
              </w:rPr>
              <w:t>1,1</w:t>
            </w:r>
          </w:p>
        </w:tc>
        <w:tc>
          <w:tcPr>
            <w:tcW w:w="822" w:type="dxa"/>
            <w:tcBorders>
              <w:top w:val="nil"/>
              <w:left w:val="nil"/>
              <w:bottom w:val="nil"/>
              <w:right w:val="nil"/>
            </w:tcBorders>
            <w:shd w:val="clear" w:color="auto" w:fill="D9D9D9"/>
            <w:vAlign w:val="center"/>
          </w:tcPr>
          <w:p w14:paraId="7456FD40" w14:textId="7D001A95" w:rsidR="00355A4B" w:rsidRPr="00166BEB" w:rsidRDefault="00355A4B" w:rsidP="00355A4B">
            <w:pPr>
              <w:spacing w:after="0" w:line="240" w:lineRule="auto"/>
              <w:jc w:val="center"/>
              <w:rPr>
                <w:rFonts w:cs="Arial"/>
                <w:sz w:val="16"/>
                <w:szCs w:val="16"/>
                <w:highlight w:val="yellow"/>
              </w:rPr>
            </w:pPr>
            <w:r>
              <w:rPr>
                <w:rFonts w:cs="Arial"/>
                <w:sz w:val="16"/>
                <w:szCs w:val="16"/>
              </w:rPr>
              <w:t>0,8</w:t>
            </w:r>
          </w:p>
        </w:tc>
        <w:tc>
          <w:tcPr>
            <w:tcW w:w="160" w:type="dxa"/>
            <w:tcBorders>
              <w:top w:val="nil"/>
              <w:left w:val="nil"/>
              <w:bottom w:val="nil"/>
              <w:right w:val="nil"/>
            </w:tcBorders>
          </w:tcPr>
          <w:p w14:paraId="5B526376" w14:textId="2DE63A4A" w:rsidR="00355A4B" w:rsidRPr="00166BEB" w:rsidRDefault="00355A4B" w:rsidP="00355A4B">
            <w:pPr>
              <w:spacing w:after="0" w:line="240" w:lineRule="auto"/>
              <w:jc w:val="center"/>
              <w:rPr>
                <w:rFonts w:cs="Arial"/>
                <w:sz w:val="16"/>
                <w:szCs w:val="16"/>
                <w:highlight w:val="yellow"/>
              </w:rPr>
            </w:pPr>
          </w:p>
        </w:tc>
      </w:tr>
    </w:tbl>
    <w:p w14:paraId="6D10DB5C" w14:textId="77777777" w:rsidR="00581065" w:rsidRPr="00166BEB" w:rsidRDefault="00581065" w:rsidP="00F40B8C">
      <w:pPr>
        <w:rPr>
          <w:highlight w:val="yellow"/>
        </w:rPr>
      </w:pPr>
    </w:p>
    <w:p w14:paraId="3ABC473E" w14:textId="77777777" w:rsidR="00581065" w:rsidRPr="00355A4B" w:rsidRDefault="00581065" w:rsidP="00581065">
      <w:pPr>
        <w:spacing w:after="0" w:line="240" w:lineRule="auto"/>
        <w:rPr>
          <w:rFonts w:cs="Arial"/>
          <w:sz w:val="16"/>
          <w:szCs w:val="16"/>
        </w:rPr>
      </w:pPr>
      <w:r w:rsidRPr="00355A4B">
        <w:rPr>
          <w:rFonts w:cs="Arial"/>
          <w:sz w:val="16"/>
          <w:szCs w:val="16"/>
          <w:highlight w:val="lightGray"/>
        </w:rPr>
        <w:t>Přerušení v časové řadě</w:t>
      </w:r>
    </w:p>
    <w:p w14:paraId="6405E1E0" w14:textId="77777777" w:rsidR="00581065" w:rsidRPr="00355A4B" w:rsidRDefault="00581065" w:rsidP="00581065">
      <w:pPr>
        <w:spacing w:after="120"/>
        <w:jc w:val="both"/>
        <w:rPr>
          <w:sz w:val="16"/>
        </w:rPr>
      </w:pPr>
      <w:r w:rsidRPr="00355A4B">
        <w:rPr>
          <w:sz w:val="16"/>
        </w:rPr>
        <w:t xml:space="preserve">Zdroj: </w:t>
      </w:r>
      <w:proofErr w:type="spellStart"/>
      <w:r w:rsidRPr="00355A4B">
        <w:rPr>
          <w:sz w:val="16"/>
        </w:rPr>
        <w:t>Eurostat</w:t>
      </w:r>
      <w:proofErr w:type="spellEnd"/>
      <w:r w:rsidRPr="00355A4B">
        <w:rPr>
          <w:sz w:val="16"/>
        </w:rPr>
        <w:t xml:space="preserve"> (ESAW)</w:t>
      </w:r>
    </w:p>
    <w:p w14:paraId="50B72BBC" w14:textId="77777777" w:rsidR="007459BF" w:rsidRPr="00166BEB" w:rsidRDefault="007459BF">
      <w:pPr>
        <w:spacing w:after="0" w:line="240" w:lineRule="auto"/>
        <w:rPr>
          <w:rFonts w:eastAsia="MS Gothic"/>
          <w:b/>
          <w:bCs/>
          <w:color w:val="BC091B"/>
          <w:sz w:val="28"/>
          <w:szCs w:val="26"/>
          <w:highlight w:val="yellow"/>
        </w:rPr>
      </w:pPr>
      <w:r w:rsidRPr="00166BEB">
        <w:rPr>
          <w:highlight w:val="yellow"/>
        </w:rPr>
        <w:br w:type="page"/>
      </w:r>
    </w:p>
    <w:p w14:paraId="1E15B194" w14:textId="47FE2E7B" w:rsidR="00581065" w:rsidRPr="00163186" w:rsidRDefault="007459BF" w:rsidP="00C42FD6">
      <w:pPr>
        <w:pStyle w:val="Nadpis3"/>
      </w:pPr>
      <w:bookmarkStart w:id="24" w:name="_Toc136412158"/>
      <w:r w:rsidRPr="00163186">
        <w:lastRenderedPageBreak/>
        <w:t>4.</w:t>
      </w:r>
      <w:r w:rsidR="006967EA" w:rsidRPr="00163186">
        <w:t>7</w:t>
      </w:r>
      <w:r w:rsidRPr="00163186">
        <w:t xml:space="preserve"> Závěrečné shrnutí</w:t>
      </w:r>
      <w:bookmarkEnd w:id="24"/>
    </w:p>
    <w:p w14:paraId="5767736C" w14:textId="6CDBE67C" w:rsidR="006967EA" w:rsidRPr="00CF1C7A" w:rsidRDefault="006967EA" w:rsidP="006967EA">
      <w:pPr>
        <w:pStyle w:val="Odstavecseseznamem"/>
        <w:numPr>
          <w:ilvl w:val="0"/>
          <w:numId w:val="32"/>
        </w:numPr>
        <w:spacing w:after="120"/>
        <w:contextualSpacing w:val="0"/>
        <w:jc w:val="both"/>
      </w:pPr>
      <w:r w:rsidRPr="00CF1C7A">
        <w:t>V </w:t>
      </w:r>
      <w:r>
        <w:t>roce</w:t>
      </w:r>
      <w:r w:rsidRPr="00CF1C7A">
        <w:t xml:space="preserve"> 2022 bylo v Česku</w:t>
      </w:r>
      <w:r w:rsidRPr="00CF1C7A">
        <w:rPr>
          <w:b/>
        </w:rPr>
        <w:t xml:space="preserve"> </w:t>
      </w:r>
      <w:proofErr w:type="spellStart"/>
      <w:r w:rsidRPr="00CF1C7A">
        <w:rPr>
          <w:b/>
        </w:rPr>
        <w:t>nemocensky</w:t>
      </w:r>
      <w:proofErr w:type="spellEnd"/>
      <w:r w:rsidRPr="00CF1C7A">
        <w:rPr>
          <w:b/>
        </w:rPr>
        <w:t xml:space="preserve"> pojištěno </w:t>
      </w:r>
      <w:r w:rsidRPr="00CF1C7A">
        <w:t>celkem</w:t>
      </w:r>
      <w:r w:rsidRPr="00CF1C7A">
        <w:rPr>
          <w:b/>
        </w:rPr>
        <w:t xml:space="preserve"> 4 7</w:t>
      </w:r>
      <w:r>
        <w:rPr>
          <w:b/>
        </w:rPr>
        <w:t>4</w:t>
      </w:r>
      <w:r w:rsidR="007C7A48">
        <w:rPr>
          <w:b/>
        </w:rPr>
        <w:t>8</w:t>
      </w:r>
      <w:r w:rsidRPr="00CF1C7A">
        <w:rPr>
          <w:b/>
        </w:rPr>
        <w:t xml:space="preserve"> tis.</w:t>
      </w:r>
      <w:r w:rsidRPr="00CF1C7A">
        <w:t xml:space="preserve"> </w:t>
      </w:r>
      <w:r w:rsidRPr="00CF1C7A">
        <w:rPr>
          <w:b/>
        </w:rPr>
        <w:t>osob</w:t>
      </w:r>
      <w:r w:rsidRPr="00CF1C7A">
        <w:t>, tedy o </w:t>
      </w:r>
      <w:r>
        <w:t>40 tis. více</w:t>
      </w:r>
      <w:r w:rsidRPr="00CF1C7A">
        <w:rPr>
          <w:szCs w:val="20"/>
        </w:rPr>
        <w:t xml:space="preserve"> než před rokem. Meziročně nejvýrazněji vzrostl počet pojištěných zaměstnanců v oblasti Vzdělávání (o</w:t>
      </w:r>
      <w:r>
        <w:rPr>
          <w:szCs w:val="20"/>
        </w:rPr>
        <w:t> </w:t>
      </w:r>
      <w:r w:rsidRPr="00CF1C7A">
        <w:rPr>
          <w:szCs w:val="20"/>
        </w:rPr>
        <w:t>13 tis.</w:t>
      </w:r>
      <w:r>
        <w:rPr>
          <w:szCs w:val="20"/>
        </w:rPr>
        <w:t>;</w:t>
      </w:r>
      <w:r w:rsidRPr="00CF1C7A">
        <w:rPr>
          <w:szCs w:val="20"/>
        </w:rPr>
        <w:t xml:space="preserve"> </w:t>
      </w:r>
      <w:r>
        <w:rPr>
          <w:szCs w:val="20"/>
        </w:rPr>
        <w:t>tj</w:t>
      </w:r>
      <w:r w:rsidRPr="00CF1C7A">
        <w:rPr>
          <w:szCs w:val="20"/>
        </w:rPr>
        <w:t>.</w:t>
      </w:r>
      <w:r>
        <w:rPr>
          <w:szCs w:val="20"/>
        </w:rPr>
        <w:t> </w:t>
      </w:r>
      <w:r w:rsidRPr="00CF1C7A">
        <w:rPr>
          <w:szCs w:val="20"/>
        </w:rPr>
        <w:t>3</w:t>
      </w:r>
      <w:r>
        <w:rPr>
          <w:szCs w:val="20"/>
        </w:rPr>
        <w:t> </w:t>
      </w:r>
      <w:r w:rsidRPr="00CF1C7A">
        <w:rPr>
          <w:szCs w:val="20"/>
        </w:rPr>
        <w:t>%)</w:t>
      </w:r>
      <w:r>
        <w:rPr>
          <w:szCs w:val="20"/>
        </w:rPr>
        <w:t>, naopak největší pokles byl zaznamenán v sekci Veřejná správa a obrana; povinné sociální zabezpečení, kde ubylo 11 tis. (</w:t>
      </w:r>
      <w:r w:rsidR="004543DD">
        <w:t>−</w:t>
      </w:r>
      <w:r>
        <w:rPr>
          <w:szCs w:val="20"/>
        </w:rPr>
        <w:t xml:space="preserve">4 %) </w:t>
      </w:r>
      <w:proofErr w:type="spellStart"/>
      <w:r>
        <w:rPr>
          <w:szCs w:val="20"/>
        </w:rPr>
        <w:t>nemocensky</w:t>
      </w:r>
      <w:proofErr w:type="spellEnd"/>
      <w:r>
        <w:rPr>
          <w:szCs w:val="20"/>
        </w:rPr>
        <w:t xml:space="preserve"> pojištěných.</w:t>
      </w:r>
    </w:p>
    <w:p w14:paraId="09530B52" w14:textId="2C90DD45" w:rsidR="00651627" w:rsidRPr="00651627" w:rsidRDefault="00651627" w:rsidP="00651627">
      <w:pPr>
        <w:pStyle w:val="Odstavecseseznamem"/>
        <w:numPr>
          <w:ilvl w:val="0"/>
          <w:numId w:val="32"/>
        </w:numPr>
        <w:spacing w:after="120"/>
        <w:jc w:val="both"/>
        <w:rPr>
          <w:rFonts w:cs="Arial"/>
          <w:bCs/>
          <w:color w:val="000000"/>
          <w:szCs w:val="20"/>
        </w:rPr>
      </w:pPr>
      <w:r w:rsidRPr="00651627">
        <w:rPr>
          <w:rFonts w:cs="Arial"/>
          <w:bCs/>
          <w:color w:val="000000"/>
          <w:szCs w:val="20"/>
        </w:rPr>
        <w:t xml:space="preserve">Poprvé v desetileté historii mezi pojištěnci </w:t>
      </w:r>
      <w:r w:rsidR="00DD04AA">
        <w:rPr>
          <w:rFonts w:cs="Arial"/>
          <w:bCs/>
          <w:color w:val="000000"/>
          <w:szCs w:val="20"/>
        </w:rPr>
        <w:t>převažovaly</w:t>
      </w:r>
      <w:r w:rsidRPr="00651627">
        <w:rPr>
          <w:rFonts w:cs="Arial"/>
          <w:bCs/>
          <w:color w:val="000000"/>
          <w:szCs w:val="20"/>
        </w:rPr>
        <w:t xml:space="preserve"> žen</w:t>
      </w:r>
      <w:r w:rsidR="00DD04AA">
        <w:rPr>
          <w:rFonts w:cs="Arial"/>
          <w:bCs/>
          <w:color w:val="000000"/>
          <w:szCs w:val="20"/>
        </w:rPr>
        <w:t>y</w:t>
      </w:r>
      <w:r w:rsidRPr="00651627">
        <w:rPr>
          <w:rFonts w:cs="Arial"/>
          <w:bCs/>
          <w:color w:val="000000"/>
          <w:szCs w:val="20"/>
        </w:rPr>
        <w:t xml:space="preserve"> (50,3 %) </w:t>
      </w:r>
      <w:r w:rsidR="00DD04AA">
        <w:rPr>
          <w:rFonts w:cs="Arial"/>
          <w:bCs/>
          <w:color w:val="000000"/>
          <w:szCs w:val="20"/>
        </w:rPr>
        <w:t>nad</w:t>
      </w:r>
      <w:r w:rsidRPr="00651627">
        <w:rPr>
          <w:rFonts w:cs="Arial"/>
          <w:bCs/>
          <w:color w:val="000000"/>
          <w:szCs w:val="20"/>
        </w:rPr>
        <w:t xml:space="preserve"> m</w:t>
      </w:r>
      <w:r w:rsidR="00DD04AA">
        <w:rPr>
          <w:rFonts w:cs="Arial"/>
          <w:bCs/>
          <w:color w:val="000000"/>
          <w:szCs w:val="20"/>
        </w:rPr>
        <w:t>uži</w:t>
      </w:r>
      <w:r w:rsidRPr="00651627">
        <w:rPr>
          <w:rFonts w:cs="Arial"/>
          <w:bCs/>
          <w:color w:val="000000"/>
          <w:szCs w:val="20"/>
        </w:rPr>
        <w:t xml:space="preserve"> (49,7 %). V roce 2022 bylo </w:t>
      </w:r>
      <w:proofErr w:type="spellStart"/>
      <w:r w:rsidRPr="00651627">
        <w:rPr>
          <w:rFonts w:cs="Arial"/>
          <w:bCs/>
          <w:color w:val="000000"/>
          <w:szCs w:val="20"/>
        </w:rPr>
        <w:t>nemocensky</w:t>
      </w:r>
      <w:proofErr w:type="spellEnd"/>
      <w:r w:rsidRPr="00651627">
        <w:rPr>
          <w:rFonts w:cs="Arial"/>
          <w:bCs/>
          <w:color w:val="000000"/>
          <w:szCs w:val="20"/>
        </w:rPr>
        <w:t xml:space="preserve"> pojištěných 2 389 tis. žen a 2 359 tis. mužů. Meziročně vzrostl počet pojištěných mužů o 4 tis. (v relativním vyjádření o 0,2 %), zatímco počet žen se zvýšil o 35 tis. (1,5 %). </w:t>
      </w:r>
    </w:p>
    <w:p w14:paraId="6996AA5A" w14:textId="10499310" w:rsidR="00A37CFF" w:rsidRPr="00A37CFF" w:rsidRDefault="00651627" w:rsidP="00651627">
      <w:pPr>
        <w:pStyle w:val="Seznam"/>
        <w:numPr>
          <w:ilvl w:val="0"/>
          <w:numId w:val="32"/>
        </w:numPr>
        <w:spacing w:after="120" w:line="264" w:lineRule="auto"/>
        <w:contextualSpacing w:val="0"/>
        <w:jc w:val="both"/>
      </w:pPr>
      <w:r w:rsidRPr="00651627">
        <w:rPr>
          <w:bCs/>
        </w:rPr>
        <w:t xml:space="preserve">V roce 2022 bylo v Česku nahlášeno </w:t>
      </w:r>
      <w:r w:rsidRPr="00651627">
        <w:rPr>
          <w:b/>
          <w:bCs/>
        </w:rPr>
        <w:t>celkem</w:t>
      </w:r>
      <w:r w:rsidRPr="00651627">
        <w:rPr>
          <w:bCs/>
        </w:rPr>
        <w:t xml:space="preserve"> </w:t>
      </w:r>
      <w:r w:rsidRPr="00651627">
        <w:rPr>
          <w:b/>
          <w:bCs/>
        </w:rPr>
        <w:t>3 458 tis. případů pracovní neschopnosti.</w:t>
      </w:r>
      <w:r w:rsidRPr="00651627">
        <w:rPr>
          <w:bCs/>
        </w:rPr>
        <w:t xml:space="preserve"> Meziročn</w:t>
      </w:r>
      <w:r w:rsidR="00A37CFF">
        <w:rPr>
          <w:bCs/>
        </w:rPr>
        <w:t xml:space="preserve">ě jejich počet vzrostl o čtvrtinu, tj. o 703 tis. Částečně je nárůst způsoben z </w:t>
      </w:r>
      <w:r w:rsidRPr="00651627">
        <w:rPr>
          <w:bCs/>
        </w:rPr>
        <w:t>metodických důvodů</w:t>
      </w:r>
      <w:r w:rsidR="00E9405E">
        <w:rPr>
          <w:bCs/>
        </w:rPr>
        <w:t>, kdy na začátku roku 2022 docházelo k duplicitnímu vystavování některých neschopenek</w:t>
      </w:r>
      <w:r w:rsidRPr="00651627">
        <w:rPr>
          <w:bCs/>
        </w:rPr>
        <w:t xml:space="preserve"> (</w:t>
      </w:r>
      <w:r w:rsidRPr="00651627">
        <w:rPr>
          <w:i/>
        </w:rPr>
        <w:t>podrobněji viz str. 2</w:t>
      </w:r>
      <w:r w:rsidR="00FC3BC5">
        <w:rPr>
          <w:i/>
        </w:rPr>
        <w:t>1</w:t>
      </w:r>
      <w:bookmarkStart w:id="25" w:name="_GoBack"/>
      <w:bookmarkEnd w:id="25"/>
      <w:r w:rsidRPr="00651627">
        <w:rPr>
          <w:i/>
        </w:rPr>
        <w:t>)</w:t>
      </w:r>
      <w:r w:rsidR="00163186">
        <w:rPr>
          <w:i/>
        </w:rPr>
        <w:t xml:space="preserve">, </w:t>
      </w:r>
      <w:r w:rsidR="00163186" w:rsidRPr="00163186">
        <w:t xml:space="preserve">což komplikuje </w:t>
      </w:r>
      <w:r w:rsidR="00163186">
        <w:t xml:space="preserve">meziroční </w:t>
      </w:r>
      <w:r w:rsidR="00A37CFF" w:rsidRPr="00A37CFF">
        <w:t xml:space="preserve">srovnání </w:t>
      </w:r>
      <w:r w:rsidR="00163186">
        <w:t xml:space="preserve">počtu </w:t>
      </w:r>
      <w:r w:rsidR="00A37CFF">
        <w:t>případů pro nemoc a celkový počet neschopností</w:t>
      </w:r>
      <w:r w:rsidR="00163186">
        <w:t>.</w:t>
      </w:r>
    </w:p>
    <w:p w14:paraId="41318AFA" w14:textId="088E6558" w:rsidR="006967EA" w:rsidRDefault="00B210D4" w:rsidP="00651627">
      <w:pPr>
        <w:pStyle w:val="Seznam"/>
        <w:numPr>
          <w:ilvl w:val="0"/>
          <w:numId w:val="32"/>
        </w:numPr>
        <w:spacing w:after="120" w:line="264" w:lineRule="auto"/>
        <w:contextualSpacing w:val="0"/>
        <w:jc w:val="both"/>
      </w:pPr>
      <w:r>
        <w:t>Pouze ve</w:t>
      </w:r>
      <w:r w:rsidR="00651627" w:rsidRPr="00651627">
        <w:t xml:space="preserve"> druhé</w:t>
      </w:r>
      <w:r>
        <w:t>m</w:t>
      </w:r>
      <w:r w:rsidR="00651627" w:rsidRPr="00651627">
        <w:t xml:space="preserve"> pololetí roku 2022 bylo nahlášeno 1 404 tis. případů dočasné pracovní neschopnosti. Meziroční nárůst oproti 2. pol. 2021 činil 50 tis. a též nárůst ve srovnání s</w:t>
      </w:r>
      <w:r w:rsidR="007C7A48">
        <w:t> druhou polovinou roku</w:t>
      </w:r>
      <w:r w:rsidR="00651627" w:rsidRPr="00651627">
        <w:t xml:space="preserve"> 2020 </w:t>
      </w:r>
      <w:r w:rsidR="00163186">
        <w:t>byl</w:t>
      </w:r>
      <w:r w:rsidR="00651627" w:rsidRPr="00651627">
        <w:t xml:space="preserve"> </w:t>
      </w:r>
      <w:r>
        <w:t xml:space="preserve">jen </w:t>
      </w:r>
      <w:r w:rsidR="00651627" w:rsidRPr="00651627">
        <w:t>mírný.</w:t>
      </w:r>
    </w:p>
    <w:p w14:paraId="26E19FB7" w14:textId="662219DD" w:rsidR="00651627" w:rsidRDefault="00651627" w:rsidP="00651627">
      <w:pPr>
        <w:pStyle w:val="Odstavecseseznamem"/>
        <w:numPr>
          <w:ilvl w:val="0"/>
          <w:numId w:val="32"/>
        </w:numPr>
        <w:spacing w:after="120"/>
        <w:contextualSpacing w:val="0"/>
        <w:jc w:val="both"/>
      </w:pPr>
      <w:r>
        <w:t xml:space="preserve">Výrazně </w:t>
      </w:r>
      <w:r w:rsidRPr="00CD26D6">
        <w:rPr>
          <w:b/>
        </w:rPr>
        <w:t xml:space="preserve">více neschopenek </w:t>
      </w:r>
      <w:r w:rsidR="00163186" w:rsidRPr="00163186">
        <w:t>v roce 2022</w:t>
      </w:r>
      <w:r w:rsidR="00163186">
        <w:rPr>
          <w:b/>
        </w:rPr>
        <w:t xml:space="preserve"> </w:t>
      </w:r>
      <w:r w:rsidRPr="00CD26D6">
        <w:rPr>
          <w:b/>
        </w:rPr>
        <w:t>nahlásily ženy</w:t>
      </w:r>
      <w:r>
        <w:t xml:space="preserve">. </w:t>
      </w:r>
      <w:r w:rsidR="00163186">
        <w:t xml:space="preserve">Bylo evidováno </w:t>
      </w:r>
      <w:r>
        <w:t>1 869 tis., což je o šestinu (281</w:t>
      </w:r>
      <w:r w:rsidR="00A5543F">
        <w:t> </w:t>
      </w:r>
      <w:r>
        <w:t xml:space="preserve">tis.) více </w:t>
      </w:r>
      <w:r w:rsidR="00163186">
        <w:t>případů</w:t>
      </w:r>
      <w:r w:rsidR="00B10992">
        <w:t>,</w:t>
      </w:r>
      <w:r w:rsidR="00163186">
        <w:t xml:space="preserve"> </w:t>
      </w:r>
      <w:r>
        <w:t xml:space="preserve">než kolik ve stejném období nahlásili muži (1 589 tis.). </w:t>
      </w:r>
    </w:p>
    <w:p w14:paraId="289913B4" w14:textId="3E89C780" w:rsidR="000C2C11" w:rsidRPr="000C2C11" w:rsidRDefault="000C2C11" w:rsidP="000C2C11">
      <w:pPr>
        <w:pStyle w:val="Odstavecseseznamem"/>
        <w:numPr>
          <w:ilvl w:val="0"/>
          <w:numId w:val="32"/>
        </w:numPr>
        <w:spacing w:after="120"/>
        <w:contextualSpacing w:val="0"/>
        <w:jc w:val="both"/>
      </w:pPr>
      <w:r w:rsidRPr="000C2C11">
        <w:t xml:space="preserve">Srovnáme-li 2. pol. 2022 s obdobím před pandemií (tedy s 2. pol. 2019), počet </w:t>
      </w:r>
      <w:r w:rsidRPr="000C2C11">
        <w:rPr>
          <w:b/>
        </w:rPr>
        <w:t>neschopenek</w:t>
      </w:r>
      <w:r w:rsidRPr="000C2C11">
        <w:t xml:space="preserve"> </w:t>
      </w:r>
      <w:r w:rsidRPr="000C2C11">
        <w:rPr>
          <w:b/>
        </w:rPr>
        <w:t>pro nemoc</w:t>
      </w:r>
      <w:r w:rsidRPr="000C2C11">
        <w:t xml:space="preserve"> se zvýšil o 55 %</w:t>
      </w:r>
      <w:r w:rsidR="00DD04AA">
        <w:t xml:space="preserve"> (+459 tis.)</w:t>
      </w:r>
      <w:r w:rsidRPr="000C2C11">
        <w:t xml:space="preserve">. </w:t>
      </w:r>
      <w:r w:rsidRPr="000C2C11">
        <w:rPr>
          <w:b/>
        </w:rPr>
        <w:t>U mužů</w:t>
      </w:r>
      <w:r w:rsidRPr="000C2C11">
        <w:t xml:space="preserve"> vzrostl o 51 % (+194 tis.), </w:t>
      </w:r>
      <w:r w:rsidRPr="000C2C11">
        <w:rPr>
          <w:b/>
        </w:rPr>
        <w:t>u žen</w:t>
      </w:r>
      <w:r w:rsidRPr="000C2C11">
        <w:t xml:space="preserve"> o 58 % (+266 tis.). </w:t>
      </w:r>
    </w:p>
    <w:p w14:paraId="167016E9" w14:textId="52DB57C0" w:rsidR="00DD04AA" w:rsidRPr="00DD04AA" w:rsidRDefault="00163186" w:rsidP="00263CD8">
      <w:pPr>
        <w:pStyle w:val="Odstavecseseznamem"/>
        <w:numPr>
          <w:ilvl w:val="0"/>
          <w:numId w:val="32"/>
        </w:numPr>
        <w:spacing w:after="120"/>
        <w:contextualSpacing w:val="0"/>
        <w:jc w:val="both"/>
      </w:pPr>
      <w:r>
        <w:t xml:space="preserve">Počet neschopenek pro </w:t>
      </w:r>
      <w:r w:rsidRPr="00163186">
        <w:rPr>
          <w:b/>
        </w:rPr>
        <w:t>pracovní úraz</w:t>
      </w:r>
      <w:r>
        <w:t xml:space="preserve"> (45 tis.) se v roce 2022 oproti roku 2021 nezměnil.</w:t>
      </w:r>
      <w:r w:rsidR="00DD04AA" w:rsidRPr="00DD04AA">
        <w:t xml:space="preserve"> Stejně jako v předchozím roce došlo k 88 </w:t>
      </w:r>
      <w:r w:rsidR="00DD04AA" w:rsidRPr="00DD04AA">
        <w:rPr>
          <w:b/>
        </w:rPr>
        <w:t>smrtelným pracovním úrazům</w:t>
      </w:r>
      <w:r w:rsidR="00DD04AA" w:rsidRPr="00DD04AA">
        <w:t>.</w:t>
      </w:r>
    </w:p>
    <w:p w14:paraId="6E0ED15A" w14:textId="57C3C305" w:rsidR="00DD04AA" w:rsidRPr="00A37CFF" w:rsidRDefault="00DD04AA" w:rsidP="00DD04AA">
      <w:pPr>
        <w:pStyle w:val="Odstavecseseznamem"/>
        <w:numPr>
          <w:ilvl w:val="0"/>
          <w:numId w:val="32"/>
        </w:numPr>
        <w:spacing w:after="120"/>
        <w:contextualSpacing w:val="0"/>
        <w:jc w:val="both"/>
      </w:pPr>
      <w:r w:rsidRPr="00A37CFF">
        <w:t>V roce 2022</w:t>
      </w:r>
      <w:r w:rsidRPr="00A37CFF">
        <w:rPr>
          <w:b/>
        </w:rPr>
        <w:t xml:space="preserve"> na 100 pojištěnců</w:t>
      </w:r>
      <w:r w:rsidRPr="00A37CFF">
        <w:t xml:space="preserve"> připadalo 73 nově hlášených </w:t>
      </w:r>
      <w:r w:rsidRPr="00A37CFF">
        <w:rPr>
          <w:b/>
        </w:rPr>
        <w:t>případů</w:t>
      </w:r>
      <w:r w:rsidRPr="00A37CFF">
        <w:t xml:space="preserve"> </w:t>
      </w:r>
      <w:r w:rsidRPr="00A37CFF">
        <w:rPr>
          <w:b/>
        </w:rPr>
        <w:t>pracovní neschopnosti</w:t>
      </w:r>
      <w:r w:rsidRPr="00A37CFF">
        <w:t xml:space="preserve">. </w:t>
      </w:r>
      <w:r w:rsidR="00A37CFF" w:rsidRPr="00A37CFF">
        <w:t xml:space="preserve">Nejvyšší hodnotu (95) vykazovala </w:t>
      </w:r>
      <w:r w:rsidRPr="00A37CFF">
        <w:t>sekc</w:t>
      </w:r>
      <w:r w:rsidR="00A37CFF" w:rsidRPr="00A37CFF">
        <w:t>e</w:t>
      </w:r>
      <w:r w:rsidRPr="00A37CFF">
        <w:t xml:space="preserve"> Zpracovatelský průmysl</w:t>
      </w:r>
      <w:r w:rsidR="00A37CFF" w:rsidRPr="00A37CFF">
        <w:t xml:space="preserve">, za ní se nacházelo Vzdělávání s 86 případy. </w:t>
      </w:r>
    </w:p>
    <w:p w14:paraId="06A5F1B1" w14:textId="1D2BFBFA" w:rsidR="000C2C11" w:rsidRDefault="00DD04AA" w:rsidP="00A37CFF">
      <w:pPr>
        <w:pStyle w:val="Odstavecseseznamem"/>
        <w:numPr>
          <w:ilvl w:val="0"/>
          <w:numId w:val="32"/>
        </w:numPr>
        <w:spacing w:after="120"/>
        <w:contextualSpacing w:val="0"/>
        <w:jc w:val="both"/>
      </w:pPr>
      <w:r w:rsidRPr="00A37CFF">
        <w:t>Nejvíce případů pracovní neschopnosti na 100 pojištěnců v </w:t>
      </w:r>
      <w:r w:rsidRPr="00A37CFF">
        <w:rPr>
          <w:b/>
        </w:rPr>
        <w:t>krajském srovnání</w:t>
      </w:r>
      <w:r w:rsidRPr="00A37CFF">
        <w:t xml:space="preserve"> bylo hlášeno v Libereckém (</w:t>
      </w:r>
      <w:r w:rsidR="00A37CFF" w:rsidRPr="00A37CFF">
        <w:t>89</w:t>
      </w:r>
      <w:r w:rsidRPr="00A37CFF">
        <w:t xml:space="preserve">), Plzeňském a </w:t>
      </w:r>
      <w:r w:rsidR="00A37CFF" w:rsidRPr="00A37CFF">
        <w:t xml:space="preserve">Ústeckém kraji (oba shodně 83). </w:t>
      </w:r>
      <w:r w:rsidRPr="00A37CFF">
        <w:t>Podprůměrné hodnoty vykazovala Praha (</w:t>
      </w:r>
      <w:r w:rsidR="00A37CFF" w:rsidRPr="00A37CFF">
        <w:t>57</w:t>
      </w:r>
      <w:r w:rsidR="00163186">
        <w:t>)</w:t>
      </w:r>
      <w:r w:rsidRPr="00A37CFF">
        <w:t xml:space="preserve"> a Jihomoravský kraj (</w:t>
      </w:r>
      <w:r w:rsidR="00A37CFF" w:rsidRPr="00A37CFF">
        <w:t>71</w:t>
      </w:r>
      <w:r w:rsidRPr="00A37CFF">
        <w:t xml:space="preserve">). </w:t>
      </w:r>
    </w:p>
    <w:p w14:paraId="7642F895" w14:textId="6F858558" w:rsidR="00A37CFF" w:rsidRPr="001C6F97" w:rsidRDefault="001C6F97" w:rsidP="00A37CFF">
      <w:pPr>
        <w:pStyle w:val="Odstavecseseznamem"/>
        <w:numPr>
          <w:ilvl w:val="0"/>
          <w:numId w:val="32"/>
        </w:numPr>
        <w:spacing w:after="120"/>
        <w:contextualSpacing w:val="0"/>
        <w:jc w:val="both"/>
      </w:pPr>
      <w:r w:rsidRPr="001C6F97">
        <w:t>Počet kalendářních dnů pracovní neschopnosti</w:t>
      </w:r>
      <w:r w:rsidR="00A37CFF" w:rsidRPr="001C6F97">
        <w:t xml:space="preserve"> v roce 2022 </w:t>
      </w:r>
      <w:r w:rsidRPr="001C6F97">
        <w:t>činil</w:t>
      </w:r>
      <w:r w:rsidR="00A37CFF" w:rsidRPr="001C6F97">
        <w:rPr>
          <w:b/>
        </w:rPr>
        <w:t xml:space="preserve"> 91 064 tis. dnů</w:t>
      </w:r>
      <w:r w:rsidR="00A37CFF" w:rsidRPr="001C6F97">
        <w:t xml:space="preserve">, což je o 4 % méně než před rokem. </w:t>
      </w:r>
      <w:r w:rsidRPr="001C6F97">
        <w:t>Toto číslo je ovšem opět</w:t>
      </w:r>
      <w:r w:rsidR="00A37CFF" w:rsidRPr="001C6F97">
        <w:t xml:space="preserve"> zatížen</w:t>
      </w:r>
      <w:r w:rsidRPr="001C6F97">
        <w:t>o</w:t>
      </w:r>
      <w:r w:rsidR="00A37CFF" w:rsidRPr="001C6F97">
        <w:t xml:space="preserve"> duplicitami z počátku roku. Druhé pololetí už touto skutečností ovlivněno není. A tak zatímco počet případů dočasné pracovní neschopnosti se meziročně v</w:t>
      </w:r>
      <w:r w:rsidR="00163186">
        <w:t> </w:t>
      </w:r>
      <w:r w:rsidR="00A37CFF" w:rsidRPr="001C6F97">
        <w:t>druhých pololetích příliš neměnil (+50 tis.), počet dnů v neschop</w:t>
      </w:r>
      <w:r w:rsidRPr="001C6F97">
        <w:t xml:space="preserve">nosti poklesl o 3,4 mil. a blížil se </w:t>
      </w:r>
      <w:proofErr w:type="spellStart"/>
      <w:r w:rsidRPr="001C6F97">
        <w:t>předcovidové</w:t>
      </w:r>
      <w:proofErr w:type="spellEnd"/>
      <w:r w:rsidRPr="001C6F97">
        <w:t xml:space="preserve"> hodnotě z 2. pol. 2019.</w:t>
      </w:r>
    </w:p>
    <w:p w14:paraId="08C62E0C" w14:textId="57690543" w:rsidR="00A37CFF" w:rsidRPr="001C6F97" w:rsidRDefault="00A37CFF" w:rsidP="00263CD8">
      <w:pPr>
        <w:pStyle w:val="Odstavecseseznamem"/>
        <w:numPr>
          <w:ilvl w:val="0"/>
          <w:numId w:val="32"/>
        </w:numPr>
        <w:spacing w:after="120"/>
        <w:contextualSpacing w:val="0"/>
        <w:jc w:val="both"/>
      </w:pPr>
      <w:r w:rsidRPr="001C6F97">
        <w:rPr>
          <w:b/>
        </w:rPr>
        <w:t>Průměrná délka</w:t>
      </w:r>
      <w:r w:rsidRPr="001C6F97">
        <w:t xml:space="preserve"> </w:t>
      </w:r>
      <w:r w:rsidRPr="001C6F97">
        <w:rPr>
          <w:b/>
        </w:rPr>
        <w:t>trvání pracovní neschopnosti</w:t>
      </w:r>
      <w:r w:rsidRPr="001C6F97">
        <w:t xml:space="preserve"> meziročně klesla </w:t>
      </w:r>
      <w:proofErr w:type="gramStart"/>
      <w:r w:rsidRPr="001C6F97">
        <w:t>ze</w:t>
      </w:r>
      <w:proofErr w:type="gramEnd"/>
      <w:r w:rsidRPr="001C6F97">
        <w:t xml:space="preserve"> </w:t>
      </w:r>
      <w:r w:rsidR="001C6F97" w:rsidRPr="001C6F97">
        <w:t xml:space="preserve">35 v roce 2021 na 26 dnů v roce 2022. </w:t>
      </w:r>
      <w:r w:rsidRPr="001C6F97">
        <w:rPr>
          <w:b/>
        </w:rPr>
        <w:t>Ženy</w:t>
      </w:r>
      <w:r w:rsidRPr="001C6F97">
        <w:t xml:space="preserve"> strávily v pracovní neschopnosti v průměru na 1 případ </w:t>
      </w:r>
      <w:r w:rsidR="001C6F97" w:rsidRPr="001C6F97">
        <w:t>26,6</w:t>
      </w:r>
      <w:r w:rsidRPr="001C6F97">
        <w:t xml:space="preserve"> dne, muži 2</w:t>
      </w:r>
      <w:r w:rsidR="001C6F97" w:rsidRPr="001C6F97">
        <w:t>6</w:t>
      </w:r>
      <w:r w:rsidRPr="001C6F97">
        <w:t>,1 dne.</w:t>
      </w:r>
      <w:r w:rsidR="001C6F97" w:rsidRPr="001C6F97">
        <w:t xml:space="preserve"> Pandemické roky s sebou přinesly pokles průměrné délky trvání dočasné pracovní neschopnosti</w:t>
      </w:r>
      <w:r w:rsidR="007C7A48">
        <w:t>.</w:t>
      </w:r>
      <w:r w:rsidR="001C6F97" w:rsidRPr="001C6F97">
        <w:t xml:space="preserve"> </w:t>
      </w:r>
    </w:p>
    <w:p w14:paraId="35E13191" w14:textId="6B2752F7" w:rsidR="00A37CFF" w:rsidRPr="001C6F97" w:rsidRDefault="00A37CFF" w:rsidP="00A37CFF">
      <w:pPr>
        <w:pStyle w:val="Odstavecseseznamem"/>
        <w:numPr>
          <w:ilvl w:val="0"/>
          <w:numId w:val="32"/>
        </w:numPr>
        <w:spacing w:after="120"/>
        <w:contextualSpacing w:val="0"/>
        <w:jc w:val="both"/>
      </w:pPr>
      <w:r w:rsidRPr="001C6F97">
        <w:t>Nejdelší doba pracovní neschopnosti (3</w:t>
      </w:r>
      <w:r w:rsidR="001C6F97" w:rsidRPr="001C6F97">
        <w:t>7</w:t>
      </w:r>
      <w:r w:rsidRPr="001C6F97">
        <w:t xml:space="preserve"> dnů) byla v sekci Zemědělství, lesnictví, rybářství a Ubytování, stravování a pohostinství (3</w:t>
      </w:r>
      <w:r w:rsidR="001C6F97" w:rsidRPr="001C6F97">
        <w:t>6</w:t>
      </w:r>
      <w:r w:rsidRPr="001C6F97">
        <w:t>). Nejkr</w:t>
      </w:r>
      <w:r w:rsidR="001C6F97" w:rsidRPr="001C6F97">
        <w:t xml:space="preserve">atší naopak ve Vzdělávání </w:t>
      </w:r>
      <w:r w:rsidRPr="001C6F97">
        <w:t>a v ICT činnostech (</w:t>
      </w:r>
      <w:r w:rsidR="001C6F97" w:rsidRPr="001C6F97">
        <w:t xml:space="preserve">shodně </w:t>
      </w:r>
      <w:r w:rsidRPr="001C6F97">
        <w:t>17).</w:t>
      </w:r>
    </w:p>
    <w:p w14:paraId="145CD0EA" w14:textId="4ACE93C1" w:rsidR="0064739B" w:rsidRPr="0064739B" w:rsidRDefault="0064739B" w:rsidP="0064739B">
      <w:pPr>
        <w:pStyle w:val="Odstavecseseznamem"/>
        <w:numPr>
          <w:ilvl w:val="0"/>
          <w:numId w:val="32"/>
        </w:numPr>
        <w:spacing w:after="120"/>
        <w:contextualSpacing w:val="0"/>
        <w:jc w:val="both"/>
      </w:pPr>
      <w:r w:rsidRPr="0064739B">
        <w:rPr>
          <w:b/>
        </w:rPr>
        <w:t xml:space="preserve">Průměrné procento dočasné pracovní neschopnosti </w:t>
      </w:r>
      <w:r w:rsidRPr="0064739B">
        <w:t xml:space="preserve">v roce 2022 dosáhlo hodnoty 5,3. V případě mužů činila hodnota 4,8 %, u žen 5,7 %. </w:t>
      </w:r>
    </w:p>
    <w:p w14:paraId="0EAA32AB" w14:textId="0FE30E09" w:rsidR="00163186" w:rsidRDefault="0064739B" w:rsidP="003C0684">
      <w:pPr>
        <w:pStyle w:val="Odstavecseseznamem"/>
        <w:numPr>
          <w:ilvl w:val="0"/>
          <w:numId w:val="32"/>
        </w:numPr>
        <w:spacing w:after="120"/>
        <w:contextualSpacing w:val="0"/>
        <w:jc w:val="both"/>
      </w:pPr>
      <w:r>
        <w:t xml:space="preserve">Ve sledovaném roce kvůli </w:t>
      </w:r>
      <w:r w:rsidRPr="0064739B">
        <w:t xml:space="preserve">dočasné pracovní neschopnosti </w:t>
      </w:r>
      <w:r w:rsidRPr="00163186">
        <w:rPr>
          <w:b/>
        </w:rPr>
        <w:t>denně na pracovištích chybělo 249</w:t>
      </w:r>
      <w:r w:rsidR="00A5543F">
        <w:rPr>
          <w:b/>
        </w:rPr>
        <w:t> </w:t>
      </w:r>
      <w:r w:rsidRPr="00163186">
        <w:rPr>
          <w:b/>
        </w:rPr>
        <w:t>489</w:t>
      </w:r>
      <w:r w:rsidR="00A5543F">
        <w:rPr>
          <w:b/>
        </w:rPr>
        <w:t> </w:t>
      </w:r>
      <w:proofErr w:type="spellStart"/>
      <w:r w:rsidRPr="00163186">
        <w:rPr>
          <w:b/>
        </w:rPr>
        <w:t>nemocensky</w:t>
      </w:r>
      <w:proofErr w:type="spellEnd"/>
      <w:r w:rsidRPr="00163186">
        <w:rPr>
          <w:b/>
        </w:rPr>
        <w:t xml:space="preserve"> pojištěných osob</w:t>
      </w:r>
      <w:r w:rsidRPr="0064739B">
        <w:t xml:space="preserve">. </w:t>
      </w:r>
      <w:r>
        <w:t xml:space="preserve">Ve 2. pol. 2022 to bylo </w:t>
      </w:r>
      <w:r w:rsidRPr="00163186">
        <w:rPr>
          <w:b/>
        </w:rPr>
        <w:t xml:space="preserve">221 068 </w:t>
      </w:r>
      <w:proofErr w:type="spellStart"/>
      <w:r w:rsidRPr="00163186">
        <w:rPr>
          <w:b/>
        </w:rPr>
        <w:t>nemocensky</w:t>
      </w:r>
      <w:proofErr w:type="spellEnd"/>
      <w:r w:rsidRPr="00163186">
        <w:rPr>
          <w:b/>
        </w:rPr>
        <w:t xml:space="preserve"> pojištěných osob</w:t>
      </w:r>
      <w:r w:rsidRPr="0064739B">
        <w:t xml:space="preserve">, </w:t>
      </w:r>
      <w:r>
        <w:t>tedy</w:t>
      </w:r>
      <w:r w:rsidRPr="0064739B">
        <w:t xml:space="preserve"> </w:t>
      </w:r>
      <w:r w:rsidRPr="005B093C">
        <w:t>ve srovnání s</w:t>
      </w:r>
      <w:r w:rsidR="00131CC7">
        <w:t> obdobím před pandemií</w:t>
      </w:r>
      <w:r w:rsidRPr="005B093C">
        <w:t xml:space="preserve"> 2. pol. roku 2019 přibližně </w:t>
      </w:r>
      <w:r w:rsidR="005B093C" w:rsidRPr="005B093C">
        <w:t xml:space="preserve">o </w:t>
      </w:r>
      <w:r w:rsidRPr="005B093C">
        <w:t>6 tisíc (3 %) zaměstnanců více.</w:t>
      </w:r>
    </w:p>
    <w:p w14:paraId="46FAD3F5" w14:textId="4E6848E5" w:rsidR="0064739B" w:rsidRPr="00D92E20" w:rsidRDefault="0064739B" w:rsidP="003C0684">
      <w:pPr>
        <w:pStyle w:val="Odstavecseseznamem"/>
        <w:numPr>
          <w:ilvl w:val="0"/>
          <w:numId w:val="32"/>
        </w:numPr>
        <w:spacing w:after="120"/>
        <w:contextualSpacing w:val="0"/>
        <w:jc w:val="both"/>
      </w:pPr>
      <w:r w:rsidRPr="005B093C">
        <w:t xml:space="preserve">Za </w:t>
      </w:r>
      <w:r w:rsidR="005B093C" w:rsidRPr="005B093C">
        <w:t>rok</w:t>
      </w:r>
      <w:r w:rsidRPr="005B093C">
        <w:t xml:space="preserve"> 2022 bylo pojištěncům vyplaceno </w:t>
      </w:r>
      <w:r w:rsidRPr="00163186">
        <w:rPr>
          <w:b/>
        </w:rPr>
        <w:t xml:space="preserve">nemocenské ve výši </w:t>
      </w:r>
      <w:r w:rsidR="005B093C" w:rsidRPr="00163186">
        <w:rPr>
          <w:b/>
        </w:rPr>
        <w:t>33</w:t>
      </w:r>
      <w:r w:rsidRPr="00163186">
        <w:rPr>
          <w:b/>
        </w:rPr>
        <w:t xml:space="preserve"> mld. Kč</w:t>
      </w:r>
      <w:r w:rsidRPr="005B093C">
        <w:t xml:space="preserve">. Meziročně výdaje </w:t>
      </w:r>
      <w:r w:rsidR="005B093C" w:rsidRPr="005B093C">
        <w:t xml:space="preserve">(poprvé za desetiletou historii) </w:t>
      </w:r>
      <w:r w:rsidRPr="005B093C">
        <w:t>klesly o </w:t>
      </w:r>
      <w:r w:rsidR="005B093C" w:rsidRPr="005B093C">
        <w:t>1,3</w:t>
      </w:r>
      <w:r w:rsidRPr="005B093C">
        <w:t> mld. Kč, tj. o 4 %</w:t>
      </w:r>
      <w:r w:rsidR="00FB3450">
        <w:t xml:space="preserve"> </w:t>
      </w:r>
      <w:r w:rsidR="00FB3450" w:rsidRPr="00467D54">
        <w:t>a vrátily se tak zhruba na hodnotu z roku 2020</w:t>
      </w:r>
      <w:r w:rsidR="00FB3450">
        <w:t>.</w:t>
      </w:r>
      <w:r w:rsidRPr="005B093C">
        <w:t xml:space="preserve"> Výdaje na nemocenské v přepočtu na jednoho pojištěnce v </w:t>
      </w:r>
      <w:r w:rsidR="005B093C" w:rsidRPr="005B093C">
        <w:t>roce</w:t>
      </w:r>
      <w:r w:rsidRPr="005B093C">
        <w:t xml:space="preserve"> 2022 činily </w:t>
      </w:r>
      <w:r w:rsidR="005B093C" w:rsidRPr="005B093C">
        <w:t>6</w:t>
      </w:r>
      <w:r w:rsidR="005A75BA">
        <w:t> </w:t>
      </w:r>
      <w:r w:rsidR="005B093C" w:rsidRPr="005B093C">
        <w:t>900</w:t>
      </w:r>
      <w:r w:rsidRPr="005B093C">
        <w:t> Kč.</w:t>
      </w:r>
      <w:r w:rsidRPr="00D92E20">
        <w:br w:type="page"/>
      </w:r>
    </w:p>
    <w:p w14:paraId="73DDC35D" w14:textId="77777777" w:rsidR="007459BF" w:rsidRPr="008029B3" w:rsidRDefault="007459BF" w:rsidP="007459BF">
      <w:pPr>
        <w:pStyle w:val="Nadpis2"/>
      </w:pPr>
      <w:bookmarkStart w:id="26" w:name="_Toc136412159"/>
      <w:r w:rsidRPr="008029B3">
        <w:lastRenderedPageBreak/>
        <w:t>5. Použité zkratky a značky</w:t>
      </w:r>
      <w:bookmarkEnd w:id="26"/>
    </w:p>
    <w:p w14:paraId="1D9CC471" w14:textId="77777777" w:rsidR="007459BF" w:rsidRPr="008029B3" w:rsidRDefault="007459BF" w:rsidP="0061756A">
      <w:pPr>
        <w:pStyle w:val="Zkladntextodsazen"/>
        <w:spacing w:line="288" w:lineRule="auto"/>
        <w:ind w:left="0"/>
        <w:jc w:val="both"/>
        <w:rPr>
          <w:rFonts w:cs="Arial"/>
        </w:rPr>
      </w:pPr>
      <w:r w:rsidRPr="008029B3">
        <w:rPr>
          <w:rFonts w:cs="Arial"/>
        </w:rPr>
        <w:t>–</w:t>
      </w:r>
      <w:r w:rsidRPr="008029B3">
        <w:rPr>
          <w:rFonts w:cs="Arial"/>
        </w:rPr>
        <w:tab/>
      </w:r>
      <w:r w:rsidRPr="008029B3">
        <w:rPr>
          <w:rFonts w:cs="Arial"/>
        </w:rPr>
        <w:tab/>
        <w:t>pomlčka na místě čísla značí, že se jev nevyskytoval</w:t>
      </w:r>
    </w:p>
    <w:p w14:paraId="2228EE0E" w14:textId="77777777" w:rsidR="007459BF" w:rsidRPr="008029B3" w:rsidRDefault="007459BF" w:rsidP="0061756A">
      <w:pPr>
        <w:pStyle w:val="Zkladntextodsazen"/>
        <w:spacing w:line="288" w:lineRule="auto"/>
        <w:ind w:left="0"/>
        <w:jc w:val="both"/>
        <w:rPr>
          <w:rFonts w:cs="Arial"/>
        </w:rPr>
      </w:pPr>
      <w:r w:rsidRPr="008029B3">
        <w:rPr>
          <w:rFonts w:cs="Arial"/>
        </w:rPr>
        <w:t>x</w:t>
      </w:r>
      <w:r w:rsidRPr="008029B3">
        <w:rPr>
          <w:rFonts w:cs="Arial"/>
        </w:rPr>
        <w:tab/>
      </w:r>
      <w:r w:rsidRPr="008029B3">
        <w:rPr>
          <w:rFonts w:cs="Arial"/>
        </w:rPr>
        <w:tab/>
        <w:t>křížek (písmeno „x“) na místě čísla značí, že zápis není možný z logických důvodů</w:t>
      </w:r>
    </w:p>
    <w:p w14:paraId="1741621C" w14:textId="77777777" w:rsidR="007459BF" w:rsidRPr="008029B3" w:rsidRDefault="007459BF" w:rsidP="0061756A">
      <w:pPr>
        <w:pStyle w:val="Zkladntextodsazen"/>
        <w:spacing w:line="288" w:lineRule="auto"/>
        <w:ind w:left="0"/>
        <w:jc w:val="both"/>
        <w:rPr>
          <w:rFonts w:cs="Arial"/>
        </w:rPr>
      </w:pPr>
      <w:r w:rsidRPr="008029B3">
        <w:rPr>
          <w:rFonts w:cs="Arial"/>
        </w:rPr>
        <w:t>0</w:t>
      </w:r>
      <w:r w:rsidRPr="008029B3">
        <w:rPr>
          <w:rFonts w:cs="Arial"/>
        </w:rPr>
        <w:tab/>
      </w:r>
      <w:r w:rsidRPr="008029B3">
        <w:rPr>
          <w:rFonts w:cs="Arial"/>
        </w:rPr>
        <w:tab/>
        <w:t>nula se používá pro označení číselných údajů menších než polovina zvolené měřicí jednotky</w:t>
      </w:r>
    </w:p>
    <w:p w14:paraId="425D898A" w14:textId="77777777" w:rsidR="007459BF" w:rsidRPr="008029B3" w:rsidRDefault="007459BF" w:rsidP="0061756A">
      <w:pPr>
        <w:pStyle w:val="Zkladntextodsazen"/>
        <w:spacing w:line="288" w:lineRule="auto"/>
        <w:ind w:left="0"/>
        <w:jc w:val="both"/>
        <w:rPr>
          <w:rFonts w:cs="Arial"/>
        </w:rPr>
      </w:pPr>
      <w:r w:rsidRPr="008029B3">
        <w:rPr>
          <w:rFonts w:cs="Arial"/>
        </w:rPr>
        <w:t>i. d.</w:t>
      </w:r>
      <w:r w:rsidRPr="008029B3">
        <w:rPr>
          <w:rFonts w:cs="Arial"/>
        </w:rPr>
        <w:tab/>
      </w:r>
      <w:r w:rsidRPr="008029B3">
        <w:rPr>
          <w:rFonts w:cs="Arial"/>
        </w:rPr>
        <w:tab/>
        <w:t>značí důvěrná data (individuální údaje i důvěrné statistické údaje)</w:t>
      </w:r>
    </w:p>
    <w:p w14:paraId="197243E8" w14:textId="77777777" w:rsidR="007459BF" w:rsidRPr="008029B3" w:rsidRDefault="007459BF" w:rsidP="0061756A">
      <w:pPr>
        <w:pStyle w:val="Zkladntextodsazen"/>
        <w:spacing w:line="288" w:lineRule="auto"/>
        <w:ind w:left="0"/>
        <w:jc w:val="both"/>
        <w:rPr>
          <w:rFonts w:cs="Arial"/>
        </w:rPr>
      </w:pPr>
    </w:p>
    <w:p w14:paraId="4FA3EDC7" w14:textId="77777777" w:rsidR="007459BF" w:rsidRPr="008029B3" w:rsidRDefault="007459BF" w:rsidP="0061756A">
      <w:pPr>
        <w:pStyle w:val="Zkladntextodsazen"/>
        <w:spacing w:line="288" w:lineRule="auto"/>
        <w:ind w:left="0"/>
      </w:pPr>
      <w:r w:rsidRPr="008029B3">
        <w:t>CZ-NACE</w:t>
      </w:r>
      <w:r w:rsidRPr="008029B3">
        <w:tab/>
        <w:t>Klasifikace ekonomických činností</w:t>
      </w:r>
    </w:p>
    <w:p w14:paraId="5EE5C49B" w14:textId="7D7D46A6" w:rsidR="007459BF" w:rsidRDefault="007459BF" w:rsidP="0061756A">
      <w:pPr>
        <w:pStyle w:val="Zkladntextodsazen"/>
        <w:spacing w:line="288" w:lineRule="auto"/>
        <w:ind w:left="0"/>
      </w:pPr>
      <w:r w:rsidRPr="008029B3">
        <w:t>CZ-NUTS</w:t>
      </w:r>
      <w:r w:rsidRPr="008029B3">
        <w:tab/>
        <w:t>Klasifikace územních statistických jednotek</w:t>
      </w:r>
    </w:p>
    <w:p w14:paraId="4A0C4DAF" w14:textId="5D23688D" w:rsidR="00FB3450" w:rsidRPr="008029B3" w:rsidRDefault="00FB3450" w:rsidP="0061756A">
      <w:pPr>
        <w:pStyle w:val="Zkladntextodsazen"/>
        <w:spacing w:line="288" w:lineRule="auto"/>
        <w:ind w:left="0"/>
      </w:pPr>
      <w:r>
        <w:t>ČBÚ</w:t>
      </w:r>
      <w:r>
        <w:tab/>
      </w:r>
      <w:r>
        <w:tab/>
        <w:t>Český báňský úřad</w:t>
      </w:r>
    </w:p>
    <w:p w14:paraId="2FB45BEE" w14:textId="77777777" w:rsidR="007459BF" w:rsidRPr="008029B3" w:rsidRDefault="007459BF" w:rsidP="0061756A">
      <w:pPr>
        <w:pStyle w:val="Zkladntextodsazen"/>
        <w:spacing w:line="288" w:lineRule="auto"/>
        <w:ind w:left="0"/>
      </w:pPr>
      <w:r w:rsidRPr="008029B3">
        <w:t>ČR</w:t>
      </w:r>
      <w:r w:rsidRPr="008029B3">
        <w:tab/>
      </w:r>
      <w:r w:rsidRPr="008029B3">
        <w:tab/>
        <w:t>Česká republika</w:t>
      </w:r>
    </w:p>
    <w:p w14:paraId="35378956" w14:textId="77777777" w:rsidR="007459BF" w:rsidRPr="008029B3" w:rsidRDefault="007459BF" w:rsidP="0061756A">
      <w:pPr>
        <w:pStyle w:val="Zkladntextodsazen"/>
        <w:spacing w:line="288" w:lineRule="auto"/>
        <w:ind w:left="0"/>
      </w:pPr>
      <w:r w:rsidRPr="008029B3">
        <w:t>ČSSZ</w:t>
      </w:r>
      <w:r w:rsidRPr="008029B3">
        <w:tab/>
      </w:r>
      <w:r w:rsidRPr="008029B3">
        <w:tab/>
        <w:t>Česká správa sociálního zabezpečení</w:t>
      </w:r>
    </w:p>
    <w:p w14:paraId="2E9C73D9" w14:textId="77777777" w:rsidR="007459BF" w:rsidRPr="008029B3" w:rsidRDefault="007459BF" w:rsidP="0061756A">
      <w:pPr>
        <w:pStyle w:val="Zkladntextodsazen"/>
        <w:spacing w:line="288" w:lineRule="auto"/>
        <w:ind w:left="0"/>
      </w:pPr>
      <w:r w:rsidRPr="008029B3">
        <w:t>ČSÚ</w:t>
      </w:r>
      <w:r w:rsidRPr="008029B3">
        <w:tab/>
      </w:r>
      <w:r w:rsidRPr="008029B3">
        <w:tab/>
        <w:t>Český statistický úřad</w:t>
      </w:r>
    </w:p>
    <w:p w14:paraId="431509DF" w14:textId="77777777" w:rsidR="007459BF" w:rsidRPr="008029B3" w:rsidRDefault="007459BF" w:rsidP="0061756A">
      <w:pPr>
        <w:pStyle w:val="Zkladntextodsazen"/>
        <w:spacing w:line="288" w:lineRule="auto"/>
        <w:ind w:left="0"/>
        <w:jc w:val="both"/>
        <w:rPr>
          <w:rFonts w:cs="Arial"/>
        </w:rPr>
      </w:pPr>
      <w:r w:rsidRPr="008029B3">
        <w:rPr>
          <w:rFonts w:cs="Arial"/>
        </w:rPr>
        <w:t>DPN</w:t>
      </w:r>
      <w:r w:rsidRPr="008029B3">
        <w:rPr>
          <w:rFonts w:cs="Arial"/>
        </w:rPr>
        <w:tab/>
      </w:r>
      <w:r w:rsidRPr="008029B3">
        <w:rPr>
          <w:rFonts w:cs="Arial"/>
        </w:rPr>
        <w:tab/>
        <w:t>dočasná pracovní neschopnost</w:t>
      </w:r>
    </w:p>
    <w:p w14:paraId="19289924" w14:textId="77777777" w:rsidR="007459BF" w:rsidRPr="008029B3" w:rsidRDefault="007459BF" w:rsidP="0061756A">
      <w:pPr>
        <w:pStyle w:val="Zkladntextodsazen"/>
        <w:spacing w:line="288" w:lineRule="auto"/>
        <w:ind w:left="0"/>
        <w:jc w:val="both"/>
        <w:rPr>
          <w:rFonts w:cs="Arial"/>
        </w:rPr>
      </w:pPr>
      <w:r w:rsidRPr="008029B3">
        <w:rPr>
          <w:rFonts w:cs="Arial"/>
        </w:rPr>
        <w:t>ESA</w:t>
      </w:r>
      <w:r w:rsidRPr="008029B3">
        <w:rPr>
          <w:rFonts w:cs="Arial"/>
        </w:rPr>
        <w:tab/>
      </w:r>
      <w:r w:rsidRPr="008029B3">
        <w:rPr>
          <w:rFonts w:cs="Arial"/>
        </w:rPr>
        <w:tab/>
        <w:t>Evropský systém účtů</w:t>
      </w:r>
    </w:p>
    <w:p w14:paraId="4587A77C" w14:textId="77777777" w:rsidR="00EE4CC2" w:rsidRPr="008029B3" w:rsidRDefault="00EE4CC2" w:rsidP="0061756A">
      <w:pPr>
        <w:pStyle w:val="Zkladntextodsazen"/>
        <w:spacing w:line="288" w:lineRule="auto"/>
        <w:ind w:left="0"/>
        <w:jc w:val="both"/>
      </w:pPr>
      <w:r w:rsidRPr="008029B3">
        <w:rPr>
          <w:rFonts w:cs="Arial"/>
        </w:rPr>
        <w:t>ESAW</w:t>
      </w:r>
      <w:r w:rsidRPr="008029B3">
        <w:rPr>
          <w:rFonts w:cs="Arial"/>
        </w:rPr>
        <w:tab/>
      </w:r>
      <w:r w:rsidRPr="008029B3">
        <w:rPr>
          <w:rFonts w:cs="Arial"/>
        </w:rPr>
        <w:tab/>
      </w:r>
      <w:proofErr w:type="spellStart"/>
      <w:r w:rsidRPr="008029B3">
        <w:rPr>
          <w:rFonts w:cs="Arial"/>
        </w:rPr>
        <w:t>European</w:t>
      </w:r>
      <w:proofErr w:type="spellEnd"/>
      <w:r w:rsidRPr="008029B3">
        <w:rPr>
          <w:rFonts w:cs="Arial"/>
        </w:rPr>
        <w:t xml:space="preserve"> </w:t>
      </w:r>
      <w:proofErr w:type="spellStart"/>
      <w:r w:rsidRPr="008029B3">
        <w:rPr>
          <w:rFonts w:cs="Arial"/>
        </w:rPr>
        <w:t>Statistics</w:t>
      </w:r>
      <w:proofErr w:type="spellEnd"/>
      <w:r w:rsidRPr="008029B3">
        <w:rPr>
          <w:rFonts w:cs="Arial"/>
        </w:rPr>
        <w:t xml:space="preserve"> on </w:t>
      </w:r>
      <w:proofErr w:type="spellStart"/>
      <w:r w:rsidRPr="008029B3">
        <w:rPr>
          <w:rFonts w:cs="Arial"/>
        </w:rPr>
        <w:t>Accidents</w:t>
      </w:r>
      <w:proofErr w:type="spellEnd"/>
      <w:r w:rsidRPr="008029B3">
        <w:rPr>
          <w:rFonts w:cs="Arial"/>
        </w:rPr>
        <w:t xml:space="preserve"> </w:t>
      </w:r>
      <w:proofErr w:type="spellStart"/>
      <w:r w:rsidRPr="008029B3">
        <w:rPr>
          <w:rFonts w:cs="Arial"/>
        </w:rPr>
        <w:t>at</w:t>
      </w:r>
      <w:proofErr w:type="spellEnd"/>
      <w:r w:rsidRPr="008029B3">
        <w:rPr>
          <w:rFonts w:cs="Arial"/>
        </w:rPr>
        <w:t xml:space="preserve"> </w:t>
      </w:r>
      <w:proofErr w:type="spellStart"/>
      <w:r w:rsidRPr="008029B3">
        <w:rPr>
          <w:rFonts w:cs="Arial"/>
        </w:rPr>
        <w:t>Work</w:t>
      </w:r>
      <w:proofErr w:type="spellEnd"/>
    </w:p>
    <w:p w14:paraId="77282638" w14:textId="77777777" w:rsidR="007459BF" w:rsidRPr="008029B3" w:rsidRDefault="007459BF" w:rsidP="0061756A">
      <w:pPr>
        <w:pStyle w:val="Zkladntextodsazen"/>
        <w:spacing w:line="288" w:lineRule="auto"/>
        <w:ind w:left="0"/>
      </w:pPr>
      <w:r w:rsidRPr="008029B3">
        <w:t>MKN-10</w:t>
      </w:r>
      <w:r w:rsidRPr="008029B3">
        <w:tab/>
        <w:t>Mezinárodní statistická klasifikace nemocí a přidružených zdravotních problémů</w:t>
      </w:r>
    </w:p>
    <w:p w14:paraId="5A4F2EF3" w14:textId="77777777" w:rsidR="007459BF" w:rsidRPr="008029B3" w:rsidRDefault="007459BF" w:rsidP="0061756A">
      <w:pPr>
        <w:pStyle w:val="Zkladntextodsazen"/>
        <w:spacing w:line="288" w:lineRule="auto"/>
        <w:ind w:left="0"/>
      </w:pPr>
      <w:r w:rsidRPr="008029B3">
        <w:t>MPSV</w:t>
      </w:r>
      <w:r w:rsidRPr="008029B3">
        <w:tab/>
      </w:r>
      <w:r w:rsidRPr="008029B3">
        <w:tab/>
        <w:t>Ministerstvo práce a sociálních věcí České republiky</w:t>
      </w:r>
    </w:p>
    <w:p w14:paraId="2AC90B34" w14:textId="77777777" w:rsidR="007459BF" w:rsidRPr="008029B3" w:rsidRDefault="007459BF" w:rsidP="0061756A">
      <w:pPr>
        <w:pStyle w:val="Zkladntextodsazen"/>
        <w:spacing w:line="288" w:lineRule="auto"/>
        <w:ind w:left="0"/>
        <w:rPr>
          <w:rFonts w:cs="Arial"/>
        </w:rPr>
      </w:pPr>
      <w:proofErr w:type="spellStart"/>
      <w:r w:rsidRPr="008029B3">
        <w:rPr>
          <w:rFonts w:cs="Arial"/>
        </w:rPr>
        <w:t>Nem</w:t>
      </w:r>
      <w:proofErr w:type="spellEnd"/>
      <w:r w:rsidRPr="008029B3">
        <w:rPr>
          <w:rFonts w:cs="Arial"/>
        </w:rPr>
        <w:t xml:space="preserve"> </w:t>
      </w:r>
      <w:proofErr w:type="spellStart"/>
      <w:r w:rsidRPr="008029B3">
        <w:rPr>
          <w:rFonts w:cs="Arial"/>
        </w:rPr>
        <w:t>Úr</w:t>
      </w:r>
      <w:proofErr w:type="spellEnd"/>
      <w:r w:rsidRPr="008029B3">
        <w:rPr>
          <w:rFonts w:cs="Arial"/>
        </w:rPr>
        <w:t xml:space="preserve"> 1–02 </w:t>
      </w:r>
      <w:r w:rsidRPr="008029B3">
        <w:rPr>
          <w:rFonts w:cs="Arial"/>
        </w:rPr>
        <w:tab/>
        <w:t>Výkaz o pracovní neschopnosti pro nemoc a úraz</w:t>
      </w:r>
    </w:p>
    <w:p w14:paraId="7DBF8515" w14:textId="77777777" w:rsidR="007459BF" w:rsidRPr="008029B3" w:rsidRDefault="007459BF" w:rsidP="0061756A">
      <w:pPr>
        <w:pStyle w:val="Zkladntextodsazen"/>
        <w:spacing w:line="288" w:lineRule="auto"/>
        <w:ind w:left="0"/>
      </w:pPr>
      <w:r w:rsidRPr="008029B3">
        <w:t>OIP</w:t>
      </w:r>
      <w:r w:rsidRPr="008029B3">
        <w:tab/>
      </w:r>
      <w:r w:rsidRPr="008029B3">
        <w:tab/>
        <w:t>Oblastní inspektorát práce</w:t>
      </w:r>
    </w:p>
    <w:p w14:paraId="37616380" w14:textId="77777777" w:rsidR="007459BF" w:rsidRPr="008029B3" w:rsidRDefault="007459BF" w:rsidP="0061756A">
      <w:pPr>
        <w:pStyle w:val="Zkladntextodsazen"/>
        <w:spacing w:line="288" w:lineRule="auto"/>
        <w:ind w:left="0"/>
      </w:pPr>
      <w:r w:rsidRPr="008029B3">
        <w:t>OSSZ</w:t>
      </w:r>
      <w:r w:rsidRPr="008029B3">
        <w:tab/>
      </w:r>
      <w:r w:rsidRPr="008029B3">
        <w:tab/>
        <w:t>Okresní správa sociálního zabezpečení</w:t>
      </w:r>
    </w:p>
    <w:p w14:paraId="2E32FC7E" w14:textId="77777777" w:rsidR="007459BF" w:rsidRPr="008029B3" w:rsidRDefault="007459BF" w:rsidP="0061756A">
      <w:pPr>
        <w:pStyle w:val="Zkladntextodsazen"/>
        <w:spacing w:line="288" w:lineRule="auto"/>
        <w:ind w:left="0"/>
      </w:pPr>
      <w:r w:rsidRPr="008029B3">
        <w:t>OSVČ</w:t>
      </w:r>
      <w:r w:rsidRPr="008029B3">
        <w:tab/>
      </w:r>
      <w:r w:rsidRPr="008029B3">
        <w:tab/>
        <w:t>osoba samostatně výdělečně činná</w:t>
      </w:r>
    </w:p>
    <w:p w14:paraId="750D4330" w14:textId="77777777" w:rsidR="007459BF" w:rsidRPr="008029B3" w:rsidRDefault="007459BF" w:rsidP="0061756A">
      <w:pPr>
        <w:pStyle w:val="Zkladntextodsazen"/>
        <w:spacing w:line="288" w:lineRule="auto"/>
        <w:ind w:left="0"/>
      </w:pPr>
      <w:r w:rsidRPr="008029B3">
        <w:t>PN</w:t>
      </w:r>
      <w:r w:rsidRPr="008029B3">
        <w:tab/>
      </w:r>
      <w:r w:rsidRPr="008029B3">
        <w:tab/>
        <w:t>pracovní neschopnost</w:t>
      </w:r>
    </w:p>
    <w:p w14:paraId="18D78B57" w14:textId="77777777" w:rsidR="007459BF" w:rsidRPr="008029B3" w:rsidRDefault="007459BF" w:rsidP="0061756A">
      <w:pPr>
        <w:pStyle w:val="Zkladntextodsazen"/>
        <w:spacing w:line="288" w:lineRule="auto"/>
        <w:ind w:left="0"/>
      </w:pPr>
      <w:r w:rsidRPr="008029B3">
        <w:t>SÚIP</w:t>
      </w:r>
      <w:r w:rsidRPr="008029B3">
        <w:tab/>
      </w:r>
      <w:r w:rsidRPr="008029B3">
        <w:tab/>
        <w:t>Státní úřad inspekce práce</w:t>
      </w:r>
    </w:p>
    <w:p w14:paraId="6950B7FE" w14:textId="77777777" w:rsidR="007459BF" w:rsidRPr="008029B3" w:rsidRDefault="007459BF" w:rsidP="0061756A">
      <w:pPr>
        <w:pStyle w:val="Zkladntextodsazen"/>
        <w:spacing w:line="288" w:lineRule="auto"/>
        <w:ind w:left="0"/>
      </w:pPr>
      <w:r w:rsidRPr="008029B3">
        <w:t>ÚZIS ČR</w:t>
      </w:r>
      <w:r w:rsidRPr="008029B3">
        <w:tab/>
        <w:t>Ústav zdravotnických informací a statistiky České republiky</w:t>
      </w:r>
    </w:p>
    <w:p w14:paraId="5DB824D5" w14:textId="77777777" w:rsidR="007459BF" w:rsidRPr="00166BEB" w:rsidRDefault="007459BF">
      <w:pPr>
        <w:spacing w:after="0" w:line="240" w:lineRule="auto"/>
        <w:rPr>
          <w:szCs w:val="20"/>
          <w:highlight w:val="yellow"/>
        </w:rPr>
      </w:pPr>
      <w:r w:rsidRPr="00166BEB">
        <w:rPr>
          <w:highlight w:val="yellow"/>
        </w:rPr>
        <w:br w:type="page"/>
      </w:r>
    </w:p>
    <w:p w14:paraId="7C69E8BA" w14:textId="77777777" w:rsidR="007459BF" w:rsidRPr="00206DE9" w:rsidRDefault="007459BF" w:rsidP="007459BF">
      <w:pPr>
        <w:pStyle w:val="Nadpis2"/>
      </w:pPr>
      <w:bookmarkStart w:id="27" w:name="_Toc136412160"/>
      <w:r w:rsidRPr="00206DE9">
        <w:lastRenderedPageBreak/>
        <w:t>6. Tabulková část – seznam tabulek</w:t>
      </w:r>
      <w:bookmarkEnd w:id="27"/>
    </w:p>
    <w:p w14:paraId="06121040" w14:textId="77777777" w:rsidR="007459BF" w:rsidRPr="00206DE9" w:rsidRDefault="007459BF" w:rsidP="007459BF">
      <w:pPr>
        <w:spacing w:after="0"/>
        <w:rPr>
          <w:rFonts w:cs="Arial"/>
          <w:b/>
        </w:rPr>
      </w:pPr>
      <w:r w:rsidRPr="00206DE9">
        <w:rPr>
          <w:rFonts w:cs="Arial"/>
          <w:b/>
        </w:rPr>
        <w:t xml:space="preserve">Pracovní neschopnost pro nemoc a úraz dle velikosti podniku, institucionálních sektorů, </w:t>
      </w:r>
      <w:r w:rsidRPr="00206DE9">
        <w:rPr>
          <w:rFonts w:cs="Arial"/>
          <w:b/>
        </w:rPr>
        <w:br/>
        <w:t>sekcí CZ-NACE a krajů</w:t>
      </w:r>
    </w:p>
    <w:p w14:paraId="7E061148" w14:textId="77777777" w:rsidR="007459BF" w:rsidRPr="00206DE9" w:rsidRDefault="007459BF" w:rsidP="007459BF">
      <w:pPr>
        <w:spacing w:after="0"/>
        <w:ind w:left="851" w:hanging="851"/>
      </w:pPr>
      <w:r w:rsidRPr="00206DE9">
        <w:t>Tab. 1: Základní ukazatele dočasné pracovní neschopnosti</w:t>
      </w:r>
    </w:p>
    <w:p w14:paraId="49D1F389" w14:textId="77777777" w:rsidR="007459BF" w:rsidRPr="00206DE9" w:rsidRDefault="007459BF" w:rsidP="007459BF">
      <w:pPr>
        <w:spacing w:after="0"/>
        <w:ind w:left="851" w:hanging="851"/>
      </w:pPr>
      <w:r w:rsidRPr="00206DE9">
        <w:t xml:space="preserve">Tab. 1.1: Počet </w:t>
      </w:r>
      <w:proofErr w:type="spellStart"/>
      <w:r w:rsidRPr="00206DE9">
        <w:t>nemocensky</w:t>
      </w:r>
      <w:proofErr w:type="spellEnd"/>
      <w:r w:rsidRPr="00206DE9">
        <w:t xml:space="preserve"> pojištěných</w:t>
      </w:r>
    </w:p>
    <w:p w14:paraId="1678BCB1" w14:textId="77777777" w:rsidR="007459BF" w:rsidRPr="00206DE9" w:rsidRDefault="007459BF" w:rsidP="007459BF">
      <w:pPr>
        <w:spacing w:after="0"/>
        <w:ind w:left="851" w:hanging="851"/>
      </w:pPr>
      <w:r w:rsidRPr="00206DE9">
        <w:t>Tab. 1.2: Počet nově hlášených případů dočasné pracovní neschopnosti</w:t>
      </w:r>
    </w:p>
    <w:p w14:paraId="30EB97B0" w14:textId="77777777" w:rsidR="007459BF" w:rsidRPr="00206DE9" w:rsidRDefault="007459BF" w:rsidP="007459BF">
      <w:pPr>
        <w:spacing w:after="0"/>
        <w:ind w:left="851" w:hanging="851"/>
      </w:pPr>
      <w:r w:rsidRPr="00206DE9">
        <w:t>Tab. 1.3: Počet kalendářních dnů dočasné pracovní neschopnosti</w:t>
      </w:r>
    </w:p>
    <w:p w14:paraId="5926F60E" w14:textId="77777777" w:rsidR="007459BF" w:rsidRPr="00206DE9" w:rsidRDefault="007459BF" w:rsidP="007459BF">
      <w:pPr>
        <w:spacing w:after="0"/>
        <w:ind w:left="851" w:hanging="851"/>
      </w:pPr>
      <w:r w:rsidRPr="00206DE9">
        <w:t>Tab. 1.4: Počet nově hlášených případů dočasné pracovní neschopnosti na 100 pojištěnců</w:t>
      </w:r>
    </w:p>
    <w:p w14:paraId="46BA5CFD" w14:textId="77777777" w:rsidR="007459BF" w:rsidRPr="00206DE9" w:rsidRDefault="007459BF" w:rsidP="007459BF">
      <w:pPr>
        <w:spacing w:after="0"/>
        <w:ind w:left="851" w:hanging="851"/>
      </w:pPr>
      <w:r w:rsidRPr="00206DE9">
        <w:t>Tab. 1.5: Průměrné procento dočasné pracovní neschopnosti</w:t>
      </w:r>
    </w:p>
    <w:p w14:paraId="768E30F2" w14:textId="77777777" w:rsidR="007459BF" w:rsidRPr="00206DE9" w:rsidRDefault="007459BF" w:rsidP="007459BF">
      <w:pPr>
        <w:spacing w:after="0"/>
        <w:ind w:left="851" w:hanging="851"/>
      </w:pPr>
      <w:r w:rsidRPr="00206DE9">
        <w:t>Tab. 1.6: Počet kalendářních dnů dočasné pracovní neschopnosti na 1 nově hlášený případ</w:t>
      </w:r>
    </w:p>
    <w:p w14:paraId="47F8A85A" w14:textId="77777777" w:rsidR="007459BF" w:rsidRPr="00206DE9" w:rsidRDefault="007459BF" w:rsidP="007459BF">
      <w:pPr>
        <w:spacing w:after="120"/>
        <w:ind w:left="851" w:hanging="851"/>
      </w:pPr>
      <w:r w:rsidRPr="00206DE9">
        <w:t>Tab. 1.7: Průměrný denní stav dočasně práce neschopných</w:t>
      </w:r>
    </w:p>
    <w:p w14:paraId="295F6907" w14:textId="77777777" w:rsidR="007459BF" w:rsidRPr="00206DE9" w:rsidRDefault="007459BF" w:rsidP="007459BF">
      <w:pPr>
        <w:spacing w:after="60"/>
        <w:ind w:left="851" w:hanging="851"/>
        <w:rPr>
          <w:rStyle w:val="Siln"/>
          <w:rFonts w:eastAsia="MS Gothic" w:cs="Arial"/>
        </w:rPr>
      </w:pPr>
      <w:r w:rsidRPr="00206DE9">
        <w:rPr>
          <w:rStyle w:val="Siln"/>
          <w:rFonts w:eastAsia="MS Gothic" w:cs="Arial"/>
        </w:rPr>
        <w:t xml:space="preserve">Pracovní neschopnost </w:t>
      </w:r>
      <w:r w:rsidRPr="00206DE9">
        <w:rPr>
          <w:rFonts w:cs="Arial"/>
          <w:b/>
        </w:rPr>
        <w:t>pro nemoc a úraz</w:t>
      </w:r>
      <w:r w:rsidRPr="00206DE9">
        <w:rPr>
          <w:rStyle w:val="Siln"/>
          <w:rFonts w:eastAsia="MS Gothic" w:cs="Arial"/>
        </w:rPr>
        <w:t xml:space="preserve"> dle sekcí a oddílů CZ-NACE</w:t>
      </w:r>
    </w:p>
    <w:p w14:paraId="4C4CED56" w14:textId="77777777" w:rsidR="007459BF" w:rsidRPr="00206DE9" w:rsidRDefault="007459BF" w:rsidP="007459BF">
      <w:pPr>
        <w:spacing w:after="0"/>
        <w:ind w:left="851" w:hanging="851"/>
        <w:rPr>
          <w:rFonts w:cs="Arial"/>
        </w:rPr>
      </w:pPr>
      <w:r w:rsidRPr="00206DE9">
        <w:rPr>
          <w:rFonts w:cs="Arial"/>
        </w:rPr>
        <w:t>Tab. 2: Základní ukazatele dočasné pracovní neschopnosti</w:t>
      </w:r>
    </w:p>
    <w:p w14:paraId="3E39D422" w14:textId="77777777" w:rsidR="007459BF" w:rsidRPr="00206DE9" w:rsidRDefault="007459BF" w:rsidP="007459BF">
      <w:pPr>
        <w:spacing w:after="0"/>
        <w:ind w:left="851" w:hanging="851"/>
        <w:rPr>
          <w:rFonts w:cs="Arial"/>
        </w:rPr>
      </w:pPr>
      <w:r w:rsidRPr="00206DE9">
        <w:rPr>
          <w:rFonts w:cs="Arial"/>
        </w:rPr>
        <w:t xml:space="preserve">Tab. 2.1: Počet </w:t>
      </w:r>
      <w:proofErr w:type="spellStart"/>
      <w:r w:rsidRPr="00206DE9">
        <w:rPr>
          <w:rFonts w:cs="Arial"/>
        </w:rPr>
        <w:t>nemocensky</w:t>
      </w:r>
      <w:proofErr w:type="spellEnd"/>
      <w:r w:rsidRPr="00206DE9">
        <w:rPr>
          <w:rFonts w:cs="Arial"/>
        </w:rPr>
        <w:t xml:space="preserve"> pojištěných</w:t>
      </w:r>
    </w:p>
    <w:p w14:paraId="4B8BF8AA" w14:textId="77777777" w:rsidR="007459BF" w:rsidRPr="00206DE9" w:rsidRDefault="007459BF" w:rsidP="007459BF">
      <w:pPr>
        <w:spacing w:after="0"/>
        <w:ind w:left="851" w:hanging="851"/>
        <w:rPr>
          <w:rFonts w:cs="Arial"/>
        </w:rPr>
      </w:pPr>
      <w:r w:rsidRPr="00206DE9">
        <w:rPr>
          <w:rFonts w:cs="Arial"/>
        </w:rPr>
        <w:t>Tab. 2.2: Počet nově hlášených případů dočasné pracovní neschopnosti</w:t>
      </w:r>
    </w:p>
    <w:p w14:paraId="53CF6334" w14:textId="77777777" w:rsidR="007459BF" w:rsidRPr="00206DE9" w:rsidRDefault="007459BF" w:rsidP="007459BF">
      <w:pPr>
        <w:spacing w:after="0"/>
        <w:ind w:left="851" w:hanging="851"/>
        <w:rPr>
          <w:rFonts w:cs="Arial"/>
        </w:rPr>
      </w:pPr>
      <w:r w:rsidRPr="00206DE9">
        <w:rPr>
          <w:rFonts w:cs="Arial"/>
        </w:rPr>
        <w:t>Tab. 2.3: Počet kalendářních dnů dočasné pracovní neschopnosti</w:t>
      </w:r>
    </w:p>
    <w:p w14:paraId="561DACBD" w14:textId="77777777" w:rsidR="007459BF" w:rsidRPr="00206DE9" w:rsidRDefault="007459BF" w:rsidP="007459BF">
      <w:pPr>
        <w:spacing w:after="0"/>
        <w:ind w:left="851" w:hanging="851"/>
        <w:rPr>
          <w:rFonts w:cs="Arial"/>
        </w:rPr>
      </w:pPr>
      <w:r w:rsidRPr="00206DE9">
        <w:rPr>
          <w:rFonts w:cs="Arial"/>
        </w:rPr>
        <w:t>Tab. 2.4: Počet nově hlášených případů dočasné pracovní neschopnosti na 100 pojištěnců</w:t>
      </w:r>
    </w:p>
    <w:p w14:paraId="4B78A940" w14:textId="77777777" w:rsidR="007459BF" w:rsidRPr="00206DE9" w:rsidRDefault="007459BF" w:rsidP="007459BF">
      <w:pPr>
        <w:spacing w:after="0"/>
        <w:ind w:left="851" w:hanging="851"/>
        <w:rPr>
          <w:rFonts w:cs="Arial"/>
        </w:rPr>
      </w:pPr>
      <w:r w:rsidRPr="00206DE9">
        <w:rPr>
          <w:rFonts w:cs="Arial"/>
        </w:rPr>
        <w:t>Tab. 2.5: Průměrné procento dočasné pracovní neschopnosti</w:t>
      </w:r>
    </w:p>
    <w:p w14:paraId="6F01C6E0" w14:textId="77777777" w:rsidR="007459BF" w:rsidRPr="00206DE9" w:rsidRDefault="007459BF" w:rsidP="007459BF">
      <w:pPr>
        <w:spacing w:after="0"/>
        <w:ind w:left="851" w:hanging="851"/>
        <w:rPr>
          <w:rFonts w:cs="Arial"/>
        </w:rPr>
      </w:pPr>
      <w:r w:rsidRPr="00206DE9">
        <w:rPr>
          <w:rFonts w:cs="Arial"/>
        </w:rPr>
        <w:t>Tab. 2.6: Počet kalendářních dnů dočasné pracovní neschopnosti na 1 nově hlášený případ</w:t>
      </w:r>
    </w:p>
    <w:p w14:paraId="32377C48" w14:textId="77777777" w:rsidR="007459BF" w:rsidRPr="00206DE9" w:rsidRDefault="007459BF" w:rsidP="007459BF">
      <w:pPr>
        <w:spacing w:after="120"/>
        <w:ind w:left="851" w:hanging="851"/>
        <w:rPr>
          <w:rStyle w:val="Siln"/>
          <w:rFonts w:eastAsia="MS Gothic" w:cs="Arial"/>
          <w:bCs w:val="0"/>
        </w:rPr>
      </w:pPr>
      <w:r w:rsidRPr="00206DE9">
        <w:rPr>
          <w:rFonts w:cs="Arial"/>
        </w:rPr>
        <w:t>Tab. 2.7: Průměrný denní stav dočasně práce neschopných</w:t>
      </w:r>
    </w:p>
    <w:p w14:paraId="15A7A835" w14:textId="77777777" w:rsidR="007459BF" w:rsidRPr="00206DE9" w:rsidRDefault="007459BF" w:rsidP="007459BF">
      <w:pPr>
        <w:spacing w:after="60"/>
        <w:ind w:left="851" w:hanging="851"/>
        <w:rPr>
          <w:rStyle w:val="Siln"/>
          <w:rFonts w:eastAsia="MS Gothic" w:cs="Arial"/>
          <w:bCs w:val="0"/>
        </w:rPr>
      </w:pPr>
      <w:r w:rsidRPr="00206DE9">
        <w:rPr>
          <w:rStyle w:val="Siln"/>
          <w:rFonts w:eastAsia="MS Gothic" w:cs="Arial"/>
          <w:bCs w:val="0"/>
        </w:rPr>
        <w:t xml:space="preserve">Pracovní neschopnost </w:t>
      </w:r>
      <w:r w:rsidRPr="00206DE9">
        <w:rPr>
          <w:rFonts w:cs="Arial"/>
          <w:b/>
        </w:rPr>
        <w:t xml:space="preserve">pro nemoc a úraz </w:t>
      </w:r>
      <w:r w:rsidRPr="00206DE9">
        <w:rPr>
          <w:rStyle w:val="Siln"/>
          <w:rFonts w:eastAsia="MS Gothic" w:cs="Arial"/>
          <w:bCs w:val="0"/>
        </w:rPr>
        <w:t>dle krajů a okresů</w:t>
      </w:r>
    </w:p>
    <w:p w14:paraId="5BECA8C2" w14:textId="77777777" w:rsidR="007459BF" w:rsidRPr="00206DE9" w:rsidRDefault="007459BF" w:rsidP="007459BF">
      <w:pPr>
        <w:spacing w:after="0"/>
        <w:ind w:left="851" w:hanging="851"/>
        <w:rPr>
          <w:rFonts w:cs="Arial"/>
        </w:rPr>
      </w:pPr>
      <w:r w:rsidRPr="00206DE9">
        <w:rPr>
          <w:rFonts w:cs="Arial"/>
        </w:rPr>
        <w:t>Tab. 3: Základní ukazatele dočasné pracovní neschopnosti</w:t>
      </w:r>
    </w:p>
    <w:p w14:paraId="2112FA76" w14:textId="77777777" w:rsidR="007459BF" w:rsidRPr="00206DE9" w:rsidRDefault="007459BF" w:rsidP="007459BF">
      <w:pPr>
        <w:spacing w:after="0"/>
        <w:ind w:left="851" w:hanging="851"/>
        <w:rPr>
          <w:rFonts w:cs="Arial"/>
        </w:rPr>
      </w:pPr>
      <w:r w:rsidRPr="00206DE9">
        <w:rPr>
          <w:rFonts w:cs="Arial"/>
        </w:rPr>
        <w:t xml:space="preserve">Tab. 3.1: Počet </w:t>
      </w:r>
      <w:proofErr w:type="spellStart"/>
      <w:r w:rsidRPr="00206DE9">
        <w:rPr>
          <w:rFonts w:cs="Arial"/>
        </w:rPr>
        <w:t>nemocensky</w:t>
      </w:r>
      <w:proofErr w:type="spellEnd"/>
      <w:r w:rsidRPr="00206DE9">
        <w:rPr>
          <w:rFonts w:cs="Arial"/>
        </w:rPr>
        <w:t xml:space="preserve"> pojištěných</w:t>
      </w:r>
    </w:p>
    <w:p w14:paraId="701F4E7E" w14:textId="77777777" w:rsidR="007459BF" w:rsidRPr="00206DE9" w:rsidRDefault="007459BF" w:rsidP="007459BF">
      <w:pPr>
        <w:spacing w:after="0"/>
        <w:ind w:left="851" w:hanging="851"/>
        <w:rPr>
          <w:rFonts w:cs="Arial"/>
        </w:rPr>
      </w:pPr>
      <w:r w:rsidRPr="00206DE9">
        <w:rPr>
          <w:rFonts w:cs="Arial"/>
        </w:rPr>
        <w:t>Tab. 3.2: Počet nově hlášených případů dočasné pracovní neschopnosti</w:t>
      </w:r>
    </w:p>
    <w:p w14:paraId="7C131881" w14:textId="77777777" w:rsidR="007459BF" w:rsidRPr="00206DE9" w:rsidRDefault="007459BF" w:rsidP="007459BF">
      <w:pPr>
        <w:spacing w:after="0"/>
        <w:ind w:left="851" w:hanging="851"/>
        <w:rPr>
          <w:rFonts w:cs="Arial"/>
        </w:rPr>
      </w:pPr>
      <w:r w:rsidRPr="00206DE9">
        <w:rPr>
          <w:rFonts w:cs="Arial"/>
        </w:rPr>
        <w:t>Tab. 3.3: Počet kalendářních dnů dočasné pracovní neschopnosti</w:t>
      </w:r>
    </w:p>
    <w:p w14:paraId="039FF9E3" w14:textId="77777777" w:rsidR="007459BF" w:rsidRPr="00206DE9" w:rsidRDefault="007459BF" w:rsidP="007459BF">
      <w:pPr>
        <w:spacing w:after="0"/>
        <w:ind w:left="851" w:hanging="851"/>
        <w:rPr>
          <w:rFonts w:cs="Arial"/>
        </w:rPr>
      </w:pPr>
      <w:r w:rsidRPr="00206DE9">
        <w:rPr>
          <w:rFonts w:cs="Arial"/>
        </w:rPr>
        <w:t>Tab. 3.4: Počet nově hlášených případů dočasné pracovní neschopnosti na 100 pojištěnců</w:t>
      </w:r>
    </w:p>
    <w:p w14:paraId="2B423808" w14:textId="77777777" w:rsidR="007459BF" w:rsidRPr="00206DE9" w:rsidRDefault="007459BF" w:rsidP="007459BF">
      <w:pPr>
        <w:spacing w:after="0"/>
        <w:ind w:left="851" w:hanging="851"/>
        <w:rPr>
          <w:rFonts w:cs="Arial"/>
        </w:rPr>
      </w:pPr>
      <w:r w:rsidRPr="00206DE9">
        <w:rPr>
          <w:rFonts w:cs="Arial"/>
        </w:rPr>
        <w:t>Tab. 3.5: Průměrné procento dočasné pracovní neschopnosti</w:t>
      </w:r>
    </w:p>
    <w:p w14:paraId="266C5816" w14:textId="77777777" w:rsidR="007459BF" w:rsidRPr="00206DE9" w:rsidRDefault="007459BF" w:rsidP="007459BF">
      <w:pPr>
        <w:spacing w:after="0"/>
        <w:ind w:left="851" w:hanging="851"/>
        <w:rPr>
          <w:rFonts w:cs="Arial"/>
        </w:rPr>
      </w:pPr>
      <w:r w:rsidRPr="00206DE9">
        <w:rPr>
          <w:rFonts w:cs="Arial"/>
        </w:rPr>
        <w:t>Tab. 3.6: Počet kalendářních dnů dočasné pracovní neschopnosti na 1 nově hlášený případ</w:t>
      </w:r>
    </w:p>
    <w:p w14:paraId="257BFAEB" w14:textId="77777777" w:rsidR="007459BF" w:rsidRPr="00206DE9" w:rsidRDefault="007459BF" w:rsidP="007459BF">
      <w:pPr>
        <w:spacing w:after="120"/>
        <w:ind w:left="851" w:hanging="851"/>
        <w:rPr>
          <w:rFonts w:cs="Arial"/>
        </w:rPr>
      </w:pPr>
      <w:r w:rsidRPr="00206DE9">
        <w:rPr>
          <w:rFonts w:cs="Arial"/>
        </w:rPr>
        <w:t>Tab. 3.7: Průměrný denní stav dočasně práce neschopných</w:t>
      </w:r>
    </w:p>
    <w:p w14:paraId="2055C252" w14:textId="77777777" w:rsidR="007459BF" w:rsidRPr="00206DE9" w:rsidRDefault="007459BF" w:rsidP="007459BF">
      <w:pPr>
        <w:spacing w:after="60"/>
        <w:ind w:left="851" w:hanging="851"/>
        <w:rPr>
          <w:rStyle w:val="Siln"/>
          <w:rFonts w:eastAsia="MS Gothic" w:cs="Arial"/>
        </w:rPr>
      </w:pPr>
      <w:r w:rsidRPr="00206DE9">
        <w:rPr>
          <w:rStyle w:val="Siln"/>
          <w:rFonts w:eastAsia="MS Gothic" w:cs="Arial"/>
        </w:rPr>
        <w:t xml:space="preserve">Pracovní neschopnost </w:t>
      </w:r>
      <w:r w:rsidRPr="00206DE9">
        <w:rPr>
          <w:rFonts w:cs="Arial"/>
          <w:b/>
        </w:rPr>
        <w:t xml:space="preserve">pro nemoc a úraz </w:t>
      </w:r>
      <w:r w:rsidRPr="00206DE9">
        <w:rPr>
          <w:rStyle w:val="Siln"/>
          <w:rFonts w:eastAsia="MS Gothic" w:cs="Arial"/>
        </w:rPr>
        <w:t>OSVČ (</w:t>
      </w:r>
      <w:proofErr w:type="spellStart"/>
      <w:r w:rsidRPr="00206DE9">
        <w:rPr>
          <w:rStyle w:val="Siln"/>
          <w:rFonts w:eastAsia="MS Gothic" w:cs="Arial"/>
        </w:rPr>
        <w:t>nemocensky</w:t>
      </w:r>
      <w:proofErr w:type="spellEnd"/>
      <w:r w:rsidRPr="00206DE9">
        <w:rPr>
          <w:rStyle w:val="Siln"/>
          <w:rFonts w:eastAsia="MS Gothic" w:cs="Arial"/>
        </w:rPr>
        <w:t xml:space="preserve"> pojištěných) v krajích</w:t>
      </w:r>
    </w:p>
    <w:p w14:paraId="150C7911" w14:textId="77777777" w:rsidR="007459BF" w:rsidRPr="00206DE9" w:rsidRDefault="007459BF" w:rsidP="007459BF">
      <w:pPr>
        <w:spacing w:after="0"/>
        <w:ind w:left="851" w:hanging="851"/>
        <w:rPr>
          <w:rFonts w:cs="Arial"/>
        </w:rPr>
      </w:pPr>
      <w:r w:rsidRPr="00206DE9">
        <w:rPr>
          <w:rFonts w:cs="Arial"/>
        </w:rPr>
        <w:t>Tab. 4: Základní ukazatele dočasné pracovní neschopnosti OSVČ</w:t>
      </w:r>
    </w:p>
    <w:p w14:paraId="1A8D3A46" w14:textId="77777777" w:rsidR="007459BF" w:rsidRPr="00206DE9" w:rsidRDefault="007459BF" w:rsidP="007459BF">
      <w:pPr>
        <w:spacing w:after="0"/>
        <w:ind w:left="851" w:hanging="851"/>
        <w:rPr>
          <w:rFonts w:cs="Arial"/>
        </w:rPr>
      </w:pPr>
      <w:r w:rsidRPr="00206DE9">
        <w:rPr>
          <w:rFonts w:cs="Arial"/>
        </w:rPr>
        <w:t xml:space="preserve">Tab. 4.1: Počet </w:t>
      </w:r>
      <w:proofErr w:type="spellStart"/>
      <w:r w:rsidRPr="00206DE9">
        <w:rPr>
          <w:rFonts w:cs="Arial"/>
        </w:rPr>
        <w:t>nemocensky</w:t>
      </w:r>
      <w:proofErr w:type="spellEnd"/>
      <w:r w:rsidRPr="00206DE9">
        <w:rPr>
          <w:rFonts w:cs="Arial"/>
        </w:rPr>
        <w:t xml:space="preserve"> pojištěných OSVČ</w:t>
      </w:r>
    </w:p>
    <w:p w14:paraId="370152A4" w14:textId="77777777" w:rsidR="007459BF" w:rsidRPr="00206DE9" w:rsidRDefault="007459BF" w:rsidP="007459BF">
      <w:pPr>
        <w:spacing w:after="0"/>
        <w:ind w:left="851" w:hanging="851"/>
        <w:rPr>
          <w:rFonts w:cs="Arial"/>
        </w:rPr>
      </w:pPr>
      <w:r w:rsidRPr="00206DE9">
        <w:rPr>
          <w:rFonts w:cs="Arial"/>
        </w:rPr>
        <w:t>Tab. 4.2: Počet nově hlášených případů dočasné pracovní neschopnosti OSVČ</w:t>
      </w:r>
    </w:p>
    <w:p w14:paraId="48CC34CB" w14:textId="77777777" w:rsidR="007459BF" w:rsidRPr="00206DE9" w:rsidRDefault="007459BF" w:rsidP="007459BF">
      <w:pPr>
        <w:spacing w:after="0"/>
        <w:ind w:left="851" w:hanging="851"/>
        <w:rPr>
          <w:rFonts w:cs="Arial"/>
        </w:rPr>
      </w:pPr>
      <w:r w:rsidRPr="00206DE9">
        <w:rPr>
          <w:rFonts w:cs="Arial"/>
        </w:rPr>
        <w:t>Tab. 4.3: Počet kalendářních dnů dočasné pracovní neschopnosti OSVČ</w:t>
      </w:r>
    </w:p>
    <w:p w14:paraId="5D123A11" w14:textId="77777777" w:rsidR="007459BF" w:rsidRPr="00206DE9" w:rsidRDefault="007459BF" w:rsidP="007459BF">
      <w:pPr>
        <w:spacing w:after="0"/>
        <w:ind w:left="851" w:hanging="851"/>
        <w:rPr>
          <w:rFonts w:cs="Arial"/>
        </w:rPr>
      </w:pPr>
      <w:r w:rsidRPr="00206DE9">
        <w:rPr>
          <w:rFonts w:cs="Arial"/>
        </w:rPr>
        <w:t>Tab. 4.4: Počet nově hlášených případů dočasné pracovní neschopnosti OSVČ na 100 pojištěných OSVČ</w:t>
      </w:r>
    </w:p>
    <w:p w14:paraId="1F4A94B7" w14:textId="77777777" w:rsidR="007459BF" w:rsidRPr="00206DE9" w:rsidRDefault="007459BF" w:rsidP="007459BF">
      <w:pPr>
        <w:spacing w:after="0"/>
        <w:ind w:left="851" w:hanging="851"/>
        <w:rPr>
          <w:rFonts w:cs="Arial"/>
        </w:rPr>
      </w:pPr>
      <w:r w:rsidRPr="00206DE9">
        <w:rPr>
          <w:rFonts w:cs="Arial"/>
        </w:rPr>
        <w:t>Tab. 4.5: Průměrné procento dočasné pracovní neschopnosti OSVČ</w:t>
      </w:r>
    </w:p>
    <w:p w14:paraId="0B37F199" w14:textId="77777777" w:rsidR="007459BF" w:rsidRPr="00206DE9" w:rsidRDefault="007459BF" w:rsidP="007459BF">
      <w:pPr>
        <w:spacing w:after="0"/>
        <w:ind w:left="851" w:hanging="851"/>
        <w:rPr>
          <w:rFonts w:cs="Arial"/>
        </w:rPr>
      </w:pPr>
      <w:r w:rsidRPr="00206DE9">
        <w:rPr>
          <w:rFonts w:cs="Arial"/>
        </w:rPr>
        <w:t>Tab. 4.6: Počet kalendářních dnů dočasné pracovní neschopnosti OSVČ na 1 nově hlášený případ</w:t>
      </w:r>
    </w:p>
    <w:p w14:paraId="7C3C2823" w14:textId="77777777" w:rsidR="007459BF" w:rsidRPr="00206DE9" w:rsidRDefault="007459BF" w:rsidP="007459BF">
      <w:pPr>
        <w:spacing w:after="120"/>
        <w:ind w:left="851" w:hanging="851"/>
        <w:rPr>
          <w:rFonts w:cs="Arial"/>
        </w:rPr>
      </w:pPr>
      <w:r w:rsidRPr="00206DE9">
        <w:rPr>
          <w:rFonts w:cs="Arial"/>
        </w:rPr>
        <w:t>Tab. 4.7: Průměrný denní stav dočasně práce neschopných OSVČ</w:t>
      </w:r>
    </w:p>
    <w:p w14:paraId="2ADCB157" w14:textId="77777777" w:rsidR="007459BF" w:rsidRPr="00206DE9" w:rsidRDefault="007459BF" w:rsidP="007459BF">
      <w:pPr>
        <w:spacing w:after="60"/>
        <w:rPr>
          <w:rStyle w:val="Siln"/>
          <w:rFonts w:eastAsia="MS Gothic" w:cs="Arial"/>
          <w:bCs w:val="0"/>
        </w:rPr>
      </w:pPr>
      <w:r w:rsidRPr="00206DE9">
        <w:rPr>
          <w:rStyle w:val="Siln"/>
          <w:rFonts w:eastAsia="MS Gothic" w:cs="Arial"/>
          <w:bCs w:val="0"/>
        </w:rPr>
        <w:t>Pracovní úrazovost mladistvých</w:t>
      </w:r>
    </w:p>
    <w:p w14:paraId="6F8C1C5C" w14:textId="77777777" w:rsidR="007459BF" w:rsidRPr="00206DE9" w:rsidRDefault="007459BF" w:rsidP="007459BF">
      <w:pPr>
        <w:spacing w:after="120" w:line="240" w:lineRule="auto"/>
        <w:ind w:left="851" w:hanging="851"/>
        <w:rPr>
          <w:rFonts w:cs="Arial"/>
        </w:rPr>
      </w:pPr>
      <w:r w:rsidRPr="00206DE9">
        <w:rPr>
          <w:rFonts w:cs="Arial"/>
        </w:rPr>
        <w:t>Tab. 5: Pracovní úrazovost mladistvých</w:t>
      </w:r>
    </w:p>
    <w:p w14:paraId="6D28F9BE" w14:textId="77777777" w:rsidR="007459BF" w:rsidRPr="00206DE9" w:rsidRDefault="007459BF" w:rsidP="007459BF">
      <w:pPr>
        <w:spacing w:after="60"/>
        <w:ind w:left="851" w:hanging="851"/>
        <w:rPr>
          <w:rStyle w:val="Siln"/>
          <w:rFonts w:eastAsia="MS Gothic" w:cs="Arial"/>
        </w:rPr>
      </w:pPr>
      <w:r w:rsidRPr="00206DE9">
        <w:rPr>
          <w:rStyle w:val="Siln"/>
          <w:rFonts w:eastAsia="MS Gothic" w:cs="Arial"/>
        </w:rPr>
        <w:t>Pracovní úrazy s pracovní neschopností delší než 3 dny</w:t>
      </w:r>
    </w:p>
    <w:p w14:paraId="5801E5D5" w14:textId="77777777" w:rsidR="007459BF" w:rsidRPr="00206DE9" w:rsidRDefault="007459BF" w:rsidP="007459BF">
      <w:pPr>
        <w:spacing w:after="120"/>
        <w:ind w:left="851" w:hanging="851"/>
        <w:rPr>
          <w:rFonts w:cs="Arial"/>
        </w:rPr>
      </w:pPr>
      <w:r w:rsidRPr="00206DE9">
        <w:rPr>
          <w:rFonts w:cs="Arial"/>
        </w:rPr>
        <w:t>Tab. 6: Pracovní úrazy s pracovní neschopností delší než 3 dny</w:t>
      </w:r>
    </w:p>
    <w:p w14:paraId="5BDB074D" w14:textId="77777777" w:rsidR="007459BF" w:rsidRPr="00206DE9" w:rsidRDefault="007459BF" w:rsidP="007459BF">
      <w:pPr>
        <w:spacing w:after="60"/>
        <w:ind w:left="851" w:hanging="851"/>
        <w:rPr>
          <w:rStyle w:val="Siln"/>
          <w:rFonts w:eastAsia="MS Gothic" w:cs="Arial"/>
          <w:bCs w:val="0"/>
        </w:rPr>
      </w:pPr>
      <w:r w:rsidRPr="00206DE9">
        <w:rPr>
          <w:rStyle w:val="Siln"/>
          <w:rFonts w:eastAsia="MS Gothic" w:cs="Arial"/>
          <w:bCs w:val="0"/>
        </w:rPr>
        <w:t xml:space="preserve">Pracovní neschopnost </w:t>
      </w:r>
      <w:r w:rsidRPr="00206DE9">
        <w:rPr>
          <w:rStyle w:val="Siln"/>
          <w:rFonts w:eastAsia="MS Gothic" w:cs="Arial"/>
        </w:rPr>
        <w:t>pro nemoc a úraz</w:t>
      </w:r>
      <w:r w:rsidRPr="00206DE9">
        <w:rPr>
          <w:rStyle w:val="Siln"/>
          <w:rFonts w:eastAsia="MS Gothic" w:cs="Arial"/>
          <w:bCs w:val="0"/>
        </w:rPr>
        <w:t xml:space="preserve"> v nefinančních podnicích</w:t>
      </w:r>
    </w:p>
    <w:p w14:paraId="7CB3F687" w14:textId="77777777" w:rsidR="007459BF" w:rsidRPr="00206DE9" w:rsidRDefault="007459BF" w:rsidP="007459BF">
      <w:pPr>
        <w:spacing w:after="0"/>
        <w:ind w:left="851" w:hanging="851"/>
        <w:rPr>
          <w:rFonts w:cs="Arial"/>
        </w:rPr>
      </w:pPr>
      <w:r w:rsidRPr="00206DE9">
        <w:rPr>
          <w:rFonts w:cs="Arial"/>
        </w:rPr>
        <w:t>Tab. 7: Základní ukazatele dočasné pracovní neschopnosti</w:t>
      </w:r>
    </w:p>
    <w:p w14:paraId="1F0585EB" w14:textId="77777777" w:rsidR="007459BF" w:rsidRPr="00206DE9" w:rsidRDefault="007459BF" w:rsidP="007459BF">
      <w:pPr>
        <w:spacing w:after="0"/>
        <w:ind w:left="851" w:hanging="851"/>
        <w:rPr>
          <w:rFonts w:cs="Arial"/>
        </w:rPr>
      </w:pPr>
      <w:r w:rsidRPr="00206DE9">
        <w:rPr>
          <w:rFonts w:cs="Arial"/>
        </w:rPr>
        <w:t xml:space="preserve">Tab. 7.1: Počet </w:t>
      </w:r>
      <w:proofErr w:type="spellStart"/>
      <w:r w:rsidRPr="00206DE9">
        <w:rPr>
          <w:rFonts w:cs="Arial"/>
        </w:rPr>
        <w:t>nemocensky</w:t>
      </w:r>
      <w:proofErr w:type="spellEnd"/>
      <w:r w:rsidRPr="00206DE9">
        <w:rPr>
          <w:rFonts w:cs="Arial"/>
        </w:rPr>
        <w:t xml:space="preserve"> pojištěných</w:t>
      </w:r>
    </w:p>
    <w:p w14:paraId="31EF3900" w14:textId="77777777" w:rsidR="007459BF" w:rsidRPr="00206DE9" w:rsidRDefault="007459BF" w:rsidP="007459BF">
      <w:pPr>
        <w:spacing w:after="0"/>
        <w:ind w:left="851" w:hanging="851"/>
        <w:rPr>
          <w:rFonts w:cs="Arial"/>
        </w:rPr>
      </w:pPr>
      <w:r w:rsidRPr="00206DE9">
        <w:rPr>
          <w:rFonts w:cs="Arial"/>
        </w:rPr>
        <w:t>Tab. 7.2: Počet nově hlášených případů dočasné pracovní neschopnosti</w:t>
      </w:r>
    </w:p>
    <w:p w14:paraId="416A8A6B" w14:textId="77777777" w:rsidR="007459BF" w:rsidRPr="00206DE9" w:rsidRDefault="007459BF" w:rsidP="007459BF">
      <w:pPr>
        <w:spacing w:after="0"/>
        <w:ind w:left="851" w:hanging="851"/>
        <w:rPr>
          <w:rFonts w:cs="Arial"/>
        </w:rPr>
      </w:pPr>
      <w:r w:rsidRPr="00206DE9">
        <w:rPr>
          <w:rFonts w:cs="Arial"/>
        </w:rPr>
        <w:t>Tab. 7.3: Počet kalendářních dnů dočasné pracovní neschopnosti</w:t>
      </w:r>
    </w:p>
    <w:p w14:paraId="2F4D0769" w14:textId="77777777" w:rsidR="007459BF" w:rsidRPr="00206DE9" w:rsidRDefault="007459BF" w:rsidP="007459BF">
      <w:pPr>
        <w:spacing w:after="0"/>
        <w:ind w:left="851" w:hanging="851"/>
        <w:rPr>
          <w:rFonts w:cs="Arial"/>
        </w:rPr>
      </w:pPr>
      <w:r w:rsidRPr="00206DE9">
        <w:rPr>
          <w:rFonts w:cs="Arial"/>
        </w:rPr>
        <w:lastRenderedPageBreak/>
        <w:t>Tab. 7.4: Počet nově hlášených případů dočasné pracovní neschopnosti na 100 pojištěnců</w:t>
      </w:r>
    </w:p>
    <w:p w14:paraId="39220722" w14:textId="77777777" w:rsidR="007459BF" w:rsidRPr="00206DE9" w:rsidRDefault="007459BF" w:rsidP="007459BF">
      <w:pPr>
        <w:spacing w:after="0"/>
        <w:ind w:left="851" w:hanging="851"/>
        <w:rPr>
          <w:rFonts w:cs="Arial"/>
        </w:rPr>
      </w:pPr>
      <w:r w:rsidRPr="00206DE9">
        <w:rPr>
          <w:rFonts w:cs="Arial"/>
        </w:rPr>
        <w:t>Tab. 7.5: Průměrné procento dočasné pracovní neschopnosti</w:t>
      </w:r>
    </w:p>
    <w:p w14:paraId="697881D5" w14:textId="77777777" w:rsidR="007459BF" w:rsidRPr="00206DE9" w:rsidRDefault="007459BF" w:rsidP="007459BF">
      <w:pPr>
        <w:spacing w:after="0"/>
        <w:ind w:left="851" w:hanging="851"/>
        <w:rPr>
          <w:rFonts w:cs="Arial"/>
        </w:rPr>
      </w:pPr>
      <w:r w:rsidRPr="00206DE9">
        <w:rPr>
          <w:rFonts w:cs="Arial"/>
        </w:rPr>
        <w:t>Tab. 7.6: Počet kalendářních dnů dočasné pracovní neschopnosti na 1 nově hlášený případ</w:t>
      </w:r>
    </w:p>
    <w:p w14:paraId="4F19CA74" w14:textId="77777777" w:rsidR="007459BF" w:rsidRPr="00206DE9" w:rsidRDefault="007459BF" w:rsidP="007459BF">
      <w:pPr>
        <w:spacing w:after="120"/>
        <w:ind w:left="851" w:hanging="851"/>
        <w:rPr>
          <w:rFonts w:cs="Arial"/>
        </w:rPr>
      </w:pPr>
      <w:r w:rsidRPr="00206DE9">
        <w:rPr>
          <w:rFonts w:cs="Arial"/>
        </w:rPr>
        <w:t>Tab. 7.7: Průměrný denní stav dočasně práce neschopných</w:t>
      </w:r>
    </w:p>
    <w:p w14:paraId="2B78AA92" w14:textId="77777777" w:rsidR="007459BF" w:rsidRPr="00206DE9" w:rsidRDefault="007459BF" w:rsidP="007459BF">
      <w:pPr>
        <w:spacing w:after="60"/>
        <w:ind w:left="851" w:hanging="851"/>
        <w:rPr>
          <w:rStyle w:val="Siln"/>
          <w:rFonts w:eastAsia="MS Gothic" w:cs="Arial"/>
        </w:rPr>
      </w:pPr>
      <w:r w:rsidRPr="00206DE9">
        <w:rPr>
          <w:rStyle w:val="Siln"/>
          <w:rFonts w:eastAsia="MS Gothic" w:cs="Arial"/>
        </w:rPr>
        <w:t>Pracovní neschopnost pro nemoc a úraz ve zpracovatelském průmyslu</w:t>
      </w:r>
    </w:p>
    <w:p w14:paraId="4F346221" w14:textId="77777777" w:rsidR="007459BF" w:rsidRPr="00206DE9" w:rsidRDefault="007459BF" w:rsidP="007459BF">
      <w:pPr>
        <w:spacing w:after="0"/>
        <w:ind w:left="851" w:hanging="851"/>
        <w:rPr>
          <w:rFonts w:cs="Arial"/>
        </w:rPr>
      </w:pPr>
      <w:r w:rsidRPr="00206DE9">
        <w:rPr>
          <w:rFonts w:cs="Arial"/>
        </w:rPr>
        <w:t>Tab. 8: Základní ukazatele dočasné pracovní neschopnosti</w:t>
      </w:r>
    </w:p>
    <w:p w14:paraId="27A56395" w14:textId="77777777" w:rsidR="007459BF" w:rsidRPr="00206DE9" w:rsidRDefault="007459BF" w:rsidP="007459BF">
      <w:pPr>
        <w:spacing w:after="0"/>
        <w:ind w:left="851" w:hanging="851"/>
        <w:rPr>
          <w:rFonts w:cs="Arial"/>
        </w:rPr>
      </w:pPr>
      <w:r w:rsidRPr="00206DE9">
        <w:rPr>
          <w:rFonts w:cs="Arial"/>
        </w:rPr>
        <w:t xml:space="preserve">Tab. 8.1: Počet </w:t>
      </w:r>
      <w:proofErr w:type="spellStart"/>
      <w:r w:rsidRPr="00206DE9">
        <w:rPr>
          <w:rFonts w:cs="Arial"/>
        </w:rPr>
        <w:t>nemocensky</w:t>
      </w:r>
      <w:proofErr w:type="spellEnd"/>
      <w:r w:rsidRPr="00206DE9">
        <w:rPr>
          <w:rFonts w:cs="Arial"/>
        </w:rPr>
        <w:t xml:space="preserve"> pojištěných</w:t>
      </w:r>
    </w:p>
    <w:p w14:paraId="0EEA0B92" w14:textId="77777777" w:rsidR="007459BF" w:rsidRPr="00206DE9" w:rsidRDefault="007459BF" w:rsidP="007459BF">
      <w:pPr>
        <w:spacing w:after="0"/>
        <w:ind w:left="851" w:hanging="851"/>
        <w:rPr>
          <w:rFonts w:cs="Arial"/>
        </w:rPr>
      </w:pPr>
      <w:r w:rsidRPr="00206DE9">
        <w:rPr>
          <w:rFonts w:cs="Arial"/>
        </w:rPr>
        <w:t>Tab. 8.2: Počet nově hlášených případů dočasné pracovní neschopnosti</w:t>
      </w:r>
    </w:p>
    <w:p w14:paraId="43CA9B9B" w14:textId="77777777" w:rsidR="007459BF" w:rsidRPr="00206DE9" w:rsidRDefault="007459BF" w:rsidP="007459BF">
      <w:pPr>
        <w:spacing w:after="0"/>
        <w:ind w:left="851" w:hanging="851"/>
        <w:rPr>
          <w:rFonts w:cs="Arial"/>
        </w:rPr>
      </w:pPr>
      <w:r w:rsidRPr="00206DE9">
        <w:rPr>
          <w:rFonts w:cs="Arial"/>
        </w:rPr>
        <w:t>Tab. 8.3: Počet kalendářních dnů dočasné pracovní neschopnosti</w:t>
      </w:r>
    </w:p>
    <w:p w14:paraId="4EC072A8" w14:textId="77777777" w:rsidR="007459BF" w:rsidRPr="00206DE9" w:rsidRDefault="007459BF" w:rsidP="007459BF">
      <w:pPr>
        <w:spacing w:after="0"/>
        <w:ind w:left="851" w:hanging="851"/>
        <w:rPr>
          <w:rFonts w:cs="Arial"/>
        </w:rPr>
      </w:pPr>
      <w:r w:rsidRPr="00206DE9">
        <w:rPr>
          <w:rFonts w:cs="Arial"/>
        </w:rPr>
        <w:t>Tab. 8.4: Počet nově hlášených případů dočasné pracovní neschopnosti na 100 pojištěnců</w:t>
      </w:r>
    </w:p>
    <w:p w14:paraId="47FB7FB5" w14:textId="77777777" w:rsidR="007459BF" w:rsidRPr="00206DE9" w:rsidRDefault="007459BF" w:rsidP="007459BF">
      <w:pPr>
        <w:spacing w:after="0"/>
        <w:ind w:left="851" w:hanging="851"/>
        <w:rPr>
          <w:rFonts w:cs="Arial"/>
        </w:rPr>
      </w:pPr>
      <w:r w:rsidRPr="00206DE9">
        <w:rPr>
          <w:rFonts w:cs="Arial"/>
        </w:rPr>
        <w:t>Tab. 8.5: Průměrné procento dočasné pracovní neschopnosti</w:t>
      </w:r>
    </w:p>
    <w:p w14:paraId="165F1314" w14:textId="77777777" w:rsidR="007459BF" w:rsidRPr="00206DE9" w:rsidRDefault="007459BF" w:rsidP="007459BF">
      <w:pPr>
        <w:spacing w:after="0"/>
        <w:ind w:left="851" w:hanging="851"/>
        <w:rPr>
          <w:rFonts w:cs="Arial"/>
        </w:rPr>
      </w:pPr>
      <w:r w:rsidRPr="00206DE9">
        <w:rPr>
          <w:rFonts w:cs="Arial"/>
        </w:rPr>
        <w:t>Tab. 8.6: Počet kalendářních dnů dočasné pracovní neschopnosti na 1 nově hlášený případ</w:t>
      </w:r>
    </w:p>
    <w:p w14:paraId="586BB550" w14:textId="10AF10CC" w:rsidR="007459BF" w:rsidRPr="007459BF" w:rsidRDefault="007459BF" w:rsidP="007459BF">
      <w:pPr>
        <w:spacing w:after="0"/>
        <w:ind w:left="851" w:hanging="851"/>
      </w:pPr>
      <w:r w:rsidRPr="00206DE9">
        <w:rPr>
          <w:rFonts w:cs="Arial"/>
        </w:rPr>
        <w:t>Tab. 8.7: Průměrný denní stav dočasně práce neschopných</w:t>
      </w:r>
      <w:bookmarkEnd w:id="1"/>
    </w:p>
    <w:sectPr w:rsidR="007459BF" w:rsidRPr="007459BF" w:rsidSect="006F5416">
      <w:headerReference w:type="even" r:id="rId48"/>
      <w:headerReference w:type="default" r:id="rId49"/>
      <w:footerReference w:type="even" r:id="rId50"/>
      <w:footerReference w:type="default" r:id="rId51"/>
      <w:pgSz w:w="11906" w:h="16838" w:code="9"/>
      <w:pgMar w:top="1134" w:right="1134" w:bottom="1418" w:left="1134" w:header="680" w:footer="68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0CBC43" w16cex:dateUtc="2023-05-15T12:12:00Z"/>
  <w16cex:commentExtensible w16cex:durableId="280CC368" w16cex:dateUtc="2023-05-15T12:42:00Z"/>
  <w16cex:commentExtensible w16cex:durableId="280CC452" w16cex:dateUtc="2023-05-15T12:46:00Z"/>
  <w16cex:commentExtensible w16cex:durableId="280CC7B9" w16cex:dateUtc="2023-05-15T13:01:00Z"/>
  <w16cex:commentExtensible w16cex:durableId="280CC6DB" w16cex:dateUtc="2023-05-15T12:57:00Z"/>
  <w16cex:commentExtensible w16cex:durableId="280CC95B" w16cex:dateUtc="2023-05-15T13:08:00Z"/>
  <w16cex:commentExtensible w16cex:durableId="280CCBE7" w16cex:dateUtc="2023-05-15T13:19:00Z"/>
  <w16cex:commentExtensible w16cex:durableId="280CD359" w16cex:dateUtc="2023-05-15T13:50:00Z"/>
  <w16cex:commentExtensible w16cex:durableId="280D2BB3" w16cex:dateUtc="2023-05-15T20:07:00Z"/>
  <w16cex:commentExtensible w16cex:durableId="280D2D0F" w16cex:dateUtc="2023-05-15T20:13:00Z"/>
  <w16cex:commentExtensible w16cex:durableId="280D2FC5" w16cex:dateUtc="2023-05-15T20:25:00Z"/>
  <w16cex:commentExtensible w16cex:durableId="280D3555" w16cex:dateUtc="2023-05-15T20:48:00Z"/>
  <w16cex:commentExtensible w16cex:durableId="280D37B3" w16cex:dateUtc="2023-05-15T20:58:00Z"/>
  <w16cex:commentExtensible w16cex:durableId="280D3F59" w16cex:dateUtc="2023-05-15T21:31:00Z"/>
  <w16cex:commentExtensible w16cex:durableId="280E092A" w16cex:dateUtc="2023-05-16T11:52:00Z"/>
  <w16cex:commentExtensible w16cex:durableId="280E0BA1" w16cex:dateUtc="2023-05-16T12:03:00Z"/>
  <w16cex:commentExtensible w16cex:durableId="280E0BFF" w16cex:dateUtc="2023-05-16T12:04:00Z"/>
  <w16cex:commentExtensible w16cex:durableId="280E12CF" w16cex:dateUtc="2023-05-16T12:33:00Z"/>
  <w16cex:commentExtensible w16cex:durableId="280E13D0" w16cex:dateUtc="2023-05-16T12:38:00Z"/>
  <w16cex:commentExtensible w16cex:durableId="280E15AB" w16cex:dateUtc="2023-05-16T12:46:00Z"/>
  <w16cex:commentExtensible w16cex:durableId="280E175F" w16cex:dateUtc="2023-05-16T12:53:00Z"/>
  <w16cex:commentExtensible w16cex:durableId="280E16BC" w16cex:dateUtc="2023-05-16T12:50:00Z"/>
  <w16cex:commentExtensible w16cex:durableId="280E1A45" w16cex:dateUtc="2023-05-16T13:05:00Z"/>
  <w16cex:commentExtensible w16cex:durableId="280E1B5A" w16cex:dateUtc="2023-05-16T13:10:00Z"/>
  <w16cex:commentExtensible w16cex:durableId="280E1DBC" w16cex:dateUtc="2023-05-16T13:20:00Z"/>
  <w16cex:commentExtensible w16cex:durableId="280E1EE9" w16cex:dateUtc="2023-05-16T13:25:00Z"/>
  <w16cex:commentExtensible w16cex:durableId="280E206A" w16cex:dateUtc="2023-05-16T13:31:00Z"/>
  <w16cex:commentExtensible w16cex:durableId="280F57FD" w16cex:dateUtc="2023-05-17T11:41:00Z"/>
  <w16cex:commentExtensible w16cex:durableId="280F5CBB" w16cex:dateUtc="2023-05-17T12:01:00Z"/>
  <w16cex:commentExtensible w16cex:durableId="280F6419" w16cex:dateUtc="2023-05-17T12:32:00Z"/>
  <w16cex:commentExtensible w16cex:durableId="280F61A0" w16cex:dateUtc="2023-05-17T12:2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571B0EB" w16cid:durableId="280CBC43"/>
  <w16cid:commentId w16cid:paraId="7876C76E" w16cid:durableId="280CB76B"/>
  <w16cid:commentId w16cid:paraId="5D0B5027" w16cid:durableId="280CC368"/>
  <w16cid:commentId w16cid:paraId="3F2C18EF" w16cid:durableId="280CB76C"/>
  <w16cid:commentId w16cid:paraId="12EAAE53" w16cid:durableId="280CC452"/>
  <w16cid:commentId w16cid:paraId="569DDE87" w16cid:durableId="280CC7B9"/>
  <w16cid:commentId w16cid:paraId="730F8FCF" w16cid:durableId="280CC6DB"/>
  <w16cid:commentId w16cid:paraId="627BDD34" w16cid:durableId="280CC95B"/>
  <w16cid:commentId w16cid:paraId="4EAF1F0B" w16cid:durableId="280CB76D"/>
  <w16cid:commentId w16cid:paraId="2ECDEC5F" w16cid:durableId="280CCBE7"/>
  <w16cid:commentId w16cid:paraId="6F52BDB0" w16cid:durableId="280CB76E"/>
  <w16cid:commentId w16cid:paraId="3B0C3AF0" w16cid:durableId="280CD359"/>
  <w16cid:commentId w16cid:paraId="2F0D46F5" w16cid:durableId="280D2BB3"/>
  <w16cid:commentId w16cid:paraId="420BB1F0" w16cid:durableId="280D2D0F"/>
  <w16cid:commentId w16cid:paraId="156827C3" w16cid:durableId="280D2FC5"/>
  <w16cid:commentId w16cid:paraId="423D2D1C" w16cid:durableId="280D3555"/>
  <w16cid:commentId w16cid:paraId="6846C860" w16cid:durableId="280D37B3"/>
  <w16cid:commentId w16cid:paraId="03B0F48C" w16cid:durableId="280CB76F"/>
  <w16cid:commentId w16cid:paraId="4ECF7722" w16cid:durableId="280D3F59"/>
  <w16cid:commentId w16cid:paraId="5A55202A" w16cid:durableId="280E092A"/>
  <w16cid:commentId w16cid:paraId="413CE5C7" w16cid:durableId="280E0BA1"/>
  <w16cid:commentId w16cid:paraId="7A41059A" w16cid:durableId="280E0BFF"/>
  <w16cid:commentId w16cid:paraId="5F82F314" w16cid:durableId="280CB770"/>
  <w16cid:commentId w16cid:paraId="5B166DBD" w16cid:durableId="280E12CF"/>
  <w16cid:commentId w16cid:paraId="0A87368E" w16cid:durableId="280E13D0"/>
  <w16cid:commentId w16cid:paraId="41D220B8" w16cid:durableId="280CB771"/>
  <w16cid:commentId w16cid:paraId="67D5534B" w16cid:durableId="280CB772"/>
  <w16cid:commentId w16cid:paraId="2D6D0188" w16cid:durableId="280E15AB"/>
  <w16cid:commentId w16cid:paraId="1D55B403" w16cid:durableId="280E175F"/>
  <w16cid:commentId w16cid:paraId="5FE0D3E5" w16cid:durableId="280E16BC"/>
  <w16cid:commentId w16cid:paraId="3E267A8F" w16cid:durableId="280E1A45"/>
  <w16cid:commentId w16cid:paraId="7FDB0047" w16cid:durableId="280E1B5A"/>
  <w16cid:commentId w16cid:paraId="594CA5EE" w16cid:durableId="280E1DBC"/>
  <w16cid:commentId w16cid:paraId="1CC7FB02" w16cid:durableId="280E1EE9"/>
  <w16cid:commentId w16cid:paraId="1EBFD3AC" w16cid:durableId="280CB773"/>
  <w16cid:commentId w16cid:paraId="6B49E2AC" w16cid:durableId="280E206A"/>
  <w16cid:commentId w16cid:paraId="61C8CC58" w16cid:durableId="280CB774"/>
  <w16cid:commentId w16cid:paraId="3CA59CD6" w16cid:durableId="280F57FD"/>
  <w16cid:commentId w16cid:paraId="5E07B0AB" w16cid:durableId="280CB775"/>
  <w16cid:commentId w16cid:paraId="72EBA6E0" w16cid:durableId="280F5CBB"/>
  <w16cid:commentId w16cid:paraId="7C50058C" w16cid:durableId="280F6419"/>
  <w16cid:commentId w16cid:paraId="6DDBABE9" w16cid:durableId="280F61A0"/>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454EC5" w14:textId="77777777" w:rsidR="001E511A" w:rsidRDefault="001E511A" w:rsidP="00E71A58">
      <w:r>
        <w:separator/>
      </w:r>
    </w:p>
  </w:endnote>
  <w:endnote w:type="continuationSeparator" w:id="0">
    <w:p w14:paraId="50F23E1F" w14:textId="77777777" w:rsidR="001E511A" w:rsidRDefault="001E511A" w:rsidP="00E71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Minion Pro">
    <w:charset w:val="00"/>
    <w:family w:val="auto"/>
    <w:pitch w:val="variable"/>
    <w:sig w:usb0="60000287" w:usb1="00000001" w:usb2="00000000" w:usb3="00000000" w:csb0="0000019F" w:csb1="00000000"/>
  </w:font>
  <w:font w:name="MS Mincho">
    <w:altName w:val="Yu Gothic UI"/>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397F19" w14:textId="2B8950F9" w:rsidR="00EC4603" w:rsidRPr="00932443" w:rsidRDefault="00EC4603" w:rsidP="00A418BC">
    <w:pPr>
      <w:pStyle w:val="Zpat"/>
      <w:rPr>
        <w:szCs w:val="16"/>
      </w:rPr>
    </w:pPr>
    <w:r>
      <w:rPr>
        <w:szCs w:val="16"/>
        <w:lang w:eastAsia="cs-CZ"/>
      </w:rPr>
      <w:drawing>
        <wp:anchor distT="0" distB="0" distL="114300" distR="114300" simplePos="0" relativeHeight="251658240" behindDoc="0" locked="0" layoutInCell="1" allowOverlap="1" wp14:anchorId="7FE5DEFA" wp14:editId="30A80D24">
          <wp:simplePos x="0" y="0"/>
          <wp:positionH relativeFrom="column">
            <wp:align>right</wp:align>
          </wp:positionH>
          <wp:positionV relativeFrom="paragraph">
            <wp:posOffset>-64770</wp:posOffset>
          </wp:positionV>
          <wp:extent cx="428625" cy="201295"/>
          <wp:effectExtent l="0" t="0" r="3175" b="1905"/>
          <wp:wrapNone/>
          <wp:docPr id="11" name="Picture 11" descr="CSU RGB CZ 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SU RGB CZ logo-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2012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2443">
      <w:rPr>
        <w:szCs w:val="16"/>
      </w:rPr>
      <w:fldChar w:fldCharType="begin"/>
    </w:r>
    <w:r w:rsidRPr="00932443">
      <w:rPr>
        <w:szCs w:val="16"/>
      </w:rPr>
      <w:instrText>PAGE   \* MERGEFORMAT</w:instrText>
    </w:r>
    <w:r w:rsidRPr="00932443">
      <w:rPr>
        <w:szCs w:val="16"/>
      </w:rPr>
      <w:fldChar w:fldCharType="separate"/>
    </w:r>
    <w:r w:rsidR="00FC3BC5">
      <w:rPr>
        <w:szCs w:val="16"/>
      </w:rPr>
      <w:t>56</w:t>
    </w:r>
    <w:r w:rsidRPr="00932443">
      <w:rPr>
        <w:szCs w:val="16"/>
      </w:rPr>
      <w:fldChar w:fldCharType="end"/>
    </w:r>
    <w:r w:rsidRPr="00932443">
      <w:rPr>
        <w:szCs w:val="16"/>
      </w:rPr>
      <w:tab/>
    </w:r>
    <w:r>
      <w:rPr>
        <w:szCs w:val="16"/>
      </w:rPr>
      <w:t>2022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3F0373" w14:textId="1EB93551" w:rsidR="00EC4603" w:rsidRPr="00932443" w:rsidRDefault="00EC4603" w:rsidP="00A418BC">
    <w:pPr>
      <w:pStyle w:val="Zpat"/>
      <w:rPr>
        <w:szCs w:val="16"/>
      </w:rPr>
    </w:pPr>
    <w:r>
      <w:rPr>
        <w:szCs w:val="16"/>
        <w:lang w:eastAsia="cs-CZ"/>
      </w:rPr>
      <w:drawing>
        <wp:anchor distT="0" distB="0" distL="114300" distR="114300" simplePos="0" relativeHeight="251657216" behindDoc="0" locked="0" layoutInCell="1" allowOverlap="1" wp14:anchorId="3A0CDC58" wp14:editId="1A6DF3A3">
          <wp:simplePos x="0" y="0"/>
          <wp:positionH relativeFrom="column">
            <wp:align>left</wp:align>
          </wp:positionH>
          <wp:positionV relativeFrom="paragraph">
            <wp:posOffset>-122555</wp:posOffset>
          </wp:positionV>
          <wp:extent cx="510540" cy="272415"/>
          <wp:effectExtent l="0" t="0" r="0" b="6985"/>
          <wp:wrapNone/>
          <wp:docPr id="10" name="Picture 10" descr="CSU RGB CZ logo-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SU RGB CZ logo-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10540" cy="2724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2443">
      <w:rPr>
        <w:szCs w:val="16"/>
      </w:rPr>
      <w:tab/>
    </w:r>
    <w:r>
      <w:rPr>
        <w:rStyle w:val="ZpatChar"/>
        <w:szCs w:val="16"/>
      </w:rPr>
      <w:t>2022</w:t>
    </w:r>
    <w:r w:rsidRPr="00932443">
      <w:rPr>
        <w:szCs w:val="16"/>
      </w:rPr>
      <w:tab/>
    </w:r>
    <w:r w:rsidRPr="00932443">
      <w:rPr>
        <w:rStyle w:val="ZpatChar"/>
        <w:szCs w:val="16"/>
      </w:rPr>
      <w:fldChar w:fldCharType="begin"/>
    </w:r>
    <w:r w:rsidRPr="00932443">
      <w:rPr>
        <w:rStyle w:val="ZpatChar"/>
        <w:szCs w:val="16"/>
      </w:rPr>
      <w:instrText>PAGE   \* MERGEFORMAT</w:instrText>
    </w:r>
    <w:r w:rsidRPr="00932443">
      <w:rPr>
        <w:rStyle w:val="ZpatChar"/>
        <w:szCs w:val="16"/>
      </w:rPr>
      <w:fldChar w:fldCharType="separate"/>
    </w:r>
    <w:r w:rsidR="00FC3BC5">
      <w:rPr>
        <w:rStyle w:val="ZpatChar"/>
        <w:szCs w:val="16"/>
      </w:rPr>
      <w:t>57</w:t>
    </w:r>
    <w:r w:rsidRPr="00932443">
      <w:rPr>
        <w:rStyle w:val="ZpatChar"/>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E837FA" w14:textId="77777777" w:rsidR="001E511A" w:rsidRDefault="001E511A" w:rsidP="00E71A58">
      <w:r>
        <w:separator/>
      </w:r>
    </w:p>
  </w:footnote>
  <w:footnote w:type="continuationSeparator" w:id="0">
    <w:p w14:paraId="40311527" w14:textId="77777777" w:rsidR="001E511A" w:rsidRDefault="001E511A" w:rsidP="00E71A58">
      <w:r>
        <w:continuationSeparator/>
      </w:r>
    </w:p>
  </w:footnote>
  <w:footnote w:id="1">
    <w:p w14:paraId="07287BA0" w14:textId="59298D94" w:rsidR="00EC4603" w:rsidRPr="00B40FC2" w:rsidRDefault="00EC4603" w:rsidP="00A403BA">
      <w:pPr>
        <w:pStyle w:val="Textpoznpodarou"/>
        <w:spacing w:line="240" w:lineRule="auto"/>
        <w:jc w:val="both"/>
        <w:rPr>
          <w:sz w:val="16"/>
          <w:szCs w:val="16"/>
        </w:rPr>
      </w:pPr>
      <w:r w:rsidRPr="00FB50FB">
        <w:rPr>
          <w:rStyle w:val="Znakapoznpodarou"/>
          <w:sz w:val="16"/>
        </w:rPr>
        <w:footnoteRef/>
      </w:r>
      <w:r w:rsidRPr="00FB50FB">
        <w:rPr>
          <w:sz w:val="16"/>
        </w:rPr>
        <w:t xml:space="preserve"> </w:t>
      </w:r>
      <w:r w:rsidRPr="00A2673E">
        <w:rPr>
          <w:sz w:val="16"/>
          <w:szCs w:val="16"/>
        </w:rPr>
        <w:t xml:space="preserve">Publikaci s daty za </w:t>
      </w:r>
      <w:r>
        <w:rPr>
          <w:sz w:val="16"/>
          <w:szCs w:val="16"/>
        </w:rPr>
        <w:t>1. pololetí roku</w:t>
      </w:r>
      <w:r w:rsidRPr="00A2673E">
        <w:rPr>
          <w:sz w:val="16"/>
          <w:szCs w:val="16"/>
        </w:rPr>
        <w:t xml:space="preserve"> 20</w:t>
      </w:r>
      <w:r>
        <w:rPr>
          <w:sz w:val="16"/>
          <w:szCs w:val="16"/>
        </w:rPr>
        <w:t>22</w:t>
      </w:r>
      <w:r w:rsidRPr="00A2673E">
        <w:rPr>
          <w:sz w:val="16"/>
          <w:szCs w:val="16"/>
        </w:rPr>
        <w:t xml:space="preserve"> lze nalézt na</w:t>
      </w:r>
      <w:r>
        <w:rPr>
          <w:sz w:val="16"/>
          <w:szCs w:val="16"/>
        </w:rPr>
        <w:t>:</w:t>
      </w:r>
      <w:r w:rsidRPr="00A2673E">
        <w:rPr>
          <w:sz w:val="16"/>
          <w:szCs w:val="16"/>
        </w:rPr>
        <w:t xml:space="preserve"> </w:t>
      </w:r>
      <w:hyperlink r:id="rId1" w:history="1">
        <w:r w:rsidRPr="0040391F">
          <w:rPr>
            <w:rStyle w:val="Hypertextovodkaz"/>
            <w:sz w:val="16"/>
          </w:rPr>
          <w:t>https://www.czso.cz/csu/czso/pracovni-neschopnost-pro-nemoc-a-uraz-v-ceske-republice-1-pololeti-2022</w:t>
        </w:r>
      </w:hyperlink>
    </w:p>
  </w:footnote>
  <w:footnote w:id="2">
    <w:p w14:paraId="0CE36CCA" w14:textId="6A13CE9F" w:rsidR="00EC4603" w:rsidRDefault="00EC4603">
      <w:pPr>
        <w:pStyle w:val="Textpoznpodarou"/>
      </w:pPr>
      <w:r>
        <w:rPr>
          <w:rStyle w:val="Znakapoznpodarou"/>
        </w:rPr>
        <w:footnoteRef/>
      </w:r>
      <w:r>
        <w:t xml:space="preserve"> </w:t>
      </w:r>
      <w:r w:rsidRPr="008552E3">
        <w:rPr>
          <w:bCs/>
          <w:sz w:val="16"/>
          <w:szCs w:val="24"/>
        </w:rPr>
        <w:t>Od 1. 1. 2023 se zvýšila na částku 4 000 Kč.</w:t>
      </w:r>
    </w:p>
  </w:footnote>
  <w:footnote w:id="3">
    <w:p w14:paraId="1E1F5E49" w14:textId="24A19275" w:rsidR="00EC4603" w:rsidRPr="0039783A" w:rsidRDefault="00EC4603">
      <w:pPr>
        <w:pStyle w:val="Textpoznpodarou"/>
        <w:rPr>
          <w:sz w:val="16"/>
          <w:szCs w:val="16"/>
        </w:rPr>
      </w:pPr>
      <w:r w:rsidRPr="0039783A">
        <w:rPr>
          <w:rStyle w:val="Znakapoznpodarou"/>
          <w:sz w:val="16"/>
          <w:szCs w:val="16"/>
        </w:rPr>
        <w:footnoteRef/>
      </w:r>
      <w:r w:rsidRPr="0039783A">
        <w:rPr>
          <w:sz w:val="16"/>
          <w:szCs w:val="16"/>
        </w:rPr>
        <w:t xml:space="preserve"> Od roku 2023 činí 168 Kč.</w:t>
      </w:r>
    </w:p>
  </w:footnote>
  <w:footnote w:id="4">
    <w:p w14:paraId="371B6093" w14:textId="77777777" w:rsidR="00EC4603" w:rsidRDefault="00EC4603" w:rsidP="007A319D">
      <w:pPr>
        <w:pStyle w:val="Textpoznpodarou"/>
        <w:jc w:val="both"/>
      </w:pPr>
      <w:r w:rsidRPr="00FB50FB">
        <w:rPr>
          <w:rStyle w:val="Znakapoznpodarou"/>
          <w:sz w:val="16"/>
        </w:rPr>
        <w:footnoteRef/>
      </w:r>
      <w:r w:rsidRPr="0002739E">
        <w:rPr>
          <w:sz w:val="16"/>
        </w:rPr>
        <w:t xml:space="preserve"> </w:t>
      </w:r>
      <w:proofErr w:type="spellStart"/>
      <w:r w:rsidRPr="0002739E">
        <w:rPr>
          <w:sz w:val="16"/>
        </w:rPr>
        <w:t>eNeschopenka</w:t>
      </w:r>
      <w:proofErr w:type="spellEnd"/>
      <w:r w:rsidRPr="0002739E">
        <w:rPr>
          <w:sz w:val="16"/>
        </w:rPr>
        <w:t xml:space="preserve"> byla přijata zákony č. 259/2017 Sb. a č. 164/2019 Sb. Více o vystavování elektronických neschopenek na </w:t>
      </w:r>
      <w:hyperlink r:id="rId2" w:history="1">
        <w:r w:rsidRPr="0002739E">
          <w:rPr>
            <w:rStyle w:val="Hypertextovodkaz"/>
            <w:sz w:val="16"/>
          </w:rPr>
          <w:t>https://www.cssz.cz/web/eneschopenka/</w:t>
        </w:r>
      </w:hyperlink>
      <w:r w:rsidRPr="0002739E">
        <w:rPr>
          <w:sz w:val="16"/>
        </w:rPr>
        <w:t>.</w:t>
      </w:r>
    </w:p>
  </w:footnote>
  <w:footnote w:id="5">
    <w:p w14:paraId="31DEFD78" w14:textId="549B1952" w:rsidR="00EC4603" w:rsidRDefault="00EC4603" w:rsidP="0039783A">
      <w:pPr>
        <w:pStyle w:val="Textpoznpodarou"/>
        <w:jc w:val="both"/>
      </w:pPr>
      <w:r>
        <w:rPr>
          <w:rStyle w:val="Znakapoznpodarou"/>
        </w:rPr>
        <w:footnoteRef/>
      </w:r>
      <w:r>
        <w:t xml:space="preserve"> </w:t>
      </w:r>
      <w:r w:rsidRPr="00F623AA">
        <w:rPr>
          <w:sz w:val="16"/>
          <w:szCs w:val="16"/>
        </w:rPr>
        <w:t>Z důvodu změny metodiky a odlišného sběru a zpracování dat nejsou data od roku 2012 plně srovnatelná s údaji za předchozí období</w:t>
      </w:r>
      <w:r>
        <w:rPr>
          <w:sz w:val="16"/>
          <w:szCs w:val="16"/>
        </w:rPr>
        <w:t>, které jsou uvedené ve starších publikacích</w:t>
      </w:r>
      <w:r w:rsidRPr="00F623AA">
        <w:rPr>
          <w:sz w:val="16"/>
          <w:szCs w:val="16"/>
        </w:rPr>
        <w:t>.</w:t>
      </w:r>
    </w:p>
  </w:footnote>
  <w:footnote w:id="6">
    <w:p w14:paraId="3054AAC4" w14:textId="77777777" w:rsidR="00EC4603" w:rsidRDefault="00EC4603" w:rsidP="00AF2E68">
      <w:pPr>
        <w:pStyle w:val="Textpoznpodarou"/>
        <w:spacing w:after="60"/>
        <w:jc w:val="both"/>
      </w:pPr>
      <w:r w:rsidRPr="002E2281">
        <w:rPr>
          <w:rStyle w:val="Znakapoznpodarou"/>
          <w:sz w:val="16"/>
        </w:rPr>
        <w:footnoteRef/>
      </w:r>
      <w:r w:rsidRPr="002E2281">
        <w:rPr>
          <w:sz w:val="16"/>
        </w:rPr>
        <w:t xml:space="preserve"> </w:t>
      </w:r>
      <w:r w:rsidRPr="007F4035">
        <w:rPr>
          <w:sz w:val="16"/>
        </w:rPr>
        <w:t xml:space="preserve">Elektronické zpracování přineslo zjednodušení v předávání informací mezi nemocnými (pojištěnci v dočasné pracovní neschopnosti), ČSSZ, lékaři a zaměstnavateli. Zásadně se tak zjednodušil tok informací, protože </w:t>
      </w:r>
      <w:proofErr w:type="spellStart"/>
      <w:r w:rsidRPr="007F4035">
        <w:rPr>
          <w:sz w:val="16"/>
        </w:rPr>
        <w:t>eNeschopenka</w:t>
      </w:r>
      <w:proofErr w:type="spellEnd"/>
      <w:r w:rsidRPr="007F4035">
        <w:rPr>
          <w:sz w:val="16"/>
        </w:rPr>
        <w:t xml:space="preserve"> propojila povinně elektronicky tři dotčené subjekty</w:t>
      </w:r>
      <w:r>
        <w:rPr>
          <w:sz w:val="16"/>
        </w:rPr>
        <w:t>:</w:t>
      </w:r>
      <w:r w:rsidRPr="007F4035">
        <w:rPr>
          <w:sz w:val="16"/>
        </w:rPr>
        <w:t xml:space="preserve"> lékaře, zaměstnavatele a ČSSZ.</w:t>
      </w:r>
      <w:r w:rsidRPr="002E2281">
        <w:rPr>
          <w:sz w:val="16"/>
        </w:rPr>
        <w:t xml:space="preserve"> Zaměstnavatelé díky systému </w:t>
      </w:r>
      <w:proofErr w:type="spellStart"/>
      <w:r w:rsidRPr="002E2281">
        <w:rPr>
          <w:sz w:val="16"/>
        </w:rPr>
        <w:t>eNeschopenka</w:t>
      </w:r>
      <w:proofErr w:type="spellEnd"/>
      <w:r w:rsidRPr="002E2281">
        <w:rPr>
          <w:sz w:val="16"/>
        </w:rPr>
        <w:t xml:space="preserve"> obdrží formou notifikací prakticky okamžitě informace o</w:t>
      </w:r>
      <w:r>
        <w:rPr>
          <w:sz w:val="16"/>
        </w:rPr>
        <w:t> </w:t>
      </w:r>
      <w:r w:rsidRPr="002E2281">
        <w:rPr>
          <w:sz w:val="16"/>
        </w:rPr>
        <w:t xml:space="preserve">pracovní neschopnosti svých zaměstnanců. Kromě notifikací mohou nahlížet i do </w:t>
      </w:r>
      <w:proofErr w:type="spellStart"/>
      <w:r w:rsidRPr="002E2281">
        <w:rPr>
          <w:sz w:val="16"/>
        </w:rPr>
        <w:t>ePortálu</w:t>
      </w:r>
      <w:proofErr w:type="spellEnd"/>
      <w:r w:rsidRPr="002E2281">
        <w:rPr>
          <w:sz w:val="16"/>
        </w:rPr>
        <w:t xml:space="preserve"> ČSSZ. Zatímco původní tiskopis měl 5 dílů, nová podoba neschopenky má pouze 3 díly. V případě technických problémů lékař použije papírový třídílný formulář, který obdrží na příslušné správě sociálního zabezpečení.</w:t>
      </w:r>
    </w:p>
  </w:footnote>
  <w:footnote w:id="7">
    <w:p w14:paraId="3B27DFFE" w14:textId="77777777" w:rsidR="00EC4603" w:rsidRDefault="00EC4603" w:rsidP="00AF2E68">
      <w:pPr>
        <w:pStyle w:val="Textpoznpodarou"/>
        <w:jc w:val="both"/>
      </w:pPr>
      <w:r w:rsidRPr="00451C9E">
        <w:rPr>
          <w:rStyle w:val="Znakapoznpodarou"/>
          <w:sz w:val="16"/>
        </w:rPr>
        <w:footnoteRef/>
      </w:r>
      <w:r w:rsidRPr="00451C9E">
        <w:t xml:space="preserve"> </w:t>
      </w:r>
      <w:r w:rsidRPr="00451C9E">
        <w:rPr>
          <w:sz w:val="16"/>
        </w:rPr>
        <w:t>V údajích ČSSZ nejsou zahrnuti příslušníci Policie ČR, Hasičského záchranného sboru ČR, Celní správy ČR, Vězeňské služby ČR, Generální inspekce bezpečnostních sborů, Bezpečnostní informační služby, Úřadu pro zahraniční styky a informace, vojáci z povolání,</w:t>
      </w:r>
      <w:r w:rsidRPr="00451C9E">
        <w:rPr>
          <w:rFonts w:cs="Arial"/>
          <w:sz w:val="16"/>
        </w:rPr>
        <w:t xml:space="preserve"> odsouzení ve výkonu trestu, kteří vykonávají práci ve výkonu trestu, a osoby obviněné vykonávající práci ve vazbě (§ 5 písm. a) body 2 a 14 zákona č.187/2006 Sb.). Správcem registrů těchto příslušníků a odsouzených osob je služební orgán v oborech své působnosti. Služebními orgány jsou Ministerstvo obrany, Ministerstvo vnitra, Vězeňská služba ČR, Generální ředitelství cel, Generální inspekce bezpečnostních sborů, Bezpečnostní informační služba a Úřad pro zahraniční styky a informace.</w:t>
      </w:r>
    </w:p>
  </w:footnote>
  <w:footnote w:id="8">
    <w:p w14:paraId="03C8F55C" w14:textId="77777777" w:rsidR="00EC4603" w:rsidRDefault="00EC4603" w:rsidP="00AF2E68">
      <w:pPr>
        <w:pStyle w:val="Textpoznpodarou"/>
      </w:pPr>
      <w:r>
        <w:rPr>
          <w:rStyle w:val="Znakapoznpodarou"/>
        </w:rPr>
        <w:footnoteRef/>
      </w:r>
      <w:r>
        <w:t xml:space="preserve"> </w:t>
      </w:r>
      <w:hyperlink r:id="rId3" w:history="1">
        <w:r w:rsidRPr="003A349C">
          <w:rPr>
            <w:rStyle w:val="Hypertextovodkaz"/>
            <w:rFonts w:cs="Arial"/>
            <w:sz w:val="16"/>
            <w:szCs w:val="22"/>
          </w:rPr>
          <w:t>https://www.czso.cz/csu/czso/klasifikace-institucionalnich-sektoru-a-subsektoru-cz-ciss</w:t>
        </w:r>
      </w:hyperlink>
    </w:p>
  </w:footnote>
  <w:footnote w:id="9">
    <w:p w14:paraId="3AA5CAFB" w14:textId="2FE3AEB9" w:rsidR="00EC4603" w:rsidRDefault="00EC4603">
      <w:pPr>
        <w:pStyle w:val="Textpoznpodarou"/>
      </w:pPr>
      <w:r w:rsidRPr="00A40A6B">
        <w:rPr>
          <w:rStyle w:val="Znakapoznpodarou"/>
          <w:sz w:val="16"/>
        </w:rPr>
        <w:footnoteRef/>
      </w:r>
      <w:r w:rsidRPr="00A40A6B">
        <w:rPr>
          <w:sz w:val="16"/>
        </w:rPr>
        <w:t xml:space="preserve"> Celý název sekce O: Veřejná správa a obrana; povinné sociální zabezpečení</w:t>
      </w:r>
      <w:r>
        <w:rPr>
          <w:sz w:val="16"/>
        </w:rPr>
        <w:t>.</w:t>
      </w:r>
    </w:p>
  </w:footnote>
  <w:footnote w:id="10">
    <w:p w14:paraId="4F7974FB" w14:textId="77777777" w:rsidR="00EC4603" w:rsidRDefault="00EC4603" w:rsidP="00C61BBC">
      <w:pPr>
        <w:pStyle w:val="Textpoznpodarou"/>
        <w:jc w:val="both"/>
      </w:pPr>
      <w:r w:rsidRPr="000547B7">
        <w:rPr>
          <w:rStyle w:val="Znakapoznpodarou"/>
          <w:sz w:val="16"/>
        </w:rPr>
        <w:footnoteRef/>
      </w:r>
      <w:r w:rsidRPr="000547B7">
        <w:rPr>
          <w:sz w:val="16"/>
        </w:rPr>
        <w:t xml:space="preserve"> Uvedený podíl nezahrnuje vojáky z povolání, příslušníky Policie ČR, Hasičského záchranného sboru ČR, Celní správy ČR, Vězeňské služby ČR, Generální inspekce bezpečnostních sborů, Bezpečnostní informační služby a Úřadu pro zahraniční styky a informace.</w:t>
      </w:r>
      <w:r>
        <w:rPr>
          <w:sz w:val="16"/>
        </w:rPr>
        <w:t xml:space="preserve"> </w:t>
      </w:r>
      <w:r>
        <w:rPr>
          <w:rFonts w:cs="Arial"/>
          <w:sz w:val="16"/>
        </w:rPr>
        <w:t>Správcem registrů těchto příslušníků je služební orgán v oborech své působnosti.</w:t>
      </w:r>
    </w:p>
  </w:footnote>
  <w:footnote w:id="11">
    <w:p w14:paraId="55342837" w14:textId="77777777" w:rsidR="00EC4603" w:rsidRDefault="00EC4603" w:rsidP="004B2783">
      <w:pPr>
        <w:pStyle w:val="Textpoznpodarou"/>
      </w:pPr>
      <w:r w:rsidRPr="009F305A">
        <w:rPr>
          <w:rStyle w:val="Znakapoznpodarou"/>
          <w:sz w:val="16"/>
        </w:rPr>
        <w:footnoteRef/>
      </w:r>
      <w:r w:rsidRPr="009F305A">
        <w:rPr>
          <w:sz w:val="16"/>
        </w:rPr>
        <w:t xml:space="preserve"> </w:t>
      </w:r>
      <w:r>
        <w:rPr>
          <w:sz w:val="16"/>
        </w:rPr>
        <w:t>Kromě karantén do počtu neschopností patří také</w:t>
      </w:r>
      <w:r w:rsidRPr="009F305A">
        <w:rPr>
          <w:sz w:val="16"/>
        </w:rPr>
        <w:t xml:space="preserve"> izolace.</w:t>
      </w:r>
      <w:r>
        <w:rPr>
          <w:sz w:val="16"/>
        </w:rPr>
        <w:t xml:space="preserve"> Více informací viz kap. 4.4.1.</w:t>
      </w:r>
    </w:p>
  </w:footnote>
  <w:footnote w:id="12">
    <w:p w14:paraId="2E014020" w14:textId="4266B946" w:rsidR="00EC4603" w:rsidRDefault="00EC4603">
      <w:pPr>
        <w:pStyle w:val="Textpoznpodarou"/>
      </w:pPr>
      <w:r w:rsidRPr="00263CD8">
        <w:rPr>
          <w:rStyle w:val="Znakapoznpodarou"/>
          <w:sz w:val="16"/>
        </w:rPr>
        <w:footnoteRef/>
      </w:r>
      <w:r w:rsidRPr="00263CD8">
        <w:rPr>
          <w:sz w:val="16"/>
        </w:rPr>
        <w:t xml:space="preserve"> Z toho důvodu je u některých ukazatelů uvedeno meziroční s</w:t>
      </w:r>
      <w:r>
        <w:rPr>
          <w:sz w:val="16"/>
        </w:rPr>
        <w:t>rovnání druhých pololetí 2021 a 2022, případně i starších let.</w:t>
      </w:r>
    </w:p>
  </w:footnote>
  <w:footnote w:id="13">
    <w:p w14:paraId="686821C7" w14:textId="77777777" w:rsidR="00EC4603" w:rsidRDefault="00EC4603" w:rsidP="00577417">
      <w:pPr>
        <w:pStyle w:val="Textpoznpodarou"/>
        <w:jc w:val="both"/>
      </w:pPr>
      <w:r w:rsidRPr="003E42A9">
        <w:rPr>
          <w:rStyle w:val="Znakapoznpodarou"/>
          <w:sz w:val="16"/>
        </w:rPr>
        <w:footnoteRef/>
      </w:r>
      <w:r w:rsidRPr="003E42A9">
        <w:rPr>
          <w:sz w:val="16"/>
        </w:rPr>
        <w:t xml:space="preserve"> </w:t>
      </w:r>
      <w:r w:rsidRPr="00C36BB1">
        <w:rPr>
          <w:sz w:val="16"/>
        </w:rPr>
        <w:t>V Jeseníku se nachází personální útvar Úřadu práce ČR pro osoby pobírající odměnu pěstouna. Profesionální pěstouni zpravidla na neschopenku nechodí, protože i po dobu pracovní neschopnosti musí pečovat o svěřené dítě. Jsou však zahrnuti do jmenovatele ukazatele průměrného procenta pracovní neschopnosti v rámci počtu pojištěnců v okrese. Nicméně novelou zákona č</w:t>
      </w:r>
      <w:r w:rsidRPr="00C75F07">
        <w:rPr>
          <w:sz w:val="16"/>
        </w:rPr>
        <w:t>. 359/1999 Sb., o</w:t>
      </w:r>
      <w:r>
        <w:rPr>
          <w:sz w:val="16"/>
        </w:rPr>
        <w:t> </w:t>
      </w:r>
      <w:r w:rsidRPr="00C75F07">
        <w:rPr>
          <w:sz w:val="16"/>
        </w:rPr>
        <w:t>sociálně-právní ochraně dětí, a souvisejících předpisů, účinnou od 1.</w:t>
      </w:r>
      <w:r>
        <w:rPr>
          <w:sz w:val="16"/>
        </w:rPr>
        <w:t xml:space="preserve"> </w:t>
      </w:r>
      <w:r w:rsidRPr="00C75F07">
        <w:rPr>
          <w:sz w:val="16"/>
        </w:rPr>
        <w:t>1.</w:t>
      </w:r>
      <w:r>
        <w:rPr>
          <w:sz w:val="16"/>
        </w:rPr>
        <w:t xml:space="preserve"> </w:t>
      </w:r>
      <w:r w:rsidRPr="00C75F07">
        <w:rPr>
          <w:sz w:val="16"/>
        </w:rPr>
        <w:t xml:space="preserve">2022 – zákon č. 363/2021 Sb., </w:t>
      </w:r>
      <w:r>
        <w:rPr>
          <w:sz w:val="16"/>
        </w:rPr>
        <w:t xml:space="preserve">došlo k odlišení tzv. zprostředkovaných („profesionálních“) a nezprostředkovaných pěstounů. Nezprostředkovaným pěstounům (obvykle příbuzným nebo blízkým osobám dítěte či rodiny) od ledna 2022 nenáleží odměna pěstouna (příjem ze závislé činnosti), nýbrž netestovaná sociální dávka příspěvek při pěstounské péči. Tím pádem došlo k poklesu </w:t>
      </w:r>
      <w:proofErr w:type="spellStart"/>
      <w:r>
        <w:rPr>
          <w:sz w:val="16"/>
        </w:rPr>
        <w:t>nemocensky</w:t>
      </w:r>
      <w:proofErr w:type="spellEnd"/>
      <w:r>
        <w:rPr>
          <w:sz w:val="16"/>
        </w:rPr>
        <w:t xml:space="preserve"> pojištěných v okrese Jeseník a k nárůstu průměrného procenta.</w:t>
      </w:r>
    </w:p>
  </w:footnote>
  <w:footnote w:id="14">
    <w:p w14:paraId="6A2CF41E" w14:textId="77777777" w:rsidR="00193480" w:rsidRPr="00F969DD" w:rsidRDefault="00193480" w:rsidP="00193480">
      <w:pPr>
        <w:pStyle w:val="Textpoznpodarou"/>
        <w:spacing w:after="60" w:line="240" w:lineRule="auto"/>
        <w:jc w:val="both"/>
        <w:rPr>
          <w:sz w:val="16"/>
        </w:rPr>
      </w:pPr>
      <w:r>
        <w:rPr>
          <w:rStyle w:val="Znakapoznpodarou"/>
        </w:rPr>
        <w:footnoteRef/>
      </w:r>
      <w:r>
        <w:t xml:space="preserve"> </w:t>
      </w:r>
      <w:r w:rsidRPr="00F969DD">
        <w:rPr>
          <w:b/>
          <w:sz w:val="16"/>
        </w:rPr>
        <w:t>Karanténou</w:t>
      </w:r>
      <w:r w:rsidRPr="00F969DD">
        <w:rPr>
          <w:sz w:val="16"/>
        </w:rPr>
        <w:t xml:space="preserve"> se rozumí oddělení osoby, která sice nevykazuje příznaky onemocnění, ale byla během inkubační doby ve styku s</w:t>
      </w:r>
      <w:r>
        <w:rPr>
          <w:sz w:val="16"/>
        </w:rPr>
        <w:t> </w:t>
      </w:r>
      <w:r w:rsidRPr="00F969DD">
        <w:rPr>
          <w:sz w:val="16"/>
        </w:rPr>
        <w:t>infekčním onemocněním nebo pobývala v ohnisku nákazy, od ostatních fyzických osob, aby se nákaza dále nešířila.</w:t>
      </w:r>
    </w:p>
    <w:p w14:paraId="4001264E" w14:textId="793CAF13" w:rsidR="00193480" w:rsidRDefault="00193480" w:rsidP="00193480">
      <w:pPr>
        <w:pStyle w:val="Textpoznpodarou"/>
        <w:spacing w:after="60"/>
        <w:jc w:val="both"/>
      </w:pPr>
      <w:r w:rsidRPr="00F969DD">
        <w:rPr>
          <w:b/>
          <w:sz w:val="16"/>
        </w:rPr>
        <w:t>Izolací</w:t>
      </w:r>
      <w:r w:rsidRPr="00F969DD">
        <w:rPr>
          <w:sz w:val="16"/>
        </w:rPr>
        <w:t xml:space="preserve"> se rozumí oddělení osoby, která onemocněla infekční nemocí nebo jeví příznaky tohoto onemocnění, od ostatn</w:t>
      </w:r>
      <w:r>
        <w:rPr>
          <w:sz w:val="16"/>
        </w:rPr>
        <w:t>ích fyzických osob</w:t>
      </w:r>
      <w:r w:rsidRPr="00F969DD">
        <w:rPr>
          <w:sz w:val="16"/>
        </w:rPr>
        <w:t>, aby se infekční onemocnění dále nešířilo.</w:t>
      </w:r>
    </w:p>
  </w:footnote>
  <w:footnote w:id="15">
    <w:p w14:paraId="689DED9B" w14:textId="77777777" w:rsidR="00EC4603" w:rsidRDefault="00EC4603" w:rsidP="004215D8">
      <w:pPr>
        <w:pStyle w:val="Textpoznpodarou"/>
        <w:spacing w:after="60"/>
      </w:pPr>
      <w:r w:rsidRPr="006054AC">
        <w:rPr>
          <w:rStyle w:val="Znakapoznpodarou"/>
          <w:sz w:val="16"/>
        </w:rPr>
        <w:footnoteRef/>
      </w:r>
      <w:r w:rsidRPr="006054AC">
        <w:rPr>
          <w:sz w:val="16"/>
        </w:rPr>
        <w:t xml:space="preserve"> Platilo do 30. 6. 2021</w:t>
      </w:r>
      <w:r>
        <w:rPr>
          <w:sz w:val="16"/>
        </w:rPr>
        <w:t>.</w:t>
      </w:r>
    </w:p>
  </w:footnote>
  <w:footnote w:id="16">
    <w:p w14:paraId="0DB13924" w14:textId="77777777" w:rsidR="00EC4603" w:rsidRDefault="00EC4603" w:rsidP="004215D8">
      <w:pPr>
        <w:pStyle w:val="Textpoznpodarou"/>
      </w:pPr>
      <w:r w:rsidRPr="00B67A38">
        <w:rPr>
          <w:rStyle w:val="Znakapoznpodarou"/>
          <w:sz w:val="16"/>
        </w:rPr>
        <w:footnoteRef/>
      </w:r>
      <w:r>
        <w:t xml:space="preserve"> </w:t>
      </w:r>
      <w:r w:rsidRPr="00B67A38">
        <w:rPr>
          <w:sz w:val="16"/>
        </w:rPr>
        <w:t>Na jaře 2021 se</w:t>
      </w:r>
      <w:r>
        <w:rPr>
          <w:sz w:val="16"/>
        </w:rPr>
        <w:t xml:space="preserve"> podíl</w:t>
      </w:r>
      <w:r w:rsidRPr="00B67A38">
        <w:rPr>
          <w:sz w:val="16"/>
        </w:rPr>
        <w:t xml:space="preserve"> zvýšil na 80 %.</w:t>
      </w:r>
    </w:p>
  </w:footnote>
  <w:footnote w:id="17">
    <w:p w14:paraId="53AE6DC0" w14:textId="7F589E50" w:rsidR="00EC4603" w:rsidRPr="008A15C0" w:rsidRDefault="00EC4603" w:rsidP="00C13658">
      <w:pPr>
        <w:pStyle w:val="Textpoznpodarou"/>
        <w:jc w:val="both"/>
        <w:rPr>
          <w:sz w:val="18"/>
          <w:szCs w:val="18"/>
        </w:rPr>
      </w:pPr>
      <w:r w:rsidRPr="008A15C0">
        <w:rPr>
          <w:rStyle w:val="Znakapoznpodarou"/>
          <w:sz w:val="18"/>
          <w:szCs w:val="18"/>
        </w:rPr>
        <w:footnoteRef/>
      </w:r>
      <w:r w:rsidRPr="008A15C0">
        <w:rPr>
          <w:sz w:val="18"/>
          <w:szCs w:val="18"/>
        </w:rPr>
        <w:t xml:space="preserve"> </w:t>
      </w:r>
      <w:r w:rsidRPr="00EA2DCF">
        <w:rPr>
          <w:sz w:val="16"/>
          <w:szCs w:val="16"/>
        </w:rPr>
        <w:t>Poslední dostupná data s mezinárodním srovnáním za členské státy EU2</w:t>
      </w:r>
      <w:r>
        <w:rPr>
          <w:sz w:val="16"/>
          <w:szCs w:val="16"/>
        </w:rPr>
        <w:t>7</w:t>
      </w:r>
      <w:r w:rsidRPr="00EA2DCF">
        <w:rPr>
          <w:sz w:val="16"/>
          <w:szCs w:val="16"/>
        </w:rPr>
        <w:t xml:space="preserve"> byla v době zpracování této publikace </w:t>
      </w:r>
      <w:r w:rsidRPr="00EA2DCF">
        <w:rPr>
          <w:spacing w:val="-3"/>
          <w:sz w:val="16"/>
          <w:szCs w:val="16"/>
        </w:rPr>
        <w:t>za rok 20</w:t>
      </w:r>
      <w:r>
        <w:rPr>
          <w:spacing w:val="-3"/>
          <w:sz w:val="16"/>
          <w:szCs w:val="16"/>
        </w:rPr>
        <w:t>20</w:t>
      </w:r>
      <w:r w:rsidRPr="00EA2DCF">
        <w:rPr>
          <w:spacing w:val="-3"/>
          <w:sz w:val="16"/>
          <w:szCs w:val="16"/>
        </w:rPr>
        <w:t xml:space="preserve">. Jejich zdrojem je databáze </w:t>
      </w:r>
      <w:proofErr w:type="spellStart"/>
      <w:r w:rsidRPr="00EA2DCF">
        <w:rPr>
          <w:spacing w:val="-3"/>
          <w:sz w:val="16"/>
          <w:szCs w:val="16"/>
        </w:rPr>
        <w:t>Eurostatu</w:t>
      </w:r>
      <w:proofErr w:type="spellEnd"/>
      <w:r w:rsidRPr="00EA2DCF">
        <w:rPr>
          <w:spacing w:val="-3"/>
          <w:sz w:val="16"/>
          <w:szCs w:val="16"/>
        </w:rPr>
        <w:t xml:space="preserve">: </w:t>
      </w:r>
      <w:hyperlink r:id="rId4" w:history="1">
        <w:r w:rsidRPr="00EA2DCF">
          <w:rPr>
            <w:rStyle w:val="Hypertextovodkaz"/>
            <w:sz w:val="16"/>
            <w:szCs w:val="16"/>
          </w:rPr>
          <w:t>https://ec.europa.eu/eurostat/web/health/data/database</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AA7BAC" w14:textId="669FB023" w:rsidR="00EC4603" w:rsidRPr="009D7913" w:rsidRDefault="00EC4603" w:rsidP="009D7913">
    <w:pPr>
      <w:pStyle w:val="Zhlav"/>
    </w:pPr>
    <w:r>
      <w:t>Pracovní neschopnost pro nemoc a úraz za rok 2022</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E92285" w14:textId="26CE0467" w:rsidR="00EC4603" w:rsidRPr="006F5416" w:rsidRDefault="00EC4603" w:rsidP="00937AE2">
    <w:pPr>
      <w:pStyle w:val="Zhlav"/>
    </w:pPr>
    <w:r>
      <w:t>Pracovní neschopnost pro nemoc a úraz za rok 2022</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w14:anchorId="0E04FF8D"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FAAF"/>
      </v:shape>
    </w:pict>
  </w:numPicBullet>
  <w:abstractNum w:abstractNumId="0" w15:restartNumberingAfterBreak="0">
    <w:nsid w:val="FFFFFF7C"/>
    <w:multiLevelType w:val="singleLevel"/>
    <w:tmpl w:val="49CEEC4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EC69A9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37A1C9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B76230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F6965B5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0DE276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C7AED3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68C5BA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7C8EEA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18AD8C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E1470"/>
    <w:multiLevelType w:val="hybridMultilevel"/>
    <w:tmpl w:val="5C9656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84E4415"/>
    <w:multiLevelType w:val="hybridMultilevel"/>
    <w:tmpl w:val="189A16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1D394626"/>
    <w:multiLevelType w:val="hybridMultilevel"/>
    <w:tmpl w:val="C29C83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02556A7"/>
    <w:multiLevelType w:val="hybridMultilevel"/>
    <w:tmpl w:val="D2E89A06"/>
    <w:lvl w:ilvl="0" w:tplc="04050001">
      <w:start w:val="1"/>
      <w:numFmt w:val="bullet"/>
      <w:lvlText w:val=""/>
      <w:lvlJc w:val="left"/>
      <w:pPr>
        <w:ind w:left="780" w:hanging="360"/>
      </w:pPr>
      <w:rPr>
        <w:rFonts w:ascii="Symbol" w:hAnsi="Symbol" w:hint="default"/>
      </w:rPr>
    </w:lvl>
    <w:lvl w:ilvl="1" w:tplc="04050003">
      <w:start w:val="1"/>
      <w:numFmt w:val="bullet"/>
      <w:lvlText w:val="o"/>
      <w:lvlJc w:val="left"/>
      <w:pPr>
        <w:ind w:left="1500" w:hanging="360"/>
      </w:pPr>
      <w:rPr>
        <w:rFonts w:ascii="Courier New" w:hAnsi="Courier New" w:cs="Courier New" w:hint="default"/>
      </w:rPr>
    </w:lvl>
    <w:lvl w:ilvl="2" w:tplc="04050003">
      <w:start w:val="1"/>
      <w:numFmt w:val="bullet"/>
      <w:lvlText w:val="o"/>
      <w:lvlJc w:val="left"/>
      <w:pPr>
        <w:ind w:left="2220" w:hanging="360"/>
      </w:pPr>
      <w:rPr>
        <w:rFonts w:ascii="Courier New" w:hAnsi="Courier New" w:cs="Courier New"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4" w15:restartNumberingAfterBreak="0">
    <w:nsid w:val="23C9092A"/>
    <w:multiLevelType w:val="hybridMultilevel"/>
    <w:tmpl w:val="6106A1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58473A1"/>
    <w:multiLevelType w:val="hybridMultilevel"/>
    <w:tmpl w:val="7984410C"/>
    <w:lvl w:ilvl="0" w:tplc="3712003C">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7900C75"/>
    <w:multiLevelType w:val="multilevel"/>
    <w:tmpl w:val="17DE23C4"/>
    <w:lvl w:ilvl="0">
      <w:start w:val="4"/>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28AA48F6"/>
    <w:multiLevelType w:val="hybridMultilevel"/>
    <w:tmpl w:val="89FE51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B8016D3"/>
    <w:multiLevelType w:val="hybridMultilevel"/>
    <w:tmpl w:val="C9B243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2ECC156E"/>
    <w:multiLevelType w:val="hybridMultilevel"/>
    <w:tmpl w:val="7EECAB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39BE693E"/>
    <w:multiLevelType w:val="hybridMultilevel"/>
    <w:tmpl w:val="78BC3C4C"/>
    <w:lvl w:ilvl="0" w:tplc="7AEC1508">
      <w:start w:val="1"/>
      <w:numFmt w:val="bullet"/>
      <w:lvlText w:val=""/>
      <w:lvlJc w:val="left"/>
      <w:pPr>
        <w:ind w:left="2136" w:hanging="360"/>
      </w:pPr>
      <w:rPr>
        <w:rFonts w:ascii="Arial" w:hAnsi="Arial" w:cs="Arial" w:hint="default"/>
      </w:rPr>
    </w:lvl>
    <w:lvl w:ilvl="1" w:tplc="04050003" w:tentative="1">
      <w:start w:val="1"/>
      <w:numFmt w:val="bullet"/>
      <w:lvlText w:val="o"/>
      <w:lvlJc w:val="left"/>
      <w:pPr>
        <w:ind w:left="2856" w:hanging="360"/>
      </w:pPr>
      <w:rPr>
        <w:rFonts w:ascii="Courier New" w:hAnsi="Courier New" w:cs="Courier New"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21" w15:restartNumberingAfterBreak="0">
    <w:nsid w:val="3AA62D00"/>
    <w:multiLevelType w:val="hybridMultilevel"/>
    <w:tmpl w:val="3F9CAA34"/>
    <w:lvl w:ilvl="0" w:tplc="04050003">
      <w:start w:val="1"/>
      <w:numFmt w:val="bullet"/>
      <w:lvlText w:val="o"/>
      <w:lvlJc w:val="left"/>
      <w:pPr>
        <w:ind w:left="4368" w:hanging="360"/>
      </w:pPr>
      <w:rPr>
        <w:rFonts w:ascii="Courier New" w:hAnsi="Courier New" w:cs="Courier New" w:hint="default"/>
      </w:rPr>
    </w:lvl>
    <w:lvl w:ilvl="1" w:tplc="04050003">
      <w:start w:val="1"/>
      <w:numFmt w:val="bullet"/>
      <w:lvlText w:val="o"/>
      <w:lvlJc w:val="left"/>
      <w:pPr>
        <w:ind w:left="3672" w:hanging="360"/>
      </w:pPr>
      <w:rPr>
        <w:rFonts w:ascii="Courier New" w:hAnsi="Courier New" w:cs="Courier New" w:hint="default"/>
      </w:rPr>
    </w:lvl>
    <w:lvl w:ilvl="2" w:tplc="04050005">
      <w:start w:val="1"/>
      <w:numFmt w:val="bullet"/>
      <w:lvlText w:val=""/>
      <w:lvlJc w:val="left"/>
      <w:pPr>
        <w:ind w:left="4392" w:hanging="360"/>
      </w:pPr>
      <w:rPr>
        <w:rFonts w:ascii="Wingdings" w:hAnsi="Wingdings" w:hint="default"/>
      </w:rPr>
    </w:lvl>
    <w:lvl w:ilvl="3" w:tplc="04050001" w:tentative="1">
      <w:start w:val="1"/>
      <w:numFmt w:val="bullet"/>
      <w:lvlText w:val=""/>
      <w:lvlJc w:val="left"/>
      <w:pPr>
        <w:ind w:left="5112" w:hanging="360"/>
      </w:pPr>
      <w:rPr>
        <w:rFonts w:ascii="Symbol" w:hAnsi="Symbol" w:hint="default"/>
      </w:rPr>
    </w:lvl>
    <w:lvl w:ilvl="4" w:tplc="04050003" w:tentative="1">
      <w:start w:val="1"/>
      <w:numFmt w:val="bullet"/>
      <w:lvlText w:val="o"/>
      <w:lvlJc w:val="left"/>
      <w:pPr>
        <w:ind w:left="5832" w:hanging="360"/>
      </w:pPr>
      <w:rPr>
        <w:rFonts w:ascii="Courier New" w:hAnsi="Courier New" w:cs="Courier New" w:hint="default"/>
      </w:rPr>
    </w:lvl>
    <w:lvl w:ilvl="5" w:tplc="04050005" w:tentative="1">
      <w:start w:val="1"/>
      <w:numFmt w:val="bullet"/>
      <w:lvlText w:val=""/>
      <w:lvlJc w:val="left"/>
      <w:pPr>
        <w:ind w:left="6552" w:hanging="360"/>
      </w:pPr>
      <w:rPr>
        <w:rFonts w:ascii="Wingdings" w:hAnsi="Wingdings" w:hint="default"/>
      </w:rPr>
    </w:lvl>
    <w:lvl w:ilvl="6" w:tplc="04050001" w:tentative="1">
      <w:start w:val="1"/>
      <w:numFmt w:val="bullet"/>
      <w:lvlText w:val=""/>
      <w:lvlJc w:val="left"/>
      <w:pPr>
        <w:ind w:left="7272" w:hanging="360"/>
      </w:pPr>
      <w:rPr>
        <w:rFonts w:ascii="Symbol" w:hAnsi="Symbol" w:hint="default"/>
      </w:rPr>
    </w:lvl>
    <w:lvl w:ilvl="7" w:tplc="04050003" w:tentative="1">
      <w:start w:val="1"/>
      <w:numFmt w:val="bullet"/>
      <w:lvlText w:val="o"/>
      <w:lvlJc w:val="left"/>
      <w:pPr>
        <w:ind w:left="7992" w:hanging="360"/>
      </w:pPr>
      <w:rPr>
        <w:rFonts w:ascii="Courier New" w:hAnsi="Courier New" w:cs="Courier New" w:hint="default"/>
      </w:rPr>
    </w:lvl>
    <w:lvl w:ilvl="8" w:tplc="04050005" w:tentative="1">
      <w:start w:val="1"/>
      <w:numFmt w:val="bullet"/>
      <w:lvlText w:val=""/>
      <w:lvlJc w:val="left"/>
      <w:pPr>
        <w:ind w:left="8712" w:hanging="360"/>
      </w:pPr>
      <w:rPr>
        <w:rFonts w:ascii="Wingdings" w:hAnsi="Wingdings" w:hint="default"/>
      </w:rPr>
    </w:lvl>
  </w:abstractNum>
  <w:abstractNum w:abstractNumId="22" w15:restartNumberingAfterBreak="0">
    <w:nsid w:val="3D77313A"/>
    <w:multiLevelType w:val="hybridMultilevel"/>
    <w:tmpl w:val="346EA946"/>
    <w:lvl w:ilvl="0" w:tplc="04050003">
      <w:start w:val="1"/>
      <w:numFmt w:val="bullet"/>
      <w:lvlText w:val="o"/>
      <w:lvlJc w:val="left"/>
      <w:pPr>
        <w:ind w:left="2652" w:hanging="360"/>
      </w:pPr>
      <w:rPr>
        <w:rFonts w:ascii="Courier New" w:hAnsi="Courier New" w:cs="Courier New" w:hint="default"/>
      </w:rPr>
    </w:lvl>
    <w:lvl w:ilvl="1" w:tplc="04050003" w:tentative="1">
      <w:start w:val="1"/>
      <w:numFmt w:val="bullet"/>
      <w:lvlText w:val="o"/>
      <w:lvlJc w:val="left"/>
      <w:pPr>
        <w:ind w:left="3372" w:hanging="360"/>
      </w:pPr>
      <w:rPr>
        <w:rFonts w:ascii="Courier New" w:hAnsi="Courier New" w:cs="Courier New" w:hint="default"/>
      </w:rPr>
    </w:lvl>
    <w:lvl w:ilvl="2" w:tplc="04050005" w:tentative="1">
      <w:start w:val="1"/>
      <w:numFmt w:val="bullet"/>
      <w:lvlText w:val=""/>
      <w:lvlJc w:val="left"/>
      <w:pPr>
        <w:ind w:left="4092" w:hanging="360"/>
      </w:pPr>
      <w:rPr>
        <w:rFonts w:ascii="Wingdings" w:hAnsi="Wingdings" w:hint="default"/>
      </w:rPr>
    </w:lvl>
    <w:lvl w:ilvl="3" w:tplc="04050001" w:tentative="1">
      <w:start w:val="1"/>
      <w:numFmt w:val="bullet"/>
      <w:lvlText w:val=""/>
      <w:lvlJc w:val="left"/>
      <w:pPr>
        <w:ind w:left="4812" w:hanging="360"/>
      </w:pPr>
      <w:rPr>
        <w:rFonts w:ascii="Symbol" w:hAnsi="Symbol" w:hint="default"/>
      </w:rPr>
    </w:lvl>
    <w:lvl w:ilvl="4" w:tplc="04050003" w:tentative="1">
      <w:start w:val="1"/>
      <w:numFmt w:val="bullet"/>
      <w:lvlText w:val="o"/>
      <w:lvlJc w:val="left"/>
      <w:pPr>
        <w:ind w:left="5532" w:hanging="360"/>
      </w:pPr>
      <w:rPr>
        <w:rFonts w:ascii="Courier New" w:hAnsi="Courier New" w:cs="Courier New" w:hint="default"/>
      </w:rPr>
    </w:lvl>
    <w:lvl w:ilvl="5" w:tplc="04050005" w:tentative="1">
      <w:start w:val="1"/>
      <w:numFmt w:val="bullet"/>
      <w:lvlText w:val=""/>
      <w:lvlJc w:val="left"/>
      <w:pPr>
        <w:ind w:left="6252" w:hanging="360"/>
      </w:pPr>
      <w:rPr>
        <w:rFonts w:ascii="Wingdings" w:hAnsi="Wingdings" w:hint="default"/>
      </w:rPr>
    </w:lvl>
    <w:lvl w:ilvl="6" w:tplc="04050001" w:tentative="1">
      <w:start w:val="1"/>
      <w:numFmt w:val="bullet"/>
      <w:lvlText w:val=""/>
      <w:lvlJc w:val="left"/>
      <w:pPr>
        <w:ind w:left="6972" w:hanging="360"/>
      </w:pPr>
      <w:rPr>
        <w:rFonts w:ascii="Symbol" w:hAnsi="Symbol" w:hint="default"/>
      </w:rPr>
    </w:lvl>
    <w:lvl w:ilvl="7" w:tplc="04050003" w:tentative="1">
      <w:start w:val="1"/>
      <w:numFmt w:val="bullet"/>
      <w:lvlText w:val="o"/>
      <w:lvlJc w:val="left"/>
      <w:pPr>
        <w:ind w:left="7692" w:hanging="360"/>
      </w:pPr>
      <w:rPr>
        <w:rFonts w:ascii="Courier New" w:hAnsi="Courier New" w:cs="Courier New" w:hint="default"/>
      </w:rPr>
    </w:lvl>
    <w:lvl w:ilvl="8" w:tplc="04050005" w:tentative="1">
      <w:start w:val="1"/>
      <w:numFmt w:val="bullet"/>
      <w:lvlText w:val=""/>
      <w:lvlJc w:val="left"/>
      <w:pPr>
        <w:ind w:left="8412" w:hanging="360"/>
      </w:pPr>
      <w:rPr>
        <w:rFonts w:ascii="Wingdings" w:hAnsi="Wingdings" w:hint="default"/>
      </w:rPr>
    </w:lvl>
  </w:abstractNum>
  <w:abstractNum w:abstractNumId="23" w15:restartNumberingAfterBreak="0">
    <w:nsid w:val="43AF4090"/>
    <w:multiLevelType w:val="hybridMultilevel"/>
    <w:tmpl w:val="70D4EC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4EE3113"/>
    <w:multiLevelType w:val="hybridMultilevel"/>
    <w:tmpl w:val="E7E24CCC"/>
    <w:lvl w:ilvl="0" w:tplc="04050001">
      <w:start w:val="1"/>
      <w:numFmt w:val="bullet"/>
      <w:lvlText w:val=""/>
      <w:lvlJc w:val="left"/>
      <w:pPr>
        <w:ind w:left="723" w:hanging="360"/>
      </w:pPr>
      <w:rPr>
        <w:rFonts w:ascii="Symbol" w:hAnsi="Symbol" w:hint="default"/>
      </w:rPr>
    </w:lvl>
    <w:lvl w:ilvl="1" w:tplc="04050003" w:tentative="1">
      <w:start w:val="1"/>
      <w:numFmt w:val="bullet"/>
      <w:lvlText w:val="o"/>
      <w:lvlJc w:val="left"/>
      <w:pPr>
        <w:ind w:left="1443" w:hanging="360"/>
      </w:pPr>
      <w:rPr>
        <w:rFonts w:ascii="Courier New" w:hAnsi="Courier New" w:cs="Courier New" w:hint="default"/>
      </w:rPr>
    </w:lvl>
    <w:lvl w:ilvl="2" w:tplc="04050005" w:tentative="1">
      <w:start w:val="1"/>
      <w:numFmt w:val="bullet"/>
      <w:lvlText w:val=""/>
      <w:lvlJc w:val="left"/>
      <w:pPr>
        <w:ind w:left="2163" w:hanging="360"/>
      </w:pPr>
      <w:rPr>
        <w:rFonts w:ascii="Wingdings" w:hAnsi="Wingdings" w:hint="default"/>
      </w:rPr>
    </w:lvl>
    <w:lvl w:ilvl="3" w:tplc="04050001" w:tentative="1">
      <w:start w:val="1"/>
      <w:numFmt w:val="bullet"/>
      <w:lvlText w:val=""/>
      <w:lvlJc w:val="left"/>
      <w:pPr>
        <w:ind w:left="2883" w:hanging="360"/>
      </w:pPr>
      <w:rPr>
        <w:rFonts w:ascii="Symbol" w:hAnsi="Symbol" w:hint="default"/>
      </w:rPr>
    </w:lvl>
    <w:lvl w:ilvl="4" w:tplc="04050003" w:tentative="1">
      <w:start w:val="1"/>
      <w:numFmt w:val="bullet"/>
      <w:lvlText w:val="o"/>
      <w:lvlJc w:val="left"/>
      <w:pPr>
        <w:ind w:left="3603" w:hanging="360"/>
      </w:pPr>
      <w:rPr>
        <w:rFonts w:ascii="Courier New" w:hAnsi="Courier New" w:cs="Courier New" w:hint="default"/>
      </w:rPr>
    </w:lvl>
    <w:lvl w:ilvl="5" w:tplc="04050005" w:tentative="1">
      <w:start w:val="1"/>
      <w:numFmt w:val="bullet"/>
      <w:lvlText w:val=""/>
      <w:lvlJc w:val="left"/>
      <w:pPr>
        <w:ind w:left="4323" w:hanging="360"/>
      </w:pPr>
      <w:rPr>
        <w:rFonts w:ascii="Wingdings" w:hAnsi="Wingdings" w:hint="default"/>
      </w:rPr>
    </w:lvl>
    <w:lvl w:ilvl="6" w:tplc="04050001" w:tentative="1">
      <w:start w:val="1"/>
      <w:numFmt w:val="bullet"/>
      <w:lvlText w:val=""/>
      <w:lvlJc w:val="left"/>
      <w:pPr>
        <w:ind w:left="5043" w:hanging="360"/>
      </w:pPr>
      <w:rPr>
        <w:rFonts w:ascii="Symbol" w:hAnsi="Symbol" w:hint="default"/>
      </w:rPr>
    </w:lvl>
    <w:lvl w:ilvl="7" w:tplc="04050003" w:tentative="1">
      <w:start w:val="1"/>
      <w:numFmt w:val="bullet"/>
      <w:lvlText w:val="o"/>
      <w:lvlJc w:val="left"/>
      <w:pPr>
        <w:ind w:left="5763" w:hanging="360"/>
      </w:pPr>
      <w:rPr>
        <w:rFonts w:ascii="Courier New" w:hAnsi="Courier New" w:cs="Courier New" w:hint="default"/>
      </w:rPr>
    </w:lvl>
    <w:lvl w:ilvl="8" w:tplc="04050005" w:tentative="1">
      <w:start w:val="1"/>
      <w:numFmt w:val="bullet"/>
      <w:lvlText w:val=""/>
      <w:lvlJc w:val="left"/>
      <w:pPr>
        <w:ind w:left="6483" w:hanging="360"/>
      </w:pPr>
      <w:rPr>
        <w:rFonts w:ascii="Wingdings" w:hAnsi="Wingdings" w:hint="default"/>
      </w:rPr>
    </w:lvl>
  </w:abstractNum>
  <w:abstractNum w:abstractNumId="25" w15:restartNumberingAfterBreak="0">
    <w:nsid w:val="4704391F"/>
    <w:multiLevelType w:val="hybridMultilevel"/>
    <w:tmpl w:val="217E5D9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6" w15:restartNumberingAfterBreak="0">
    <w:nsid w:val="48384A27"/>
    <w:multiLevelType w:val="hybridMultilevel"/>
    <w:tmpl w:val="1050503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4C4838C7"/>
    <w:multiLevelType w:val="hybridMultilevel"/>
    <w:tmpl w:val="C4D82BEE"/>
    <w:lvl w:ilvl="0" w:tplc="04050003">
      <w:start w:val="1"/>
      <w:numFmt w:val="bullet"/>
      <w:lvlText w:val="o"/>
      <w:lvlJc w:val="left"/>
      <w:pPr>
        <w:ind w:left="360" w:hanging="360"/>
      </w:pPr>
      <w:rPr>
        <w:rFonts w:ascii="Courier New" w:hAnsi="Courier New" w:cs="Courier New"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8" w15:restartNumberingAfterBreak="0">
    <w:nsid w:val="4C581760"/>
    <w:multiLevelType w:val="hybridMultilevel"/>
    <w:tmpl w:val="CFEE97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51091F8A"/>
    <w:multiLevelType w:val="hybridMultilevel"/>
    <w:tmpl w:val="E1A876A2"/>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5363618"/>
    <w:multiLevelType w:val="hybridMultilevel"/>
    <w:tmpl w:val="E3E8EB9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90017F3"/>
    <w:multiLevelType w:val="hybridMultilevel"/>
    <w:tmpl w:val="D4C400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5DD50F1A"/>
    <w:multiLevelType w:val="hybridMultilevel"/>
    <w:tmpl w:val="1410E98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66AA503E"/>
    <w:multiLevelType w:val="multilevel"/>
    <w:tmpl w:val="2688BBDA"/>
    <w:lvl w:ilvl="0">
      <w:start w:val="1"/>
      <w:numFmt w:val="decimal"/>
      <w:lvlText w:val="%1."/>
      <w:lvlJc w:val="left"/>
      <w:pPr>
        <w:ind w:left="720" w:hanging="360"/>
      </w:pPr>
      <w:rPr>
        <w:rFonts w:hint="default"/>
      </w:rPr>
    </w:lvl>
    <w:lvl w:ilvl="1">
      <w:start w:val="3"/>
      <w:numFmt w:val="decimal"/>
      <w:isLgl/>
      <w:suff w:val="space"/>
      <w:lvlText w:val="4.%2"/>
      <w:lvlJc w:val="left"/>
      <w:pPr>
        <w:ind w:left="720" w:hanging="360"/>
      </w:pPr>
      <w:rPr>
        <w:rFonts w:hint="default"/>
      </w:rPr>
    </w:lvl>
    <w:lvl w:ilvl="2">
      <w:start w:val="1"/>
      <w:numFmt w:val="decimal"/>
      <w:isLgl/>
      <w:suff w:val="space"/>
      <w:lvlText w:val="4.%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686C4312"/>
    <w:multiLevelType w:val="multilevel"/>
    <w:tmpl w:val="A544AB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CE71B0D"/>
    <w:multiLevelType w:val="multilevel"/>
    <w:tmpl w:val="5EE4B558"/>
    <w:lvl w:ilvl="0">
      <w:start w:val="1"/>
      <w:numFmt w:val="decimal"/>
      <w:lvlText w:val="%1."/>
      <w:lvlJc w:val="left"/>
      <w:pPr>
        <w:ind w:left="720" w:hanging="360"/>
      </w:pPr>
      <w:rPr>
        <w:rFonts w:hint="default"/>
      </w:rPr>
    </w:lvl>
    <w:lvl w:ilvl="1">
      <w:start w:val="3"/>
      <w:numFmt w:val="decimal"/>
      <w:isLgl/>
      <w:suff w:val="space"/>
      <w:lvlText w:val="4.%2"/>
      <w:lvlJc w:val="left"/>
      <w:pPr>
        <w:ind w:left="720" w:hanging="360"/>
      </w:pPr>
      <w:rPr>
        <w:rFonts w:hint="default"/>
      </w:rPr>
    </w:lvl>
    <w:lvl w:ilvl="2">
      <w:start w:val="1"/>
      <w:numFmt w:val="none"/>
      <w:isLgl/>
      <w:suff w:val="space"/>
      <w:lvlText w:val="4.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71FB04D0"/>
    <w:multiLevelType w:val="hybridMultilevel"/>
    <w:tmpl w:val="A5FC219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7925555E"/>
    <w:multiLevelType w:val="hybridMultilevel"/>
    <w:tmpl w:val="50D6B4EC"/>
    <w:lvl w:ilvl="0" w:tplc="04050003">
      <w:start w:val="1"/>
      <w:numFmt w:val="bullet"/>
      <w:lvlText w:val="o"/>
      <w:lvlJc w:val="left"/>
      <w:pPr>
        <w:ind w:left="720" w:hanging="360"/>
      </w:pPr>
      <w:rPr>
        <w:rFonts w:ascii="Courier New" w:hAnsi="Courier New" w:cs="Courier New"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7FEF4B85"/>
    <w:multiLevelType w:val="hybridMultilevel"/>
    <w:tmpl w:val="E4FC5E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6"/>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15"/>
  </w:num>
  <w:num w:numId="13">
    <w:abstractNumId w:val="28"/>
  </w:num>
  <w:num w:numId="14">
    <w:abstractNumId w:val="14"/>
  </w:num>
  <w:num w:numId="15">
    <w:abstractNumId w:val="17"/>
  </w:num>
  <w:num w:numId="16">
    <w:abstractNumId w:val="32"/>
  </w:num>
  <w:num w:numId="17">
    <w:abstractNumId w:val="38"/>
  </w:num>
  <w:num w:numId="18">
    <w:abstractNumId w:val="36"/>
  </w:num>
  <w:num w:numId="19">
    <w:abstractNumId w:val="11"/>
  </w:num>
  <w:num w:numId="20">
    <w:abstractNumId w:val="18"/>
  </w:num>
  <w:num w:numId="21">
    <w:abstractNumId w:val="31"/>
  </w:num>
  <w:num w:numId="22">
    <w:abstractNumId w:val="12"/>
  </w:num>
  <w:num w:numId="23">
    <w:abstractNumId w:val="34"/>
  </w:num>
  <w:num w:numId="24">
    <w:abstractNumId w:val="19"/>
  </w:num>
  <w:num w:numId="25">
    <w:abstractNumId w:val="13"/>
  </w:num>
  <w:num w:numId="26">
    <w:abstractNumId w:val="30"/>
  </w:num>
  <w:num w:numId="27">
    <w:abstractNumId w:val="35"/>
  </w:num>
  <w:num w:numId="28">
    <w:abstractNumId w:val="10"/>
  </w:num>
  <w:num w:numId="29">
    <w:abstractNumId w:val="33"/>
  </w:num>
  <w:num w:numId="30">
    <w:abstractNumId w:val="16"/>
  </w:num>
  <w:num w:numId="31">
    <w:abstractNumId w:val="23"/>
  </w:num>
  <w:num w:numId="32">
    <w:abstractNumId w:val="25"/>
  </w:num>
  <w:num w:numId="33">
    <w:abstractNumId w:val="24"/>
  </w:num>
  <w:num w:numId="34">
    <w:abstractNumId w:val="20"/>
  </w:num>
  <w:num w:numId="35">
    <w:abstractNumId w:val="21"/>
  </w:num>
  <w:num w:numId="36">
    <w:abstractNumId w:val="22"/>
  </w:num>
  <w:num w:numId="37">
    <w:abstractNumId w:val="37"/>
  </w:num>
  <w:num w:numId="38">
    <w:abstractNumId w:val="27"/>
  </w:num>
  <w:num w:numId="39">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4"/>
  <w:defaultTabStop w:val="708"/>
  <w:hyphenationZone w:val="425"/>
  <w:evenAndOddHeaders/>
  <w:drawingGridHorizontalSpacing w:val="110"/>
  <w:displayHorizontalDrawingGridEvery w:val="2"/>
  <w:characterSpacingControl w:val="doNotCompress"/>
  <w:hdrShapeDefaults>
    <o:shapedefaults v:ext="edit" spidmax="2049">
      <o:colormru v:ext="edit" colors="#ecf4dd,#eaecee,#fcec0a,#fcecdb,#f1daf5"/>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D7913"/>
    <w:rsid w:val="00000210"/>
    <w:rsid w:val="000010B9"/>
    <w:rsid w:val="0000209D"/>
    <w:rsid w:val="00004D5A"/>
    <w:rsid w:val="000056D5"/>
    <w:rsid w:val="0000767A"/>
    <w:rsid w:val="00010702"/>
    <w:rsid w:val="000107D1"/>
    <w:rsid w:val="00016992"/>
    <w:rsid w:val="0002086F"/>
    <w:rsid w:val="00021A3B"/>
    <w:rsid w:val="0002281B"/>
    <w:rsid w:val="000234D6"/>
    <w:rsid w:val="00023D29"/>
    <w:rsid w:val="00026389"/>
    <w:rsid w:val="00031AE0"/>
    <w:rsid w:val="00032041"/>
    <w:rsid w:val="000322EF"/>
    <w:rsid w:val="00032583"/>
    <w:rsid w:val="00033FCD"/>
    <w:rsid w:val="00034547"/>
    <w:rsid w:val="00041CEC"/>
    <w:rsid w:val="000423A6"/>
    <w:rsid w:val="0004694F"/>
    <w:rsid w:val="0004776E"/>
    <w:rsid w:val="000477A6"/>
    <w:rsid w:val="000522E4"/>
    <w:rsid w:val="00053C77"/>
    <w:rsid w:val="00060EF7"/>
    <w:rsid w:val="000610E1"/>
    <w:rsid w:val="00061AAA"/>
    <w:rsid w:val="00062EC5"/>
    <w:rsid w:val="00062F22"/>
    <w:rsid w:val="00070858"/>
    <w:rsid w:val="000712B3"/>
    <w:rsid w:val="00071637"/>
    <w:rsid w:val="000731F7"/>
    <w:rsid w:val="00073FCE"/>
    <w:rsid w:val="00074565"/>
    <w:rsid w:val="00077304"/>
    <w:rsid w:val="00081811"/>
    <w:rsid w:val="0008263E"/>
    <w:rsid w:val="00082C19"/>
    <w:rsid w:val="00085395"/>
    <w:rsid w:val="00087634"/>
    <w:rsid w:val="00087F2B"/>
    <w:rsid w:val="00094A63"/>
    <w:rsid w:val="00095403"/>
    <w:rsid w:val="00095759"/>
    <w:rsid w:val="000974D1"/>
    <w:rsid w:val="0009799E"/>
    <w:rsid w:val="000A1183"/>
    <w:rsid w:val="000A1C7A"/>
    <w:rsid w:val="000A256D"/>
    <w:rsid w:val="000A37C2"/>
    <w:rsid w:val="000A3A2C"/>
    <w:rsid w:val="000A4324"/>
    <w:rsid w:val="000B30FA"/>
    <w:rsid w:val="000B513F"/>
    <w:rsid w:val="000C02B0"/>
    <w:rsid w:val="000C1953"/>
    <w:rsid w:val="000C22F4"/>
    <w:rsid w:val="000C2C11"/>
    <w:rsid w:val="000C3408"/>
    <w:rsid w:val="000C3BCD"/>
    <w:rsid w:val="000C6AFD"/>
    <w:rsid w:val="000D10EE"/>
    <w:rsid w:val="000D1980"/>
    <w:rsid w:val="000D1D1E"/>
    <w:rsid w:val="000D255B"/>
    <w:rsid w:val="000D39C9"/>
    <w:rsid w:val="000D4AC4"/>
    <w:rsid w:val="000D5637"/>
    <w:rsid w:val="000E5B48"/>
    <w:rsid w:val="000E6FBD"/>
    <w:rsid w:val="000F2639"/>
    <w:rsid w:val="000F5459"/>
    <w:rsid w:val="00100F5C"/>
    <w:rsid w:val="00102EAE"/>
    <w:rsid w:val="0010437D"/>
    <w:rsid w:val="00104C4C"/>
    <w:rsid w:val="001140E6"/>
    <w:rsid w:val="0011766E"/>
    <w:rsid w:val="0012192F"/>
    <w:rsid w:val="00125D69"/>
    <w:rsid w:val="00131CC7"/>
    <w:rsid w:val="001340D3"/>
    <w:rsid w:val="001405FA"/>
    <w:rsid w:val="001425C3"/>
    <w:rsid w:val="001438A5"/>
    <w:rsid w:val="00152E88"/>
    <w:rsid w:val="001541E4"/>
    <w:rsid w:val="00160306"/>
    <w:rsid w:val="0016256B"/>
    <w:rsid w:val="00163186"/>
    <w:rsid w:val="00163393"/>
    <w:rsid w:val="00163793"/>
    <w:rsid w:val="00166BEB"/>
    <w:rsid w:val="00167288"/>
    <w:rsid w:val="001706D6"/>
    <w:rsid w:val="001714F2"/>
    <w:rsid w:val="001819ED"/>
    <w:rsid w:val="00184B08"/>
    <w:rsid w:val="00185010"/>
    <w:rsid w:val="00191C99"/>
    <w:rsid w:val="00193480"/>
    <w:rsid w:val="001A552F"/>
    <w:rsid w:val="001A57FC"/>
    <w:rsid w:val="001B2CA9"/>
    <w:rsid w:val="001B3110"/>
    <w:rsid w:val="001B4707"/>
    <w:rsid w:val="001B4729"/>
    <w:rsid w:val="001B6C09"/>
    <w:rsid w:val="001B7F27"/>
    <w:rsid w:val="001C05CD"/>
    <w:rsid w:val="001C6F97"/>
    <w:rsid w:val="001D17A2"/>
    <w:rsid w:val="001D667D"/>
    <w:rsid w:val="001D68B2"/>
    <w:rsid w:val="001E0F29"/>
    <w:rsid w:val="001E4182"/>
    <w:rsid w:val="001E511A"/>
    <w:rsid w:val="001F4597"/>
    <w:rsid w:val="00206DE9"/>
    <w:rsid w:val="0021135F"/>
    <w:rsid w:val="002118B9"/>
    <w:rsid w:val="00213B6B"/>
    <w:rsid w:val="00214BDC"/>
    <w:rsid w:val="00217C5B"/>
    <w:rsid w:val="00217F56"/>
    <w:rsid w:val="0022139E"/>
    <w:rsid w:val="00224FFD"/>
    <w:rsid w:val="002252E0"/>
    <w:rsid w:val="002255F6"/>
    <w:rsid w:val="00226E40"/>
    <w:rsid w:val="00227850"/>
    <w:rsid w:val="00227A53"/>
    <w:rsid w:val="00230C6E"/>
    <w:rsid w:val="002352F5"/>
    <w:rsid w:val="00235B67"/>
    <w:rsid w:val="00236443"/>
    <w:rsid w:val="002436BA"/>
    <w:rsid w:val="00243B43"/>
    <w:rsid w:val="00243FD4"/>
    <w:rsid w:val="00244A15"/>
    <w:rsid w:val="00245742"/>
    <w:rsid w:val="00247319"/>
    <w:rsid w:val="0024799E"/>
    <w:rsid w:val="00253C0F"/>
    <w:rsid w:val="00255CA6"/>
    <w:rsid w:val="00256A43"/>
    <w:rsid w:val="00262176"/>
    <w:rsid w:val="00263CD8"/>
    <w:rsid w:val="00271465"/>
    <w:rsid w:val="00274339"/>
    <w:rsid w:val="00283AC5"/>
    <w:rsid w:val="00283F76"/>
    <w:rsid w:val="00285412"/>
    <w:rsid w:val="00286733"/>
    <w:rsid w:val="00287133"/>
    <w:rsid w:val="002A00BE"/>
    <w:rsid w:val="002A16D4"/>
    <w:rsid w:val="002A230C"/>
    <w:rsid w:val="002A3DEB"/>
    <w:rsid w:val="002B00CB"/>
    <w:rsid w:val="002B6E8D"/>
    <w:rsid w:val="002B7CCE"/>
    <w:rsid w:val="002C2CF4"/>
    <w:rsid w:val="002C43BD"/>
    <w:rsid w:val="002D0E59"/>
    <w:rsid w:val="002E02A1"/>
    <w:rsid w:val="002E3A4E"/>
    <w:rsid w:val="002E4E4C"/>
    <w:rsid w:val="002F2C0C"/>
    <w:rsid w:val="002F343C"/>
    <w:rsid w:val="003018A3"/>
    <w:rsid w:val="00302757"/>
    <w:rsid w:val="00304771"/>
    <w:rsid w:val="003052D4"/>
    <w:rsid w:val="00306A39"/>
    <w:rsid w:val="00306C5B"/>
    <w:rsid w:val="0030714A"/>
    <w:rsid w:val="0031159B"/>
    <w:rsid w:val="003140EB"/>
    <w:rsid w:val="003209D6"/>
    <w:rsid w:val="00321924"/>
    <w:rsid w:val="00323E10"/>
    <w:rsid w:val="0032656E"/>
    <w:rsid w:val="00332190"/>
    <w:rsid w:val="00335180"/>
    <w:rsid w:val="00344668"/>
    <w:rsid w:val="003462D9"/>
    <w:rsid w:val="00346833"/>
    <w:rsid w:val="003522A6"/>
    <w:rsid w:val="00355A4B"/>
    <w:rsid w:val="00360C86"/>
    <w:rsid w:val="00361897"/>
    <w:rsid w:val="003657F3"/>
    <w:rsid w:val="00366388"/>
    <w:rsid w:val="003818DC"/>
    <w:rsid w:val="00384327"/>
    <w:rsid w:val="00385D98"/>
    <w:rsid w:val="00392BCD"/>
    <w:rsid w:val="00397350"/>
    <w:rsid w:val="0039783A"/>
    <w:rsid w:val="003A18CD"/>
    <w:rsid w:val="003A23F0"/>
    <w:rsid w:val="003A2B4D"/>
    <w:rsid w:val="003A478C"/>
    <w:rsid w:val="003A5525"/>
    <w:rsid w:val="003A69CB"/>
    <w:rsid w:val="003A6B38"/>
    <w:rsid w:val="003A6EFD"/>
    <w:rsid w:val="003B41D2"/>
    <w:rsid w:val="003B5A32"/>
    <w:rsid w:val="003C0684"/>
    <w:rsid w:val="003C3490"/>
    <w:rsid w:val="003D1060"/>
    <w:rsid w:val="003D23B7"/>
    <w:rsid w:val="003D2972"/>
    <w:rsid w:val="003D5739"/>
    <w:rsid w:val="003D6920"/>
    <w:rsid w:val="003D6DD6"/>
    <w:rsid w:val="003E4C91"/>
    <w:rsid w:val="003E7652"/>
    <w:rsid w:val="003F283B"/>
    <w:rsid w:val="003F30CD"/>
    <w:rsid w:val="003F313C"/>
    <w:rsid w:val="003F4B2C"/>
    <w:rsid w:val="003F551C"/>
    <w:rsid w:val="003F7D23"/>
    <w:rsid w:val="0040267C"/>
    <w:rsid w:val="004032D4"/>
    <w:rsid w:val="0040391F"/>
    <w:rsid w:val="00407C13"/>
    <w:rsid w:val="00410638"/>
    <w:rsid w:val="004151F8"/>
    <w:rsid w:val="00417C54"/>
    <w:rsid w:val="00420349"/>
    <w:rsid w:val="004215D8"/>
    <w:rsid w:val="004229D4"/>
    <w:rsid w:val="00422D17"/>
    <w:rsid w:val="00432A58"/>
    <w:rsid w:val="00433713"/>
    <w:rsid w:val="00434617"/>
    <w:rsid w:val="00440900"/>
    <w:rsid w:val="00440BF9"/>
    <w:rsid w:val="00442137"/>
    <w:rsid w:val="004441A0"/>
    <w:rsid w:val="00447822"/>
    <w:rsid w:val="00451C9E"/>
    <w:rsid w:val="00452B3F"/>
    <w:rsid w:val="004543DD"/>
    <w:rsid w:val="00460FB3"/>
    <w:rsid w:val="00463E86"/>
    <w:rsid w:val="00467D54"/>
    <w:rsid w:val="00476240"/>
    <w:rsid w:val="00476439"/>
    <w:rsid w:val="0047735C"/>
    <w:rsid w:val="004776BC"/>
    <w:rsid w:val="00477DA3"/>
    <w:rsid w:val="0048139F"/>
    <w:rsid w:val="00481E40"/>
    <w:rsid w:val="00481E90"/>
    <w:rsid w:val="004828D8"/>
    <w:rsid w:val="00484ECE"/>
    <w:rsid w:val="00486986"/>
    <w:rsid w:val="00487B38"/>
    <w:rsid w:val="004900FF"/>
    <w:rsid w:val="004915CB"/>
    <w:rsid w:val="004924DC"/>
    <w:rsid w:val="00492A4B"/>
    <w:rsid w:val="004930CE"/>
    <w:rsid w:val="00495305"/>
    <w:rsid w:val="004A14E4"/>
    <w:rsid w:val="004A1613"/>
    <w:rsid w:val="004A3212"/>
    <w:rsid w:val="004A3858"/>
    <w:rsid w:val="004A61C5"/>
    <w:rsid w:val="004A6E11"/>
    <w:rsid w:val="004A77DF"/>
    <w:rsid w:val="004B1417"/>
    <w:rsid w:val="004B2783"/>
    <w:rsid w:val="004B4ABA"/>
    <w:rsid w:val="004B55B7"/>
    <w:rsid w:val="004B5EE7"/>
    <w:rsid w:val="004B5F96"/>
    <w:rsid w:val="004B6468"/>
    <w:rsid w:val="004C01F9"/>
    <w:rsid w:val="004C384C"/>
    <w:rsid w:val="004C3867"/>
    <w:rsid w:val="004C3917"/>
    <w:rsid w:val="004C4CD0"/>
    <w:rsid w:val="004C535F"/>
    <w:rsid w:val="004C6D93"/>
    <w:rsid w:val="004C70DC"/>
    <w:rsid w:val="004D0211"/>
    <w:rsid w:val="004D0794"/>
    <w:rsid w:val="004D3126"/>
    <w:rsid w:val="004D6F3D"/>
    <w:rsid w:val="004D7BE0"/>
    <w:rsid w:val="004E3FEB"/>
    <w:rsid w:val="004E51A9"/>
    <w:rsid w:val="004F06F5"/>
    <w:rsid w:val="004F33A0"/>
    <w:rsid w:val="004F6383"/>
    <w:rsid w:val="004F78D7"/>
    <w:rsid w:val="00500A8A"/>
    <w:rsid w:val="005064ED"/>
    <w:rsid w:val="0050690D"/>
    <w:rsid w:val="005108C0"/>
    <w:rsid w:val="00511873"/>
    <w:rsid w:val="00512A2F"/>
    <w:rsid w:val="00513684"/>
    <w:rsid w:val="00513B7E"/>
    <w:rsid w:val="005151A7"/>
    <w:rsid w:val="00515C74"/>
    <w:rsid w:val="00517CDF"/>
    <w:rsid w:val="0052007E"/>
    <w:rsid w:val="0052337A"/>
    <w:rsid w:val="005239BA"/>
    <w:rsid w:val="00523A05"/>
    <w:rsid w:val="00525137"/>
    <w:rsid w:val="005251DD"/>
    <w:rsid w:val="00532CE7"/>
    <w:rsid w:val="0053324C"/>
    <w:rsid w:val="00534A28"/>
    <w:rsid w:val="005402D7"/>
    <w:rsid w:val="00541508"/>
    <w:rsid w:val="005442EE"/>
    <w:rsid w:val="00544C6C"/>
    <w:rsid w:val="00544FC7"/>
    <w:rsid w:val="00554433"/>
    <w:rsid w:val="00554972"/>
    <w:rsid w:val="0055599F"/>
    <w:rsid w:val="00556D68"/>
    <w:rsid w:val="00563F68"/>
    <w:rsid w:val="005647BF"/>
    <w:rsid w:val="00565BA0"/>
    <w:rsid w:val="005669FF"/>
    <w:rsid w:val="005725D0"/>
    <w:rsid w:val="00573235"/>
    <w:rsid w:val="0057364B"/>
    <w:rsid w:val="00573AFF"/>
    <w:rsid w:val="00574773"/>
    <w:rsid w:val="005761BF"/>
    <w:rsid w:val="005766D9"/>
    <w:rsid w:val="00577417"/>
    <w:rsid w:val="00577453"/>
    <w:rsid w:val="00580463"/>
    <w:rsid w:val="00581065"/>
    <w:rsid w:val="00583FFD"/>
    <w:rsid w:val="005863D9"/>
    <w:rsid w:val="005911BE"/>
    <w:rsid w:val="00593152"/>
    <w:rsid w:val="00595DA6"/>
    <w:rsid w:val="00597354"/>
    <w:rsid w:val="005A02C9"/>
    <w:rsid w:val="005A10F2"/>
    <w:rsid w:val="005A1583"/>
    <w:rsid w:val="005A21E0"/>
    <w:rsid w:val="005A28FF"/>
    <w:rsid w:val="005A3DF8"/>
    <w:rsid w:val="005A480F"/>
    <w:rsid w:val="005A5549"/>
    <w:rsid w:val="005A75BA"/>
    <w:rsid w:val="005A7949"/>
    <w:rsid w:val="005B093C"/>
    <w:rsid w:val="005B121D"/>
    <w:rsid w:val="005B348D"/>
    <w:rsid w:val="005C06ED"/>
    <w:rsid w:val="005C2617"/>
    <w:rsid w:val="005C2B7D"/>
    <w:rsid w:val="005C663E"/>
    <w:rsid w:val="005D15AE"/>
    <w:rsid w:val="005D1FBB"/>
    <w:rsid w:val="005D5802"/>
    <w:rsid w:val="005D666C"/>
    <w:rsid w:val="005D7890"/>
    <w:rsid w:val="005E3B8E"/>
    <w:rsid w:val="005E53B4"/>
    <w:rsid w:val="005E5900"/>
    <w:rsid w:val="005E754B"/>
    <w:rsid w:val="005E7BD6"/>
    <w:rsid w:val="005E7C78"/>
    <w:rsid w:val="005F3EB1"/>
    <w:rsid w:val="005F43BA"/>
    <w:rsid w:val="005F5469"/>
    <w:rsid w:val="00603A3B"/>
    <w:rsid w:val="00604307"/>
    <w:rsid w:val="0060487F"/>
    <w:rsid w:val="00604EAD"/>
    <w:rsid w:val="00605C5E"/>
    <w:rsid w:val="006070B6"/>
    <w:rsid w:val="006104FB"/>
    <w:rsid w:val="00611B42"/>
    <w:rsid w:val="00612A2F"/>
    <w:rsid w:val="00613B5C"/>
    <w:rsid w:val="00616E05"/>
    <w:rsid w:val="0061756A"/>
    <w:rsid w:val="00617FAA"/>
    <w:rsid w:val="00623D50"/>
    <w:rsid w:val="00624093"/>
    <w:rsid w:val="006248A1"/>
    <w:rsid w:val="00633598"/>
    <w:rsid w:val="00635F8C"/>
    <w:rsid w:val="006404A7"/>
    <w:rsid w:val="00641C03"/>
    <w:rsid w:val="006451E4"/>
    <w:rsid w:val="00645B33"/>
    <w:rsid w:val="0064739B"/>
    <w:rsid w:val="00651627"/>
    <w:rsid w:val="006516CB"/>
    <w:rsid w:val="00653F8C"/>
    <w:rsid w:val="00657E87"/>
    <w:rsid w:val="00661E9C"/>
    <w:rsid w:val="00664803"/>
    <w:rsid w:val="00665BA4"/>
    <w:rsid w:val="00666214"/>
    <w:rsid w:val="00667AF2"/>
    <w:rsid w:val="006710C9"/>
    <w:rsid w:val="00674D89"/>
    <w:rsid w:val="00675E37"/>
    <w:rsid w:val="006760C1"/>
    <w:rsid w:val="006808EA"/>
    <w:rsid w:val="0068174E"/>
    <w:rsid w:val="00681DCE"/>
    <w:rsid w:val="0068260E"/>
    <w:rsid w:val="0068452B"/>
    <w:rsid w:val="0068631B"/>
    <w:rsid w:val="006919C8"/>
    <w:rsid w:val="00692822"/>
    <w:rsid w:val="00692DCA"/>
    <w:rsid w:val="00695BEF"/>
    <w:rsid w:val="006963D2"/>
    <w:rsid w:val="006967EA"/>
    <w:rsid w:val="006977F6"/>
    <w:rsid w:val="00697A13"/>
    <w:rsid w:val="006A109C"/>
    <w:rsid w:val="006B344A"/>
    <w:rsid w:val="006B78D8"/>
    <w:rsid w:val="006C0527"/>
    <w:rsid w:val="006C113F"/>
    <w:rsid w:val="006C123E"/>
    <w:rsid w:val="006C1C86"/>
    <w:rsid w:val="006C1F1E"/>
    <w:rsid w:val="006C43D0"/>
    <w:rsid w:val="006C48EF"/>
    <w:rsid w:val="006C56D4"/>
    <w:rsid w:val="006C6924"/>
    <w:rsid w:val="006C7BA3"/>
    <w:rsid w:val="006C7CA6"/>
    <w:rsid w:val="006D3E8A"/>
    <w:rsid w:val="006D61F6"/>
    <w:rsid w:val="006E279A"/>
    <w:rsid w:val="006E313B"/>
    <w:rsid w:val="006E58D2"/>
    <w:rsid w:val="006E6D17"/>
    <w:rsid w:val="006F3798"/>
    <w:rsid w:val="006F47FA"/>
    <w:rsid w:val="006F5416"/>
    <w:rsid w:val="006F7137"/>
    <w:rsid w:val="006F731D"/>
    <w:rsid w:val="00705387"/>
    <w:rsid w:val="007054AD"/>
    <w:rsid w:val="00706AD4"/>
    <w:rsid w:val="00706C34"/>
    <w:rsid w:val="00713D34"/>
    <w:rsid w:val="007140BE"/>
    <w:rsid w:val="007211F5"/>
    <w:rsid w:val="00725BB5"/>
    <w:rsid w:val="00730AE8"/>
    <w:rsid w:val="007363E1"/>
    <w:rsid w:val="00736928"/>
    <w:rsid w:val="00741493"/>
    <w:rsid w:val="00741633"/>
    <w:rsid w:val="00744047"/>
    <w:rsid w:val="007459BF"/>
    <w:rsid w:val="00752180"/>
    <w:rsid w:val="00753188"/>
    <w:rsid w:val="00755202"/>
    <w:rsid w:val="00755D3A"/>
    <w:rsid w:val="00756424"/>
    <w:rsid w:val="007578D3"/>
    <w:rsid w:val="00760863"/>
    <w:rsid w:val="007609C6"/>
    <w:rsid w:val="0076175D"/>
    <w:rsid w:val="0076266B"/>
    <w:rsid w:val="00763911"/>
    <w:rsid w:val="0076521E"/>
    <w:rsid w:val="007661E9"/>
    <w:rsid w:val="00776169"/>
    <w:rsid w:val="00776527"/>
    <w:rsid w:val="00780EF1"/>
    <w:rsid w:val="00790764"/>
    <w:rsid w:val="0079453C"/>
    <w:rsid w:val="00794677"/>
    <w:rsid w:val="007961A1"/>
    <w:rsid w:val="007A1E96"/>
    <w:rsid w:val="007A319D"/>
    <w:rsid w:val="007A6E05"/>
    <w:rsid w:val="007A75AA"/>
    <w:rsid w:val="007B1B49"/>
    <w:rsid w:val="007B1E33"/>
    <w:rsid w:val="007B6689"/>
    <w:rsid w:val="007C4A32"/>
    <w:rsid w:val="007C4F2E"/>
    <w:rsid w:val="007C6435"/>
    <w:rsid w:val="007C679E"/>
    <w:rsid w:val="007C7A48"/>
    <w:rsid w:val="007D40DF"/>
    <w:rsid w:val="007D4852"/>
    <w:rsid w:val="007E0FFD"/>
    <w:rsid w:val="007E7E61"/>
    <w:rsid w:val="007F0845"/>
    <w:rsid w:val="007F2E25"/>
    <w:rsid w:val="007F53C1"/>
    <w:rsid w:val="007F666B"/>
    <w:rsid w:val="008011B2"/>
    <w:rsid w:val="00802184"/>
    <w:rsid w:val="008029B3"/>
    <w:rsid w:val="00807C82"/>
    <w:rsid w:val="00811406"/>
    <w:rsid w:val="00814CE1"/>
    <w:rsid w:val="00816905"/>
    <w:rsid w:val="0081735C"/>
    <w:rsid w:val="00817D61"/>
    <w:rsid w:val="00821A58"/>
    <w:rsid w:val="00821FF6"/>
    <w:rsid w:val="008236E6"/>
    <w:rsid w:val="008257CF"/>
    <w:rsid w:val="00825C4D"/>
    <w:rsid w:val="0083143E"/>
    <w:rsid w:val="00831CDE"/>
    <w:rsid w:val="0083282F"/>
    <w:rsid w:val="0083363A"/>
    <w:rsid w:val="00834304"/>
    <w:rsid w:val="00834FAA"/>
    <w:rsid w:val="00836086"/>
    <w:rsid w:val="00840644"/>
    <w:rsid w:val="00841DC4"/>
    <w:rsid w:val="00844F02"/>
    <w:rsid w:val="0084708F"/>
    <w:rsid w:val="008477C8"/>
    <w:rsid w:val="00850E21"/>
    <w:rsid w:val="0085114D"/>
    <w:rsid w:val="00852217"/>
    <w:rsid w:val="008552E3"/>
    <w:rsid w:val="008553FD"/>
    <w:rsid w:val="00855408"/>
    <w:rsid w:val="00856D65"/>
    <w:rsid w:val="00857610"/>
    <w:rsid w:val="00857B67"/>
    <w:rsid w:val="00861B41"/>
    <w:rsid w:val="00862223"/>
    <w:rsid w:val="0086258D"/>
    <w:rsid w:val="00862DAC"/>
    <w:rsid w:val="00863434"/>
    <w:rsid w:val="00865E4C"/>
    <w:rsid w:val="008701E4"/>
    <w:rsid w:val="00873671"/>
    <w:rsid w:val="00875A32"/>
    <w:rsid w:val="00876086"/>
    <w:rsid w:val="008764EB"/>
    <w:rsid w:val="00881CA8"/>
    <w:rsid w:val="008873D4"/>
    <w:rsid w:val="00890181"/>
    <w:rsid w:val="00891692"/>
    <w:rsid w:val="008924EC"/>
    <w:rsid w:val="008927A8"/>
    <w:rsid w:val="008929E5"/>
    <w:rsid w:val="00892C0E"/>
    <w:rsid w:val="00893E85"/>
    <w:rsid w:val="00893FDC"/>
    <w:rsid w:val="00894031"/>
    <w:rsid w:val="00895A72"/>
    <w:rsid w:val="00896E98"/>
    <w:rsid w:val="008A08D2"/>
    <w:rsid w:val="008A3A13"/>
    <w:rsid w:val="008A3C04"/>
    <w:rsid w:val="008B2C0B"/>
    <w:rsid w:val="008B61F4"/>
    <w:rsid w:val="008B7C02"/>
    <w:rsid w:val="008B7D2B"/>
    <w:rsid w:val="008C0049"/>
    <w:rsid w:val="008C0E88"/>
    <w:rsid w:val="008C1D94"/>
    <w:rsid w:val="008C6283"/>
    <w:rsid w:val="008D03F8"/>
    <w:rsid w:val="008D1E6A"/>
    <w:rsid w:val="008D2A16"/>
    <w:rsid w:val="008D4DE1"/>
    <w:rsid w:val="008E2C57"/>
    <w:rsid w:val="008E2EF1"/>
    <w:rsid w:val="008E31FF"/>
    <w:rsid w:val="008E48CF"/>
    <w:rsid w:val="008E4D7E"/>
    <w:rsid w:val="008E6F06"/>
    <w:rsid w:val="008F029B"/>
    <w:rsid w:val="008F3FC9"/>
    <w:rsid w:val="008F585B"/>
    <w:rsid w:val="008F77F4"/>
    <w:rsid w:val="009003A8"/>
    <w:rsid w:val="00902500"/>
    <w:rsid w:val="00902EFF"/>
    <w:rsid w:val="009043BF"/>
    <w:rsid w:val="00906401"/>
    <w:rsid w:val="0091155E"/>
    <w:rsid w:val="00912A92"/>
    <w:rsid w:val="0091728D"/>
    <w:rsid w:val="0092180B"/>
    <w:rsid w:val="00921F14"/>
    <w:rsid w:val="009233ED"/>
    <w:rsid w:val="00924AC8"/>
    <w:rsid w:val="0092597A"/>
    <w:rsid w:val="00927AB2"/>
    <w:rsid w:val="009306BF"/>
    <w:rsid w:val="00930D41"/>
    <w:rsid w:val="00932443"/>
    <w:rsid w:val="00934CF9"/>
    <w:rsid w:val="00935123"/>
    <w:rsid w:val="00937AE2"/>
    <w:rsid w:val="009437B8"/>
    <w:rsid w:val="0094427A"/>
    <w:rsid w:val="00946087"/>
    <w:rsid w:val="00946D07"/>
    <w:rsid w:val="0095252B"/>
    <w:rsid w:val="00956AC0"/>
    <w:rsid w:val="00957509"/>
    <w:rsid w:val="009642F6"/>
    <w:rsid w:val="00966E11"/>
    <w:rsid w:val="00966FAC"/>
    <w:rsid w:val="00974923"/>
    <w:rsid w:val="00977173"/>
    <w:rsid w:val="0098040A"/>
    <w:rsid w:val="00980D3D"/>
    <w:rsid w:val="00986950"/>
    <w:rsid w:val="00987A30"/>
    <w:rsid w:val="00990DF9"/>
    <w:rsid w:val="009921C1"/>
    <w:rsid w:val="00992CF3"/>
    <w:rsid w:val="009937A9"/>
    <w:rsid w:val="00996160"/>
    <w:rsid w:val="009968D6"/>
    <w:rsid w:val="00996B04"/>
    <w:rsid w:val="009A1CAB"/>
    <w:rsid w:val="009A44EA"/>
    <w:rsid w:val="009A5980"/>
    <w:rsid w:val="009A60D1"/>
    <w:rsid w:val="009B064F"/>
    <w:rsid w:val="009B2EAF"/>
    <w:rsid w:val="009B6FD3"/>
    <w:rsid w:val="009C1750"/>
    <w:rsid w:val="009C2E29"/>
    <w:rsid w:val="009C554B"/>
    <w:rsid w:val="009C719E"/>
    <w:rsid w:val="009D305A"/>
    <w:rsid w:val="009D3ACD"/>
    <w:rsid w:val="009D4AFA"/>
    <w:rsid w:val="009D4F6C"/>
    <w:rsid w:val="009D7913"/>
    <w:rsid w:val="009E00DD"/>
    <w:rsid w:val="009E5273"/>
    <w:rsid w:val="009E5DDB"/>
    <w:rsid w:val="009F4CA7"/>
    <w:rsid w:val="009F53E6"/>
    <w:rsid w:val="009F5C39"/>
    <w:rsid w:val="00A04C12"/>
    <w:rsid w:val="00A06880"/>
    <w:rsid w:val="00A10D66"/>
    <w:rsid w:val="00A1273E"/>
    <w:rsid w:val="00A14114"/>
    <w:rsid w:val="00A14B0F"/>
    <w:rsid w:val="00A16413"/>
    <w:rsid w:val="00A23E43"/>
    <w:rsid w:val="00A2701C"/>
    <w:rsid w:val="00A3009B"/>
    <w:rsid w:val="00A30F65"/>
    <w:rsid w:val="00A37CFF"/>
    <w:rsid w:val="00A403BA"/>
    <w:rsid w:val="00A40A6B"/>
    <w:rsid w:val="00A418BC"/>
    <w:rsid w:val="00A420DA"/>
    <w:rsid w:val="00A436D7"/>
    <w:rsid w:val="00A44881"/>
    <w:rsid w:val="00A46157"/>
    <w:rsid w:val="00A46DE0"/>
    <w:rsid w:val="00A50D73"/>
    <w:rsid w:val="00A51CDF"/>
    <w:rsid w:val="00A51D70"/>
    <w:rsid w:val="00A52CAD"/>
    <w:rsid w:val="00A53A74"/>
    <w:rsid w:val="00A53FC7"/>
    <w:rsid w:val="00A5543F"/>
    <w:rsid w:val="00A57309"/>
    <w:rsid w:val="00A612D0"/>
    <w:rsid w:val="00A62CE1"/>
    <w:rsid w:val="00A66C1A"/>
    <w:rsid w:val="00A6741E"/>
    <w:rsid w:val="00A75E40"/>
    <w:rsid w:val="00A77D1D"/>
    <w:rsid w:val="00A80520"/>
    <w:rsid w:val="00A841B0"/>
    <w:rsid w:val="00A857C0"/>
    <w:rsid w:val="00A91840"/>
    <w:rsid w:val="00A96D89"/>
    <w:rsid w:val="00AA06B4"/>
    <w:rsid w:val="00AA2996"/>
    <w:rsid w:val="00AA52BF"/>
    <w:rsid w:val="00AA559A"/>
    <w:rsid w:val="00AA617B"/>
    <w:rsid w:val="00AB065C"/>
    <w:rsid w:val="00AB13BB"/>
    <w:rsid w:val="00AB2AF1"/>
    <w:rsid w:val="00AC647B"/>
    <w:rsid w:val="00AC6909"/>
    <w:rsid w:val="00AD306C"/>
    <w:rsid w:val="00AD564C"/>
    <w:rsid w:val="00AE08D9"/>
    <w:rsid w:val="00AE09B3"/>
    <w:rsid w:val="00AE1A83"/>
    <w:rsid w:val="00AE4F9C"/>
    <w:rsid w:val="00AE767B"/>
    <w:rsid w:val="00AF0164"/>
    <w:rsid w:val="00AF0780"/>
    <w:rsid w:val="00AF0FB3"/>
    <w:rsid w:val="00AF2E68"/>
    <w:rsid w:val="00AF3C2F"/>
    <w:rsid w:val="00B00913"/>
    <w:rsid w:val="00B01593"/>
    <w:rsid w:val="00B10992"/>
    <w:rsid w:val="00B10A4D"/>
    <w:rsid w:val="00B11617"/>
    <w:rsid w:val="00B12052"/>
    <w:rsid w:val="00B1354B"/>
    <w:rsid w:val="00B17E71"/>
    <w:rsid w:val="00B17FDE"/>
    <w:rsid w:val="00B210D4"/>
    <w:rsid w:val="00B235BE"/>
    <w:rsid w:val="00B2379C"/>
    <w:rsid w:val="00B25EC1"/>
    <w:rsid w:val="00B2687D"/>
    <w:rsid w:val="00B32DDB"/>
    <w:rsid w:val="00B34528"/>
    <w:rsid w:val="00B3743E"/>
    <w:rsid w:val="00B402FC"/>
    <w:rsid w:val="00B404A6"/>
    <w:rsid w:val="00B415F6"/>
    <w:rsid w:val="00B448CC"/>
    <w:rsid w:val="00B46604"/>
    <w:rsid w:val="00B47414"/>
    <w:rsid w:val="00B530CD"/>
    <w:rsid w:val="00B54688"/>
    <w:rsid w:val="00B55F5E"/>
    <w:rsid w:val="00B5752E"/>
    <w:rsid w:val="00B60819"/>
    <w:rsid w:val="00B61714"/>
    <w:rsid w:val="00B61F35"/>
    <w:rsid w:val="00B63A11"/>
    <w:rsid w:val="00B64C24"/>
    <w:rsid w:val="00B65539"/>
    <w:rsid w:val="00B6608F"/>
    <w:rsid w:val="00B670A8"/>
    <w:rsid w:val="00B679FB"/>
    <w:rsid w:val="00B717E3"/>
    <w:rsid w:val="00B71800"/>
    <w:rsid w:val="00B7660C"/>
    <w:rsid w:val="00B76CC6"/>
    <w:rsid w:val="00B76D1E"/>
    <w:rsid w:val="00B804BB"/>
    <w:rsid w:val="00B80EC6"/>
    <w:rsid w:val="00B834F7"/>
    <w:rsid w:val="00B83777"/>
    <w:rsid w:val="00B86FB9"/>
    <w:rsid w:val="00B92D1D"/>
    <w:rsid w:val="00B935D4"/>
    <w:rsid w:val="00B938C5"/>
    <w:rsid w:val="00B93975"/>
    <w:rsid w:val="00B95940"/>
    <w:rsid w:val="00B95D61"/>
    <w:rsid w:val="00B961B9"/>
    <w:rsid w:val="00BA6E7B"/>
    <w:rsid w:val="00BB1EF6"/>
    <w:rsid w:val="00BB46F3"/>
    <w:rsid w:val="00BB4CB1"/>
    <w:rsid w:val="00BB4F98"/>
    <w:rsid w:val="00BB7752"/>
    <w:rsid w:val="00BC2532"/>
    <w:rsid w:val="00BC6026"/>
    <w:rsid w:val="00BC63F1"/>
    <w:rsid w:val="00BC7154"/>
    <w:rsid w:val="00BD1228"/>
    <w:rsid w:val="00BD19BD"/>
    <w:rsid w:val="00BD25A9"/>
    <w:rsid w:val="00BD366B"/>
    <w:rsid w:val="00BD6D2F"/>
    <w:rsid w:val="00BD6D50"/>
    <w:rsid w:val="00BE18B9"/>
    <w:rsid w:val="00BE2495"/>
    <w:rsid w:val="00BE515D"/>
    <w:rsid w:val="00BE556D"/>
    <w:rsid w:val="00BF0C71"/>
    <w:rsid w:val="00BF1578"/>
    <w:rsid w:val="00BF32D9"/>
    <w:rsid w:val="00BF7D65"/>
    <w:rsid w:val="00C06EC1"/>
    <w:rsid w:val="00C13658"/>
    <w:rsid w:val="00C1447E"/>
    <w:rsid w:val="00C1501F"/>
    <w:rsid w:val="00C16F34"/>
    <w:rsid w:val="00C21F94"/>
    <w:rsid w:val="00C27913"/>
    <w:rsid w:val="00C27ECC"/>
    <w:rsid w:val="00C319F1"/>
    <w:rsid w:val="00C338E4"/>
    <w:rsid w:val="00C33B68"/>
    <w:rsid w:val="00C345C6"/>
    <w:rsid w:val="00C36A79"/>
    <w:rsid w:val="00C405D4"/>
    <w:rsid w:val="00C42829"/>
    <w:rsid w:val="00C42FD6"/>
    <w:rsid w:val="00C4513B"/>
    <w:rsid w:val="00C459A3"/>
    <w:rsid w:val="00C4723F"/>
    <w:rsid w:val="00C54159"/>
    <w:rsid w:val="00C54697"/>
    <w:rsid w:val="00C55296"/>
    <w:rsid w:val="00C60872"/>
    <w:rsid w:val="00C61BBC"/>
    <w:rsid w:val="00C6209B"/>
    <w:rsid w:val="00C6294B"/>
    <w:rsid w:val="00C64D86"/>
    <w:rsid w:val="00C73885"/>
    <w:rsid w:val="00C74514"/>
    <w:rsid w:val="00C747B1"/>
    <w:rsid w:val="00C74E13"/>
    <w:rsid w:val="00C82191"/>
    <w:rsid w:val="00C85265"/>
    <w:rsid w:val="00C90BA1"/>
    <w:rsid w:val="00C90CF4"/>
    <w:rsid w:val="00C92591"/>
    <w:rsid w:val="00C92EB6"/>
    <w:rsid w:val="00C93389"/>
    <w:rsid w:val="00C93658"/>
    <w:rsid w:val="00C93C21"/>
    <w:rsid w:val="00C9574C"/>
    <w:rsid w:val="00CA509C"/>
    <w:rsid w:val="00CB4930"/>
    <w:rsid w:val="00CB66C6"/>
    <w:rsid w:val="00CB68DD"/>
    <w:rsid w:val="00CC2E7D"/>
    <w:rsid w:val="00CC38CC"/>
    <w:rsid w:val="00CD10A5"/>
    <w:rsid w:val="00CD114C"/>
    <w:rsid w:val="00CD2076"/>
    <w:rsid w:val="00CD215C"/>
    <w:rsid w:val="00CD649D"/>
    <w:rsid w:val="00CD67E4"/>
    <w:rsid w:val="00CE14C9"/>
    <w:rsid w:val="00CE670B"/>
    <w:rsid w:val="00CF382E"/>
    <w:rsid w:val="00CF4293"/>
    <w:rsid w:val="00CF51EC"/>
    <w:rsid w:val="00CF73AE"/>
    <w:rsid w:val="00D040DD"/>
    <w:rsid w:val="00D05B7D"/>
    <w:rsid w:val="00D06B3F"/>
    <w:rsid w:val="00D13986"/>
    <w:rsid w:val="00D1429A"/>
    <w:rsid w:val="00D17D0B"/>
    <w:rsid w:val="00D22149"/>
    <w:rsid w:val="00D235B7"/>
    <w:rsid w:val="00D241F4"/>
    <w:rsid w:val="00D25F28"/>
    <w:rsid w:val="00D27973"/>
    <w:rsid w:val="00D31FC0"/>
    <w:rsid w:val="00D50EF1"/>
    <w:rsid w:val="00D50F46"/>
    <w:rsid w:val="00D51F6F"/>
    <w:rsid w:val="00D6015C"/>
    <w:rsid w:val="00D66223"/>
    <w:rsid w:val="00D70593"/>
    <w:rsid w:val="00D7456A"/>
    <w:rsid w:val="00D7583A"/>
    <w:rsid w:val="00D8084C"/>
    <w:rsid w:val="00D81FD5"/>
    <w:rsid w:val="00D84671"/>
    <w:rsid w:val="00D85AE3"/>
    <w:rsid w:val="00D87FBB"/>
    <w:rsid w:val="00D9160E"/>
    <w:rsid w:val="00DA421C"/>
    <w:rsid w:val="00DA4D31"/>
    <w:rsid w:val="00DA7A5A"/>
    <w:rsid w:val="00DA7C0C"/>
    <w:rsid w:val="00DB10B3"/>
    <w:rsid w:val="00DB2EC8"/>
    <w:rsid w:val="00DB4168"/>
    <w:rsid w:val="00DB4586"/>
    <w:rsid w:val="00DB5481"/>
    <w:rsid w:val="00DC2A86"/>
    <w:rsid w:val="00DC4EAB"/>
    <w:rsid w:val="00DC5B3B"/>
    <w:rsid w:val="00DC728F"/>
    <w:rsid w:val="00DC73FB"/>
    <w:rsid w:val="00DD04AA"/>
    <w:rsid w:val="00DD06C0"/>
    <w:rsid w:val="00DD129F"/>
    <w:rsid w:val="00DD78CD"/>
    <w:rsid w:val="00DE28CC"/>
    <w:rsid w:val="00DF424D"/>
    <w:rsid w:val="00DF42FF"/>
    <w:rsid w:val="00DF5351"/>
    <w:rsid w:val="00E014EE"/>
    <w:rsid w:val="00E0156A"/>
    <w:rsid w:val="00E01C0E"/>
    <w:rsid w:val="00E03600"/>
    <w:rsid w:val="00E03F9A"/>
    <w:rsid w:val="00E04694"/>
    <w:rsid w:val="00E07811"/>
    <w:rsid w:val="00E07E2C"/>
    <w:rsid w:val="00E12B1E"/>
    <w:rsid w:val="00E17262"/>
    <w:rsid w:val="00E2013A"/>
    <w:rsid w:val="00E253A2"/>
    <w:rsid w:val="00E267D1"/>
    <w:rsid w:val="00E3309D"/>
    <w:rsid w:val="00E369BA"/>
    <w:rsid w:val="00E37501"/>
    <w:rsid w:val="00E43739"/>
    <w:rsid w:val="00E46563"/>
    <w:rsid w:val="00E50156"/>
    <w:rsid w:val="00E50F69"/>
    <w:rsid w:val="00E53470"/>
    <w:rsid w:val="00E539F6"/>
    <w:rsid w:val="00E62CEB"/>
    <w:rsid w:val="00E6519D"/>
    <w:rsid w:val="00E67696"/>
    <w:rsid w:val="00E71A58"/>
    <w:rsid w:val="00E71A8F"/>
    <w:rsid w:val="00E72A7A"/>
    <w:rsid w:val="00E75C94"/>
    <w:rsid w:val="00E81D97"/>
    <w:rsid w:val="00E93820"/>
    <w:rsid w:val="00E9405E"/>
    <w:rsid w:val="00EA0C68"/>
    <w:rsid w:val="00EA0D39"/>
    <w:rsid w:val="00EA32BC"/>
    <w:rsid w:val="00EA56EA"/>
    <w:rsid w:val="00EB1DED"/>
    <w:rsid w:val="00EB2F9C"/>
    <w:rsid w:val="00EB4511"/>
    <w:rsid w:val="00EB51F0"/>
    <w:rsid w:val="00EC03D7"/>
    <w:rsid w:val="00EC4603"/>
    <w:rsid w:val="00ED3CFD"/>
    <w:rsid w:val="00ED4871"/>
    <w:rsid w:val="00ED62C6"/>
    <w:rsid w:val="00ED64C1"/>
    <w:rsid w:val="00ED6587"/>
    <w:rsid w:val="00EE02F9"/>
    <w:rsid w:val="00EE0596"/>
    <w:rsid w:val="00EE0976"/>
    <w:rsid w:val="00EE1E70"/>
    <w:rsid w:val="00EE3446"/>
    <w:rsid w:val="00EE37A0"/>
    <w:rsid w:val="00EE3E78"/>
    <w:rsid w:val="00EE492E"/>
    <w:rsid w:val="00EE4B1B"/>
    <w:rsid w:val="00EE4CC2"/>
    <w:rsid w:val="00EF150D"/>
    <w:rsid w:val="00EF1F5A"/>
    <w:rsid w:val="00EF404E"/>
    <w:rsid w:val="00EF47BF"/>
    <w:rsid w:val="00EF6B5B"/>
    <w:rsid w:val="00EF7DBD"/>
    <w:rsid w:val="00EF7F31"/>
    <w:rsid w:val="00F04811"/>
    <w:rsid w:val="00F0488C"/>
    <w:rsid w:val="00F05F5E"/>
    <w:rsid w:val="00F10F11"/>
    <w:rsid w:val="00F130FF"/>
    <w:rsid w:val="00F15AAA"/>
    <w:rsid w:val="00F15BEF"/>
    <w:rsid w:val="00F24407"/>
    <w:rsid w:val="00F24FAA"/>
    <w:rsid w:val="00F26FFD"/>
    <w:rsid w:val="00F3364D"/>
    <w:rsid w:val="00F40B8C"/>
    <w:rsid w:val="00F41F3F"/>
    <w:rsid w:val="00F437CC"/>
    <w:rsid w:val="00F47067"/>
    <w:rsid w:val="00F51D73"/>
    <w:rsid w:val="00F525EB"/>
    <w:rsid w:val="00F5334B"/>
    <w:rsid w:val="00F54BDE"/>
    <w:rsid w:val="00F57AD7"/>
    <w:rsid w:val="00F6047F"/>
    <w:rsid w:val="00F61C13"/>
    <w:rsid w:val="00F63DDE"/>
    <w:rsid w:val="00F63FB7"/>
    <w:rsid w:val="00F649D2"/>
    <w:rsid w:val="00F6602B"/>
    <w:rsid w:val="00F668BE"/>
    <w:rsid w:val="00F71F74"/>
    <w:rsid w:val="00F7260E"/>
    <w:rsid w:val="00F73A0C"/>
    <w:rsid w:val="00F756DB"/>
    <w:rsid w:val="00F77360"/>
    <w:rsid w:val="00F85066"/>
    <w:rsid w:val="00F87593"/>
    <w:rsid w:val="00F953EA"/>
    <w:rsid w:val="00F95E7C"/>
    <w:rsid w:val="00FA49EF"/>
    <w:rsid w:val="00FA5D4D"/>
    <w:rsid w:val="00FB0EE2"/>
    <w:rsid w:val="00FB211D"/>
    <w:rsid w:val="00FB3450"/>
    <w:rsid w:val="00FB542E"/>
    <w:rsid w:val="00FB6F0C"/>
    <w:rsid w:val="00FC0E5F"/>
    <w:rsid w:val="00FC1A95"/>
    <w:rsid w:val="00FC3985"/>
    <w:rsid w:val="00FC3BC5"/>
    <w:rsid w:val="00FC56DE"/>
    <w:rsid w:val="00FC684B"/>
    <w:rsid w:val="00FD0EF8"/>
    <w:rsid w:val="00FD1578"/>
    <w:rsid w:val="00FD2D60"/>
    <w:rsid w:val="00FD3265"/>
    <w:rsid w:val="00FE1BE1"/>
    <w:rsid w:val="00FE2F78"/>
    <w:rsid w:val="00FF0706"/>
    <w:rsid w:val="00FF0806"/>
    <w:rsid w:val="00FF7B9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ecf4dd,#eaecee,#fcec0a,#fcecdb,#f1daf5"/>
    </o:shapedefaults>
    <o:shapelayout v:ext="edit">
      <o:idmap v:ext="edit" data="1"/>
    </o:shapelayout>
  </w:shapeDefaults>
  <w:decimalSymbol w:val=","/>
  <w:listSeparator w:val=";"/>
  <w14:docId w14:val="443EDE68"/>
  <w15:docId w15:val="{B74A037F-EBFB-4263-8D57-3704078740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cs-CZ"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DF42FF"/>
    <w:pPr>
      <w:spacing w:after="240" w:line="288" w:lineRule="auto"/>
    </w:pPr>
    <w:rPr>
      <w:rFonts w:ascii="Arial" w:eastAsia="Times New Roman" w:hAnsi="Arial"/>
      <w:szCs w:val="24"/>
      <w:lang w:eastAsia="cs-CZ"/>
    </w:rPr>
  </w:style>
  <w:style w:type="paragraph" w:styleId="Nadpis1">
    <w:name w:val="heading 1"/>
    <w:next w:val="Normln"/>
    <w:link w:val="Nadpis1Char"/>
    <w:uiPriority w:val="9"/>
    <w:qFormat/>
    <w:rsid w:val="004900FF"/>
    <w:pPr>
      <w:keepNext/>
      <w:keepLines/>
      <w:spacing w:after="100" w:line="288" w:lineRule="auto"/>
      <w:contextualSpacing/>
      <w:outlineLvl w:val="0"/>
    </w:pPr>
    <w:rPr>
      <w:rFonts w:ascii="Arial" w:eastAsia="MS Gothic" w:hAnsi="Arial"/>
      <w:b/>
      <w:bCs/>
      <w:color w:val="C00000"/>
      <w:sz w:val="32"/>
      <w:szCs w:val="28"/>
      <w:lang w:eastAsia="cs-CZ"/>
    </w:rPr>
  </w:style>
  <w:style w:type="paragraph" w:styleId="Nadpis2">
    <w:name w:val="heading 2"/>
    <w:next w:val="Normln"/>
    <w:link w:val="Nadpis2Char"/>
    <w:uiPriority w:val="9"/>
    <w:qFormat/>
    <w:rsid w:val="004900FF"/>
    <w:pPr>
      <w:keepNext/>
      <w:keepLines/>
      <w:spacing w:line="288" w:lineRule="auto"/>
      <w:outlineLvl w:val="1"/>
    </w:pPr>
    <w:rPr>
      <w:rFonts w:ascii="Arial" w:eastAsia="MS Gothic" w:hAnsi="Arial"/>
      <w:b/>
      <w:bCs/>
      <w:color w:val="BC091B"/>
      <w:sz w:val="28"/>
      <w:szCs w:val="26"/>
      <w:lang w:eastAsia="cs-CZ"/>
    </w:rPr>
  </w:style>
  <w:style w:type="paragraph" w:styleId="Nadpis3">
    <w:name w:val="heading 3"/>
    <w:next w:val="Normln"/>
    <w:link w:val="Nadpis3Char"/>
    <w:uiPriority w:val="9"/>
    <w:qFormat/>
    <w:rsid w:val="004900FF"/>
    <w:pPr>
      <w:keepNext/>
      <w:keepLines/>
      <w:spacing w:line="288" w:lineRule="auto"/>
      <w:outlineLvl w:val="2"/>
    </w:pPr>
    <w:rPr>
      <w:rFonts w:ascii="Arial" w:eastAsia="MS Gothic" w:hAnsi="Arial"/>
      <w:b/>
      <w:bCs/>
      <w:color w:val="BC091B"/>
      <w:sz w:val="24"/>
      <w:szCs w:val="24"/>
      <w:lang w:eastAsia="cs-CZ"/>
    </w:rPr>
  </w:style>
  <w:style w:type="paragraph" w:styleId="Nadpis4">
    <w:name w:val="heading 4"/>
    <w:next w:val="Normln"/>
    <w:link w:val="Nadpis4Char"/>
    <w:uiPriority w:val="9"/>
    <w:qFormat/>
    <w:rsid w:val="004900FF"/>
    <w:pPr>
      <w:keepNext/>
      <w:keepLines/>
      <w:spacing w:line="288" w:lineRule="auto"/>
      <w:outlineLvl w:val="3"/>
    </w:pPr>
    <w:rPr>
      <w:rFonts w:ascii="Arial" w:eastAsia="MS Gothic" w:hAnsi="Arial"/>
      <w:b/>
      <w:bCs/>
      <w:iCs/>
      <w:color w:val="BC091B"/>
      <w:szCs w:val="24"/>
      <w:lang w:eastAsia="cs-CZ"/>
    </w:rPr>
  </w:style>
  <w:style w:type="paragraph" w:styleId="Nadpis9">
    <w:name w:val="heading 9"/>
    <w:basedOn w:val="Normln"/>
    <w:next w:val="Normln"/>
    <w:link w:val="Nadpis9Char"/>
    <w:uiPriority w:val="9"/>
    <w:semiHidden/>
    <w:unhideWhenUsed/>
    <w:qFormat/>
    <w:rsid w:val="00A30F65"/>
    <w:pPr>
      <w:spacing w:before="240" w:after="60"/>
      <w:outlineLvl w:val="8"/>
    </w:pPr>
    <w:rPr>
      <w:rFonts w:ascii="Cambria" w:hAnsi="Cambria"/>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4900FF"/>
    <w:rPr>
      <w:rFonts w:ascii="Arial" w:eastAsia="MS Gothic" w:hAnsi="Arial"/>
      <w:b/>
      <w:bCs/>
      <w:color w:val="C00000"/>
      <w:sz w:val="32"/>
      <w:szCs w:val="28"/>
    </w:rPr>
  </w:style>
  <w:style w:type="character" w:customStyle="1" w:styleId="Nadpis2Char">
    <w:name w:val="Nadpis 2 Char"/>
    <w:link w:val="Nadpis2"/>
    <w:uiPriority w:val="9"/>
    <w:rsid w:val="004900FF"/>
    <w:rPr>
      <w:rFonts w:ascii="Arial" w:eastAsia="MS Gothic" w:hAnsi="Arial"/>
      <w:b/>
      <w:bCs/>
      <w:color w:val="BC091B"/>
      <w:sz w:val="28"/>
      <w:szCs w:val="26"/>
    </w:rPr>
  </w:style>
  <w:style w:type="character" w:customStyle="1" w:styleId="Nadpis3Char">
    <w:name w:val="Nadpis 3 Char"/>
    <w:link w:val="Nadpis3"/>
    <w:uiPriority w:val="9"/>
    <w:rsid w:val="004900FF"/>
    <w:rPr>
      <w:rFonts w:ascii="Arial" w:eastAsia="MS Gothic" w:hAnsi="Arial"/>
      <w:b/>
      <w:bCs/>
      <w:color w:val="BC091B"/>
      <w:sz w:val="24"/>
      <w:szCs w:val="24"/>
    </w:rPr>
  </w:style>
  <w:style w:type="character" w:customStyle="1" w:styleId="Nadpis4Char">
    <w:name w:val="Nadpis 4 Char"/>
    <w:link w:val="Nadpis4"/>
    <w:uiPriority w:val="9"/>
    <w:rsid w:val="004900FF"/>
    <w:rPr>
      <w:rFonts w:ascii="Arial" w:eastAsia="MS Gothic" w:hAnsi="Arial"/>
      <w:b/>
      <w:bCs/>
      <w:iCs/>
      <w:color w:val="BC091B"/>
      <w:szCs w:val="24"/>
    </w:rPr>
  </w:style>
  <w:style w:type="character" w:customStyle="1" w:styleId="Nadpis9Char">
    <w:name w:val="Nadpis 9 Char"/>
    <w:link w:val="Nadpis9"/>
    <w:uiPriority w:val="9"/>
    <w:semiHidden/>
    <w:rsid w:val="00A30F65"/>
    <w:rPr>
      <w:rFonts w:ascii="Cambria" w:eastAsia="Times New Roman" w:hAnsi="Cambria" w:cs="Times New Roman"/>
      <w:sz w:val="22"/>
      <w:szCs w:val="22"/>
    </w:rPr>
  </w:style>
  <w:style w:type="character" w:styleId="Hypertextovodkaz">
    <w:name w:val="Hyperlink"/>
    <w:uiPriority w:val="99"/>
    <w:rsid w:val="00E71A58"/>
    <w:rPr>
      <w:color w:val="0000FF"/>
      <w:u w:val="single"/>
    </w:rPr>
  </w:style>
  <w:style w:type="paragraph" w:styleId="Zhlav">
    <w:name w:val="header"/>
    <w:link w:val="ZhlavChar"/>
    <w:uiPriority w:val="99"/>
    <w:unhideWhenUsed/>
    <w:qFormat/>
    <w:rsid w:val="00A418BC"/>
    <w:pPr>
      <w:spacing w:line="288" w:lineRule="auto"/>
    </w:pPr>
    <w:rPr>
      <w:rFonts w:ascii="Arial" w:hAnsi="Arial"/>
      <w:sz w:val="16"/>
      <w:szCs w:val="22"/>
    </w:rPr>
  </w:style>
  <w:style w:type="character" w:customStyle="1" w:styleId="ZhlavChar">
    <w:name w:val="Záhlaví Char"/>
    <w:link w:val="Zhlav"/>
    <w:uiPriority w:val="99"/>
    <w:rsid w:val="00A418BC"/>
    <w:rPr>
      <w:rFonts w:ascii="Arial" w:hAnsi="Arial"/>
      <w:sz w:val="16"/>
      <w:szCs w:val="22"/>
      <w:lang w:eastAsia="en-US"/>
    </w:rPr>
  </w:style>
  <w:style w:type="paragraph" w:styleId="Zpat">
    <w:name w:val="footer"/>
    <w:link w:val="ZpatChar"/>
    <w:uiPriority w:val="99"/>
    <w:unhideWhenUsed/>
    <w:qFormat/>
    <w:rsid w:val="00031AE0"/>
    <w:pPr>
      <w:tabs>
        <w:tab w:val="center" w:pos="4820"/>
        <w:tab w:val="right" w:pos="9639"/>
      </w:tabs>
    </w:pPr>
    <w:rPr>
      <w:rFonts w:ascii="Arial" w:hAnsi="Arial" w:cs="Arial"/>
      <w:noProof/>
      <w:sz w:val="16"/>
    </w:rPr>
  </w:style>
  <w:style w:type="character" w:customStyle="1" w:styleId="ZpatChar">
    <w:name w:val="Zápatí Char"/>
    <w:link w:val="Zpat"/>
    <w:uiPriority w:val="99"/>
    <w:rsid w:val="00031AE0"/>
    <w:rPr>
      <w:rFonts w:ascii="Arial" w:hAnsi="Arial" w:cs="Arial"/>
      <w:noProof/>
      <w:sz w:val="16"/>
      <w:lang w:eastAsia="en-US"/>
    </w:rPr>
  </w:style>
  <w:style w:type="paragraph" w:styleId="Textbubliny">
    <w:name w:val="Balloon Text"/>
    <w:basedOn w:val="Normln"/>
    <w:link w:val="TextbublinyChar"/>
    <w:uiPriority w:val="99"/>
    <w:semiHidden/>
    <w:unhideWhenUsed/>
    <w:rsid w:val="00E71A58"/>
    <w:rPr>
      <w:rFonts w:ascii="Tahoma" w:eastAsia="Calibri" w:hAnsi="Tahoma"/>
      <w:sz w:val="16"/>
      <w:szCs w:val="16"/>
      <w:lang w:val="x-none" w:eastAsia="x-none"/>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link w:val="ZkladnodstavecChar"/>
    <w:uiPriority w:val="99"/>
    <w:rsid w:val="0008263E"/>
    <w:pPr>
      <w:autoSpaceDE w:val="0"/>
      <w:autoSpaceDN w:val="0"/>
      <w:adjustRightInd w:val="0"/>
      <w:spacing w:line="276" w:lineRule="auto"/>
      <w:textAlignment w:val="center"/>
    </w:pPr>
    <w:rPr>
      <w:rFonts w:ascii="Arial" w:hAnsi="Arial" w:cs="Minion Pro"/>
      <w:color w:val="000000"/>
      <w:szCs w:val="24"/>
      <w:lang w:eastAsia="cs-CZ"/>
    </w:rPr>
  </w:style>
  <w:style w:type="character" w:customStyle="1" w:styleId="ZkladnodstavecChar">
    <w:name w:val="[Základní odstavec] Char"/>
    <w:link w:val="Zkladnodstavec"/>
    <w:uiPriority w:val="99"/>
    <w:rsid w:val="0008263E"/>
    <w:rPr>
      <w:rFonts w:ascii="Arial" w:hAnsi="Arial" w:cs="Minion Pro"/>
      <w:color w:val="000000"/>
      <w:szCs w:val="24"/>
    </w:rPr>
  </w:style>
  <w:style w:type="paragraph" w:styleId="Obsah1">
    <w:name w:val="toc 1"/>
    <w:basedOn w:val="Obsahpoloky"/>
    <w:next w:val="Obsahpoloky"/>
    <w:autoRedefine/>
    <w:uiPriority w:val="39"/>
    <w:unhideWhenUsed/>
    <w:rsid w:val="00FC1A95"/>
  </w:style>
  <w:style w:type="paragraph" w:customStyle="1" w:styleId="TLIdentifikace-sted">
    <w:name w:val="TL Identifikace - střed"/>
    <w:qFormat/>
    <w:rsid w:val="009A60D1"/>
    <w:pPr>
      <w:spacing w:after="200" w:line="288" w:lineRule="auto"/>
    </w:pPr>
    <w:rPr>
      <w:rFonts w:ascii="Arial" w:eastAsia="Times New Roman" w:hAnsi="Arial"/>
      <w:sz w:val="24"/>
      <w:szCs w:val="24"/>
      <w:lang w:eastAsia="cs-CZ"/>
    </w:rPr>
  </w:style>
  <w:style w:type="paragraph" w:customStyle="1" w:styleId="Obsah">
    <w:name w:val="Obsah"/>
    <w:next w:val="Normln"/>
    <w:qFormat/>
    <w:rsid w:val="004900FF"/>
    <w:pPr>
      <w:spacing w:after="80" w:line="288" w:lineRule="auto"/>
    </w:pPr>
    <w:rPr>
      <w:rFonts w:ascii="Arial" w:eastAsia="Times New Roman" w:hAnsi="Arial"/>
      <w:b/>
      <w:color w:val="BC091B"/>
      <w:sz w:val="32"/>
      <w:szCs w:val="24"/>
      <w:lang w:eastAsia="cs-CZ"/>
    </w:rPr>
  </w:style>
  <w:style w:type="paragraph" w:customStyle="1" w:styleId="Obsahpoloky">
    <w:name w:val="Obsah položky"/>
    <w:qFormat/>
    <w:rsid w:val="00616E05"/>
    <w:pPr>
      <w:tabs>
        <w:tab w:val="right" w:leader="dot" w:pos="9639"/>
      </w:tabs>
      <w:spacing w:line="288" w:lineRule="auto"/>
    </w:pPr>
    <w:rPr>
      <w:rFonts w:ascii="Arial" w:eastAsia="Times New Roman" w:hAnsi="Arial"/>
      <w:szCs w:val="24"/>
      <w:lang w:eastAsia="cs-CZ"/>
    </w:rPr>
  </w:style>
  <w:style w:type="paragraph" w:customStyle="1" w:styleId="Box1">
    <w:name w:val="Box 1"/>
    <w:next w:val="Normln"/>
    <w:qFormat/>
    <w:rsid w:val="004900FF"/>
    <w:pPr>
      <w:shd w:val="clear" w:color="auto" w:fill="F5DADD"/>
      <w:spacing w:before="240" w:after="240" w:line="288" w:lineRule="auto"/>
      <w:ind w:left="709"/>
      <w:contextualSpacing/>
    </w:pPr>
    <w:rPr>
      <w:rFonts w:ascii="Arial" w:hAnsi="Arial" w:cs="Arial"/>
      <w:lang w:eastAsia="cs-CZ"/>
    </w:rPr>
  </w:style>
  <w:style w:type="paragraph" w:customStyle="1" w:styleId="Box2">
    <w:name w:val="Box 2"/>
    <w:qFormat/>
    <w:rsid w:val="004900FF"/>
    <w:pPr>
      <w:spacing w:before="240" w:after="240" w:line="288" w:lineRule="auto"/>
      <w:ind w:left="709"/>
      <w:contextualSpacing/>
    </w:pPr>
    <w:rPr>
      <w:rFonts w:ascii="Arial" w:hAnsi="Arial" w:cs="Arial"/>
      <w:color w:val="BC091B"/>
      <w:lang w:eastAsia="cs-CZ"/>
    </w:rPr>
  </w:style>
  <w:style w:type="paragraph" w:styleId="Seznam">
    <w:name w:val="List"/>
    <w:basedOn w:val="Normln"/>
    <w:uiPriority w:val="99"/>
    <w:unhideWhenUsed/>
    <w:qFormat/>
    <w:rsid w:val="00481E40"/>
    <w:pPr>
      <w:contextualSpacing/>
    </w:pPr>
  </w:style>
  <w:style w:type="character" w:styleId="Siln">
    <w:name w:val="Strong"/>
    <w:aliases w:val="Tučné"/>
    <w:uiPriority w:val="22"/>
    <w:qFormat/>
    <w:rsid w:val="00EC03D7"/>
    <w:rPr>
      <w:rFonts w:ascii="Arial" w:hAnsi="Arial"/>
      <w:b/>
      <w:bCs/>
      <w:sz w:val="20"/>
    </w:rPr>
  </w:style>
  <w:style w:type="paragraph" w:customStyle="1" w:styleId="TLKontaktyerven">
    <w:name w:val="TL Kontakty červené"/>
    <w:basedOn w:val="Normln"/>
    <w:qFormat/>
    <w:rsid w:val="00104C4C"/>
    <w:pPr>
      <w:spacing w:after="40"/>
      <w:contextualSpacing/>
    </w:pPr>
    <w:rPr>
      <w:b/>
      <w:caps/>
      <w:color w:val="BD1B21"/>
      <w:sz w:val="24"/>
    </w:rPr>
  </w:style>
  <w:style w:type="paragraph" w:customStyle="1" w:styleId="TLKontakty">
    <w:name w:val="TL Kontakty"/>
    <w:qFormat/>
    <w:rsid w:val="008E6F06"/>
    <w:pPr>
      <w:spacing w:after="160" w:line="259" w:lineRule="auto"/>
      <w:contextualSpacing/>
    </w:pPr>
    <w:rPr>
      <w:rFonts w:ascii="Arial" w:eastAsia="Times New Roman" w:hAnsi="Arial"/>
      <w:b/>
      <w:color w:val="0071BC"/>
      <w:lang w:eastAsia="cs-CZ"/>
    </w:rPr>
  </w:style>
  <w:style w:type="paragraph" w:styleId="Nzev">
    <w:name w:val="Title"/>
    <w:link w:val="NzevChar"/>
    <w:uiPriority w:val="10"/>
    <w:qFormat/>
    <w:rsid w:val="004900FF"/>
    <w:pPr>
      <w:spacing w:line="288" w:lineRule="auto"/>
    </w:pPr>
    <w:rPr>
      <w:rFonts w:ascii="Arial" w:eastAsia="Times New Roman" w:hAnsi="Arial"/>
      <w:b/>
      <w:bCs/>
      <w:caps/>
      <w:color w:val="BC091B"/>
      <w:kern w:val="28"/>
      <w:sz w:val="56"/>
      <w:szCs w:val="32"/>
      <w:lang w:eastAsia="cs-CZ"/>
    </w:rPr>
  </w:style>
  <w:style w:type="character" w:customStyle="1" w:styleId="NzevChar">
    <w:name w:val="Název Char"/>
    <w:link w:val="Nzev"/>
    <w:uiPriority w:val="10"/>
    <w:rsid w:val="004900FF"/>
    <w:rPr>
      <w:rFonts w:ascii="Arial" w:eastAsia="Times New Roman" w:hAnsi="Arial"/>
      <w:b/>
      <w:bCs/>
      <w:caps/>
      <w:color w:val="BC091B"/>
      <w:kern w:val="28"/>
      <w:sz w:val="56"/>
      <w:szCs w:val="32"/>
    </w:rPr>
  </w:style>
  <w:style w:type="paragraph" w:styleId="Podnadpis">
    <w:name w:val="Subtitle"/>
    <w:link w:val="PodnadpisChar"/>
    <w:uiPriority w:val="11"/>
    <w:qFormat/>
    <w:rsid w:val="004900FF"/>
    <w:pPr>
      <w:spacing w:line="288" w:lineRule="auto"/>
    </w:pPr>
    <w:rPr>
      <w:rFonts w:ascii="Arial" w:eastAsia="Times New Roman" w:hAnsi="Arial" w:cs="Arial"/>
      <w:b/>
      <w:color w:val="BC091B"/>
      <w:sz w:val="28"/>
      <w:szCs w:val="24"/>
      <w:lang w:eastAsia="cs-CZ"/>
    </w:rPr>
  </w:style>
  <w:style w:type="character" w:customStyle="1" w:styleId="PodnadpisChar">
    <w:name w:val="Podnadpis Char"/>
    <w:link w:val="Podnadpis"/>
    <w:uiPriority w:val="11"/>
    <w:rsid w:val="004900FF"/>
    <w:rPr>
      <w:rFonts w:ascii="Arial" w:eastAsia="Times New Roman" w:hAnsi="Arial" w:cs="Arial"/>
      <w:b/>
      <w:color w:val="BC091B"/>
      <w:sz w:val="28"/>
      <w:szCs w:val="24"/>
    </w:rPr>
  </w:style>
  <w:style w:type="paragraph" w:styleId="Obsah2">
    <w:name w:val="toc 2"/>
    <w:basedOn w:val="Obsahpoloky"/>
    <w:next w:val="Obsahpoloky"/>
    <w:autoRedefine/>
    <w:uiPriority w:val="39"/>
    <w:unhideWhenUsed/>
    <w:rsid w:val="00E9405E"/>
    <w:pPr>
      <w:ind w:left="200"/>
    </w:pPr>
  </w:style>
  <w:style w:type="paragraph" w:styleId="Obsah3">
    <w:name w:val="toc 3"/>
    <w:basedOn w:val="Obsahpoloky"/>
    <w:next w:val="Obsahpoloky"/>
    <w:autoRedefine/>
    <w:uiPriority w:val="39"/>
    <w:unhideWhenUsed/>
    <w:rsid w:val="00881CA8"/>
    <w:pPr>
      <w:ind w:left="400"/>
    </w:pPr>
  </w:style>
  <w:style w:type="paragraph" w:styleId="Obsah4">
    <w:name w:val="toc 4"/>
    <w:basedOn w:val="Obsahpoloky"/>
    <w:next w:val="Obsahpoloky"/>
    <w:autoRedefine/>
    <w:uiPriority w:val="39"/>
    <w:unhideWhenUsed/>
    <w:rsid w:val="00FC1A95"/>
    <w:pPr>
      <w:ind w:left="600"/>
    </w:pPr>
  </w:style>
  <w:style w:type="paragraph" w:styleId="Obsah5">
    <w:name w:val="toc 5"/>
    <w:basedOn w:val="Obsahpoloky"/>
    <w:next w:val="Obsahpoloky"/>
    <w:autoRedefine/>
    <w:uiPriority w:val="39"/>
    <w:semiHidden/>
    <w:unhideWhenUsed/>
    <w:rsid w:val="00FC1A95"/>
    <w:pPr>
      <w:ind w:left="800"/>
    </w:pPr>
  </w:style>
  <w:style w:type="paragraph" w:styleId="Obsah6">
    <w:name w:val="toc 6"/>
    <w:basedOn w:val="Obsahpoloky"/>
    <w:next w:val="Obsahpoloky"/>
    <w:autoRedefine/>
    <w:uiPriority w:val="39"/>
    <w:semiHidden/>
    <w:unhideWhenUsed/>
    <w:rsid w:val="00FC1A95"/>
    <w:pPr>
      <w:ind w:left="1000"/>
    </w:pPr>
  </w:style>
  <w:style w:type="paragraph" w:styleId="Obsah7">
    <w:name w:val="toc 7"/>
    <w:basedOn w:val="Obsahpoloky"/>
    <w:next w:val="Obsahpoloky"/>
    <w:autoRedefine/>
    <w:uiPriority w:val="39"/>
    <w:semiHidden/>
    <w:unhideWhenUsed/>
    <w:rsid w:val="00FC1A95"/>
    <w:pPr>
      <w:ind w:left="1200"/>
    </w:pPr>
  </w:style>
  <w:style w:type="paragraph" w:styleId="Obsah8">
    <w:name w:val="toc 8"/>
    <w:basedOn w:val="Obsahpoloky"/>
    <w:next w:val="Obsahpoloky"/>
    <w:autoRedefine/>
    <w:uiPriority w:val="39"/>
    <w:semiHidden/>
    <w:unhideWhenUsed/>
    <w:rsid w:val="00FC1A95"/>
    <w:pPr>
      <w:ind w:left="1400"/>
    </w:pPr>
  </w:style>
  <w:style w:type="paragraph" w:styleId="Obsah9">
    <w:name w:val="toc 9"/>
    <w:basedOn w:val="Obsahpoloky"/>
    <w:next w:val="Obsahpoloky"/>
    <w:autoRedefine/>
    <w:uiPriority w:val="39"/>
    <w:semiHidden/>
    <w:unhideWhenUsed/>
    <w:rsid w:val="00924AC8"/>
    <w:pPr>
      <w:ind w:left="1600"/>
    </w:pPr>
  </w:style>
  <w:style w:type="character" w:customStyle="1" w:styleId="content">
    <w:name w:val="content"/>
    <w:basedOn w:val="Standardnpsmoodstavce"/>
    <w:rsid w:val="009D7913"/>
  </w:style>
  <w:style w:type="character" w:styleId="Znakapoznpodarou">
    <w:name w:val="footnote reference"/>
    <w:rsid w:val="00A403BA"/>
    <w:rPr>
      <w:vertAlign w:val="superscript"/>
    </w:rPr>
  </w:style>
  <w:style w:type="paragraph" w:styleId="Textpoznpodarou">
    <w:name w:val="footnote text"/>
    <w:basedOn w:val="Normln"/>
    <w:link w:val="TextpoznpodarouChar"/>
    <w:uiPriority w:val="99"/>
    <w:semiHidden/>
    <w:rsid w:val="00A403BA"/>
    <w:pPr>
      <w:spacing w:after="0"/>
    </w:pPr>
    <w:rPr>
      <w:szCs w:val="20"/>
    </w:rPr>
  </w:style>
  <w:style w:type="character" w:customStyle="1" w:styleId="TextpoznpodarouChar">
    <w:name w:val="Text pozn. pod čarou Char"/>
    <w:basedOn w:val="Standardnpsmoodstavce"/>
    <w:link w:val="Textpoznpodarou"/>
    <w:uiPriority w:val="99"/>
    <w:semiHidden/>
    <w:rsid w:val="00A403BA"/>
    <w:rPr>
      <w:rFonts w:ascii="Arial" w:eastAsia="Times New Roman" w:hAnsi="Arial"/>
      <w:lang w:eastAsia="cs-CZ"/>
    </w:rPr>
  </w:style>
  <w:style w:type="paragraph" w:styleId="Odstavecseseznamem">
    <w:name w:val="List Paragraph"/>
    <w:basedOn w:val="Normln"/>
    <w:uiPriority w:val="99"/>
    <w:qFormat/>
    <w:rsid w:val="00A403BA"/>
    <w:pPr>
      <w:ind w:left="720"/>
      <w:contextualSpacing/>
    </w:pPr>
  </w:style>
  <w:style w:type="character" w:styleId="Sledovanodkaz">
    <w:name w:val="FollowedHyperlink"/>
    <w:basedOn w:val="Standardnpsmoodstavce"/>
    <w:uiPriority w:val="99"/>
    <w:semiHidden/>
    <w:unhideWhenUsed/>
    <w:rsid w:val="00A403BA"/>
    <w:rPr>
      <w:color w:val="800080" w:themeColor="followedHyperlink"/>
      <w:u w:val="single"/>
    </w:rPr>
  </w:style>
  <w:style w:type="paragraph" w:styleId="Normlnweb">
    <w:name w:val="Normal (Web)"/>
    <w:basedOn w:val="Normln"/>
    <w:uiPriority w:val="99"/>
    <w:unhideWhenUsed/>
    <w:rsid w:val="00F71F74"/>
    <w:pPr>
      <w:spacing w:before="100" w:beforeAutospacing="1" w:after="100" w:afterAutospacing="1" w:line="240" w:lineRule="auto"/>
    </w:pPr>
    <w:rPr>
      <w:rFonts w:ascii="Times New Roman" w:hAnsi="Times New Roman"/>
      <w:sz w:val="24"/>
    </w:rPr>
  </w:style>
  <w:style w:type="character" w:styleId="Odkaznakoment">
    <w:name w:val="annotation reference"/>
    <w:basedOn w:val="Standardnpsmoodstavce"/>
    <w:uiPriority w:val="99"/>
    <w:semiHidden/>
    <w:unhideWhenUsed/>
    <w:rsid w:val="00AF2E68"/>
    <w:rPr>
      <w:sz w:val="16"/>
      <w:szCs w:val="16"/>
    </w:rPr>
  </w:style>
  <w:style w:type="paragraph" w:styleId="Textkomente">
    <w:name w:val="annotation text"/>
    <w:basedOn w:val="Normln"/>
    <w:link w:val="TextkomenteChar"/>
    <w:uiPriority w:val="99"/>
    <w:unhideWhenUsed/>
    <w:rsid w:val="00AF2E68"/>
    <w:pPr>
      <w:spacing w:line="240" w:lineRule="auto"/>
    </w:pPr>
    <w:rPr>
      <w:szCs w:val="20"/>
    </w:rPr>
  </w:style>
  <w:style w:type="character" w:customStyle="1" w:styleId="TextkomenteChar">
    <w:name w:val="Text komentáře Char"/>
    <w:basedOn w:val="Standardnpsmoodstavce"/>
    <w:link w:val="Textkomente"/>
    <w:uiPriority w:val="99"/>
    <w:rsid w:val="00AF2E68"/>
    <w:rPr>
      <w:rFonts w:ascii="Arial" w:eastAsia="Times New Roman" w:hAnsi="Arial"/>
      <w:lang w:eastAsia="cs-CZ"/>
    </w:rPr>
  </w:style>
  <w:style w:type="paragraph" w:styleId="Pedmtkomente">
    <w:name w:val="annotation subject"/>
    <w:basedOn w:val="Textkomente"/>
    <w:next w:val="Textkomente"/>
    <w:link w:val="PedmtkomenteChar"/>
    <w:uiPriority w:val="99"/>
    <w:semiHidden/>
    <w:unhideWhenUsed/>
    <w:rsid w:val="00AF2E68"/>
    <w:rPr>
      <w:b/>
      <w:bCs/>
    </w:rPr>
  </w:style>
  <w:style w:type="character" w:customStyle="1" w:styleId="PedmtkomenteChar">
    <w:name w:val="Předmět komentáře Char"/>
    <w:basedOn w:val="TextkomenteChar"/>
    <w:link w:val="Pedmtkomente"/>
    <w:uiPriority w:val="99"/>
    <w:semiHidden/>
    <w:rsid w:val="00AF2E68"/>
    <w:rPr>
      <w:rFonts w:ascii="Arial" w:eastAsia="Times New Roman" w:hAnsi="Arial"/>
      <w:b/>
      <w:bCs/>
      <w:lang w:eastAsia="cs-CZ"/>
    </w:rPr>
  </w:style>
  <w:style w:type="character" w:customStyle="1" w:styleId="markedcontent">
    <w:name w:val="markedcontent"/>
    <w:basedOn w:val="Standardnpsmoodstavce"/>
    <w:rsid w:val="00D70593"/>
  </w:style>
  <w:style w:type="paragraph" w:customStyle="1" w:styleId="Default">
    <w:name w:val="Default"/>
    <w:rsid w:val="00F40B8C"/>
    <w:pPr>
      <w:autoSpaceDE w:val="0"/>
      <w:autoSpaceDN w:val="0"/>
      <w:adjustRightInd w:val="0"/>
    </w:pPr>
    <w:rPr>
      <w:rFonts w:ascii="Arial" w:hAnsi="Arial" w:cs="Arial"/>
      <w:color w:val="000000"/>
      <w:sz w:val="24"/>
      <w:szCs w:val="24"/>
    </w:rPr>
  </w:style>
  <w:style w:type="paragraph" w:styleId="Zkladntextodsazen">
    <w:name w:val="Body Text Indent"/>
    <w:basedOn w:val="Normln"/>
    <w:link w:val="ZkladntextodsazenChar"/>
    <w:uiPriority w:val="99"/>
    <w:rsid w:val="007459BF"/>
    <w:pPr>
      <w:spacing w:after="0" w:line="240" w:lineRule="auto"/>
      <w:ind w:left="360"/>
    </w:pPr>
    <w:rPr>
      <w:szCs w:val="20"/>
    </w:rPr>
  </w:style>
  <w:style w:type="character" w:customStyle="1" w:styleId="ZkladntextodsazenChar">
    <w:name w:val="Základní text odsazený Char"/>
    <w:basedOn w:val="Standardnpsmoodstavce"/>
    <w:link w:val="Zkladntextodsazen"/>
    <w:uiPriority w:val="99"/>
    <w:rsid w:val="007459BF"/>
    <w:rPr>
      <w:rFonts w:ascii="Arial" w:eastAsia="Times New Roman" w:hAnsi="Arial"/>
      <w:lang w:eastAsia="cs-CZ"/>
    </w:rPr>
  </w:style>
  <w:style w:type="paragraph" w:styleId="Revize">
    <w:name w:val="Revision"/>
    <w:hidden/>
    <w:uiPriority w:val="99"/>
    <w:semiHidden/>
    <w:rsid w:val="00EF7DBD"/>
    <w:rPr>
      <w:rFonts w:ascii="Arial" w:eastAsia="Times New Roman" w:hAnsi="Arial"/>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42367213">
      <w:bodyDiv w:val="1"/>
      <w:marLeft w:val="0"/>
      <w:marRight w:val="0"/>
      <w:marTop w:val="0"/>
      <w:marBottom w:val="0"/>
      <w:divBdr>
        <w:top w:val="none" w:sz="0" w:space="0" w:color="auto"/>
        <w:left w:val="none" w:sz="0" w:space="0" w:color="auto"/>
        <w:bottom w:val="none" w:sz="0" w:space="0" w:color="auto"/>
        <w:right w:val="none" w:sz="0" w:space="0" w:color="auto"/>
      </w:divBdr>
    </w:div>
    <w:div w:id="45226662">
      <w:bodyDiv w:val="1"/>
      <w:marLeft w:val="0"/>
      <w:marRight w:val="0"/>
      <w:marTop w:val="0"/>
      <w:marBottom w:val="0"/>
      <w:divBdr>
        <w:top w:val="none" w:sz="0" w:space="0" w:color="auto"/>
        <w:left w:val="none" w:sz="0" w:space="0" w:color="auto"/>
        <w:bottom w:val="none" w:sz="0" w:space="0" w:color="auto"/>
        <w:right w:val="none" w:sz="0" w:space="0" w:color="auto"/>
      </w:divBdr>
    </w:div>
    <w:div w:id="55051616">
      <w:bodyDiv w:val="1"/>
      <w:marLeft w:val="0"/>
      <w:marRight w:val="0"/>
      <w:marTop w:val="0"/>
      <w:marBottom w:val="0"/>
      <w:divBdr>
        <w:top w:val="none" w:sz="0" w:space="0" w:color="auto"/>
        <w:left w:val="none" w:sz="0" w:space="0" w:color="auto"/>
        <w:bottom w:val="none" w:sz="0" w:space="0" w:color="auto"/>
        <w:right w:val="none" w:sz="0" w:space="0" w:color="auto"/>
      </w:divBdr>
    </w:div>
    <w:div w:id="62262328">
      <w:bodyDiv w:val="1"/>
      <w:marLeft w:val="0"/>
      <w:marRight w:val="0"/>
      <w:marTop w:val="0"/>
      <w:marBottom w:val="0"/>
      <w:divBdr>
        <w:top w:val="none" w:sz="0" w:space="0" w:color="auto"/>
        <w:left w:val="none" w:sz="0" w:space="0" w:color="auto"/>
        <w:bottom w:val="none" w:sz="0" w:space="0" w:color="auto"/>
        <w:right w:val="none" w:sz="0" w:space="0" w:color="auto"/>
      </w:divBdr>
    </w:div>
    <w:div w:id="63842887">
      <w:bodyDiv w:val="1"/>
      <w:marLeft w:val="0"/>
      <w:marRight w:val="0"/>
      <w:marTop w:val="0"/>
      <w:marBottom w:val="0"/>
      <w:divBdr>
        <w:top w:val="none" w:sz="0" w:space="0" w:color="auto"/>
        <w:left w:val="none" w:sz="0" w:space="0" w:color="auto"/>
        <w:bottom w:val="none" w:sz="0" w:space="0" w:color="auto"/>
        <w:right w:val="none" w:sz="0" w:space="0" w:color="auto"/>
      </w:divBdr>
    </w:div>
    <w:div w:id="77529287">
      <w:bodyDiv w:val="1"/>
      <w:marLeft w:val="0"/>
      <w:marRight w:val="0"/>
      <w:marTop w:val="0"/>
      <w:marBottom w:val="0"/>
      <w:divBdr>
        <w:top w:val="none" w:sz="0" w:space="0" w:color="auto"/>
        <w:left w:val="none" w:sz="0" w:space="0" w:color="auto"/>
        <w:bottom w:val="none" w:sz="0" w:space="0" w:color="auto"/>
        <w:right w:val="none" w:sz="0" w:space="0" w:color="auto"/>
      </w:divBdr>
    </w:div>
    <w:div w:id="113259090">
      <w:bodyDiv w:val="1"/>
      <w:marLeft w:val="0"/>
      <w:marRight w:val="0"/>
      <w:marTop w:val="0"/>
      <w:marBottom w:val="0"/>
      <w:divBdr>
        <w:top w:val="none" w:sz="0" w:space="0" w:color="auto"/>
        <w:left w:val="none" w:sz="0" w:space="0" w:color="auto"/>
        <w:bottom w:val="none" w:sz="0" w:space="0" w:color="auto"/>
        <w:right w:val="none" w:sz="0" w:space="0" w:color="auto"/>
      </w:divBdr>
    </w:div>
    <w:div w:id="159931378">
      <w:bodyDiv w:val="1"/>
      <w:marLeft w:val="0"/>
      <w:marRight w:val="0"/>
      <w:marTop w:val="0"/>
      <w:marBottom w:val="0"/>
      <w:divBdr>
        <w:top w:val="none" w:sz="0" w:space="0" w:color="auto"/>
        <w:left w:val="none" w:sz="0" w:space="0" w:color="auto"/>
        <w:bottom w:val="none" w:sz="0" w:space="0" w:color="auto"/>
        <w:right w:val="none" w:sz="0" w:space="0" w:color="auto"/>
      </w:divBdr>
    </w:div>
    <w:div w:id="237055631">
      <w:bodyDiv w:val="1"/>
      <w:marLeft w:val="0"/>
      <w:marRight w:val="0"/>
      <w:marTop w:val="0"/>
      <w:marBottom w:val="0"/>
      <w:divBdr>
        <w:top w:val="none" w:sz="0" w:space="0" w:color="auto"/>
        <w:left w:val="none" w:sz="0" w:space="0" w:color="auto"/>
        <w:bottom w:val="none" w:sz="0" w:space="0" w:color="auto"/>
        <w:right w:val="none" w:sz="0" w:space="0" w:color="auto"/>
      </w:divBdr>
    </w:div>
    <w:div w:id="237593590">
      <w:bodyDiv w:val="1"/>
      <w:marLeft w:val="0"/>
      <w:marRight w:val="0"/>
      <w:marTop w:val="0"/>
      <w:marBottom w:val="0"/>
      <w:divBdr>
        <w:top w:val="none" w:sz="0" w:space="0" w:color="auto"/>
        <w:left w:val="none" w:sz="0" w:space="0" w:color="auto"/>
        <w:bottom w:val="none" w:sz="0" w:space="0" w:color="auto"/>
        <w:right w:val="none" w:sz="0" w:space="0" w:color="auto"/>
      </w:divBdr>
    </w:div>
    <w:div w:id="239601615">
      <w:bodyDiv w:val="1"/>
      <w:marLeft w:val="0"/>
      <w:marRight w:val="0"/>
      <w:marTop w:val="0"/>
      <w:marBottom w:val="0"/>
      <w:divBdr>
        <w:top w:val="none" w:sz="0" w:space="0" w:color="auto"/>
        <w:left w:val="none" w:sz="0" w:space="0" w:color="auto"/>
        <w:bottom w:val="none" w:sz="0" w:space="0" w:color="auto"/>
        <w:right w:val="none" w:sz="0" w:space="0" w:color="auto"/>
      </w:divBdr>
    </w:div>
    <w:div w:id="264115308">
      <w:bodyDiv w:val="1"/>
      <w:marLeft w:val="0"/>
      <w:marRight w:val="0"/>
      <w:marTop w:val="0"/>
      <w:marBottom w:val="0"/>
      <w:divBdr>
        <w:top w:val="none" w:sz="0" w:space="0" w:color="auto"/>
        <w:left w:val="none" w:sz="0" w:space="0" w:color="auto"/>
        <w:bottom w:val="none" w:sz="0" w:space="0" w:color="auto"/>
        <w:right w:val="none" w:sz="0" w:space="0" w:color="auto"/>
      </w:divBdr>
    </w:div>
    <w:div w:id="272517920">
      <w:bodyDiv w:val="1"/>
      <w:marLeft w:val="0"/>
      <w:marRight w:val="0"/>
      <w:marTop w:val="0"/>
      <w:marBottom w:val="0"/>
      <w:divBdr>
        <w:top w:val="none" w:sz="0" w:space="0" w:color="auto"/>
        <w:left w:val="none" w:sz="0" w:space="0" w:color="auto"/>
        <w:bottom w:val="none" w:sz="0" w:space="0" w:color="auto"/>
        <w:right w:val="none" w:sz="0" w:space="0" w:color="auto"/>
      </w:divBdr>
    </w:div>
    <w:div w:id="322052955">
      <w:bodyDiv w:val="1"/>
      <w:marLeft w:val="0"/>
      <w:marRight w:val="0"/>
      <w:marTop w:val="0"/>
      <w:marBottom w:val="0"/>
      <w:divBdr>
        <w:top w:val="none" w:sz="0" w:space="0" w:color="auto"/>
        <w:left w:val="none" w:sz="0" w:space="0" w:color="auto"/>
        <w:bottom w:val="none" w:sz="0" w:space="0" w:color="auto"/>
        <w:right w:val="none" w:sz="0" w:space="0" w:color="auto"/>
      </w:divBdr>
    </w:div>
    <w:div w:id="397170835">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522476911">
      <w:bodyDiv w:val="1"/>
      <w:marLeft w:val="0"/>
      <w:marRight w:val="0"/>
      <w:marTop w:val="0"/>
      <w:marBottom w:val="0"/>
      <w:divBdr>
        <w:top w:val="none" w:sz="0" w:space="0" w:color="auto"/>
        <w:left w:val="none" w:sz="0" w:space="0" w:color="auto"/>
        <w:bottom w:val="none" w:sz="0" w:space="0" w:color="auto"/>
        <w:right w:val="none" w:sz="0" w:space="0" w:color="auto"/>
      </w:divBdr>
    </w:div>
    <w:div w:id="528907780">
      <w:bodyDiv w:val="1"/>
      <w:marLeft w:val="0"/>
      <w:marRight w:val="0"/>
      <w:marTop w:val="0"/>
      <w:marBottom w:val="0"/>
      <w:divBdr>
        <w:top w:val="none" w:sz="0" w:space="0" w:color="auto"/>
        <w:left w:val="none" w:sz="0" w:space="0" w:color="auto"/>
        <w:bottom w:val="none" w:sz="0" w:space="0" w:color="auto"/>
        <w:right w:val="none" w:sz="0" w:space="0" w:color="auto"/>
      </w:divBdr>
    </w:div>
    <w:div w:id="533806547">
      <w:bodyDiv w:val="1"/>
      <w:marLeft w:val="0"/>
      <w:marRight w:val="0"/>
      <w:marTop w:val="0"/>
      <w:marBottom w:val="0"/>
      <w:divBdr>
        <w:top w:val="none" w:sz="0" w:space="0" w:color="auto"/>
        <w:left w:val="none" w:sz="0" w:space="0" w:color="auto"/>
        <w:bottom w:val="none" w:sz="0" w:space="0" w:color="auto"/>
        <w:right w:val="none" w:sz="0" w:space="0" w:color="auto"/>
      </w:divBdr>
    </w:div>
    <w:div w:id="539436238">
      <w:bodyDiv w:val="1"/>
      <w:marLeft w:val="0"/>
      <w:marRight w:val="0"/>
      <w:marTop w:val="0"/>
      <w:marBottom w:val="0"/>
      <w:divBdr>
        <w:top w:val="none" w:sz="0" w:space="0" w:color="auto"/>
        <w:left w:val="none" w:sz="0" w:space="0" w:color="auto"/>
        <w:bottom w:val="none" w:sz="0" w:space="0" w:color="auto"/>
        <w:right w:val="none" w:sz="0" w:space="0" w:color="auto"/>
      </w:divBdr>
    </w:div>
    <w:div w:id="557782959">
      <w:bodyDiv w:val="1"/>
      <w:marLeft w:val="0"/>
      <w:marRight w:val="0"/>
      <w:marTop w:val="0"/>
      <w:marBottom w:val="0"/>
      <w:divBdr>
        <w:top w:val="none" w:sz="0" w:space="0" w:color="auto"/>
        <w:left w:val="none" w:sz="0" w:space="0" w:color="auto"/>
        <w:bottom w:val="none" w:sz="0" w:space="0" w:color="auto"/>
        <w:right w:val="none" w:sz="0" w:space="0" w:color="auto"/>
      </w:divBdr>
    </w:div>
    <w:div w:id="567619822">
      <w:bodyDiv w:val="1"/>
      <w:marLeft w:val="0"/>
      <w:marRight w:val="0"/>
      <w:marTop w:val="0"/>
      <w:marBottom w:val="0"/>
      <w:divBdr>
        <w:top w:val="none" w:sz="0" w:space="0" w:color="auto"/>
        <w:left w:val="none" w:sz="0" w:space="0" w:color="auto"/>
        <w:bottom w:val="none" w:sz="0" w:space="0" w:color="auto"/>
        <w:right w:val="none" w:sz="0" w:space="0" w:color="auto"/>
      </w:divBdr>
    </w:div>
    <w:div w:id="583027823">
      <w:bodyDiv w:val="1"/>
      <w:marLeft w:val="0"/>
      <w:marRight w:val="0"/>
      <w:marTop w:val="0"/>
      <w:marBottom w:val="0"/>
      <w:divBdr>
        <w:top w:val="none" w:sz="0" w:space="0" w:color="auto"/>
        <w:left w:val="none" w:sz="0" w:space="0" w:color="auto"/>
        <w:bottom w:val="none" w:sz="0" w:space="0" w:color="auto"/>
        <w:right w:val="none" w:sz="0" w:space="0" w:color="auto"/>
      </w:divBdr>
    </w:div>
    <w:div w:id="621038230">
      <w:bodyDiv w:val="1"/>
      <w:marLeft w:val="0"/>
      <w:marRight w:val="0"/>
      <w:marTop w:val="0"/>
      <w:marBottom w:val="0"/>
      <w:divBdr>
        <w:top w:val="none" w:sz="0" w:space="0" w:color="auto"/>
        <w:left w:val="none" w:sz="0" w:space="0" w:color="auto"/>
        <w:bottom w:val="none" w:sz="0" w:space="0" w:color="auto"/>
        <w:right w:val="none" w:sz="0" w:space="0" w:color="auto"/>
      </w:divBdr>
    </w:div>
    <w:div w:id="656878253">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736174811">
      <w:bodyDiv w:val="1"/>
      <w:marLeft w:val="0"/>
      <w:marRight w:val="0"/>
      <w:marTop w:val="0"/>
      <w:marBottom w:val="0"/>
      <w:divBdr>
        <w:top w:val="none" w:sz="0" w:space="0" w:color="auto"/>
        <w:left w:val="none" w:sz="0" w:space="0" w:color="auto"/>
        <w:bottom w:val="none" w:sz="0" w:space="0" w:color="auto"/>
        <w:right w:val="none" w:sz="0" w:space="0" w:color="auto"/>
      </w:divBdr>
    </w:div>
    <w:div w:id="764888444">
      <w:bodyDiv w:val="1"/>
      <w:marLeft w:val="0"/>
      <w:marRight w:val="0"/>
      <w:marTop w:val="0"/>
      <w:marBottom w:val="0"/>
      <w:divBdr>
        <w:top w:val="none" w:sz="0" w:space="0" w:color="auto"/>
        <w:left w:val="none" w:sz="0" w:space="0" w:color="auto"/>
        <w:bottom w:val="none" w:sz="0" w:space="0" w:color="auto"/>
        <w:right w:val="none" w:sz="0" w:space="0" w:color="auto"/>
      </w:divBdr>
    </w:div>
    <w:div w:id="920678968">
      <w:bodyDiv w:val="1"/>
      <w:marLeft w:val="0"/>
      <w:marRight w:val="0"/>
      <w:marTop w:val="0"/>
      <w:marBottom w:val="0"/>
      <w:divBdr>
        <w:top w:val="none" w:sz="0" w:space="0" w:color="auto"/>
        <w:left w:val="none" w:sz="0" w:space="0" w:color="auto"/>
        <w:bottom w:val="none" w:sz="0" w:space="0" w:color="auto"/>
        <w:right w:val="none" w:sz="0" w:space="0" w:color="auto"/>
      </w:divBdr>
    </w:div>
    <w:div w:id="949896040">
      <w:bodyDiv w:val="1"/>
      <w:marLeft w:val="0"/>
      <w:marRight w:val="0"/>
      <w:marTop w:val="0"/>
      <w:marBottom w:val="0"/>
      <w:divBdr>
        <w:top w:val="none" w:sz="0" w:space="0" w:color="auto"/>
        <w:left w:val="none" w:sz="0" w:space="0" w:color="auto"/>
        <w:bottom w:val="none" w:sz="0" w:space="0" w:color="auto"/>
        <w:right w:val="none" w:sz="0" w:space="0" w:color="auto"/>
      </w:divBdr>
    </w:div>
    <w:div w:id="954602222">
      <w:bodyDiv w:val="1"/>
      <w:marLeft w:val="0"/>
      <w:marRight w:val="0"/>
      <w:marTop w:val="0"/>
      <w:marBottom w:val="0"/>
      <w:divBdr>
        <w:top w:val="none" w:sz="0" w:space="0" w:color="auto"/>
        <w:left w:val="none" w:sz="0" w:space="0" w:color="auto"/>
        <w:bottom w:val="none" w:sz="0" w:space="0" w:color="auto"/>
        <w:right w:val="none" w:sz="0" w:space="0" w:color="auto"/>
      </w:divBdr>
    </w:div>
    <w:div w:id="962154135">
      <w:bodyDiv w:val="1"/>
      <w:marLeft w:val="0"/>
      <w:marRight w:val="0"/>
      <w:marTop w:val="0"/>
      <w:marBottom w:val="0"/>
      <w:divBdr>
        <w:top w:val="none" w:sz="0" w:space="0" w:color="auto"/>
        <w:left w:val="none" w:sz="0" w:space="0" w:color="auto"/>
        <w:bottom w:val="none" w:sz="0" w:space="0" w:color="auto"/>
        <w:right w:val="none" w:sz="0" w:space="0" w:color="auto"/>
      </w:divBdr>
    </w:div>
    <w:div w:id="1095516099">
      <w:bodyDiv w:val="1"/>
      <w:marLeft w:val="0"/>
      <w:marRight w:val="0"/>
      <w:marTop w:val="0"/>
      <w:marBottom w:val="0"/>
      <w:divBdr>
        <w:top w:val="none" w:sz="0" w:space="0" w:color="auto"/>
        <w:left w:val="none" w:sz="0" w:space="0" w:color="auto"/>
        <w:bottom w:val="none" w:sz="0" w:space="0" w:color="auto"/>
        <w:right w:val="none" w:sz="0" w:space="0" w:color="auto"/>
      </w:divBdr>
    </w:div>
    <w:div w:id="1145318945">
      <w:bodyDiv w:val="1"/>
      <w:marLeft w:val="0"/>
      <w:marRight w:val="0"/>
      <w:marTop w:val="0"/>
      <w:marBottom w:val="0"/>
      <w:divBdr>
        <w:top w:val="none" w:sz="0" w:space="0" w:color="auto"/>
        <w:left w:val="none" w:sz="0" w:space="0" w:color="auto"/>
        <w:bottom w:val="none" w:sz="0" w:space="0" w:color="auto"/>
        <w:right w:val="none" w:sz="0" w:space="0" w:color="auto"/>
      </w:divBdr>
    </w:div>
    <w:div w:id="1173177665">
      <w:bodyDiv w:val="1"/>
      <w:marLeft w:val="0"/>
      <w:marRight w:val="0"/>
      <w:marTop w:val="0"/>
      <w:marBottom w:val="0"/>
      <w:divBdr>
        <w:top w:val="none" w:sz="0" w:space="0" w:color="auto"/>
        <w:left w:val="none" w:sz="0" w:space="0" w:color="auto"/>
        <w:bottom w:val="none" w:sz="0" w:space="0" w:color="auto"/>
        <w:right w:val="none" w:sz="0" w:space="0" w:color="auto"/>
      </w:divBdr>
    </w:div>
    <w:div w:id="1198154699">
      <w:bodyDiv w:val="1"/>
      <w:marLeft w:val="0"/>
      <w:marRight w:val="0"/>
      <w:marTop w:val="0"/>
      <w:marBottom w:val="0"/>
      <w:divBdr>
        <w:top w:val="none" w:sz="0" w:space="0" w:color="auto"/>
        <w:left w:val="none" w:sz="0" w:space="0" w:color="auto"/>
        <w:bottom w:val="none" w:sz="0" w:space="0" w:color="auto"/>
        <w:right w:val="none" w:sz="0" w:space="0" w:color="auto"/>
      </w:divBdr>
    </w:div>
    <w:div w:id="1208487203">
      <w:bodyDiv w:val="1"/>
      <w:marLeft w:val="0"/>
      <w:marRight w:val="0"/>
      <w:marTop w:val="0"/>
      <w:marBottom w:val="0"/>
      <w:divBdr>
        <w:top w:val="none" w:sz="0" w:space="0" w:color="auto"/>
        <w:left w:val="none" w:sz="0" w:space="0" w:color="auto"/>
        <w:bottom w:val="none" w:sz="0" w:space="0" w:color="auto"/>
        <w:right w:val="none" w:sz="0" w:space="0" w:color="auto"/>
      </w:divBdr>
    </w:div>
    <w:div w:id="1229418024">
      <w:bodyDiv w:val="1"/>
      <w:marLeft w:val="0"/>
      <w:marRight w:val="0"/>
      <w:marTop w:val="0"/>
      <w:marBottom w:val="0"/>
      <w:divBdr>
        <w:top w:val="none" w:sz="0" w:space="0" w:color="auto"/>
        <w:left w:val="none" w:sz="0" w:space="0" w:color="auto"/>
        <w:bottom w:val="none" w:sz="0" w:space="0" w:color="auto"/>
        <w:right w:val="none" w:sz="0" w:space="0" w:color="auto"/>
      </w:divBdr>
    </w:div>
    <w:div w:id="1233783385">
      <w:bodyDiv w:val="1"/>
      <w:marLeft w:val="0"/>
      <w:marRight w:val="0"/>
      <w:marTop w:val="0"/>
      <w:marBottom w:val="0"/>
      <w:divBdr>
        <w:top w:val="none" w:sz="0" w:space="0" w:color="auto"/>
        <w:left w:val="none" w:sz="0" w:space="0" w:color="auto"/>
        <w:bottom w:val="none" w:sz="0" w:space="0" w:color="auto"/>
        <w:right w:val="none" w:sz="0" w:space="0" w:color="auto"/>
      </w:divBdr>
    </w:div>
    <w:div w:id="1254434394">
      <w:bodyDiv w:val="1"/>
      <w:marLeft w:val="0"/>
      <w:marRight w:val="0"/>
      <w:marTop w:val="0"/>
      <w:marBottom w:val="0"/>
      <w:divBdr>
        <w:top w:val="none" w:sz="0" w:space="0" w:color="auto"/>
        <w:left w:val="none" w:sz="0" w:space="0" w:color="auto"/>
        <w:bottom w:val="none" w:sz="0" w:space="0" w:color="auto"/>
        <w:right w:val="none" w:sz="0" w:space="0" w:color="auto"/>
      </w:divBdr>
    </w:div>
    <w:div w:id="1288511947">
      <w:bodyDiv w:val="1"/>
      <w:marLeft w:val="0"/>
      <w:marRight w:val="0"/>
      <w:marTop w:val="0"/>
      <w:marBottom w:val="0"/>
      <w:divBdr>
        <w:top w:val="none" w:sz="0" w:space="0" w:color="auto"/>
        <w:left w:val="none" w:sz="0" w:space="0" w:color="auto"/>
        <w:bottom w:val="none" w:sz="0" w:space="0" w:color="auto"/>
        <w:right w:val="none" w:sz="0" w:space="0" w:color="auto"/>
      </w:divBdr>
    </w:div>
    <w:div w:id="1370031492">
      <w:bodyDiv w:val="1"/>
      <w:marLeft w:val="0"/>
      <w:marRight w:val="0"/>
      <w:marTop w:val="0"/>
      <w:marBottom w:val="0"/>
      <w:divBdr>
        <w:top w:val="none" w:sz="0" w:space="0" w:color="auto"/>
        <w:left w:val="none" w:sz="0" w:space="0" w:color="auto"/>
        <w:bottom w:val="none" w:sz="0" w:space="0" w:color="auto"/>
        <w:right w:val="none" w:sz="0" w:space="0" w:color="auto"/>
      </w:divBdr>
    </w:div>
    <w:div w:id="1380087334">
      <w:bodyDiv w:val="1"/>
      <w:marLeft w:val="0"/>
      <w:marRight w:val="0"/>
      <w:marTop w:val="0"/>
      <w:marBottom w:val="0"/>
      <w:divBdr>
        <w:top w:val="none" w:sz="0" w:space="0" w:color="auto"/>
        <w:left w:val="none" w:sz="0" w:space="0" w:color="auto"/>
        <w:bottom w:val="none" w:sz="0" w:space="0" w:color="auto"/>
        <w:right w:val="none" w:sz="0" w:space="0" w:color="auto"/>
      </w:divBdr>
    </w:div>
    <w:div w:id="1391031387">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57674594">
      <w:bodyDiv w:val="1"/>
      <w:marLeft w:val="0"/>
      <w:marRight w:val="0"/>
      <w:marTop w:val="0"/>
      <w:marBottom w:val="0"/>
      <w:divBdr>
        <w:top w:val="none" w:sz="0" w:space="0" w:color="auto"/>
        <w:left w:val="none" w:sz="0" w:space="0" w:color="auto"/>
        <w:bottom w:val="none" w:sz="0" w:space="0" w:color="auto"/>
        <w:right w:val="none" w:sz="0" w:space="0" w:color="auto"/>
      </w:divBdr>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503158286">
      <w:bodyDiv w:val="1"/>
      <w:marLeft w:val="0"/>
      <w:marRight w:val="0"/>
      <w:marTop w:val="0"/>
      <w:marBottom w:val="0"/>
      <w:divBdr>
        <w:top w:val="none" w:sz="0" w:space="0" w:color="auto"/>
        <w:left w:val="none" w:sz="0" w:space="0" w:color="auto"/>
        <w:bottom w:val="none" w:sz="0" w:space="0" w:color="auto"/>
        <w:right w:val="none" w:sz="0" w:space="0" w:color="auto"/>
      </w:divBdr>
    </w:div>
    <w:div w:id="1573197857">
      <w:bodyDiv w:val="1"/>
      <w:marLeft w:val="0"/>
      <w:marRight w:val="0"/>
      <w:marTop w:val="0"/>
      <w:marBottom w:val="0"/>
      <w:divBdr>
        <w:top w:val="none" w:sz="0" w:space="0" w:color="auto"/>
        <w:left w:val="none" w:sz="0" w:space="0" w:color="auto"/>
        <w:bottom w:val="none" w:sz="0" w:space="0" w:color="auto"/>
        <w:right w:val="none" w:sz="0" w:space="0" w:color="auto"/>
      </w:divBdr>
    </w:div>
    <w:div w:id="1661419150">
      <w:bodyDiv w:val="1"/>
      <w:marLeft w:val="0"/>
      <w:marRight w:val="0"/>
      <w:marTop w:val="0"/>
      <w:marBottom w:val="0"/>
      <w:divBdr>
        <w:top w:val="none" w:sz="0" w:space="0" w:color="auto"/>
        <w:left w:val="none" w:sz="0" w:space="0" w:color="auto"/>
        <w:bottom w:val="none" w:sz="0" w:space="0" w:color="auto"/>
        <w:right w:val="none" w:sz="0" w:space="0" w:color="auto"/>
      </w:divBdr>
    </w:div>
    <w:div w:id="1694526361">
      <w:bodyDiv w:val="1"/>
      <w:marLeft w:val="0"/>
      <w:marRight w:val="0"/>
      <w:marTop w:val="0"/>
      <w:marBottom w:val="0"/>
      <w:divBdr>
        <w:top w:val="none" w:sz="0" w:space="0" w:color="auto"/>
        <w:left w:val="none" w:sz="0" w:space="0" w:color="auto"/>
        <w:bottom w:val="none" w:sz="0" w:space="0" w:color="auto"/>
        <w:right w:val="none" w:sz="0" w:space="0" w:color="auto"/>
      </w:divBdr>
    </w:div>
    <w:div w:id="1706906732">
      <w:bodyDiv w:val="1"/>
      <w:marLeft w:val="0"/>
      <w:marRight w:val="0"/>
      <w:marTop w:val="0"/>
      <w:marBottom w:val="0"/>
      <w:divBdr>
        <w:top w:val="none" w:sz="0" w:space="0" w:color="auto"/>
        <w:left w:val="none" w:sz="0" w:space="0" w:color="auto"/>
        <w:bottom w:val="none" w:sz="0" w:space="0" w:color="auto"/>
        <w:right w:val="none" w:sz="0" w:space="0" w:color="auto"/>
      </w:divBdr>
    </w:div>
    <w:div w:id="1742750749">
      <w:bodyDiv w:val="1"/>
      <w:marLeft w:val="0"/>
      <w:marRight w:val="0"/>
      <w:marTop w:val="0"/>
      <w:marBottom w:val="0"/>
      <w:divBdr>
        <w:top w:val="none" w:sz="0" w:space="0" w:color="auto"/>
        <w:left w:val="none" w:sz="0" w:space="0" w:color="auto"/>
        <w:bottom w:val="none" w:sz="0" w:space="0" w:color="auto"/>
        <w:right w:val="none" w:sz="0" w:space="0" w:color="auto"/>
      </w:divBdr>
    </w:div>
    <w:div w:id="1747263525">
      <w:bodyDiv w:val="1"/>
      <w:marLeft w:val="0"/>
      <w:marRight w:val="0"/>
      <w:marTop w:val="0"/>
      <w:marBottom w:val="0"/>
      <w:divBdr>
        <w:top w:val="none" w:sz="0" w:space="0" w:color="auto"/>
        <w:left w:val="none" w:sz="0" w:space="0" w:color="auto"/>
        <w:bottom w:val="none" w:sz="0" w:space="0" w:color="auto"/>
        <w:right w:val="none" w:sz="0" w:space="0" w:color="auto"/>
      </w:divBdr>
    </w:div>
    <w:div w:id="1789547855">
      <w:bodyDiv w:val="1"/>
      <w:marLeft w:val="0"/>
      <w:marRight w:val="0"/>
      <w:marTop w:val="0"/>
      <w:marBottom w:val="0"/>
      <w:divBdr>
        <w:top w:val="none" w:sz="0" w:space="0" w:color="auto"/>
        <w:left w:val="none" w:sz="0" w:space="0" w:color="auto"/>
        <w:bottom w:val="none" w:sz="0" w:space="0" w:color="auto"/>
        <w:right w:val="none" w:sz="0" w:space="0" w:color="auto"/>
      </w:divBdr>
    </w:div>
    <w:div w:id="1811239359">
      <w:bodyDiv w:val="1"/>
      <w:marLeft w:val="0"/>
      <w:marRight w:val="0"/>
      <w:marTop w:val="0"/>
      <w:marBottom w:val="0"/>
      <w:divBdr>
        <w:top w:val="none" w:sz="0" w:space="0" w:color="auto"/>
        <w:left w:val="none" w:sz="0" w:space="0" w:color="auto"/>
        <w:bottom w:val="none" w:sz="0" w:space="0" w:color="auto"/>
        <w:right w:val="none" w:sz="0" w:space="0" w:color="auto"/>
      </w:divBdr>
    </w:div>
    <w:div w:id="1827895435">
      <w:bodyDiv w:val="1"/>
      <w:marLeft w:val="0"/>
      <w:marRight w:val="0"/>
      <w:marTop w:val="0"/>
      <w:marBottom w:val="0"/>
      <w:divBdr>
        <w:top w:val="none" w:sz="0" w:space="0" w:color="auto"/>
        <w:left w:val="none" w:sz="0" w:space="0" w:color="auto"/>
        <w:bottom w:val="none" w:sz="0" w:space="0" w:color="auto"/>
        <w:right w:val="none" w:sz="0" w:space="0" w:color="auto"/>
      </w:divBdr>
    </w:div>
    <w:div w:id="1893350832">
      <w:bodyDiv w:val="1"/>
      <w:marLeft w:val="0"/>
      <w:marRight w:val="0"/>
      <w:marTop w:val="0"/>
      <w:marBottom w:val="0"/>
      <w:divBdr>
        <w:top w:val="none" w:sz="0" w:space="0" w:color="auto"/>
        <w:left w:val="none" w:sz="0" w:space="0" w:color="auto"/>
        <w:bottom w:val="none" w:sz="0" w:space="0" w:color="auto"/>
        <w:right w:val="none" w:sz="0" w:space="0" w:color="auto"/>
      </w:divBdr>
    </w:div>
    <w:div w:id="1918008384">
      <w:bodyDiv w:val="1"/>
      <w:marLeft w:val="0"/>
      <w:marRight w:val="0"/>
      <w:marTop w:val="0"/>
      <w:marBottom w:val="0"/>
      <w:divBdr>
        <w:top w:val="none" w:sz="0" w:space="0" w:color="auto"/>
        <w:left w:val="none" w:sz="0" w:space="0" w:color="auto"/>
        <w:bottom w:val="none" w:sz="0" w:space="0" w:color="auto"/>
        <w:right w:val="none" w:sz="0" w:space="0" w:color="auto"/>
      </w:divBdr>
    </w:div>
    <w:div w:id="1940137800">
      <w:bodyDiv w:val="1"/>
      <w:marLeft w:val="0"/>
      <w:marRight w:val="0"/>
      <w:marTop w:val="0"/>
      <w:marBottom w:val="0"/>
      <w:divBdr>
        <w:top w:val="none" w:sz="0" w:space="0" w:color="auto"/>
        <w:left w:val="none" w:sz="0" w:space="0" w:color="auto"/>
        <w:bottom w:val="none" w:sz="0" w:space="0" w:color="auto"/>
        <w:right w:val="none" w:sz="0" w:space="0" w:color="auto"/>
      </w:divBdr>
    </w:div>
    <w:div w:id="1940603701">
      <w:bodyDiv w:val="1"/>
      <w:marLeft w:val="0"/>
      <w:marRight w:val="0"/>
      <w:marTop w:val="0"/>
      <w:marBottom w:val="0"/>
      <w:divBdr>
        <w:top w:val="none" w:sz="0" w:space="0" w:color="auto"/>
        <w:left w:val="none" w:sz="0" w:space="0" w:color="auto"/>
        <w:bottom w:val="none" w:sz="0" w:space="0" w:color="auto"/>
        <w:right w:val="none" w:sz="0" w:space="0" w:color="auto"/>
      </w:divBdr>
    </w:div>
    <w:div w:id="1953635220">
      <w:bodyDiv w:val="1"/>
      <w:marLeft w:val="0"/>
      <w:marRight w:val="0"/>
      <w:marTop w:val="0"/>
      <w:marBottom w:val="0"/>
      <w:divBdr>
        <w:top w:val="none" w:sz="0" w:space="0" w:color="auto"/>
        <w:left w:val="none" w:sz="0" w:space="0" w:color="auto"/>
        <w:bottom w:val="none" w:sz="0" w:space="0" w:color="auto"/>
        <w:right w:val="none" w:sz="0" w:space="0" w:color="auto"/>
      </w:divBdr>
    </w:div>
    <w:div w:id="2074814360">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 w:id="2111461127">
      <w:bodyDiv w:val="1"/>
      <w:marLeft w:val="0"/>
      <w:marRight w:val="0"/>
      <w:marTop w:val="0"/>
      <w:marBottom w:val="0"/>
      <w:divBdr>
        <w:top w:val="none" w:sz="0" w:space="0" w:color="auto"/>
        <w:left w:val="none" w:sz="0" w:space="0" w:color="auto"/>
        <w:bottom w:val="none" w:sz="0" w:space="0" w:color="auto"/>
        <w:right w:val="none" w:sz="0" w:space="0" w:color="auto"/>
      </w:divBdr>
    </w:div>
    <w:div w:id="2122410748">
      <w:bodyDiv w:val="1"/>
      <w:marLeft w:val="0"/>
      <w:marRight w:val="0"/>
      <w:marTop w:val="0"/>
      <w:marBottom w:val="0"/>
      <w:divBdr>
        <w:top w:val="none" w:sz="0" w:space="0" w:color="auto"/>
        <w:left w:val="none" w:sz="0" w:space="0" w:color="auto"/>
        <w:bottom w:val="none" w:sz="0" w:space="0" w:color="auto"/>
        <w:right w:val="none" w:sz="0" w:space="0" w:color="auto"/>
      </w:divBdr>
    </w:div>
    <w:div w:id="2133937282">
      <w:bodyDiv w:val="1"/>
      <w:marLeft w:val="0"/>
      <w:marRight w:val="0"/>
      <w:marTop w:val="0"/>
      <w:marBottom w:val="0"/>
      <w:divBdr>
        <w:top w:val="none" w:sz="0" w:space="0" w:color="auto"/>
        <w:left w:val="none" w:sz="0" w:space="0" w:color="auto"/>
        <w:bottom w:val="none" w:sz="0" w:space="0" w:color="auto"/>
        <w:right w:val="none" w:sz="0" w:space="0" w:color="auto"/>
      </w:divBdr>
    </w:div>
    <w:div w:id="21463098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mpsv.cz/documents/20142/225490/Anal%C3%BDza+NP_2022.pdf/cdd09219-aa75-cf4a-e039-5d65aafb28ab" TargetMode="External"/><Relationship Id="rId18" Type="http://schemas.openxmlformats.org/officeDocument/2006/relationships/chart" Target="charts/chart3.xml"/><Relationship Id="rId26" Type="http://schemas.openxmlformats.org/officeDocument/2006/relationships/chart" Target="charts/chart11.xml"/><Relationship Id="rId39" Type="http://schemas.openxmlformats.org/officeDocument/2006/relationships/hyperlink" Target="https://www.mpsv.cz/web/cz/rok-20221" TargetMode="External"/><Relationship Id="rId21" Type="http://schemas.openxmlformats.org/officeDocument/2006/relationships/chart" Target="charts/chart6.xml"/><Relationship Id="rId34" Type="http://schemas.openxmlformats.org/officeDocument/2006/relationships/chart" Target="charts/chart18.xml"/><Relationship Id="rId42" Type="http://schemas.openxmlformats.org/officeDocument/2006/relationships/chart" Target="charts/chart24.xml"/><Relationship Id="rId47" Type="http://schemas.openxmlformats.org/officeDocument/2006/relationships/chart" Target="charts/chart29.xml"/><Relationship Id="rId50"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1.xml"/><Relationship Id="rId29" Type="http://schemas.openxmlformats.org/officeDocument/2006/relationships/chart" Target="charts/chart14.xml"/><Relationship Id="rId11" Type="http://schemas.openxmlformats.org/officeDocument/2006/relationships/hyperlink" Target="https://www.mpsv.cz/web/cz/nemocenske-pojisteni-v-roce-2022" TargetMode="External"/><Relationship Id="rId24" Type="http://schemas.openxmlformats.org/officeDocument/2006/relationships/chart" Target="charts/chart9.xml"/><Relationship Id="rId32" Type="http://schemas.openxmlformats.org/officeDocument/2006/relationships/chart" Target="charts/chart17.xml"/><Relationship Id="rId37" Type="http://schemas.openxmlformats.org/officeDocument/2006/relationships/image" Target="media/image3.png"/><Relationship Id="rId40" Type="http://schemas.openxmlformats.org/officeDocument/2006/relationships/chart" Target="charts/chart22.xml"/><Relationship Id="rId45" Type="http://schemas.openxmlformats.org/officeDocument/2006/relationships/chart" Target="charts/chart27.xml"/><Relationship Id="rId53" Type="http://schemas.openxmlformats.org/officeDocument/2006/relationships/theme" Target="theme/theme1.xml"/><Relationship Id="rId58" Type="http://schemas.microsoft.com/office/2016/09/relationships/commentsIds" Target="commentsIds.xml"/><Relationship Id="rId5" Type="http://schemas.openxmlformats.org/officeDocument/2006/relationships/webSettings" Target="webSettings.xml"/><Relationship Id="rId10" Type="http://schemas.openxmlformats.org/officeDocument/2006/relationships/hyperlink" Target="https://www.mpsv.cz/web/cz/kalkulacka-pro-vypocet-davek-v-roce-2022" TargetMode="External"/><Relationship Id="rId19" Type="http://schemas.openxmlformats.org/officeDocument/2006/relationships/chart" Target="charts/chart4.xml"/><Relationship Id="rId31" Type="http://schemas.openxmlformats.org/officeDocument/2006/relationships/chart" Target="charts/chart16.xml"/><Relationship Id="rId44" Type="http://schemas.openxmlformats.org/officeDocument/2006/relationships/chart" Target="charts/chart26.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cssz.cz/web/cz/osvc-nemocenske-pojisteni-ucast-na-pojisteni" TargetMode="External"/><Relationship Id="rId14" Type="http://schemas.openxmlformats.org/officeDocument/2006/relationships/hyperlink" Target="https://www.cssz.cz/web/cz/nemocenska-statistika" TargetMode="External"/><Relationship Id="rId22" Type="http://schemas.openxmlformats.org/officeDocument/2006/relationships/chart" Target="charts/chart7.xml"/><Relationship Id="rId27" Type="http://schemas.openxmlformats.org/officeDocument/2006/relationships/chart" Target="charts/chart12.xml"/><Relationship Id="rId30" Type="http://schemas.openxmlformats.org/officeDocument/2006/relationships/chart" Target="charts/chart15.xml"/><Relationship Id="rId35" Type="http://schemas.openxmlformats.org/officeDocument/2006/relationships/chart" Target="charts/chart19.xml"/><Relationship Id="rId43" Type="http://schemas.openxmlformats.org/officeDocument/2006/relationships/chart" Target="charts/chart25.xml"/><Relationship Id="rId48" Type="http://schemas.openxmlformats.org/officeDocument/2006/relationships/header" Target="header1.xml"/><Relationship Id="rId8" Type="http://schemas.openxmlformats.org/officeDocument/2006/relationships/hyperlink" Target="http://www.cssz.cz/cz/nemocenske-pojisteni/ucast-na-pojisteni/" TargetMode="External"/><Relationship Id="rId51" Type="http://schemas.openxmlformats.org/officeDocument/2006/relationships/footer" Target="footer2.xml"/><Relationship Id="rId3" Type="http://schemas.openxmlformats.org/officeDocument/2006/relationships/styles" Target="styles.xml"/><Relationship Id="rId12" Type="http://schemas.openxmlformats.org/officeDocument/2006/relationships/hyperlink" Target="https://www.cssz.cz/web/cz/nemocenske" TargetMode="External"/><Relationship Id="rId17" Type="http://schemas.openxmlformats.org/officeDocument/2006/relationships/chart" Target="charts/chart2.xml"/><Relationship Id="rId25" Type="http://schemas.openxmlformats.org/officeDocument/2006/relationships/chart" Target="charts/chart10.xml"/><Relationship Id="rId33" Type="http://schemas.openxmlformats.org/officeDocument/2006/relationships/image" Target="media/image2.png"/><Relationship Id="rId38" Type="http://schemas.openxmlformats.org/officeDocument/2006/relationships/chart" Target="charts/chart21.xml"/><Relationship Id="rId46" Type="http://schemas.openxmlformats.org/officeDocument/2006/relationships/chart" Target="charts/chart28.xml"/><Relationship Id="rId20" Type="http://schemas.openxmlformats.org/officeDocument/2006/relationships/chart" Target="charts/chart5.xml"/><Relationship Id="rId41" Type="http://schemas.openxmlformats.org/officeDocument/2006/relationships/chart" Target="charts/chart2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uzis.cz/index.php?pg=vystupy--statistika-vybranych-ekonomickych-temat--pracovni-neschopnost" TargetMode="External"/><Relationship Id="rId23" Type="http://schemas.openxmlformats.org/officeDocument/2006/relationships/chart" Target="charts/chart8.xml"/><Relationship Id="rId28" Type="http://schemas.openxmlformats.org/officeDocument/2006/relationships/chart" Target="charts/chart13.xml"/><Relationship Id="rId36" Type="http://schemas.openxmlformats.org/officeDocument/2006/relationships/chart" Target="charts/chart20.xml"/><Relationship Id="rId49" Type="http://schemas.openxmlformats.org/officeDocument/2006/relationships/header" Target="header2.xml"/><Relationship Id="rId57" Type="http://schemas.microsoft.com/office/2018/08/relationships/commentsExtensible" Target="commentsExtensi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notes.xml.rels><?xml version="1.0" encoding="UTF-8" standalone="yes"?>
<Relationships xmlns="http://schemas.openxmlformats.org/package/2006/relationships"><Relationship Id="rId3" Type="http://schemas.openxmlformats.org/officeDocument/2006/relationships/hyperlink" Target="https://www.czso.cz/csu/czso/klasifikace-institucionalnich-sektoru-a-subsektoru-cz-ciss" TargetMode="External"/><Relationship Id="rId2" Type="http://schemas.openxmlformats.org/officeDocument/2006/relationships/hyperlink" Target="https://www.cssz.cz/web/eneschopenka/" TargetMode="External"/><Relationship Id="rId1" Type="http://schemas.openxmlformats.org/officeDocument/2006/relationships/hyperlink" Target="https://www.czso.cz/csu/czso/pracovni-neschopnost-pro-nemoc-a-uraz-v-ceske-republice-1-pololeti-2022" TargetMode="External"/><Relationship Id="rId4" Type="http://schemas.openxmlformats.org/officeDocument/2006/relationships/hyperlink" Target="https://ec.europa.eu/eurostat/web/health/data/database"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ykysova23070\AppData\Local\Temp\Publikace%20bar%20CZ_lide%20a%20spolecnost_2017-08-14.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1.xml"/></Relationships>
</file>

<file path=word/charts/_rels/chart4.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chartUserShapes" Target="../drawings/drawing2.xml"/></Relationships>
</file>

<file path=word/charts/_rels/chart6.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_AH.xlsx" TargetMode="External"/><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_AH.xlsx" TargetMode="External"/><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5.xml"/><Relationship Id="rId1" Type="http://schemas.microsoft.com/office/2011/relationships/chartStyle" Target="style15.xml"/></Relationships>
</file>

<file path=word/charts/_rels/chart16.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6.xml"/><Relationship Id="rId1" Type="http://schemas.microsoft.com/office/2011/relationships/chartStyle" Target="style16.xml"/></Relationships>
</file>

<file path=word/charts/_rels/chart17.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7.xml"/><Relationship Id="rId1" Type="http://schemas.microsoft.com/office/2011/relationships/chartStyle" Target="style17.xml"/></Relationships>
</file>

<file path=word/charts/_rels/chart18.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8.xml"/><Relationship Id="rId1" Type="http://schemas.microsoft.com/office/2011/relationships/chartStyle" Target="style18.xml"/></Relationships>
</file>

<file path=word/charts/_rels/chart19.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19.xml"/><Relationship Id="rId1" Type="http://schemas.microsoft.com/office/2011/relationships/chartStyle" Target="style19.xml"/></Relationships>
</file>

<file path=word/charts/_rels/chart20.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0.xml"/><Relationship Id="rId1" Type="http://schemas.microsoft.com/office/2011/relationships/chartStyle" Target="style20.xml"/></Relationships>
</file>

<file path=word/charts/_rels/chart21.xml.rels><?xml version="1.0" encoding="UTF-8" standalone="yes"?>
<Relationships xmlns="http://schemas.openxmlformats.org/package/2006/relationships"><Relationship Id="rId1" Type="http://schemas.openxmlformats.org/officeDocument/2006/relationships/oleObject" Target="file:///D:\hykysova23070\Documents\PN\2022\2.%20pol\publ\podklady\Tab%20a%20grafy%20do%20textu_22%20(automaticky%20ulo&#382;eno).xlsx" TargetMode="External"/></Relationships>
</file>

<file path=word/charts/_rels/chart22.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1.xml"/><Relationship Id="rId1" Type="http://schemas.microsoft.com/office/2011/relationships/chartStyle" Target="style21.xml"/></Relationships>
</file>

<file path=word/charts/_rels/chart23.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_AH.xlsx" TargetMode="External"/><Relationship Id="rId2" Type="http://schemas.microsoft.com/office/2011/relationships/chartColorStyle" Target="colors22.xml"/><Relationship Id="rId1" Type="http://schemas.microsoft.com/office/2011/relationships/chartStyle" Target="style22.xml"/></Relationships>
</file>

<file path=word/charts/_rels/chart24.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3.xml"/><Relationship Id="rId1" Type="http://schemas.microsoft.com/office/2011/relationships/chartStyle" Target="style23.xml"/></Relationships>
</file>

<file path=word/charts/_rels/chart25.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4.xml"/><Relationship Id="rId1" Type="http://schemas.microsoft.com/office/2011/relationships/chartStyle" Target="style24.xml"/></Relationships>
</file>

<file path=word/charts/_rels/chart26.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5.xml"/><Relationship Id="rId1" Type="http://schemas.microsoft.com/office/2011/relationships/chartStyle" Target="style25.xml"/></Relationships>
</file>

<file path=word/charts/_rels/chart27.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6.xml"/><Relationship Id="rId1" Type="http://schemas.microsoft.com/office/2011/relationships/chartStyle" Target="style26.xml"/></Relationships>
</file>

<file path=word/charts/_rels/chart28.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7.xml"/><Relationship Id="rId1" Type="http://schemas.microsoft.com/office/2011/relationships/chartStyle" Target="style27.xml"/></Relationships>
</file>

<file path=word/charts/_rels/chart29.xml.rels><?xml version="1.0" encoding="UTF-8" standalone="yes"?>
<Relationships xmlns="http://schemas.openxmlformats.org/package/2006/relationships"><Relationship Id="rId3" Type="http://schemas.openxmlformats.org/officeDocument/2006/relationships/oleObject" Target="file:///D:\hykysova23070\Documents\PN\2022\2.%20pol\publ\podklady\Tab%20a%20grafy%20do%20textu_22.xlsx" TargetMode="External"/><Relationship Id="rId2" Type="http://schemas.microsoft.com/office/2011/relationships/chartColorStyle" Target="colors28.xml"/><Relationship Id="rId1" Type="http://schemas.microsoft.com/office/2011/relationships/chartStyle" Target="style2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449471601973507"/>
          <c:y val="5.146198830409357E-2"/>
          <c:w val="0.507517645338321"/>
          <c:h val="0.84906828751669194"/>
        </c:manualLayout>
      </c:layout>
      <c:barChart>
        <c:barDir val="col"/>
        <c:grouping val="percentStacked"/>
        <c:varyColors val="0"/>
        <c:ser>
          <c:idx val="0"/>
          <c:order val="0"/>
          <c:tx>
            <c:strRef>
              <c:f>'G1.1'!$F$29</c:f>
              <c:strCache>
                <c:ptCount val="1"/>
                <c:pt idx="0">
                  <c:v> 500 a více zaměstnanců</c:v>
                </c:pt>
              </c:strCache>
            </c:strRef>
          </c:tx>
          <c:spPr>
            <a:solidFill>
              <a:srgbClr val="F5DADD"/>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'G1.1'!$G$28:$I$28</c:f>
              <c:numCache>
                <c:formatCode>General</c:formatCode>
                <c:ptCount val="3"/>
                <c:pt idx="0">
                  <c:v>2012</c:v>
                </c:pt>
                <c:pt idx="1">
                  <c:v>2017</c:v>
                </c:pt>
                <c:pt idx="2">
                  <c:v>2022</c:v>
                </c:pt>
              </c:numCache>
            </c:numRef>
          </c:cat>
          <c:val>
            <c:numRef>
              <c:f>'G1.1'!$G$29:$I$29</c:f>
              <c:numCache>
                <c:formatCode>0.0</c:formatCode>
                <c:ptCount val="3"/>
                <c:pt idx="0">
                  <c:v>0.31363010128381985</c:v>
                </c:pt>
                <c:pt idx="1">
                  <c:v>0.33736795568319911</c:v>
                </c:pt>
                <c:pt idx="2">
                  <c:v>0.32455614772655567</c:v>
                </c:pt>
              </c:numCache>
            </c:numRef>
          </c:val>
          <c:extLst>
            <c:ext xmlns:c16="http://schemas.microsoft.com/office/drawing/2014/chart" uri="{C3380CC4-5D6E-409C-BE32-E72D297353CC}">
              <c16:uniqueId val="{00000000-2A96-4849-BAFA-B6E38F9CA5CF}"/>
            </c:ext>
          </c:extLst>
        </c:ser>
        <c:ser>
          <c:idx val="1"/>
          <c:order val="1"/>
          <c:tx>
            <c:strRef>
              <c:f>'G1.1'!$F$30</c:f>
              <c:strCache>
                <c:ptCount val="1"/>
                <c:pt idx="0">
                  <c:v> 250–499 zaměstnanců</c:v>
                </c:pt>
              </c:strCache>
            </c:strRef>
          </c:tx>
          <c:spPr>
            <a:solidFill>
              <a:srgbClr val="F07373"/>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'G1.1'!$G$28:$I$28</c:f>
              <c:numCache>
                <c:formatCode>General</c:formatCode>
                <c:ptCount val="3"/>
                <c:pt idx="0">
                  <c:v>2012</c:v>
                </c:pt>
                <c:pt idx="1">
                  <c:v>2017</c:v>
                </c:pt>
                <c:pt idx="2">
                  <c:v>2022</c:v>
                </c:pt>
              </c:numCache>
            </c:numRef>
          </c:cat>
          <c:val>
            <c:numRef>
              <c:f>'G1.1'!$G$30:$I$30</c:f>
              <c:numCache>
                <c:formatCode>0.0</c:formatCode>
                <c:ptCount val="3"/>
                <c:pt idx="0">
                  <c:v>9.2081892014761538E-2</c:v>
                </c:pt>
                <c:pt idx="1">
                  <c:v>9.4469960993549262E-2</c:v>
                </c:pt>
                <c:pt idx="2">
                  <c:v>9.5300485479307695E-2</c:v>
                </c:pt>
              </c:numCache>
            </c:numRef>
          </c:val>
          <c:extLst>
            <c:ext xmlns:c16="http://schemas.microsoft.com/office/drawing/2014/chart" uri="{C3380CC4-5D6E-409C-BE32-E72D297353CC}">
              <c16:uniqueId val="{00000001-2A96-4849-BAFA-B6E38F9CA5CF}"/>
            </c:ext>
          </c:extLst>
        </c:ser>
        <c:ser>
          <c:idx val="2"/>
          <c:order val="2"/>
          <c:tx>
            <c:strRef>
              <c:f>'G1.1'!$F$31</c:f>
              <c:strCache>
                <c:ptCount val="1"/>
                <c:pt idx="0">
                  <c:v> 50–249 zaměstnanců</c:v>
                </c:pt>
              </c:strCache>
            </c:strRef>
          </c:tx>
          <c:spPr>
            <a:solidFill>
              <a:srgbClr val="C36969"/>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'G1.1'!$G$28:$I$28</c:f>
              <c:numCache>
                <c:formatCode>General</c:formatCode>
                <c:ptCount val="3"/>
                <c:pt idx="0">
                  <c:v>2012</c:v>
                </c:pt>
                <c:pt idx="1">
                  <c:v>2017</c:v>
                </c:pt>
                <c:pt idx="2">
                  <c:v>2022</c:v>
                </c:pt>
              </c:numCache>
            </c:numRef>
          </c:cat>
          <c:val>
            <c:numRef>
              <c:f>'G1.1'!$G$31:$I$31</c:f>
              <c:numCache>
                <c:formatCode>0.0</c:formatCode>
                <c:ptCount val="3"/>
                <c:pt idx="0">
                  <c:v>0.23531263857398962</c:v>
                </c:pt>
                <c:pt idx="1">
                  <c:v>0.231690995510553</c:v>
                </c:pt>
                <c:pt idx="2">
                  <c:v>0.2417800918497196</c:v>
                </c:pt>
              </c:numCache>
            </c:numRef>
          </c:val>
          <c:extLst>
            <c:ext xmlns:c16="http://schemas.microsoft.com/office/drawing/2014/chart" uri="{C3380CC4-5D6E-409C-BE32-E72D297353CC}">
              <c16:uniqueId val="{00000002-2A96-4849-BAFA-B6E38F9CA5CF}"/>
            </c:ext>
          </c:extLst>
        </c:ser>
        <c:ser>
          <c:idx val="3"/>
          <c:order val="3"/>
          <c:tx>
            <c:strRef>
              <c:f>'G1.1'!$F$32</c:f>
              <c:strCache>
                <c:ptCount val="1"/>
                <c:pt idx="0">
                  <c:v> 1–49 zaměstnanců</c:v>
                </c:pt>
              </c:strCache>
            </c:strRef>
          </c:tx>
          <c:spPr>
            <a:solidFill>
              <a:srgbClr val="9A403C"/>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'G1.1'!$G$28:$I$28</c:f>
              <c:numCache>
                <c:formatCode>General</c:formatCode>
                <c:ptCount val="3"/>
                <c:pt idx="0">
                  <c:v>2012</c:v>
                </c:pt>
                <c:pt idx="1">
                  <c:v>2017</c:v>
                </c:pt>
                <c:pt idx="2">
                  <c:v>2022</c:v>
                </c:pt>
              </c:numCache>
            </c:numRef>
          </c:cat>
          <c:val>
            <c:numRef>
              <c:f>'G1.1'!$G$32:$I$32</c:f>
              <c:numCache>
                <c:formatCode>0.0</c:formatCode>
                <c:ptCount val="3"/>
                <c:pt idx="0">
                  <c:v>0.33206056769298165</c:v>
                </c:pt>
                <c:pt idx="1">
                  <c:v>0.31727655858347625</c:v>
                </c:pt>
                <c:pt idx="2">
                  <c:v>0.31710943316680235</c:v>
                </c:pt>
              </c:numCache>
            </c:numRef>
          </c:val>
          <c:extLst>
            <c:ext xmlns:c16="http://schemas.microsoft.com/office/drawing/2014/chart" uri="{C3380CC4-5D6E-409C-BE32-E72D297353CC}">
              <c16:uniqueId val="{00000003-2A96-4849-BAFA-B6E38F9CA5CF}"/>
            </c:ext>
          </c:extLst>
        </c:ser>
        <c:ser>
          <c:idx val="4"/>
          <c:order val="4"/>
          <c:tx>
            <c:strRef>
              <c:f>'G1.1'!$F$33</c:f>
              <c:strCache>
                <c:ptCount val="1"/>
                <c:pt idx="0">
                  <c:v> OSVČ</c:v>
                </c:pt>
              </c:strCache>
            </c:strRef>
          </c:tx>
          <c:spPr>
            <a:solidFill>
              <a:srgbClr val="4E201E"/>
            </a:solidFill>
            <a:ln>
              <a:noFill/>
            </a:ln>
            <a:effectLst/>
          </c:spPr>
          <c:invertIfNegative val="0"/>
          <c:dLbls>
            <c:numFmt formatCode="0.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'G1.1'!$G$28:$I$28</c:f>
              <c:numCache>
                <c:formatCode>General</c:formatCode>
                <c:ptCount val="3"/>
                <c:pt idx="0">
                  <c:v>2012</c:v>
                </c:pt>
                <c:pt idx="1">
                  <c:v>2017</c:v>
                </c:pt>
                <c:pt idx="2">
                  <c:v>2022</c:v>
                </c:pt>
              </c:numCache>
            </c:numRef>
          </c:cat>
          <c:val>
            <c:numRef>
              <c:f>'G1.1'!$G$33:$I$33</c:f>
              <c:numCache>
                <c:formatCode>0.0</c:formatCode>
                <c:ptCount val="3"/>
                <c:pt idx="0">
                  <c:v>2.6914800434447276E-2</c:v>
                </c:pt>
                <c:pt idx="1">
                  <c:v>1.9194529229222296E-2</c:v>
                </c:pt>
                <c:pt idx="2">
                  <c:v>2.1253841777614507E-2</c:v>
                </c:pt>
              </c:numCache>
            </c:numRef>
          </c:val>
          <c:extLst>
            <c:ext xmlns:c16="http://schemas.microsoft.com/office/drawing/2014/chart" uri="{C3380CC4-5D6E-409C-BE32-E72D297353CC}">
              <c16:uniqueId val="{00000004-2A96-4849-BAFA-B6E38F9CA5CF}"/>
            </c:ext>
          </c:extLst>
        </c:ser>
        <c:dLbls>
          <c:showLegendKey val="0"/>
          <c:showVal val="0"/>
          <c:showCatName val="0"/>
          <c:showSerName val="0"/>
          <c:showPercent val="0"/>
          <c:showBubbleSize val="0"/>
        </c:dLbls>
        <c:gapWidth val="34"/>
        <c:overlap val="100"/>
        <c:axId val="972192847"/>
        <c:axId val="972193263"/>
      </c:barChart>
      <c:catAx>
        <c:axId val="97219284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972193263"/>
        <c:crosses val="autoZero"/>
        <c:auto val="1"/>
        <c:lblAlgn val="ctr"/>
        <c:lblOffset val="100"/>
        <c:noMultiLvlLbl val="0"/>
      </c:catAx>
      <c:valAx>
        <c:axId val="972193263"/>
        <c:scaling>
          <c:orientation val="minMax"/>
        </c:scaling>
        <c:delete val="0"/>
        <c:axPos val="l"/>
        <c:majorGridlines>
          <c:spPr>
            <a:ln w="9525" cap="flat" cmpd="sng" algn="ctr">
              <a:solidFill>
                <a:schemeClr val="tx1">
                  <a:lumMod val="15000"/>
                  <a:lumOff val="85000"/>
                </a:schemeClr>
              </a:solidFill>
              <a:round/>
            </a:ln>
            <a:effectLst/>
          </c:spPr>
        </c:majorGridlines>
        <c:numFmt formatCode="0\ %"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972192847"/>
        <c:crosses val="autoZero"/>
        <c:crossBetween val="between"/>
      </c:valAx>
      <c:spPr>
        <a:noFill/>
        <a:ln>
          <a:noFill/>
        </a:ln>
        <a:effectLst/>
      </c:spPr>
    </c:plotArea>
    <c:legend>
      <c:legendPos val="l"/>
      <c:layout>
        <c:manualLayout>
          <c:xMode val="edge"/>
          <c:yMode val="edge"/>
          <c:x val="2.3460410557184751E-2"/>
          <c:y val="0.12934272689598011"/>
          <c:w val="0.2888817050361373"/>
          <c:h val="0.75067090297923278"/>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'G1.1'!$A$29</c:f>
              <c:strCache>
                <c:ptCount val="1"/>
                <c:pt idx="0">
                  <c:v>500 a více zaměstnanců</c:v>
                </c:pt>
              </c:strCache>
            </c:strRef>
          </c:tx>
          <c:spPr>
            <a:solidFill>
              <a:srgbClr val="F5DADD"/>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'G1.1'!$B$28:$D$28</c:f>
              <c:numCache>
                <c:formatCode>General</c:formatCode>
                <c:ptCount val="3"/>
                <c:pt idx="0">
                  <c:v>2012</c:v>
                </c:pt>
                <c:pt idx="1">
                  <c:v>2017</c:v>
                </c:pt>
                <c:pt idx="2">
                  <c:v>2022</c:v>
                </c:pt>
              </c:numCache>
            </c:numRef>
          </c:cat>
          <c:val>
            <c:numRef>
              <c:f>'G1.1'!$B$29:$D$29</c:f>
              <c:numCache>
                <c:formatCode>#\ ###\ ###\ ##0.0</c:formatCode>
                <c:ptCount val="3"/>
                <c:pt idx="0">
                  <c:v>1402.519</c:v>
                </c:pt>
                <c:pt idx="1">
                  <c:v>1576.1241477000001</c:v>
                </c:pt>
                <c:pt idx="2">
                  <c:v>1540.9761483</c:v>
                </c:pt>
              </c:numCache>
            </c:numRef>
          </c:val>
          <c:extLst>
            <c:ext xmlns:c16="http://schemas.microsoft.com/office/drawing/2014/chart" uri="{C3380CC4-5D6E-409C-BE32-E72D297353CC}">
              <c16:uniqueId val="{00000000-ACE1-498F-8794-FFFBD84264D4}"/>
            </c:ext>
          </c:extLst>
        </c:ser>
        <c:ser>
          <c:idx val="1"/>
          <c:order val="1"/>
          <c:tx>
            <c:strRef>
              <c:f>'G1.1'!$A$30</c:f>
              <c:strCache>
                <c:ptCount val="1"/>
                <c:pt idx="0">
                  <c:v>250–499 zaměstnanců</c:v>
                </c:pt>
              </c:strCache>
            </c:strRef>
          </c:tx>
          <c:spPr>
            <a:solidFill>
              <a:srgbClr val="F0737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'G1.1'!$B$28:$D$28</c:f>
              <c:numCache>
                <c:formatCode>General</c:formatCode>
                <c:ptCount val="3"/>
                <c:pt idx="0">
                  <c:v>2012</c:v>
                </c:pt>
                <c:pt idx="1">
                  <c:v>2017</c:v>
                </c:pt>
                <c:pt idx="2">
                  <c:v>2022</c:v>
                </c:pt>
              </c:numCache>
            </c:numRef>
          </c:cat>
          <c:val>
            <c:numRef>
              <c:f>'G1.1'!$B$30:$D$30</c:f>
              <c:numCache>
                <c:formatCode>#\ ###\ ###\ ##0.0</c:formatCode>
                <c:ptCount val="3"/>
                <c:pt idx="0">
                  <c:v>411.78</c:v>
                </c:pt>
                <c:pt idx="1">
                  <c:v>441.34715299999999</c:v>
                </c:pt>
                <c:pt idx="2">
                  <c:v>452.48187739999997</c:v>
                </c:pt>
              </c:numCache>
            </c:numRef>
          </c:val>
          <c:extLst>
            <c:ext xmlns:c16="http://schemas.microsoft.com/office/drawing/2014/chart" uri="{C3380CC4-5D6E-409C-BE32-E72D297353CC}">
              <c16:uniqueId val="{00000001-ACE1-498F-8794-FFFBD84264D4}"/>
            </c:ext>
          </c:extLst>
        </c:ser>
        <c:ser>
          <c:idx val="2"/>
          <c:order val="2"/>
          <c:tx>
            <c:strRef>
              <c:f>'G1.1'!$A$31</c:f>
              <c:strCache>
                <c:ptCount val="1"/>
                <c:pt idx="0">
                  <c:v> 50–249 zaměstnanců</c:v>
                </c:pt>
              </c:strCache>
            </c:strRef>
          </c:tx>
          <c:spPr>
            <a:solidFill>
              <a:srgbClr val="C36969"/>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'G1.1'!$B$28:$D$28</c:f>
              <c:numCache>
                <c:formatCode>General</c:formatCode>
                <c:ptCount val="3"/>
                <c:pt idx="0">
                  <c:v>2012</c:v>
                </c:pt>
                <c:pt idx="1">
                  <c:v>2017</c:v>
                </c:pt>
                <c:pt idx="2">
                  <c:v>2022</c:v>
                </c:pt>
              </c:numCache>
            </c:numRef>
          </c:cat>
          <c:val>
            <c:numRef>
              <c:f>'G1.1'!$B$31:$D$31</c:f>
              <c:numCache>
                <c:formatCode>#\ ###\ ###\ ##0.0</c:formatCode>
                <c:ptCount val="3"/>
                <c:pt idx="0">
                  <c:v>1052.2919999999999</c:v>
                </c:pt>
                <c:pt idx="1">
                  <c:v>1082.4198524999999</c:v>
                </c:pt>
                <c:pt idx="2">
                  <c:v>1147.9596282</c:v>
                </c:pt>
              </c:numCache>
            </c:numRef>
          </c:val>
          <c:extLst>
            <c:ext xmlns:c16="http://schemas.microsoft.com/office/drawing/2014/chart" uri="{C3380CC4-5D6E-409C-BE32-E72D297353CC}">
              <c16:uniqueId val="{00000002-ACE1-498F-8794-FFFBD84264D4}"/>
            </c:ext>
          </c:extLst>
        </c:ser>
        <c:ser>
          <c:idx val="3"/>
          <c:order val="3"/>
          <c:tx>
            <c:strRef>
              <c:f>'G1.1'!$A$32</c:f>
              <c:strCache>
                <c:ptCount val="1"/>
                <c:pt idx="0">
                  <c:v> 1–49 zaměstnanců</c:v>
                </c:pt>
              </c:strCache>
            </c:strRef>
          </c:tx>
          <c:spPr>
            <a:solidFill>
              <a:srgbClr val="9A403C"/>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'G1.1'!$B$28:$D$28</c:f>
              <c:numCache>
                <c:formatCode>General</c:formatCode>
                <c:ptCount val="3"/>
                <c:pt idx="0">
                  <c:v>2012</c:v>
                </c:pt>
                <c:pt idx="1">
                  <c:v>2017</c:v>
                </c:pt>
                <c:pt idx="2">
                  <c:v>2022</c:v>
                </c:pt>
              </c:numCache>
            </c:numRef>
          </c:cat>
          <c:val>
            <c:numRef>
              <c:f>'G1.1'!$B$32:$D$32</c:f>
              <c:numCache>
                <c:formatCode>#\ ###\ ###\ ##0.0</c:formatCode>
                <c:ptCount val="3"/>
                <c:pt idx="0">
                  <c:v>1484.9380000000001</c:v>
                </c:pt>
                <c:pt idx="1">
                  <c:v>1482.2606506</c:v>
                </c:pt>
                <c:pt idx="2">
                  <c:v>1505.6195247999999</c:v>
                </c:pt>
              </c:numCache>
            </c:numRef>
          </c:val>
          <c:extLst>
            <c:ext xmlns:c16="http://schemas.microsoft.com/office/drawing/2014/chart" uri="{C3380CC4-5D6E-409C-BE32-E72D297353CC}">
              <c16:uniqueId val="{00000003-ACE1-498F-8794-FFFBD84264D4}"/>
            </c:ext>
          </c:extLst>
        </c:ser>
        <c:ser>
          <c:idx val="4"/>
          <c:order val="4"/>
          <c:tx>
            <c:strRef>
              <c:f>'G1.1'!$A$33</c:f>
              <c:strCache>
                <c:ptCount val="1"/>
                <c:pt idx="0">
                  <c:v> OSVČ</c:v>
                </c:pt>
              </c:strCache>
            </c:strRef>
          </c:tx>
          <c:spPr>
            <a:solidFill>
              <a:srgbClr val="4E201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'G1.1'!$B$28:$D$28</c:f>
              <c:numCache>
                <c:formatCode>General</c:formatCode>
                <c:ptCount val="3"/>
                <c:pt idx="0">
                  <c:v>2012</c:v>
                </c:pt>
                <c:pt idx="1">
                  <c:v>2017</c:v>
                </c:pt>
                <c:pt idx="2">
                  <c:v>2022</c:v>
                </c:pt>
              </c:numCache>
            </c:numRef>
          </c:cat>
          <c:val>
            <c:numRef>
              <c:f>'G1.1'!$B$33:$D$33</c:f>
              <c:numCache>
                <c:formatCode>#\ ###\ ###\ ##0.0</c:formatCode>
                <c:ptCount val="3"/>
                <c:pt idx="0">
                  <c:v>120.36</c:v>
                </c:pt>
                <c:pt idx="1">
                  <c:v>89.673487100000003</c:v>
                </c:pt>
                <c:pt idx="2">
                  <c:v>100.9121641</c:v>
                </c:pt>
              </c:numCache>
            </c:numRef>
          </c:val>
          <c:extLst>
            <c:ext xmlns:c16="http://schemas.microsoft.com/office/drawing/2014/chart" uri="{C3380CC4-5D6E-409C-BE32-E72D297353CC}">
              <c16:uniqueId val="{00000004-ACE1-498F-8794-FFFBD84264D4}"/>
            </c:ext>
          </c:extLst>
        </c:ser>
        <c:dLbls>
          <c:showLegendKey val="0"/>
          <c:showVal val="0"/>
          <c:showCatName val="0"/>
          <c:showSerName val="0"/>
          <c:showPercent val="0"/>
          <c:showBubbleSize val="0"/>
        </c:dLbls>
        <c:gapWidth val="64"/>
        <c:overlap val="100"/>
        <c:axId val="972192847"/>
        <c:axId val="972193263"/>
      </c:barChart>
      <c:catAx>
        <c:axId val="97219284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972193263"/>
        <c:crosses val="autoZero"/>
        <c:auto val="1"/>
        <c:lblAlgn val="ctr"/>
        <c:lblOffset val="100"/>
        <c:noMultiLvlLbl val="0"/>
      </c:catAx>
      <c:valAx>
        <c:axId val="972193263"/>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t>tisíce</a:t>
                </a:r>
              </a:p>
            </c:rich>
          </c:tx>
          <c:layout>
            <c:manualLayout>
              <c:xMode val="edge"/>
              <c:yMode val="edge"/>
              <c:x val="1.3888888888888888E-2"/>
              <c:y val="0.3519983960338291"/>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972192847"/>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1746188397958859"/>
          <c:y val="3.5214081196058747E-2"/>
          <c:w val="0.43081062003584891"/>
          <c:h val="0.86283926322160209"/>
        </c:manualLayout>
      </c:layout>
      <c:barChart>
        <c:barDir val="bar"/>
        <c:grouping val="clustered"/>
        <c:varyColors val="0"/>
        <c:ser>
          <c:idx val="1"/>
          <c:order val="0"/>
          <c:tx>
            <c:strRef>
              <c:f>'G1.2'!$T$27</c:f>
              <c:strCache>
                <c:ptCount val="1"/>
                <c:pt idx="0">
                  <c:v> 2012</c:v>
                </c:pt>
              </c:strCache>
            </c:strRef>
          </c:tx>
          <c:spPr>
            <a:solidFill>
              <a:srgbClr val="B44946"/>
            </a:solidFill>
            <a:ln>
              <a:noFill/>
            </a:ln>
            <a:effectLst/>
          </c:spPr>
          <c:invertIfNegative val="0"/>
          <c:dLbls>
            <c:dLbl>
              <c:idx val="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extLst>
                <c:ext xmlns:c16="http://schemas.microsoft.com/office/drawing/2014/chart" uri="{C3380CC4-5D6E-409C-BE32-E72D297353CC}">
                  <c16:uniqueId val="{00000000-E193-402C-A21B-E1CE45739474}"/>
                </c:ext>
              </c:extLst>
            </c:dLbl>
            <c:dLbl>
              <c:idx val="1"/>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extLst>
                <c:ext xmlns:c16="http://schemas.microsoft.com/office/drawing/2014/chart" uri="{C3380CC4-5D6E-409C-BE32-E72D297353CC}">
                  <c16:uniqueId val="{00000001-E193-402C-A21B-E1CE45739474}"/>
                </c:ext>
              </c:extLst>
            </c:dLbl>
            <c:dLbl>
              <c:idx val="2"/>
              <c:layout>
                <c:manualLayout>
                  <c:x val="-1.6535729643964065E-2"/>
                  <c:y val="0"/>
                </c:manualLayout>
              </c:layout>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193-402C-A21B-E1CE45739474}"/>
                </c:ext>
              </c:extLst>
            </c:dLbl>
            <c:dLbl>
              <c:idx val="3"/>
              <c:layout>
                <c:manualLayout>
                  <c:x val="-4.510624731230637E-2"/>
                  <c:y val="-8.1684716269404676E-17"/>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193-402C-A21B-E1CE45739474}"/>
                </c:ext>
              </c:extLst>
            </c:dLbl>
            <c:dLbl>
              <c:idx val="4"/>
              <c:layout>
                <c:manualLayout>
                  <c:x val="-4.9742871124160329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193-402C-A21B-E1CE45739474}"/>
                </c:ext>
              </c:extLst>
            </c:dLbl>
            <c:dLbl>
              <c:idx val="5"/>
              <c:layout>
                <c:manualLayout>
                  <c:x val="-4.712220294497093E-2"/>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193-402C-A21B-E1CE45739474}"/>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'G1.2'!$R$28:$R$46</c:f>
              <c:strCache>
                <c:ptCount val="19"/>
                <c:pt idx="0">
                  <c:v>B – Těžba a dobývání</c:v>
                </c:pt>
                <c:pt idx="1">
                  <c:v>D – Výroba a rozvod elektřiny, plynu, tepla a klimatiz. vzduchu</c:v>
                </c:pt>
                <c:pt idx="2">
                  <c:v>E – Zásobování vodou; činnosti související s odpady a sanacemi</c:v>
                </c:pt>
                <c:pt idx="3">
                  <c:v>R – Kulturní, zábavní a rekreační činnosti</c:v>
                </c:pt>
                <c:pt idx="4">
                  <c:v>L – Činnosti v oblasti nemovitostí</c:v>
                </c:pt>
                <c:pt idx="5">
                  <c:v>S – Ostatní činnosti</c:v>
                </c:pt>
                <c:pt idx="6">
                  <c:v>K – Peněžnictví a pojišťovnictví</c:v>
                </c:pt>
                <c:pt idx="7">
                  <c:v>A – Zemědělství, lesnictví, rybářství</c:v>
                </c:pt>
                <c:pt idx="8">
                  <c:v>I – Ubytování, stravování a pohostinství</c:v>
                </c:pt>
                <c:pt idx="9">
                  <c:v>J – Informační a komunikační činnosti</c:v>
                </c:pt>
                <c:pt idx="10">
                  <c:v>M – Profesní, vědecké a technické činnosti</c:v>
                </c:pt>
                <c:pt idx="11">
                  <c:v>N – Administrativní a podpůrné činnosti</c:v>
                </c:pt>
                <c:pt idx="12">
                  <c:v>F – Stavebnictví</c:v>
                </c:pt>
                <c:pt idx="13">
                  <c:v>O – Veřejná správa a obrana; povinné sociální zabezpečení</c:v>
                </c:pt>
                <c:pt idx="14">
                  <c:v>H – Doprava a skladování</c:v>
                </c:pt>
                <c:pt idx="15">
                  <c:v>P – Vzdělávání</c:v>
                </c:pt>
                <c:pt idx="16">
                  <c:v>Q – Zdravotní a sociální péče</c:v>
                </c:pt>
                <c:pt idx="17">
                  <c:v>G – Velkoobchod a maloobchod; opravy a údržba motor. vozidel</c:v>
                </c:pt>
                <c:pt idx="18">
                  <c:v>C – Zpracovatelský průmysl</c:v>
                </c:pt>
              </c:strCache>
            </c:strRef>
          </c:cat>
          <c:val>
            <c:numRef>
              <c:f>'G1.2'!$T$28:$T$46</c:f>
              <c:numCache>
                <c:formatCode>#\ ###\ ###\ ##0</c:formatCode>
                <c:ptCount val="19"/>
                <c:pt idx="0">
                  <c:v>36.042000000000002</c:v>
                </c:pt>
                <c:pt idx="1">
                  <c:v>32.515999999999998</c:v>
                </c:pt>
                <c:pt idx="2">
                  <c:v>57.018999999999998</c:v>
                </c:pt>
                <c:pt idx="3">
                  <c:v>66.198999999999998</c:v>
                </c:pt>
                <c:pt idx="4">
                  <c:v>76.179000000000002</c:v>
                </c:pt>
                <c:pt idx="5">
                  <c:v>67.403000000000006</c:v>
                </c:pt>
                <c:pt idx="6">
                  <c:v>92.885000000000005</c:v>
                </c:pt>
                <c:pt idx="7">
                  <c:v>114.583</c:v>
                </c:pt>
                <c:pt idx="8">
                  <c:v>139.667</c:v>
                </c:pt>
                <c:pt idx="9">
                  <c:v>113.777</c:v>
                </c:pt>
                <c:pt idx="10">
                  <c:v>199.01</c:v>
                </c:pt>
                <c:pt idx="11">
                  <c:v>231.85</c:v>
                </c:pt>
                <c:pt idx="12">
                  <c:v>263.92500000000001</c:v>
                </c:pt>
                <c:pt idx="13">
                  <c:v>237.18100000000001</c:v>
                </c:pt>
                <c:pt idx="14">
                  <c:v>280.39800000000002</c:v>
                </c:pt>
                <c:pt idx="15">
                  <c:v>333.50299999999999</c:v>
                </c:pt>
                <c:pt idx="16">
                  <c:v>326.90899999999999</c:v>
                </c:pt>
                <c:pt idx="17">
                  <c:v>613.245</c:v>
                </c:pt>
                <c:pt idx="18">
                  <c:v>1166.223</c:v>
                </c:pt>
              </c:numCache>
            </c:numRef>
          </c:val>
          <c:extLst>
            <c:ext xmlns:c16="http://schemas.microsoft.com/office/drawing/2014/chart" uri="{C3380CC4-5D6E-409C-BE32-E72D297353CC}">
              <c16:uniqueId val="{00000006-E193-402C-A21B-E1CE45739474}"/>
            </c:ext>
          </c:extLst>
        </c:ser>
        <c:ser>
          <c:idx val="0"/>
          <c:order val="1"/>
          <c:tx>
            <c:strRef>
              <c:f>'G1.2'!$S$27</c:f>
              <c:strCache>
                <c:ptCount val="1"/>
                <c:pt idx="0">
                  <c:v> 2022</c:v>
                </c:pt>
              </c:strCache>
            </c:strRef>
          </c:tx>
          <c:spPr>
            <a:solidFill>
              <a:srgbClr val="632827"/>
            </a:solidFill>
            <a:ln>
              <a:noFill/>
            </a:ln>
            <a:effectLst/>
          </c:spPr>
          <c:invertIfNegative val="0"/>
          <c:dLbls>
            <c:dLbl>
              <c:idx val="0"/>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extLst>
                <c:ext xmlns:c16="http://schemas.microsoft.com/office/drawing/2014/chart" uri="{C3380CC4-5D6E-409C-BE32-E72D297353CC}">
                  <c16:uniqueId val="{00000007-E193-402C-A21B-E1CE45739474}"/>
                </c:ext>
              </c:extLst>
            </c:dLbl>
            <c:dLbl>
              <c:idx val="1"/>
              <c:layout>
                <c:manualLayout>
                  <c:x val="-5.426694544537934E-3"/>
                  <c:y val="-1.6336943253880935E-16"/>
                </c:manualLayout>
              </c:layout>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E193-402C-A21B-E1CE45739474}"/>
                </c:ext>
              </c:extLst>
            </c:dLbl>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'G1.2'!$R$28:$R$46</c:f>
              <c:strCache>
                <c:ptCount val="19"/>
                <c:pt idx="0">
                  <c:v>B – Těžba a dobývání</c:v>
                </c:pt>
                <c:pt idx="1">
                  <c:v>D – Výroba a rozvod elektřiny, plynu, tepla a klimatiz. vzduchu</c:v>
                </c:pt>
                <c:pt idx="2">
                  <c:v>E – Zásobování vodou; činnosti související s odpady a sanacemi</c:v>
                </c:pt>
                <c:pt idx="3">
                  <c:v>R – Kulturní, zábavní a rekreační činnosti</c:v>
                </c:pt>
                <c:pt idx="4">
                  <c:v>L – Činnosti v oblasti nemovitostí</c:v>
                </c:pt>
                <c:pt idx="5">
                  <c:v>S – Ostatní činnosti</c:v>
                </c:pt>
                <c:pt idx="6">
                  <c:v>K – Peněžnictví a pojišťovnictví</c:v>
                </c:pt>
                <c:pt idx="7">
                  <c:v>A – Zemědělství, lesnictví, rybářství</c:v>
                </c:pt>
                <c:pt idx="8">
                  <c:v>I – Ubytování, stravování a pohostinství</c:v>
                </c:pt>
                <c:pt idx="9">
                  <c:v>J – Informační a komunikační činnosti</c:v>
                </c:pt>
                <c:pt idx="10">
                  <c:v>M – Profesní, vědecké a technické činnosti</c:v>
                </c:pt>
                <c:pt idx="11">
                  <c:v>N – Administrativní a podpůrné činnosti</c:v>
                </c:pt>
                <c:pt idx="12">
                  <c:v>F – Stavebnictví</c:v>
                </c:pt>
                <c:pt idx="13">
                  <c:v>O – Veřejná správa a obrana; povinné sociální zabezpečení</c:v>
                </c:pt>
                <c:pt idx="14">
                  <c:v>H – Doprava a skladování</c:v>
                </c:pt>
                <c:pt idx="15">
                  <c:v>P – Vzdělávání</c:v>
                </c:pt>
                <c:pt idx="16">
                  <c:v>Q – Zdravotní a sociální péče</c:v>
                </c:pt>
                <c:pt idx="17">
                  <c:v>G – Velkoobchod a maloobchod; opravy a údržba motor. vozidel</c:v>
                </c:pt>
                <c:pt idx="18">
                  <c:v>C – Zpracovatelský průmysl</c:v>
                </c:pt>
              </c:strCache>
            </c:strRef>
          </c:cat>
          <c:val>
            <c:numRef>
              <c:f>'G1.2'!$S$28:$S$46</c:f>
              <c:numCache>
                <c:formatCode>#,##0</c:formatCode>
                <c:ptCount val="19"/>
                <c:pt idx="0">
                  <c:v>19.004068500000002</c:v>
                </c:pt>
                <c:pt idx="1">
                  <c:v>38.118331300000001</c:v>
                </c:pt>
                <c:pt idx="2">
                  <c:v>58.472528500000003</c:v>
                </c:pt>
                <c:pt idx="3">
                  <c:v>65.170304400000006</c:v>
                </c:pt>
                <c:pt idx="4">
                  <c:v>74.2825019</c:v>
                </c:pt>
                <c:pt idx="5">
                  <c:v>74.547860100000008</c:v>
                </c:pt>
                <c:pt idx="6">
                  <c:v>91.449441399999998</c:v>
                </c:pt>
                <c:pt idx="7">
                  <c:v>107.93878380000001</c:v>
                </c:pt>
                <c:pt idx="8">
                  <c:v>138.7775297</c:v>
                </c:pt>
                <c:pt idx="9">
                  <c:v>156.93037609999999</c:v>
                </c:pt>
                <c:pt idx="10">
                  <c:v>229.2964139</c:v>
                </c:pt>
                <c:pt idx="11">
                  <c:v>241.89076779999999</c:v>
                </c:pt>
                <c:pt idx="12">
                  <c:v>246.9268008</c:v>
                </c:pt>
                <c:pt idx="13">
                  <c:v>261.92044670000001</c:v>
                </c:pt>
                <c:pt idx="14">
                  <c:v>293.5342521</c:v>
                </c:pt>
                <c:pt idx="15">
                  <c:v>408.23870779999999</c:v>
                </c:pt>
                <c:pt idx="16">
                  <c:v>410.13484099999999</c:v>
                </c:pt>
                <c:pt idx="17">
                  <c:v>634.17505119999998</c:v>
                </c:pt>
                <c:pt idx="18">
                  <c:v>1197.0832837</c:v>
                </c:pt>
              </c:numCache>
            </c:numRef>
          </c:val>
          <c:extLst>
            <c:ext xmlns:c16="http://schemas.microsoft.com/office/drawing/2014/chart" uri="{C3380CC4-5D6E-409C-BE32-E72D297353CC}">
              <c16:uniqueId val="{00000009-E193-402C-A21B-E1CE45739474}"/>
            </c:ext>
          </c:extLst>
        </c:ser>
        <c:dLbls>
          <c:showLegendKey val="0"/>
          <c:showVal val="0"/>
          <c:showCatName val="0"/>
          <c:showSerName val="0"/>
          <c:showPercent val="0"/>
          <c:showBubbleSize val="0"/>
        </c:dLbls>
        <c:gapWidth val="71"/>
        <c:axId val="1399933295"/>
        <c:axId val="1399945775"/>
      </c:barChart>
      <c:catAx>
        <c:axId val="139993329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99945775"/>
        <c:crosses val="autoZero"/>
        <c:auto val="1"/>
        <c:lblAlgn val="ctr"/>
        <c:lblOffset val="100"/>
        <c:noMultiLvlLbl val="0"/>
      </c:catAx>
      <c:valAx>
        <c:axId val="1399945775"/>
        <c:scaling>
          <c:orientation val="minMax"/>
          <c:max val="8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t>tisíce</a:t>
                </a:r>
                <a:endParaRPr lang="en-US"/>
              </a:p>
            </c:rich>
          </c:tx>
          <c:layout>
            <c:manualLayout>
              <c:xMode val="edge"/>
              <c:yMode val="edge"/>
              <c:x val="0.72448566810504622"/>
              <c:y val="0.95216290441893525"/>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 ###\ ###\ ##0"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99933295"/>
        <c:crosses val="autoZero"/>
        <c:crossBetween val="between"/>
      </c:valAx>
      <c:spPr>
        <a:noFill/>
        <a:ln>
          <a:noFill/>
        </a:ln>
        <a:effectLst/>
      </c:spPr>
    </c:plotArea>
    <c:legend>
      <c:legendPos val="b"/>
      <c:layout>
        <c:manualLayout>
          <c:xMode val="edge"/>
          <c:yMode val="edge"/>
          <c:x val="0.82079776884634903"/>
          <c:y val="0.43270510064825501"/>
          <c:w val="8.5339874935660864E-2"/>
          <c:h val="7.1024774962438919E-2"/>
        </c:manualLayout>
      </c:layout>
      <c:overlay val="0"/>
      <c:spPr>
        <a:solidFill>
          <a:schemeClr val="bg1"/>
        </a:solidFill>
        <a:ln>
          <a:solidFill>
            <a:schemeClr val="bg1">
              <a:lumMod val="7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3209751602366317E-2"/>
          <c:y val="4.6121593291404611E-2"/>
          <c:w val="0.88380174265050726"/>
          <c:h val="0.78152098912164281"/>
        </c:manualLayout>
      </c:layout>
      <c:barChart>
        <c:barDir val="col"/>
        <c:grouping val="clustered"/>
        <c:varyColors val="0"/>
        <c:ser>
          <c:idx val="0"/>
          <c:order val="0"/>
          <c:tx>
            <c:strRef>
              <c:f>'G2.1+2.3'!$A$29</c:f>
              <c:strCache>
                <c:ptCount val="1"/>
                <c:pt idx="0">
                  <c:v> 1. pololetí</c:v>
                </c:pt>
              </c:strCache>
            </c:strRef>
          </c:tx>
          <c:spPr>
            <a:solidFill>
              <a:srgbClr val="632827"/>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'G2.1+2.3'!$B$28:$I$28</c:f>
              <c:numCache>
                <c:formatCode>General</c:formatCode>
                <c:ptCount val="8"/>
                <c:pt idx="0">
                  <c:v>2015</c:v>
                </c:pt>
                <c:pt idx="1">
                  <c:v>2016</c:v>
                </c:pt>
                <c:pt idx="2">
                  <c:v>2017</c:v>
                </c:pt>
                <c:pt idx="3">
                  <c:v>2018</c:v>
                </c:pt>
                <c:pt idx="4">
                  <c:v>2019</c:v>
                </c:pt>
                <c:pt idx="5">
                  <c:v>2020</c:v>
                </c:pt>
                <c:pt idx="6">
                  <c:v>2021</c:v>
                </c:pt>
                <c:pt idx="7">
                  <c:v>2022</c:v>
                </c:pt>
              </c:numCache>
            </c:numRef>
          </c:cat>
          <c:val>
            <c:numRef>
              <c:f>'G2.1+2.3'!$B$29:$I$29</c:f>
              <c:numCache>
                <c:formatCode>#,##0</c:formatCode>
                <c:ptCount val="8"/>
                <c:pt idx="0">
                  <c:v>873.85799999999995</c:v>
                </c:pt>
                <c:pt idx="1">
                  <c:v>876.46699999999998</c:v>
                </c:pt>
                <c:pt idx="2">
                  <c:v>944.72299999999996</c:v>
                </c:pt>
                <c:pt idx="3">
                  <c:v>1040.23</c:v>
                </c:pt>
                <c:pt idx="4">
                  <c:v>974.97400000000005</c:v>
                </c:pt>
                <c:pt idx="5" formatCode="###\ ###\ ##0">
                  <c:v>1070.067</c:v>
                </c:pt>
                <c:pt idx="6" formatCode="###\ ###\ ##0">
                  <c:v>1399.434</c:v>
                </c:pt>
                <c:pt idx="7" formatCode="###\ ###\ ##0">
                  <c:v>2053.9259999999999</c:v>
                </c:pt>
              </c:numCache>
            </c:numRef>
          </c:val>
          <c:extLst>
            <c:ext xmlns:c16="http://schemas.microsoft.com/office/drawing/2014/chart" uri="{C3380CC4-5D6E-409C-BE32-E72D297353CC}">
              <c16:uniqueId val="{00000000-8A2B-48C7-A20B-F184411AE259}"/>
            </c:ext>
          </c:extLst>
        </c:ser>
        <c:ser>
          <c:idx val="1"/>
          <c:order val="1"/>
          <c:tx>
            <c:strRef>
              <c:f>'G2.1+2.3'!$A$30</c:f>
              <c:strCache>
                <c:ptCount val="1"/>
                <c:pt idx="0">
                  <c:v> 2. pololetí</c:v>
                </c:pt>
              </c:strCache>
            </c:strRef>
          </c:tx>
          <c:spPr>
            <a:solidFill>
              <a:srgbClr val="B4494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'G2.1+2.3'!$B$28:$I$28</c:f>
              <c:numCache>
                <c:formatCode>General</c:formatCode>
                <c:ptCount val="8"/>
                <c:pt idx="0">
                  <c:v>2015</c:v>
                </c:pt>
                <c:pt idx="1">
                  <c:v>2016</c:v>
                </c:pt>
                <c:pt idx="2">
                  <c:v>2017</c:v>
                </c:pt>
                <c:pt idx="3">
                  <c:v>2018</c:v>
                </c:pt>
                <c:pt idx="4">
                  <c:v>2019</c:v>
                </c:pt>
                <c:pt idx="5">
                  <c:v>2020</c:v>
                </c:pt>
                <c:pt idx="6">
                  <c:v>2021</c:v>
                </c:pt>
                <c:pt idx="7">
                  <c:v>2022</c:v>
                </c:pt>
              </c:numCache>
            </c:numRef>
          </c:cat>
          <c:val>
            <c:numRef>
              <c:f>'G2.1+2.3'!$B$30:$I$30</c:f>
              <c:numCache>
                <c:formatCode>###\ ###\ ##0</c:formatCode>
                <c:ptCount val="8"/>
                <c:pt idx="0">
                  <c:v>689.60000000000014</c:v>
                </c:pt>
                <c:pt idx="1">
                  <c:v>756.88</c:v>
                </c:pt>
                <c:pt idx="2">
                  <c:v>762.79</c:v>
                </c:pt>
                <c:pt idx="3">
                  <c:v>809.22499999999991</c:v>
                </c:pt>
                <c:pt idx="4">
                  <c:v>939.83900000000006</c:v>
                </c:pt>
                <c:pt idx="5">
                  <c:v>1320.9670000000001</c:v>
                </c:pt>
                <c:pt idx="6">
                  <c:v>1355.3390000000002</c:v>
                </c:pt>
                <c:pt idx="7">
                  <c:v>1403.7069999999999</c:v>
                </c:pt>
              </c:numCache>
            </c:numRef>
          </c:val>
          <c:extLst>
            <c:ext xmlns:c16="http://schemas.microsoft.com/office/drawing/2014/chart" uri="{C3380CC4-5D6E-409C-BE32-E72D297353CC}">
              <c16:uniqueId val="{00000001-8A2B-48C7-A20B-F184411AE259}"/>
            </c:ext>
          </c:extLst>
        </c:ser>
        <c:dLbls>
          <c:showLegendKey val="0"/>
          <c:showVal val="0"/>
          <c:showCatName val="0"/>
          <c:showSerName val="0"/>
          <c:showPercent val="0"/>
          <c:showBubbleSize val="0"/>
        </c:dLbls>
        <c:gapWidth val="36"/>
        <c:overlap val="1"/>
        <c:axId val="170191583"/>
        <c:axId val="170190335"/>
      </c:barChart>
      <c:catAx>
        <c:axId val="1701915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70190335"/>
        <c:crosses val="autoZero"/>
        <c:auto val="1"/>
        <c:lblAlgn val="ctr"/>
        <c:lblOffset val="100"/>
        <c:noMultiLvlLbl val="0"/>
      </c:catAx>
      <c:valAx>
        <c:axId val="170190335"/>
        <c:scaling>
          <c:orientation val="minMax"/>
          <c:max val="2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t>tisíce</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70191583"/>
        <c:crosses val="autoZero"/>
        <c:crossBetween val="between"/>
        <c:majorUnit val="300"/>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960" b="1"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cs-CZ"/>
        </a:p>
      </c:txPr>
    </c:title>
    <c:autoTitleDeleted val="0"/>
    <c:plotArea>
      <c:layout>
        <c:manualLayout>
          <c:layoutTarget val="inner"/>
          <c:xMode val="edge"/>
          <c:yMode val="edge"/>
          <c:x val="0.40987121507770713"/>
          <c:y val="0.20004074833111615"/>
          <c:w val="0.4795772977357422"/>
          <c:h val="0.7511187813852036"/>
        </c:manualLayout>
      </c:layout>
      <c:doughnutChart>
        <c:varyColors val="1"/>
        <c:ser>
          <c:idx val="0"/>
          <c:order val="0"/>
          <c:tx>
            <c:strRef>
              <c:f>'G2.1'!$A$11</c:f>
              <c:strCache>
                <c:ptCount val="1"/>
                <c:pt idx="0">
                  <c:v>ženy</c:v>
                </c:pt>
              </c:strCache>
            </c:strRef>
          </c:tx>
          <c:dPt>
            <c:idx val="0"/>
            <c:bubble3D val="0"/>
            <c:spPr>
              <a:solidFill>
                <a:srgbClr val="632827"/>
              </a:solidFill>
              <a:ln w="19050">
                <a:solidFill>
                  <a:schemeClr val="lt1"/>
                </a:solidFill>
              </a:ln>
              <a:effectLst/>
            </c:spPr>
            <c:extLst>
              <c:ext xmlns:c16="http://schemas.microsoft.com/office/drawing/2014/chart" uri="{C3380CC4-5D6E-409C-BE32-E72D297353CC}">
                <c16:uniqueId val="{00000001-AA3D-48BE-AF90-8DAE85C94971}"/>
              </c:ext>
            </c:extLst>
          </c:dPt>
          <c:dPt>
            <c:idx val="1"/>
            <c:bubble3D val="0"/>
            <c:spPr>
              <a:solidFill>
                <a:srgbClr val="B44946"/>
              </a:solidFill>
              <a:ln w="19050">
                <a:solidFill>
                  <a:schemeClr val="lt1"/>
                </a:solidFill>
              </a:ln>
              <a:effectLst/>
            </c:spPr>
            <c:extLst>
              <c:ext xmlns:c16="http://schemas.microsoft.com/office/drawing/2014/chart" uri="{C3380CC4-5D6E-409C-BE32-E72D297353CC}">
                <c16:uniqueId val="{00000003-AA3D-48BE-AF90-8DAE85C94971}"/>
              </c:ext>
            </c:extLst>
          </c:dPt>
          <c:dPt>
            <c:idx val="2"/>
            <c:bubble3D val="0"/>
            <c:spPr>
              <a:solidFill>
                <a:srgbClr val="F07373"/>
              </a:solidFill>
              <a:ln w="19050">
                <a:solidFill>
                  <a:schemeClr val="lt1"/>
                </a:solidFill>
              </a:ln>
              <a:effectLst/>
            </c:spPr>
            <c:extLst>
              <c:ext xmlns:c16="http://schemas.microsoft.com/office/drawing/2014/chart" uri="{C3380CC4-5D6E-409C-BE32-E72D297353CC}">
                <c16:uniqueId val="{00000005-AA3D-48BE-AF90-8DAE85C94971}"/>
              </c:ext>
            </c:extLst>
          </c:dPt>
          <c:dLbls>
            <c:dLbl>
              <c:idx val="0"/>
              <c:layout>
                <c:manualLayout>
                  <c:x val="-0.16715257531584063"/>
                  <c:y val="-0.27397260273972607"/>
                </c:manualLayout>
              </c:layout>
              <c:tx>
                <c:rich>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fld id="{27295A9E-1FD1-4E0A-A86D-ED718731039F}" type="CELLRANGE">
                      <a:rPr lang="en-US"/>
                      <a:pPr>
                        <a:defRPr>
                          <a:solidFill>
                            <a:schemeClr val="bg1"/>
                          </a:solidFill>
                        </a:defRPr>
                      </a:pPr>
                      <a:t>[OBLAST BUNĚK]</a:t>
                    </a:fld>
                    <a:endParaRPr lang="cs-CZ"/>
                  </a:p>
                </c:rich>
              </c:tx>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1-AA3D-48BE-AF90-8DAE85C94971}"/>
                </c:ext>
              </c:extLst>
            </c:dLbl>
            <c:dLbl>
              <c:idx val="1"/>
              <c:layout>
                <c:manualLayout>
                  <c:x val="-0.13164068777117147"/>
                  <c:y val="8.7303539112405473E-2"/>
                </c:manualLayout>
              </c:layout>
              <c:tx>
                <c:rich>
                  <a:bodyPr/>
                  <a:lstStyle/>
                  <a:p>
                    <a:fld id="{D348A8F6-6DB1-4581-A0CA-7318FF7EBC59}"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3-AA3D-48BE-AF90-8DAE85C94971}"/>
                </c:ext>
              </c:extLst>
            </c:dLbl>
            <c:dLbl>
              <c:idx val="2"/>
              <c:layout>
                <c:manualLayout>
                  <c:x val="-0.13772258059579287"/>
                  <c:y val="-3.0671029135056749E-2"/>
                </c:manualLayout>
              </c:layout>
              <c:tx>
                <c:rich>
                  <a:bodyPr/>
                  <a:lstStyle/>
                  <a:p>
                    <a:fld id="{08DD42CA-F14F-4596-8F85-AB36FCFBAA3C}"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dlblFieldTable/>
                  <c15:showDataLabelsRange val="1"/>
                </c:ext>
                <c:ext xmlns:c16="http://schemas.microsoft.com/office/drawing/2014/chart" uri="{C3380CC4-5D6E-409C-BE32-E72D297353CC}">
                  <c16:uniqueId val="{00000005-AA3D-48BE-AF90-8DAE85C94971}"/>
                </c:ext>
              </c:extLst>
            </c:dLbl>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showDataLabelsRange val="1"/>
              </c:ext>
            </c:extLst>
          </c:dLbls>
          <c:cat>
            <c:strRef>
              <c:f>'G2.1'!$B$10:$D$10</c:f>
              <c:strCache>
                <c:ptCount val="3"/>
                <c:pt idx="0">
                  <c:v> nemoc</c:v>
                </c:pt>
                <c:pt idx="1">
                  <c:v>pracovní úraz</c:v>
                </c:pt>
                <c:pt idx="2">
                  <c:v>ostatní úraz</c:v>
                </c:pt>
              </c:strCache>
            </c:strRef>
          </c:cat>
          <c:val>
            <c:numRef>
              <c:f>'G2.1'!$B$11:$D$11</c:f>
              <c:numCache>
                <c:formatCode>#\ ##0.0</c:formatCode>
                <c:ptCount val="3"/>
                <c:pt idx="0">
                  <c:v>1787.057</c:v>
                </c:pt>
                <c:pt idx="1">
                  <c:v>14.704000000000001</c:v>
                </c:pt>
                <c:pt idx="2">
                  <c:v>67.328000000000003</c:v>
                </c:pt>
              </c:numCache>
            </c:numRef>
          </c:val>
          <c:extLst>
            <c:ext xmlns:c15="http://schemas.microsoft.com/office/drawing/2012/chart" uri="{02D57815-91ED-43cb-92C2-25804820EDAC}">
              <c15:datalabelsRange>
                <c15:f>'G2.1'!$E$18:$E$20</c15:f>
                <c15:dlblRangeCache>
                  <c:ptCount val="3"/>
                  <c:pt idx="0">
                    <c:v>1 787,1 tis.
96 %</c:v>
                  </c:pt>
                  <c:pt idx="1">
                    <c:v>14,7 tis.
1 %</c:v>
                  </c:pt>
                  <c:pt idx="2">
                    <c:v>67,3 tis.
4 %</c:v>
                  </c:pt>
                </c15:dlblRangeCache>
              </c15:datalabelsRange>
            </c:ext>
            <c:ext xmlns:c16="http://schemas.microsoft.com/office/drawing/2014/chart" uri="{C3380CC4-5D6E-409C-BE32-E72D297353CC}">
              <c16:uniqueId val="{00000006-AA3D-48BE-AF90-8DAE85C94971}"/>
            </c:ext>
          </c:extLst>
        </c:ser>
        <c:dLbls>
          <c:showLegendKey val="0"/>
          <c:showVal val="0"/>
          <c:showCatName val="0"/>
          <c:showSerName val="0"/>
          <c:showPercent val="0"/>
          <c:showBubbleSize val="0"/>
          <c:showLeaderLines val="0"/>
        </c:dLbls>
        <c:firstSliceAng val="278"/>
        <c:holeSize val="50"/>
      </c:doughnut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userShapes r:id="rId4"/>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960" b="1"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cs-CZ"/>
        </a:p>
      </c:txPr>
    </c:title>
    <c:autoTitleDeleted val="0"/>
    <c:plotArea>
      <c:layout>
        <c:manualLayout>
          <c:layoutTarget val="inner"/>
          <c:xMode val="edge"/>
          <c:yMode val="edge"/>
          <c:x val="0.19008520783039654"/>
          <c:y val="0.18964049218618315"/>
          <c:w val="0.52541569839586666"/>
          <c:h val="0.7553136362541838"/>
        </c:manualLayout>
      </c:layout>
      <c:doughnutChart>
        <c:varyColors val="1"/>
        <c:ser>
          <c:idx val="0"/>
          <c:order val="0"/>
          <c:tx>
            <c:strRef>
              <c:f>'G2.1'!$A$15</c:f>
              <c:strCache>
                <c:ptCount val="1"/>
                <c:pt idx="0">
                  <c:v>muži</c:v>
                </c:pt>
              </c:strCache>
            </c:strRef>
          </c:tx>
          <c:dPt>
            <c:idx val="0"/>
            <c:bubble3D val="0"/>
            <c:spPr>
              <a:solidFill>
                <a:srgbClr val="632827"/>
              </a:solidFill>
              <a:ln w="19050">
                <a:solidFill>
                  <a:schemeClr val="lt1"/>
                </a:solidFill>
              </a:ln>
              <a:effectLst/>
            </c:spPr>
            <c:extLst>
              <c:ext xmlns:c16="http://schemas.microsoft.com/office/drawing/2014/chart" uri="{C3380CC4-5D6E-409C-BE32-E72D297353CC}">
                <c16:uniqueId val="{00000001-FC9E-432E-AE94-403C6064DCA9}"/>
              </c:ext>
            </c:extLst>
          </c:dPt>
          <c:dPt>
            <c:idx val="1"/>
            <c:bubble3D val="0"/>
            <c:spPr>
              <a:solidFill>
                <a:srgbClr val="B44946"/>
              </a:solidFill>
              <a:ln w="19050">
                <a:solidFill>
                  <a:schemeClr val="lt1"/>
                </a:solidFill>
              </a:ln>
              <a:effectLst/>
            </c:spPr>
            <c:extLst>
              <c:ext xmlns:c16="http://schemas.microsoft.com/office/drawing/2014/chart" uri="{C3380CC4-5D6E-409C-BE32-E72D297353CC}">
                <c16:uniqueId val="{00000003-FC9E-432E-AE94-403C6064DCA9}"/>
              </c:ext>
            </c:extLst>
          </c:dPt>
          <c:dPt>
            <c:idx val="2"/>
            <c:bubble3D val="0"/>
            <c:spPr>
              <a:solidFill>
                <a:srgbClr val="F07373"/>
              </a:solidFill>
              <a:ln w="19050">
                <a:solidFill>
                  <a:schemeClr val="lt1"/>
                </a:solidFill>
              </a:ln>
              <a:effectLst/>
            </c:spPr>
            <c:extLst>
              <c:ext xmlns:c16="http://schemas.microsoft.com/office/drawing/2014/chart" uri="{C3380CC4-5D6E-409C-BE32-E72D297353CC}">
                <c16:uniqueId val="{00000005-FC9E-432E-AE94-403C6064DCA9}"/>
              </c:ext>
            </c:extLst>
          </c:dPt>
          <c:dLbls>
            <c:dLbl>
              <c:idx val="0"/>
              <c:layout>
                <c:manualLayout>
                  <c:x val="-0.17956064947468958"/>
                  <c:y val="-0.23853211009174313"/>
                </c:manualLayout>
              </c:layout>
              <c:tx>
                <c:rich>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fld id="{E7ED1A15-CDCD-4C72-96E6-08E6E1A07F55}" type="CELLRANGE">
                      <a:rPr lang="en-US"/>
                      <a:pPr>
                        <a:defRPr>
                          <a:solidFill>
                            <a:schemeClr val="bg1"/>
                          </a:solidFill>
                        </a:defRPr>
                      </a:pPr>
                      <a:t>[OBLAST BUNĚK]</a:t>
                    </a:fld>
                    <a:endParaRPr lang="cs-CZ"/>
                  </a:p>
                </c:rich>
              </c:tx>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eparator>
</c:separator>
              <c:extLst>
                <c:ext xmlns:c15="http://schemas.microsoft.com/office/drawing/2012/chart" uri="{CE6537A1-D6FC-4f65-9D91-7224C49458BB}">
                  <c15:dlblFieldTable/>
                  <c15:showDataLabelsRange val="1"/>
                </c:ext>
                <c:ext xmlns:c16="http://schemas.microsoft.com/office/drawing/2014/chart" uri="{C3380CC4-5D6E-409C-BE32-E72D297353CC}">
                  <c16:uniqueId val="{00000001-FC9E-432E-AE94-403C6064DCA9}"/>
                </c:ext>
              </c:extLst>
            </c:dLbl>
            <c:dLbl>
              <c:idx val="1"/>
              <c:layout>
                <c:manualLayout>
                  <c:x val="-0.1253660627665095"/>
                  <c:y val="7.6048544390666759E-2"/>
                </c:manualLayout>
              </c:layout>
              <c:tx>
                <c:rich>
                  <a:bodyPr/>
                  <a:lstStyle/>
                  <a:p>
                    <a:fld id="{41698998-19A3-4CF5-853A-29224F189258}" type="CELLRANGE">
                      <a:rPr lang="en-US"/>
                      <a:pPr/>
                      <a:t>[OBLAST BUNĚK]</a:t>
                    </a:fld>
                    <a:endParaRPr lang="cs-CZ"/>
                  </a:p>
                </c:rich>
              </c:tx>
              <c:showLegendKey val="0"/>
              <c:showVal val="0"/>
              <c:showCatName val="0"/>
              <c:showSerName val="0"/>
              <c:showPercent val="0"/>
              <c:showBubbleSize val="0"/>
              <c:separator>
</c:separator>
              <c:extLst>
                <c:ext xmlns:c15="http://schemas.microsoft.com/office/drawing/2012/chart" uri="{CE6537A1-D6FC-4f65-9D91-7224C49458BB}">
                  <c15:dlblFieldTable/>
                  <c15:showDataLabelsRange val="1"/>
                </c:ext>
                <c:ext xmlns:c16="http://schemas.microsoft.com/office/drawing/2014/chart" uri="{C3380CC4-5D6E-409C-BE32-E72D297353CC}">
                  <c16:uniqueId val="{00000003-FC9E-432E-AE94-403C6064DCA9}"/>
                </c:ext>
              </c:extLst>
            </c:dLbl>
            <c:dLbl>
              <c:idx val="2"/>
              <c:layout>
                <c:manualLayout>
                  <c:x val="0"/>
                  <c:y val="-6.1162079510704483E-3"/>
                </c:manualLayout>
              </c:layout>
              <c:tx>
                <c:rich>
                  <a:bodyPr/>
                  <a:lstStyle/>
                  <a:p>
                    <a:fld id="{B52C7B56-1FF2-4BA1-9764-94B7CBD878C1}" type="CELLRANGE">
                      <a:rPr lang="en-US"/>
                      <a:pPr/>
                      <a:t>[OBLAST BUNĚK]</a:t>
                    </a:fld>
                    <a:endParaRPr lang="cs-CZ"/>
                  </a:p>
                </c:rich>
              </c:tx>
              <c:showLegendKey val="0"/>
              <c:showVal val="0"/>
              <c:showCatName val="0"/>
              <c:showSerName val="0"/>
              <c:showPercent val="0"/>
              <c:showBubbleSize val="0"/>
              <c:separator>
</c:separator>
              <c:extLst>
                <c:ext xmlns:c15="http://schemas.microsoft.com/office/drawing/2012/chart" uri="{CE6537A1-D6FC-4f65-9D91-7224C49458BB}">
                  <c15:dlblFieldTable/>
                  <c15:showDataLabelsRange val="1"/>
                </c:ext>
                <c:ext xmlns:c16="http://schemas.microsoft.com/office/drawing/2014/chart" uri="{C3380CC4-5D6E-409C-BE32-E72D297353CC}">
                  <c16:uniqueId val="{00000005-FC9E-432E-AE94-403C6064DCA9}"/>
                </c:ext>
              </c:extLst>
            </c:dLbl>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0"/>
            <c:showCatName val="0"/>
            <c:showSerName val="0"/>
            <c:showPercent val="0"/>
            <c:showBubbleSize val="0"/>
            <c:separator>
</c:separator>
            <c:showLeaderLines val="0"/>
            <c:extLst>
              <c:ext xmlns:c15="http://schemas.microsoft.com/office/drawing/2012/chart" uri="{CE6537A1-D6FC-4f65-9D91-7224C49458BB}">
                <c15:showDataLabelsRange val="1"/>
              </c:ext>
            </c:extLst>
          </c:dLbls>
          <c:cat>
            <c:strRef>
              <c:f>'G2.1'!$B$14:$D$14</c:f>
              <c:strCache>
                <c:ptCount val="3"/>
                <c:pt idx="0">
                  <c:v> nemoc</c:v>
                </c:pt>
                <c:pt idx="1">
                  <c:v> pracovní úraz</c:v>
                </c:pt>
                <c:pt idx="2">
                  <c:v> ostatní úraz</c:v>
                </c:pt>
              </c:strCache>
            </c:strRef>
          </c:cat>
          <c:val>
            <c:numRef>
              <c:f>'G2.1'!$B$15:$D$15</c:f>
              <c:numCache>
                <c:formatCode>#\ ##0.0</c:formatCode>
                <c:ptCount val="3"/>
                <c:pt idx="0">
                  <c:v>1453.2760000000001</c:v>
                </c:pt>
                <c:pt idx="1">
                  <c:v>29.904</c:v>
                </c:pt>
                <c:pt idx="2">
                  <c:v>105.364</c:v>
                </c:pt>
              </c:numCache>
            </c:numRef>
          </c:val>
          <c:extLst>
            <c:ext xmlns:c15="http://schemas.microsoft.com/office/drawing/2012/chart" uri="{02D57815-91ED-43cb-92C2-25804820EDAC}">
              <c15:datalabelsRange>
                <c15:f>'G2.1'!$C$18:$C$20</c15:f>
                <c15:dlblRangeCache>
                  <c:ptCount val="3"/>
                  <c:pt idx="0">
                    <c:v>1 453,3 tis.
91 %</c:v>
                  </c:pt>
                  <c:pt idx="1">
                    <c:v>29,9 tis.
2 %</c:v>
                  </c:pt>
                  <c:pt idx="2">
                    <c:v>105,4 tis.
7 %</c:v>
                  </c:pt>
                </c15:dlblRangeCache>
              </c15:datalabelsRange>
            </c:ext>
            <c:ext xmlns:c16="http://schemas.microsoft.com/office/drawing/2014/chart" uri="{C3380CC4-5D6E-409C-BE32-E72D297353CC}">
              <c16:uniqueId val="{00000006-FC9E-432E-AE94-403C6064DCA9}"/>
            </c:ext>
          </c:extLst>
        </c:ser>
        <c:dLbls>
          <c:showLegendKey val="0"/>
          <c:showVal val="0"/>
          <c:showCatName val="0"/>
          <c:showSerName val="0"/>
          <c:showPercent val="0"/>
          <c:showBubbleSize val="0"/>
          <c:showLeaderLines val="0"/>
        </c:dLbls>
        <c:firstSliceAng val="278"/>
        <c:holeSize val="50"/>
      </c:doughnutChart>
      <c:spPr>
        <a:noFill/>
        <a:ln>
          <a:noFill/>
        </a:ln>
        <a:effectLst/>
      </c:spPr>
    </c:plotArea>
    <c:legend>
      <c:legendPos val="r"/>
      <c:layout>
        <c:manualLayout>
          <c:xMode val="edge"/>
          <c:yMode val="edge"/>
          <c:x val="0.72014807524059499"/>
          <c:y val="0.23196079847817191"/>
          <c:w val="0.24097887477532356"/>
          <c:h val="0.55370945604276534"/>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'G2.1+2.3'!$A$4</c:f>
              <c:strCache>
                <c:ptCount val="1"/>
                <c:pt idx="0">
                  <c:v> 1. pololetí</c:v>
                </c:pt>
              </c:strCache>
            </c:strRef>
          </c:tx>
          <c:spPr>
            <a:solidFill>
              <a:srgbClr val="632827"/>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'G2.1+2.3'!$B$3:$I$3</c:f>
              <c:numCache>
                <c:formatCode>General</c:formatCode>
                <c:ptCount val="8"/>
                <c:pt idx="0">
                  <c:v>2015</c:v>
                </c:pt>
                <c:pt idx="1">
                  <c:v>2016</c:v>
                </c:pt>
                <c:pt idx="2">
                  <c:v>2017</c:v>
                </c:pt>
                <c:pt idx="3">
                  <c:v>2018</c:v>
                </c:pt>
                <c:pt idx="4">
                  <c:v>2019</c:v>
                </c:pt>
                <c:pt idx="5">
                  <c:v>2020</c:v>
                </c:pt>
                <c:pt idx="6">
                  <c:v>2021</c:v>
                </c:pt>
                <c:pt idx="7">
                  <c:v>2022</c:v>
                </c:pt>
              </c:numCache>
            </c:numRef>
          </c:cat>
          <c:val>
            <c:numRef>
              <c:f>'G2.1+2.3'!$B$4:$I$4</c:f>
              <c:numCache>
                <c:formatCode>_-* #\ ##0_-;\-* #\ ##0_-;_-* "-"??_-;_-@_-</c:formatCode>
                <c:ptCount val="8"/>
                <c:pt idx="0">
                  <c:v>783.80700000000002</c:v>
                </c:pt>
                <c:pt idx="1">
                  <c:v>777.09199999999998</c:v>
                </c:pt>
                <c:pt idx="2">
                  <c:v>841.59900000000005</c:v>
                </c:pt>
                <c:pt idx="3">
                  <c:v>937.75099999999998</c:v>
                </c:pt>
                <c:pt idx="4">
                  <c:v>872.71400000000006</c:v>
                </c:pt>
                <c:pt idx="5" formatCode="#,##0">
                  <c:v>976.90099999999995</c:v>
                </c:pt>
                <c:pt idx="6" formatCode="#,##0">
                  <c:v>1300.2139999999999</c:v>
                </c:pt>
                <c:pt idx="7" formatCode="#,##0">
                  <c:v>1942.4169999999999</c:v>
                </c:pt>
              </c:numCache>
            </c:numRef>
          </c:val>
          <c:extLst>
            <c:ext xmlns:c16="http://schemas.microsoft.com/office/drawing/2014/chart" uri="{C3380CC4-5D6E-409C-BE32-E72D297353CC}">
              <c16:uniqueId val="{00000000-D367-4691-8D4E-BF5079AE40BF}"/>
            </c:ext>
          </c:extLst>
        </c:ser>
        <c:ser>
          <c:idx val="1"/>
          <c:order val="1"/>
          <c:tx>
            <c:strRef>
              <c:f>'G2.1+2.3'!$A$5</c:f>
              <c:strCache>
                <c:ptCount val="1"/>
                <c:pt idx="0">
                  <c:v> 2. pololetí</c:v>
                </c:pt>
              </c:strCache>
            </c:strRef>
          </c:tx>
          <c:spPr>
            <a:solidFill>
              <a:srgbClr val="B4494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'G2.1+2.3'!$B$3:$I$3</c:f>
              <c:numCache>
                <c:formatCode>General</c:formatCode>
                <c:ptCount val="8"/>
                <c:pt idx="0">
                  <c:v>2015</c:v>
                </c:pt>
                <c:pt idx="1">
                  <c:v>2016</c:v>
                </c:pt>
                <c:pt idx="2">
                  <c:v>2017</c:v>
                </c:pt>
                <c:pt idx="3">
                  <c:v>2018</c:v>
                </c:pt>
                <c:pt idx="4">
                  <c:v>2019</c:v>
                </c:pt>
                <c:pt idx="5">
                  <c:v>2020</c:v>
                </c:pt>
                <c:pt idx="6">
                  <c:v>2021</c:v>
                </c:pt>
                <c:pt idx="7">
                  <c:v>2022</c:v>
                </c:pt>
              </c:numCache>
            </c:numRef>
          </c:cat>
          <c:val>
            <c:numRef>
              <c:f>'G2.1+2.3'!$B$5:$I$5</c:f>
              <c:numCache>
                <c:formatCode>_-* #\ ##0_-;\-* #\ ##0_-;_-* "-"??_-;_-@_-</c:formatCode>
                <c:ptCount val="8"/>
                <c:pt idx="0">
                  <c:v>600.048</c:v>
                </c:pt>
                <c:pt idx="1">
                  <c:v>663.84400000000005</c:v>
                </c:pt>
                <c:pt idx="2">
                  <c:v>669.27800000000002</c:v>
                </c:pt>
                <c:pt idx="3">
                  <c:v>712.51800000000003</c:v>
                </c:pt>
                <c:pt idx="4">
                  <c:v>838.52499999999998</c:v>
                </c:pt>
                <c:pt idx="5" formatCode="#,##0">
                  <c:v>1225.809</c:v>
                </c:pt>
                <c:pt idx="6" formatCode="#,##0">
                  <c:v>1249.5349999999999</c:v>
                </c:pt>
                <c:pt idx="7" formatCode="#,##0">
                  <c:v>1297.9160000000002</c:v>
                </c:pt>
              </c:numCache>
            </c:numRef>
          </c:val>
          <c:extLst>
            <c:ext xmlns:c16="http://schemas.microsoft.com/office/drawing/2014/chart" uri="{C3380CC4-5D6E-409C-BE32-E72D297353CC}">
              <c16:uniqueId val="{00000001-D367-4691-8D4E-BF5079AE40BF}"/>
            </c:ext>
          </c:extLst>
        </c:ser>
        <c:dLbls>
          <c:showLegendKey val="0"/>
          <c:showVal val="0"/>
          <c:showCatName val="0"/>
          <c:showSerName val="0"/>
          <c:showPercent val="0"/>
          <c:showBubbleSize val="0"/>
        </c:dLbls>
        <c:gapWidth val="41"/>
        <c:overlap val="-5"/>
        <c:axId val="1315640191"/>
        <c:axId val="1315654751"/>
      </c:barChart>
      <c:catAx>
        <c:axId val="131564019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54751"/>
        <c:crosses val="autoZero"/>
        <c:auto val="1"/>
        <c:lblAlgn val="ctr"/>
        <c:lblOffset val="100"/>
        <c:noMultiLvlLbl val="0"/>
      </c:catAx>
      <c:valAx>
        <c:axId val="1315654751"/>
        <c:scaling>
          <c:orientation val="minMax"/>
          <c:max val="2000"/>
          <c:min val="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tisíce</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40191"/>
        <c:crosses val="autoZero"/>
        <c:crossBetween val="between"/>
        <c:majorUnit val="200"/>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'G2.4'!$A$3</c:f>
              <c:strCache>
                <c:ptCount val="1"/>
                <c:pt idx="0">
                  <c:v> nemoc</c:v>
                </c:pt>
              </c:strCache>
            </c:strRef>
          </c:tx>
          <c:spPr>
            <a:solidFill>
              <a:srgbClr val="632827"/>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'G2.4'!$C$2:$M$2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'G2.4'!$C$3:$M$3</c:f>
              <c:numCache>
                <c:formatCode>General</c:formatCode>
                <c:ptCount val="11"/>
                <c:pt idx="0">
                  <c:v>23.87</c:v>
                </c:pt>
                <c:pt idx="1">
                  <c:v>26.31</c:v>
                </c:pt>
                <c:pt idx="2">
                  <c:v>25.68</c:v>
                </c:pt>
                <c:pt idx="3">
                  <c:v>30.704494485000001</c:v>
                </c:pt>
                <c:pt idx="4">
                  <c:v>31.521328864000001</c:v>
                </c:pt>
                <c:pt idx="5">
                  <c:v>32.340186242500003</c:v>
                </c:pt>
                <c:pt idx="6">
                  <c:v>34.869229084899999</c:v>
                </c:pt>
                <c:pt idx="7">
                  <c:v>36.156327396257865</c:v>
                </c:pt>
                <c:pt idx="8">
                  <c:v>46.962361146799999</c:v>
                </c:pt>
                <c:pt idx="9" formatCode="0.00">
                  <c:v>54.155900834699999</c:v>
                </c:pt>
                <c:pt idx="10" formatCode="0.00">
                  <c:v>68.247000253099998</c:v>
                </c:pt>
              </c:numCache>
            </c:numRef>
          </c:val>
          <c:extLst>
            <c:ext xmlns:c16="http://schemas.microsoft.com/office/drawing/2014/chart" uri="{C3380CC4-5D6E-409C-BE32-E72D297353CC}">
              <c16:uniqueId val="{00000000-FFDB-42D2-9FAD-46DA5CBC4695}"/>
            </c:ext>
          </c:extLst>
        </c:ser>
        <c:ser>
          <c:idx val="1"/>
          <c:order val="1"/>
          <c:tx>
            <c:strRef>
              <c:f>'G2.4'!$A$4</c:f>
              <c:strCache>
                <c:ptCount val="1"/>
                <c:pt idx="0">
                  <c:v> pracovní úraz</c:v>
                </c:pt>
              </c:strCache>
            </c:strRef>
          </c:tx>
          <c:spPr>
            <a:solidFill>
              <a:srgbClr val="B44946"/>
            </a:solidFill>
            <a:ln>
              <a:noFill/>
            </a:ln>
            <a:effectLst/>
          </c:spPr>
          <c:invertIfNegative val="0"/>
          <c:cat>
            <c:numRef>
              <c:f>'G2.4'!$C$2:$M$2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'G2.4'!$C$4:$M$4</c:f>
              <c:numCache>
                <c:formatCode>General</c:formatCode>
                <c:ptCount val="11"/>
                <c:pt idx="0">
                  <c:v>0.99</c:v>
                </c:pt>
                <c:pt idx="1">
                  <c:v>0.97</c:v>
                </c:pt>
                <c:pt idx="2">
                  <c:v>1.01</c:v>
                </c:pt>
                <c:pt idx="3">
                  <c:v>1.0279761491999999</c:v>
                </c:pt>
                <c:pt idx="4">
                  <c:v>1.0364437007</c:v>
                </c:pt>
                <c:pt idx="5">
                  <c:v>1.016540582</c:v>
                </c:pt>
                <c:pt idx="6">
                  <c:v>0.97666524430000001</c:v>
                </c:pt>
                <c:pt idx="7">
                  <c:v>0.94132771527418446</c:v>
                </c:pt>
                <c:pt idx="8">
                  <c:v>0.88176352420000004</c:v>
                </c:pt>
                <c:pt idx="9" formatCode="0.00">
                  <c:v>0.95436338720000002</c:v>
                </c:pt>
                <c:pt idx="10" formatCode="0.00">
                  <c:v>0.93952139710000004</c:v>
                </c:pt>
              </c:numCache>
            </c:numRef>
          </c:val>
          <c:extLst>
            <c:ext xmlns:c16="http://schemas.microsoft.com/office/drawing/2014/chart" uri="{C3380CC4-5D6E-409C-BE32-E72D297353CC}">
              <c16:uniqueId val="{00000001-FFDB-42D2-9FAD-46DA5CBC4695}"/>
            </c:ext>
          </c:extLst>
        </c:ser>
        <c:ser>
          <c:idx val="2"/>
          <c:order val="2"/>
          <c:tx>
            <c:strRef>
              <c:f>'G2.4'!$A$5</c:f>
              <c:strCache>
                <c:ptCount val="1"/>
                <c:pt idx="0">
                  <c:v> ostatní úraz</c:v>
                </c:pt>
              </c:strCache>
            </c:strRef>
          </c:tx>
          <c:spPr>
            <a:solidFill>
              <a:srgbClr val="F07373"/>
            </a:solidFill>
            <a:ln>
              <a:noFill/>
            </a:ln>
            <a:effectLst/>
          </c:spPr>
          <c:invertIfNegative val="0"/>
          <c:cat>
            <c:numRef>
              <c:f>'G2.4'!$C$2:$M$2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'G2.4'!$C$5:$M$5</c:f>
              <c:numCache>
                <c:formatCode>General</c:formatCode>
                <c:ptCount val="11"/>
                <c:pt idx="0">
                  <c:v>2.58</c:v>
                </c:pt>
                <c:pt idx="1">
                  <c:v>2.71</c:v>
                </c:pt>
                <c:pt idx="2">
                  <c:v>2.76</c:v>
                </c:pt>
                <c:pt idx="3">
                  <c:v>2.9569928851</c:v>
                </c:pt>
                <c:pt idx="4">
                  <c:v>3.1726609424999999</c:v>
                </c:pt>
                <c:pt idx="5">
                  <c:v>3.1924353055000001</c:v>
                </c:pt>
                <c:pt idx="6">
                  <c:v>3.2320196819999998</c:v>
                </c:pt>
                <c:pt idx="7">
                  <c:v>3.3599348163568723</c:v>
                </c:pt>
                <c:pt idx="8">
                  <c:v>3.1333540811999998</c:v>
                </c:pt>
                <c:pt idx="9" formatCode="0.00">
                  <c:v>3.4002846242999998</c:v>
                </c:pt>
                <c:pt idx="10" formatCode="0.00">
                  <c:v>3.6371912911000002</c:v>
                </c:pt>
              </c:numCache>
            </c:numRef>
          </c:val>
          <c:extLst>
            <c:ext xmlns:c16="http://schemas.microsoft.com/office/drawing/2014/chart" uri="{C3380CC4-5D6E-409C-BE32-E72D297353CC}">
              <c16:uniqueId val="{00000002-FFDB-42D2-9FAD-46DA5CBC4695}"/>
            </c:ext>
          </c:extLst>
        </c:ser>
        <c:dLbls>
          <c:showLegendKey val="0"/>
          <c:showVal val="0"/>
          <c:showCatName val="0"/>
          <c:showSerName val="0"/>
          <c:showPercent val="0"/>
          <c:showBubbleSize val="0"/>
        </c:dLbls>
        <c:gapWidth val="64"/>
        <c:overlap val="100"/>
        <c:axId val="1098100367"/>
        <c:axId val="1098102031"/>
      </c:barChart>
      <c:lineChart>
        <c:grouping val="stacked"/>
        <c:varyColors val="0"/>
        <c:ser>
          <c:idx val="3"/>
          <c:order val="3"/>
          <c:tx>
            <c:strRef>
              <c:f>'G2.4'!$A$6</c:f>
              <c:strCache>
                <c:ptCount val="1"/>
                <c:pt idx="0">
                  <c:v>celkem</c:v>
                </c:pt>
              </c:strCache>
            </c:strRef>
          </c:tx>
          <c:spPr>
            <a:ln w="28575" cap="rnd">
              <a:no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'G2.4'!$C$2:$M$2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'G2.4'!$C$6:$M$6</c:f>
              <c:numCache>
                <c:formatCode>0.0</c:formatCode>
                <c:ptCount val="11"/>
                <c:pt idx="0">
                  <c:v>27.439999999999998</c:v>
                </c:pt>
                <c:pt idx="1">
                  <c:v>29.99</c:v>
                </c:pt>
                <c:pt idx="2">
                  <c:v>29.450000000000003</c:v>
                </c:pt>
                <c:pt idx="3">
                  <c:v>34.689463519300006</c:v>
                </c:pt>
                <c:pt idx="4">
                  <c:v>35.730433507200004</c:v>
                </c:pt>
                <c:pt idx="5">
                  <c:v>36.549162129999999</c:v>
                </c:pt>
                <c:pt idx="6">
                  <c:v>39.077914011200001</c:v>
                </c:pt>
                <c:pt idx="7">
                  <c:v>40.457589927888918</c:v>
                </c:pt>
                <c:pt idx="8">
                  <c:v>50.977478752199993</c:v>
                </c:pt>
                <c:pt idx="9">
                  <c:v>58.510548846200003</c:v>
                </c:pt>
                <c:pt idx="10">
                  <c:v>72.823712941300002</c:v>
                </c:pt>
              </c:numCache>
            </c:numRef>
          </c:val>
          <c:smooth val="0"/>
          <c:extLst>
            <c:ext xmlns:c16="http://schemas.microsoft.com/office/drawing/2014/chart" uri="{C3380CC4-5D6E-409C-BE32-E72D297353CC}">
              <c16:uniqueId val="{00000003-FFDB-42D2-9FAD-46DA5CBC4695}"/>
            </c:ext>
          </c:extLst>
        </c:ser>
        <c:dLbls>
          <c:showLegendKey val="0"/>
          <c:showVal val="0"/>
          <c:showCatName val="0"/>
          <c:showSerName val="0"/>
          <c:showPercent val="0"/>
          <c:showBubbleSize val="0"/>
        </c:dLbls>
        <c:marker val="1"/>
        <c:smooth val="0"/>
        <c:axId val="1557793183"/>
        <c:axId val="1557807743"/>
      </c:lineChart>
      <c:catAx>
        <c:axId val="109810036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098102031"/>
        <c:crosses val="autoZero"/>
        <c:auto val="1"/>
        <c:lblAlgn val="ctr"/>
        <c:lblOffset val="100"/>
        <c:noMultiLvlLbl val="0"/>
      </c:catAx>
      <c:valAx>
        <c:axId val="1098102031"/>
        <c:scaling>
          <c:orientation val="minMax"/>
          <c:max val="7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098100367"/>
        <c:crosses val="autoZero"/>
        <c:crossBetween val="between"/>
        <c:majorUnit val="5"/>
      </c:valAx>
      <c:valAx>
        <c:axId val="1557807743"/>
        <c:scaling>
          <c:orientation val="minMax"/>
        </c:scaling>
        <c:delete val="1"/>
        <c:axPos val="r"/>
        <c:numFmt formatCode="0.0" sourceLinked="1"/>
        <c:majorTickMark val="out"/>
        <c:minorTickMark val="none"/>
        <c:tickLblPos val="nextTo"/>
        <c:crossAx val="1557793183"/>
        <c:crosses val="max"/>
        <c:crossBetween val="between"/>
      </c:valAx>
      <c:catAx>
        <c:axId val="1557793183"/>
        <c:scaling>
          <c:orientation val="minMax"/>
        </c:scaling>
        <c:delete val="1"/>
        <c:axPos val="b"/>
        <c:numFmt formatCode="General" sourceLinked="1"/>
        <c:majorTickMark val="out"/>
        <c:minorTickMark val="none"/>
        <c:tickLblPos val="nextTo"/>
        <c:crossAx val="1557807743"/>
        <c:crosses val="autoZero"/>
        <c:auto val="1"/>
        <c:lblAlgn val="ctr"/>
        <c:lblOffset val="100"/>
        <c:noMultiLvlLbl val="0"/>
      </c:catAx>
      <c:spPr>
        <a:noFill/>
        <a:ln>
          <a:noFill/>
        </a:ln>
        <a:effectLst/>
      </c:spPr>
    </c:plotArea>
    <c:legend>
      <c:legendPos val="r"/>
      <c:legendEntry>
        <c:idx val="3"/>
        <c:delete val="1"/>
      </c:legendEntry>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2710671601621484"/>
          <c:y val="2.8097062579821201E-2"/>
          <c:w val="0.43550671411082686"/>
          <c:h val="0.85924075582506232"/>
        </c:manualLayout>
      </c:layout>
      <c:barChart>
        <c:barDir val="bar"/>
        <c:grouping val="clustered"/>
        <c:varyColors val="0"/>
        <c:ser>
          <c:idx val="0"/>
          <c:order val="0"/>
          <c:tx>
            <c:strRef>
              <c:f>'G2.4'!$P$31</c:f>
              <c:strCache>
                <c:ptCount val="1"/>
                <c:pt idx="0">
                  <c:v> 2019</c:v>
                </c:pt>
              </c:strCache>
            </c:strRef>
          </c:tx>
          <c:spPr>
            <a:solidFill>
              <a:srgbClr val="B44946"/>
            </a:solidFill>
            <a:ln>
              <a:noFill/>
            </a:ln>
            <a:effectLst/>
          </c:spPr>
          <c:invertIfNegative val="0"/>
          <c:dPt>
            <c:idx val="14"/>
            <c:invertIfNegative val="0"/>
            <c:bubble3D val="0"/>
            <c:spPr>
              <a:solidFill>
                <a:srgbClr val="B44946"/>
              </a:solidFill>
              <a:ln w="19050">
                <a:solidFill>
                  <a:schemeClr val="accent1"/>
                </a:solidFill>
              </a:ln>
              <a:effectLst/>
            </c:spPr>
            <c:extLst>
              <c:ext xmlns:c16="http://schemas.microsoft.com/office/drawing/2014/chart" uri="{C3380CC4-5D6E-409C-BE32-E72D297353CC}">
                <c16:uniqueId val="{00000001-D671-4703-8894-03DA67E335C9}"/>
              </c:ext>
            </c:extLst>
          </c:dPt>
          <c:cat>
            <c:strRef>
              <c:f>'G2.4'!$N$32:$N$51</c:f>
              <c:strCache>
                <c:ptCount val="20"/>
                <c:pt idx="0">
                  <c:v>L – Činnosti v oblasti nemovitostí</c:v>
                </c:pt>
                <c:pt idx="1">
                  <c:v>J – Informační a komunikační činnosti</c:v>
                </c:pt>
                <c:pt idx="2">
                  <c:v>M – Profesní, vědecké a technické činnosti</c:v>
                </c:pt>
                <c:pt idx="3">
                  <c:v>K – Peněžnictví a pojišťovnictví</c:v>
                </c:pt>
                <c:pt idx="4">
                  <c:v>D – Výroba a rozvod elektřiny, plynu, tepla a klimatiz. vzduchu</c:v>
                </c:pt>
                <c:pt idx="5">
                  <c:v>I – Ubytování, stravování a pohostinství</c:v>
                </c:pt>
                <c:pt idx="6">
                  <c:v>F – Stavebnictví</c:v>
                </c:pt>
                <c:pt idx="7">
                  <c:v>R – Kulturní, zábavní a rekreační činnosti</c:v>
                </c:pt>
                <c:pt idx="8">
                  <c:v>S – Ostatní činnosti</c:v>
                </c:pt>
                <c:pt idx="9">
                  <c:v>A – Zemědělství, lesnictví, rybářství</c:v>
                </c:pt>
                <c:pt idx="10">
                  <c:v>H – Doprava a skladování</c:v>
                </c:pt>
                <c:pt idx="11">
                  <c:v>N – Administrativní a podpůrné činnosti</c:v>
                </c:pt>
                <c:pt idx="12">
                  <c:v>G – Velkoobchod a maloobchod; opravy a údržba motor. vozidel</c:v>
                </c:pt>
                <c:pt idx="13">
                  <c:v>Q – Zdravotní a sociální péče</c:v>
                </c:pt>
                <c:pt idx="14">
                  <c:v>CELKEM</c:v>
                </c:pt>
                <c:pt idx="15">
                  <c:v>B – Těžba a dobývání</c:v>
                </c:pt>
                <c:pt idx="16">
                  <c:v>E – Zásobování vodou; činnosti související s odpady a sanacemi</c:v>
                </c:pt>
                <c:pt idx="17">
                  <c:v>O – Veřejná správa a obrana; povinné sociální zabezpečení</c:v>
                </c:pt>
                <c:pt idx="18">
                  <c:v>P – Vzdělávání</c:v>
                </c:pt>
                <c:pt idx="19">
                  <c:v>C – Zpracovatelský průmysl</c:v>
                </c:pt>
              </c:strCache>
            </c:strRef>
          </c:cat>
          <c:val>
            <c:numRef>
              <c:f>'G2.4'!$P$32:$P$51</c:f>
              <c:numCache>
                <c:formatCode>General</c:formatCode>
                <c:ptCount val="20"/>
                <c:pt idx="0">
                  <c:v>18.345079369600001</c:v>
                </c:pt>
                <c:pt idx="1">
                  <c:v>27.3182950763</c:v>
                </c:pt>
                <c:pt idx="2">
                  <c:v>22.9664972743</c:v>
                </c:pt>
                <c:pt idx="3">
                  <c:v>30.886686647200001</c:v>
                </c:pt>
                <c:pt idx="4">
                  <c:v>30.038552074399998</c:v>
                </c:pt>
                <c:pt idx="5">
                  <c:v>30.750215303099999</c:v>
                </c:pt>
                <c:pt idx="6">
                  <c:v>33.848210999899997</c:v>
                </c:pt>
                <c:pt idx="7">
                  <c:v>27.846363628399999</c:v>
                </c:pt>
                <c:pt idx="8">
                  <c:v>31.314303677200002</c:v>
                </c:pt>
                <c:pt idx="9">
                  <c:v>34.5626146436</c:v>
                </c:pt>
                <c:pt idx="10">
                  <c:v>39.911316684500001</c:v>
                </c:pt>
                <c:pt idx="11">
                  <c:v>49.684159152399999</c:v>
                </c:pt>
                <c:pt idx="12">
                  <c:v>40.286069109000003</c:v>
                </c:pt>
                <c:pt idx="13">
                  <c:v>35.173337095000001</c:v>
                </c:pt>
                <c:pt idx="14">
                  <c:v>40.457589927900003</c:v>
                </c:pt>
                <c:pt idx="15">
                  <c:v>44.483583707999998</c:v>
                </c:pt>
                <c:pt idx="16">
                  <c:v>42.561036639100003</c:v>
                </c:pt>
                <c:pt idx="17">
                  <c:v>35.533122364500002</c:v>
                </c:pt>
                <c:pt idx="18">
                  <c:v>35.984451415700001</c:v>
                </c:pt>
                <c:pt idx="19">
                  <c:v>53.900511653400002</c:v>
                </c:pt>
              </c:numCache>
            </c:numRef>
          </c:val>
          <c:extLst>
            <c:ext xmlns:c16="http://schemas.microsoft.com/office/drawing/2014/chart" uri="{C3380CC4-5D6E-409C-BE32-E72D297353CC}">
              <c16:uniqueId val="{00000002-D671-4703-8894-03DA67E335C9}"/>
            </c:ext>
          </c:extLst>
        </c:ser>
        <c:ser>
          <c:idx val="1"/>
          <c:order val="1"/>
          <c:tx>
            <c:strRef>
              <c:f>'G2.4'!$O$31</c:f>
              <c:strCache>
                <c:ptCount val="1"/>
                <c:pt idx="0">
                  <c:v> 2022</c:v>
                </c:pt>
              </c:strCache>
            </c:strRef>
          </c:tx>
          <c:spPr>
            <a:solidFill>
              <a:srgbClr val="632827"/>
            </a:solidFill>
            <a:ln>
              <a:noFill/>
            </a:ln>
            <a:effectLst/>
          </c:spPr>
          <c:invertIfNegative val="0"/>
          <c:dPt>
            <c:idx val="14"/>
            <c:invertIfNegative val="0"/>
            <c:bubble3D val="0"/>
            <c:spPr>
              <a:solidFill>
                <a:srgbClr val="632827"/>
              </a:solidFill>
              <a:ln w="19050">
                <a:solidFill>
                  <a:schemeClr val="accent1"/>
                </a:solidFill>
              </a:ln>
              <a:effectLst/>
            </c:spPr>
            <c:extLst>
              <c:ext xmlns:c16="http://schemas.microsoft.com/office/drawing/2014/chart" uri="{C3380CC4-5D6E-409C-BE32-E72D297353CC}">
                <c16:uniqueId val="{00000004-D671-4703-8894-03DA67E335C9}"/>
              </c:ext>
            </c:extLst>
          </c:dPt>
          <c:cat>
            <c:strRef>
              <c:f>'G2.4'!$N$32:$N$51</c:f>
              <c:strCache>
                <c:ptCount val="20"/>
                <c:pt idx="0">
                  <c:v>L – Činnosti v oblasti nemovitostí</c:v>
                </c:pt>
                <c:pt idx="1">
                  <c:v>J – Informační a komunikační činnosti</c:v>
                </c:pt>
                <c:pt idx="2">
                  <c:v>M – Profesní, vědecké a technické činnosti</c:v>
                </c:pt>
                <c:pt idx="3">
                  <c:v>K – Peněžnictví a pojišťovnictví</c:v>
                </c:pt>
                <c:pt idx="4">
                  <c:v>D – Výroba a rozvod elektřiny, plynu, tepla a klimatiz. vzduchu</c:v>
                </c:pt>
                <c:pt idx="5">
                  <c:v>I – Ubytování, stravování a pohostinství</c:v>
                </c:pt>
                <c:pt idx="6">
                  <c:v>F – Stavebnictví</c:v>
                </c:pt>
                <c:pt idx="7">
                  <c:v>R – Kulturní, zábavní a rekreační činnosti</c:v>
                </c:pt>
                <c:pt idx="8">
                  <c:v>S – Ostatní činnosti</c:v>
                </c:pt>
                <c:pt idx="9">
                  <c:v>A – Zemědělství, lesnictví, rybářství</c:v>
                </c:pt>
                <c:pt idx="10">
                  <c:v>H – Doprava a skladování</c:v>
                </c:pt>
                <c:pt idx="11">
                  <c:v>N – Administrativní a podpůrné činnosti</c:v>
                </c:pt>
                <c:pt idx="12">
                  <c:v>G – Velkoobchod a maloobchod; opravy a údržba motor. vozidel</c:v>
                </c:pt>
                <c:pt idx="13">
                  <c:v>Q – Zdravotní a sociální péče</c:v>
                </c:pt>
                <c:pt idx="14">
                  <c:v>CELKEM</c:v>
                </c:pt>
                <c:pt idx="15">
                  <c:v>B – Těžba a dobývání</c:v>
                </c:pt>
                <c:pt idx="16">
                  <c:v>E – Zásobování vodou; činnosti související s odpady a sanacemi</c:v>
                </c:pt>
                <c:pt idx="17">
                  <c:v>O – Veřejná správa a obrana; povinné sociální zabezpečení</c:v>
                </c:pt>
                <c:pt idx="18">
                  <c:v>P – Vzdělávání</c:v>
                </c:pt>
                <c:pt idx="19">
                  <c:v>C – Zpracovatelský průmysl</c:v>
                </c:pt>
              </c:strCache>
            </c:strRef>
          </c:cat>
          <c:val>
            <c:numRef>
              <c:f>'G2.4'!$O$32:$O$51</c:f>
              <c:numCache>
                <c:formatCode>0.00</c:formatCode>
                <c:ptCount val="20"/>
                <c:pt idx="0">
                  <c:v>34.531685584000002</c:v>
                </c:pt>
                <c:pt idx="1">
                  <c:v>38.6802106186</c:v>
                </c:pt>
                <c:pt idx="2">
                  <c:v>39.5017080553</c:v>
                </c:pt>
                <c:pt idx="3">
                  <c:v>41.729068451099998</c:v>
                </c:pt>
                <c:pt idx="4">
                  <c:v>51.492285550299997</c:v>
                </c:pt>
                <c:pt idx="5">
                  <c:v>51.886641991399998</c:v>
                </c:pt>
                <c:pt idx="6">
                  <c:v>55.957068877200001</c:v>
                </c:pt>
                <c:pt idx="7">
                  <c:v>56.108376869899999</c:v>
                </c:pt>
                <c:pt idx="8">
                  <c:v>56.316841212699998</c:v>
                </c:pt>
                <c:pt idx="9">
                  <c:v>58.095892683199999</c:v>
                </c:pt>
                <c:pt idx="10">
                  <c:v>69.957764223699996</c:v>
                </c:pt>
                <c:pt idx="11">
                  <c:v>70.367299069799998</c:v>
                </c:pt>
                <c:pt idx="12">
                  <c:v>71.7237297713</c:v>
                </c:pt>
                <c:pt idx="13">
                  <c:v>72.168704145800007</c:v>
                </c:pt>
                <c:pt idx="14">
                  <c:v>72.823712941300002</c:v>
                </c:pt>
                <c:pt idx="15">
                  <c:v>75.315451530800004</c:v>
                </c:pt>
                <c:pt idx="16">
                  <c:v>75.413191683700006</c:v>
                </c:pt>
                <c:pt idx="17">
                  <c:v>77.039040877600002</c:v>
                </c:pt>
                <c:pt idx="18">
                  <c:v>86.371525595899996</c:v>
                </c:pt>
                <c:pt idx="19">
                  <c:v>94.586067270100003</c:v>
                </c:pt>
              </c:numCache>
            </c:numRef>
          </c:val>
          <c:extLst>
            <c:ext xmlns:c16="http://schemas.microsoft.com/office/drawing/2014/chart" uri="{C3380CC4-5D6E-409C-BE32-E72D297353CC}">
              <c16:uniqueId val="{00000005-D671-4703-8894-03DA67E335C9}"/>
            </c:ext>
          </c:extLst>
        </c:ser>
        <c:dLbls>
          <c:showLegendKey val="0"/>
          <c:showVal val="0"/>
          <c:showCatName val="0"/>
          <c:showSerName val="0"/>
          <c:showPercent val="0"/>
          <c:showBubbleSize val="0"/>
        </c:dLbls>
        <c:gapWidth val="182"/>
        <c:axId val="1399945359"/>
        <c:axId val="1399934543"/>
      </c:barChart>
      <c:catAx>
        <c:axId val="1399945359"/>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99934543"/>
        <c:crosses val="autoZero"/>
        <c:auto val="1"/>
        <c:lblAlgn val="ctr"/>
        <c:lblOffset val="100"/>
        <c:noMultiLvlLbl val="0"/>
      </c:catAx>
      <c:valAx>
        <c:axId val="1399934543"/>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a:t>
                </a:r>
              </a:p>
            </c:rich>
          </c:tx>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99945359"/>
        <c:crosses val="autoZero"/>
        <c:crossBetween val="between"/>
        <c:majorUnit val="10"/>
      </c:valAx>
      <c:spPr>
        <a:noFill/>
        <a:ln>
          <a:noFill/>
        </a:ln>
        <a:effectLst/>
      </c:spPr>
    </c:plotArea>
    <c:legend>
      <c:legendPos val="r"/>
      <c:layout>
        <c:manualLayout>
          <c:xMode val="edge"/>
          <c:yMode val="edge"/>
          <c:x val="0.87569155084986461"/>
          <c:y val="0.41749998800424171"/>
          <c:w val="6.934662589863945E-2"/>
          <c:h val="7.2373384771144925E-2"/>
        </c:manualLayout>
      </c:layout>
      <c:overlay val="0"/>
      <c:spPr>
        <a:solidFill>
          <a:schemeClr val="bg1"/>
        </a:solidFill>
        <a:ln>
          <a:solidFill>
            <a:schemeClr val="bg1">
              <a:lumMod val="7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6181502680498607"/>
          <c:y val="2.7160493827160494E-2"/>
          <c:w val="0.40487685719094202"/>
          <c:h val="0.89820715843387322"/>
        </c:manualLayout>
      </c:layout>
      <c:barChart>
        <c:barDir val="bar"/>
        <c:grouping val="clustered"/>
        <c:varyColors val="0"/>
        <c:ser>
          <c:idx val="1"/>
          <c:order val="0"/>
          <c:tx>
            <c:strRef>
              <c:f>'G2.5+PÚ NACE'!$R$24</c:f>
              <c:strCache>
                <c:ptCount val="1"/>
                <c:pt idx="0">
                  <c:v> 2019</c:v>
                </c:pt>
              </c:strCache>
            </c:strRef>
          </c:tx>
          <c:spPr>
            <a:solidFill>
              <a:srgbClr val="B44946"/>
            </a:solidFill>
            <a:ln>
              <a:noFill/>
            </a:ln>
            <a:effectLst/>
          </c:spPr>
          <c:invertIfNegative val="0"/>
          <c:dPt>
            <c:idx val="13"/>
            <c:invertIfNegative val="0"/>
            <c:bubble3D val="0"/>
            <c:spPr>
              <a:solidFill>
                <a:srgbClr val="B44946"/>
              </a:solidFill>
              <a:ln w="19050">
                <a:solidFill>
                  <a:schemeClr val="accent1"/>
                </a:solidFill>
              </a:ln>
              <a:effectLst/>
            </c:spPr>
            <c:extLst>
              <c:ext xmlns:c16="http://schemas.microsoft.com/office/drawing/2014/chart" uri="{C3380CC4-5D6E-409C-BE32-E72D297353CC}">
                <c16:uniqueId val="{00000001-9924-4CDE-8E61-A7E1E64E1683}"/>
              </c:ext>
            </c:extLst>
          </c:dPt>
          <c:dPt>
            <c:idx val="17"/>
            <c:invertIfNegative val="0"/>
            <c:bubble3D val="0"/>
            <c:spPr>
              <a:solidFill>
                <a:srgbClr val="B44946"/>
              </a:solidFill>
              <a:ln w="19050">
                <a:noFill/>
              </a:ln>
              <a:effectLst/>
            </c:spPr>
            <c:extLst>
              <c:ext xmlns:c16="http://schemas.microsoft.com/office/drawing/2014/chart" uri="{C3380CC4-5D6E-409C-BE32-E72D297353CC}">
                <c16:uniqueId val="{00000003-9924-4CDE-8E61-A7E1E64E1683}"/>
              </c:ext>
            </c:extLst>
          </c:dPt>
          <c:cat>
            <c:strRef>
              <c:f>'G2.5+PÚ NACE'!$P$25:$P$44</c:f>
              <c:strCache>
                <c:ptCount val="20"/>
                <c:pt idx="0">
                  <c:v>L – Činnosti v oblasti nemovitostí</c:v>
                </c:pt>
                <c:pt idx="1">
                  <c:v>J – Informační a komunikační činnosti</c:v>
                </c:pt>
                <c:pt idx="2">
                  <c:v>M – Profesní, vědecké a technické činnosti</c:v>
                </c:pt>
                <c:pt idx="3">
                  <c:v>K – Peněžnictví a pojišťovnictví</c:v>
                </c:pt>
                <c:pt idx="4">
                  <c:v>I – Ubytování, stravování a pohostinství</c:v>
                </c:pt>
                <c:pt idx="5">
                  <c:v>D – Výroba a rozvod elektřiny, plynu, tepla a klimatiz. vzduchu</c:v>
                </c:pt>
                <c:pt idx="6">
                  <c:v>F – Stavebnictví</c:v>
                </c:pt>
                <c:pt idx="7">
                  <c:v>A – Zemědělství, lesnictví, rybářství</c:v>
                </c:pt>
                <c:pt idx="8">
                  <c:v>R – Kulturní, zábavní a rekreační činnosti</c:v>
                </c:pt>
                <c:pt idx="9">
                  <c:v>S – Ostatní činnosti</c:v>
                </c:pt>
                <c:pt idx="10">
                  <c:v>H – Doprava a skladování</c:v>
                </c:pt>
                <c:pt idx="11">
                  <c:v>N – Administrativní a podpůrné činnosti</c:v>
                </c:pt>
                <c:pt idx="12">
                  <c:v>G – Velkoobchod a maloobchod; opravy a údržba motor. vozidel</c:v>
                </c:pt>
                <c:pt idx="13">
                  <c:v>CELKEM</c:v>
                </c:pt>
                <c:pt idx="14">
                  <c:v>B – Těžba a dobývání</c:v>
                </c:pt>
                <c:pt idx="15">
                  <c:v>Q – Zdravotní a sociální péče</c:v>
                </c:pt>
                <c:pt idx="16">
                  <c:v>E – Zásobování vodou; činnosti související s odpady a sanacemi</c:v>
                </c:pt>
                <c:pt idx="17">
                  <c:v>O – Veřejná správa a obrana; povinné sociální zabezpečení</c:v>
                </c:pt>
                <c:pt idx="18">
                  <c:v>P – Vzdělávání</c:v>
                </c:pt>
                <c:pt idx="19">
                  <c:v>C – Zpracovatelský průmysl</c:v>
                </c:pt>
              </c:strCache>
            </c:strRef>
          </c:cat>
          <c:val>
            <c:numRef>
              <c:f>'G2.5+PÚ NACE'!$R$25:$R$44</c:f>
              <c:numCache>
                <c:formatCode>General</c:formatCode>
                <c:ptCount val="20"/>
                <c:pt idx="0">
                  <c:v>16.4325042396</c:v>
                </c:pt>
                <c:pt idx="1">
                  <c:v>25.914457753499999</c:v>
                </c:pt>
                <c:pt idx="2">
                  <c:v>21.085648407600001</c:v>
                </c:pt>
                <c:pt idx="3">
                  <c:v>29.290791823999999</c:v>
                </c:pt>
                <c:pt idx="4">
                  <c:v>26.924199928299998</c:v>
                </c:pt>
                <c:pt idx="5">
                  <c:v>26.962042266800001</c:v>
                </c:pt>
                <c:pt idx="6">
                  <c:v>28.434653663599999</c:v>
                </c:pt>
                <c:pt idx="7">
                  <c:v>28.6556755959</c:v>
                </c:pt>
                <c:pt idx="8">
                  <c:v>25.319364479000001</c:v>
                </c:pt>
                <c:pt idx="9">
                  <c:v>28.7779557207</c:v>
                </c:pt>
                <c:pt idx="10">
                  <c:v>34.806496846899996</c:v>
                </c:pt>
                <c:pt idx="11">
                  <c:v>45.307465729100002</c:v>
                </c:pt>
                <c:pt idx="12">
                  <c:v>36.070159693800001</c:v>
                </c:pt>
                <c:pt idx="13">
                  <c:v>36.1563273963</c:v>
                </c:pt>
                <c:pt idx="14">
                  <c:v>38.051303267100003</c:v>
                </c:pt>
                <c:pt idx="15">
                  <c:v>31.962876953599999</c:v>
                </c:pt>
                <c:pt idx="16">
                  <c:v>36.457182837600001</c:v>
                </c:pt>
                <c:pt idx="17">
                  <c:v>32.9214290623</c:v>
                </c:pt>
                <c:pt idx="18">
                  <c:v>33.6967067008</c:v>
                </c:pt>
                <c:pt idx="19">
                  <c:v>47.509079030800002</c:v>
                </c:pt>
              </c:numCache>
            </c:numRef>
          </c:val>
          <c:extLst>
            <c:ext xmlns:c16="http://schemas.microsoft.com/office/drawing/2014/chart" uri="{C3380CC4-5D6E-409C-BE32-E72D297353CC}">
              <c16:uniqueId val="{00000004-9924-4CDE-8E61-A7E1E64E1683}"/>
            </c:ext>
          </c:extLst>
        </c:ser>
        <c:ser>
          <c:idx val="0"/>
          <c:order val="1"/>
          <c:tx>
            <c:strRef>
              <c:f>'G2.5+PÚ NACE'!$Q$24</c:f>
              <c:strCache>
                <c:ptCount val="1"/>
                <c:pt idx="0">
                  <c:v> 2022</c:v>
                </c:pt>
              </c:strCache>
            </c:strRef>
          </c:tx>
          <c:spPr>
            <a:solidFill>
              <a:srgbClr val="632827"/>
            </a:solidFill>
            <a:ln>
              <a:noFill/>
            </a:ln>
            <a:effectLst/>
          </c:spPr>
          <c:invertIfNegative val="0"/>
          <c:dPt>
            <c:idx val="13"/>
            <c:invertIfNegative val="0"/>
            <c:bubble3D val="0"/>
            <c:spPr>
              <a:solidFill>
                <a:srgbClr val="632827"/>
              </a:solidFill>
              <a:ln w="19050">
                <a:solidFill>
                  <a:schemeClr val="accent1"/>
                </a:solidFill>
              </a:ln>
              <a:effectLst/>
            </c:spPr>
            <c:extLst>
              <c:ext xmlns:c16="http://schemas.microsoft.com/office/drawing/2014/chart" uri="{C3380CC4-5D6E-409C-BE32-E72D297353CC}">
                <c16:uniqueId val="{00000006-9924-4CDE-8E61-A7E1E64E1683}"/>
              </c:ext>
            </c:extLst>
          </c:dPt>
          <c:dPt>
            <c:idx val="17"/>
            <c:invertIfNegative val="0"/>
            <c:bubble3D val="0"/>
            <c:spPr>
              <a:solidFill>
                <a:srgbClr val="632827"/>
              </a:solidFill>
              <a:ln w="19050">
                <a:noFill/>
              </a:ln>
              <a:effectLst/>
            </c:spPr>
            <c:extLst>
              <c:ext xmlns:c16="http://schemas.microsoft.com/office/drawing/2014/chart" uri="{C3380CC4-5D6E-409C-BE32-E72D297353CC}">
                <c16:uniqueId val="{00000008-9924-4CDE-8E61-A7E1E64E1683}"/>
              </c:ext>
            </c:extLst>
          </c:dPt>
          <c:cat>
            <c:strRef>
              <c:f>'G2.5+PÚ NACE'!$P$25:$P$44</c:f>
              <c:strCache>
                <c:ptCount val="20"/>
                <c:pt idx="0">
                  <c:v>L – Činnosti v oblasti nemovitostí</c:v>
                </c:pt>
                <c:pt idx="1">
                  <c:v>J – Informační a komunikační činnosti</c:v>
                </c:pt>
                <c:pt idx="2">
                  <c:v>M – Profesní, vědecké a technické činnosti</c:v>
                </c:pt>
                <c:pt idx="3">
                  <c:v>K – Peněžnictví a pojišťovnictví</c:v>
                </c:pt>
                <c:pt idx="4">
                  <c:v>I – Ubytování, stravování a pohostinství</c:v>
                </c:pt>
                <c:pt idx="5">
                  <c:v>D – Výroba a rozvod elektřiny, plynu, tepla a klimatiz. vzduchu</c:v>
                </c:pt>
                <c:pt idx="6">
                  <c:v>F – Stavebnictví</c:v>
                </c:pt>
                <c:pt idx="7">
                  <c:v>A – Zemědělství, lesnictví, rybářství</c:v>
                </c:pt>
                <c:pt idx="8">
                  <c:v>R – Kulturní, zábavní a rekreační činnosti</c:v>
                </c:pt>
                <c:pt idx="9">
                  <c:v>S – Ostatní činnosti</c:v>
                </c:pt>
                <c:pt idx="10">
                  <c:v>H – Doprava a skladování</c:v>
                </c:pt>
                <c:pt idx="11">
                  <c:v>N – Administrativní a podpůrné činnosti</c:v>
                </c:pt>
                <c:pt idx="12">
                  <c:v>G – Velkoobchod a maloobchod; opravy a údržba motor. vozidel</c:v>
                </c:pt>
                <c:pt idx="13">
                  <c:v>CELKEM</c:v>
                </c:pt>
                <c:pt idx="14">
                  <c:v>B – Těžba a dobývání</c:v>
                </c:pt>
                <c:pt idx="15">
                  <c:v>Q – Zdravotní a sociální péče</c:v>
                </c:pt>
                <c:pt idx="16">
                  <c:v>E – Zásobování vodou; činnosti související s odpady a sanacemi</c:v>
                </c:pt>
                <c:pt idx="17">
                  <c:v>O – Veřejná správa a obrana; povinné sociální zabezpečení</c:v>
                </c:pt>
                <c:pt idx="18">
                  <c:v>P – Vzdělávání</c:v>
                </c:pt>
                <c:pt idx="19">
                  <c:v>C – Zpracovatelský průmysl</c:v>
                </c:pt>
              </c:strCache>
            </c:strRef>
          </c:cat>
          <c:val>
            <c:numRef>
              <c:f>'G2.5+PÚ NACE'!$Q$25:$Q$44</c:f>
              <c:numCache>
                <c:formatCode>0.00</c:formatCode>
                <c:ptCount val="20"/>
                <c:pt idx="0">
                  <c:v>32.301012198400002</c:v>
                </c:pt>
                <c:pt idx="1">
                  <c:v>37.317185783500001</c:v>
                </c:pt>
                <c:pt idx="2">
                  <c:v>37.666528896400003</c:v>
                </c:pt>
                <c:pt idx="3">
                  <c:v>40.357818959799999</c:v>
                </c:pt>
                <c:pt idx="4">
                  <c:v>47.668379847200001</c:v>
                </c:pt>
                <c:pt idx="5">
                  <c:v>48.307466177000002</c:v>
                </c:pt>
                <c:pt idx="6">
                  <c:v>50.140770300699998</c:v>
                </c:pt>
                <c:pt idx="7">
                  <c:v>51.728394590299999</c:v>
                </c:pt>
                <c:pt idx="8">
                  <c:v>53.189869710000004</c:v>
                </c:pt>
                <c:pt idx="9">
                  <c:v>53.542784389099999</c:v>
                </c:pt>
                <c:pt idx="10">
                  <c:v>64.360802410100007</c:v>
                </c:pt>
                <c:pt idx="11">
                  <c:v>65.656081645599997</c:v>
                </c:pt>
                <c:pt idx="12">
                  <c:v>67.355219854799998</c:v>
                </c:pt>
                <c:pt idx="13">
                  <c:v>68.247000253099998</c:v>
                </c:pt>
                <c:pt idx="14">
                  <c:v>68.474811064799994</c:v>
                </c:pt>
                <c:pt idx="15">
                  <c:v>68.525512076599995</c:v>
                </c:pt>
                <c:pt idx="16">
                  <c:v>68.717739818599995</c:v>
                </c:pt>
                <c:pt idx="17">
                  <c:v>74.011022217800004</c:v>
                </c:pt>
                <c:pt idx="18">
                  <c:v>83.756633917100004</c:v>
                </c:pt>
                <c:pt idx="19">
                  <c:v>87.779857450899996</c:v>
                </c:pt>
              </c:numCache>
            </c:numRef>
          </c:val>
          <c:extLst>
            <c:ext xmlns:c16="http://schemas.microsoft.com/office/drawing/2014/chart" uri="{C3380CC4-5D6E-409C-BE32-E72D297353CC}">
              <c16:uniqueId val="{00000009-9924-4CDE-8E61-A7E1E64E1683}"/>
            </c:ext>
          </c:extLst>
        </c:ser>
        <c:dLbls>
          <c:showLegendKey val="0"/>
          <c:showVal val="0"/>
          <c:showCatName val="0"/>
          <c:showSerName val="0"/>
          <c:showPercent val="0"/>
          <c:showBubbleSize val="0"/>
        </c:dLbls>
        <c:gapWidth val="182"/>
        <c:axId val="1535997743"/>
        <c:axId val="1535996911"/>
      </c:barChart>
      <c:catAx>
        <c:axId val="1535997743"/>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35996911"/>
        <c:crosses val="autoZero"/>
        <c:auto val="1"/>
        <c:lblAlgn val="ctr"/>
        <c:lblOffset val="100"/>
        <c:noMultiLvlLbl val="0"/>
      </c:catAx>
      <c:valAx>
        <c:axId val="1535996911"/>
        <c:scaling>
          <c:orientation val="minMax"/>
          <c:max val="9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a:t>
                </a:r>
              </a:p>
            </c:rich>
          </c:tx>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35997743"/>
        <c:crosses val="autoZero"/>
        <c:crossBetween val="between"/>
        <c:majorUnit val="10"/>
      </c:valAx>
      <c:spPr>
        <a:noFill/>
        <a:ln>
          <a:noFill/>
        </a:ln>
        <a:effectLst/>
      </c:spPr>
    </c:plotArea>
    <c:legend>
      <c:legendPos val="r"/>
      <c:layout>
        <c:manualLayout>
          <c:xMode val="edge"/>
          <c:yMode val="edge"/>
          <c:x val="0.85662657096772854"/>
          <c:y val="0.48556644308350355"/>
          <c:w val="6.871715586943257E-2"/>
          <c:h val="6.6985168252542596E-2"/>
        </c:manualLayout>
      </c:layout>
      <c:overlay val="0"/>
      <c:spPr>
        <a:solidFill>
          <a:schemeClr val="bg1"/>
        </a:solidFill>
        <a:ln>
          <a:solidFill>
            <a:schemeClr val="bg1">
              <a:lumMod val="7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5571741032370969E-2"/>
          <c:y val="5.0925925925925923E-2"/>
          <c:w val="0.87665048118985123"/>
          <c:h val="0.80878572470107901"/>
        </c:manualLayout>
      </c:layout>
      <c:barChart>
        <c:barDir val="col"/>
        <c:grouping val="clustered"/>
        <c:varyColors val="0"/>
        <c:ser>
          <c:idx val="0"/>
          <c:order val="0"/>
          <c:tx>
            <c:strRef>
              <c:f>'G2.6'!$N$23</c:f>
              <c:strCache>
                <c:ptCount val="1"/>
                <c:pt idx="0">
                  <c:v> 2022</c:v>
                </c:pt>
              </c:strCache>
            </c:strRef>
          </c:tx>
          <c:spPr>
            <a:solidFill>
              <a:srgbClr val="632827"/>
            </a:solidFill>
            <a:ln>
              <a:noFill/>
            </a:ln>
            <a:effectLst/>
          </c:spPr>
          <c:invertIfNegative val="0"/>
          <c:dPt>
            <c:idx val="12"/>
            <c:invertIfNegative val="0"/>
            <c:bubble3D val="0"/>
            <c:spPr>
              <a:solidFill>
                <a:srgbClr val="632827"/>
              </a:solidFill>
              <a:ln w="19050">
                <a:solidFill>
                  <a:schemeClr val="accent1"/>
                </a:solidFill>
              </a:ln>
              <a:effectLst/>
            </c:spPr>
            <c:extLst>
              <c:ext xmlns:c16="http://schemas.microsoft.com/office/drawing/2014/chart" uri="{C3380CC4-5D6E-409C-BE32-E72D297353CC}">
                <c16:uniqueId val="{00000001-751F-412E-8397-CE93E6899DDC}"/>
              </c:ext>
            </c:extLst>
          </c:dPt>
          <c:cat>
            <c:strRef>
              <c:f>'G2.6'!$M$24:$M$38</c:f>
              <c:strCache>
                <c:ptCount val="15"/>
                <c:pt idx="0">
                  <c:v>LBK</c:v>
                </c:pt>
                <c:pt idx="1">
                  <c:v>PLK</c:v>
                </c:pt>
                <c:pt idx="2">
                  <c:v>ULK</c:v>
                </c:pt>
                <c:pt idx="3">
                  <c:v>HKK</c:v>
                </c:pt>
                <c:pt idx="4">
                  <c:v>PAK</c:v>
                </c:pt>
                <c:pt idx="5">
                  <c:v>STC</c:v>
                </c:pt>
                <c:pt idx="6">
                  <c:v>KVK</c:v>
                </c:pt>
                <c:pt idx="7">
                  <c:v>JHC</c:v>
                </c:pt>
                <c:pt idx="8">
                  <c:v>ZLK</c:v>
                </c:pt>
                <c:pt idx="9">
                  <c:v>VYS</c:v>
                </c:pt>
                <c:pt idx="10">
                  <c:v>MSK</c:v>
                </c:pt>
                <c:pt idx="11">
                  <c:v>OLK</c:v>
                </c:pt>
                <c:pt idx="12">
                  <c:v>ČR</c:v>
                </c:pt>
                <c:pt idx="13">
                  <c:v>JHM</c:v>
                </c:pt>
                <c:pt idx="14">
                  <c:v>PHA</c:v>
                </c:pt>
              </c:strCache>
            </c:strRef>
          </c:cat>
          <c:val>
            <c:numRef>
              <c:f>'G2.6'!$N$24:$N$38</c:f>
              <c:numCache>
                <c:formatCode>0.00</c:formatCode>
                <c:ptCount val="15"/>
                <c:pt idx="0">
                  <c:v>89.479322837599995</c:v>
                </c:pt>
                <c:pt idx="1">
                  <c:v>82.920528603400001</c:v>
                </c:pt>
                <c:pt idx="2">
                  <c:v>82.580174635399999</c:v>
                </c:pt>
                <c:pt idx="3">
                  <c:v>81.955246433799999</c:v>
                </c:pt>
                <c:pt idx="4">
                  <c:v>80.716816898000005</c:v>
                </c:pt>
                <c:pt idx="5">
                  <c:v>79.299004599499995</c:v>
                </c:pt>
                <c:pt idx="6">
                  <c:v>78.539419608299994</c:v>
                </c:pt>
                <c:pt idx="7">
                  <c:v>78.341706248600005</c:v>
                </c:pt>
                <c:pt idx="8">
                  <c:v>78.166518340600007</c:v>
                </c:pt>
                <c:pt idx="9">
                  <c:v>77.590054813999998</c:v>
                </c:pt>
                <c:pt idx="10">
                  <c:v>77.501274131000002</c:v>
                </c:pt>
                <c:pt idx="11">
                  <c:v>76.862107672199997</c:v>
                </c:pt>
                <c:pt idx="12">
                  <c:v>72.823712941300002</c:v>
                </c:pt>
                <c:pt idx="13">
                  <c:v>71.482624046599994</c:v>
                </c:pt>
                <c:pt idx="14">
                  <c:v>57.134409742199999</c:v>
                </c:pt>
              </c:numCache>
            </c:numRef>
          </c:val>
          <c:extLst>
            <c:ext xmlns:c16="http://schemas.microsoft.com/office/drawing/2014/chart" uri="{C3380CC4-5D6E-409C-BE32-E72D297353CC}">
              <c16:uniqueId val="{00000002-751F-412E-8397-CE93E6899DDC}"/>
            </c:ext>
          </c:extLst>
        </c:ser>
        <c:ser>
          <c:idx val="1"/>
          <c:order val="1"/>
          <c:tx>
            <c:strRef>
              <c:f>'G2.6'!$O$23</c:f>
              <c:strCache>
                <c:ptCount val="1"/>
                <c:pt idx="0">
                  <c:v> 2019</c:v>
                </c:pt>
              </c:strCache>
            </c:strRef>
          </c:tx>
          <c:spPr>
            <a:solidFill>
              <a:srgbClr val="B44946"/>
            </a:solidFill>
            <a:ln>
              <a:noFill/>
            </a:ln>
            <a:effectLst/>
          </c:spPr>
          <c:invertIfNegative val="0"/>
          <c:dPt>
            <c:idx val="12"/>
            <c:invertIfNegative val="0"/>
            <c:bubble3D val="0"/>
            <c:spPr>
              <a:solidFill>
                <a:srgbClr val="B44946"/>
              </a:solidFill>
              <a:ln w="19050">
                <a:solidFill>
                  <a:schemeClr val="accent1"/>
                </a:solidFill>
              </a:ln>
              <a:effectLst/>
            </c:spPr>
            <c:extLst>
              <c:ext xmlns:c16="http://schemas.microsoft.com/office/drawing/2014/chart" uri="{C3380CC4-5D6E-409C-BE32-E72D297353CC}">
                <c16:uniqueId val="{00000004-751F-412E-8397-CE93E6899DDC}"/>
              </c:ext>
            </c:extLst>
          </c:dPt>
          <c:cat>
            <c:strRef>
              <c:f>'G2.6'!$M$24:$M$38</c:f>
              <c:strCache>
                <c:ptCount val="15"/>
                <c:pt idx="0">
                  <c:v>LBK</c:v>
                </c:pt>
                <c:pt idx="1">
                  <c:v>PLK</c:v>
                </c:pt>
                <c:pt idx="2">
                  <c:v>ULK</c:v>
                </c:pt>
                <c:pt idx="3">
                  <c:v>HKK</c:v>
                </c:pt>
                <c:pt idx="4">
                  <c:v>PAK</c:v>
                </c:pt>
                <c:pt idx="5">
                  <c:v>STC</c:v>
                </c:pt>
                <c:pt idx="6">
                  <c:v>KVK</c:v>
                </c:pt>
                <c:pt idx="7">
                  <c:v>JHC</c:v>
                </c:pt>
                <c:pt idx="8">
                  <c:v>ZLK</c:v>
                </c:pt>
                <c:pt idx="9">
                  <c:v>VYS</c:v>
                </c:pt>
                <c:pt idx="10">
                  <c:v>MSK</c:v>
                </c:pt>
                <c:pt idx="11">
                  <c:v>OLK</c:v>
                </c:pt>
                <c:pt idx="12">
                  <c:v>ČR</c:v>
                </c:pt>
                <c:pt idx="13">
                  <c:v>JHM</c:v>
                </c:pt>
                <c:pt idx="14">
                  <c:v>PHA</c:v>
                </c:pt>
              </c:strCache>
            </c:strRef>
          </c:cat>
          <c:val>
            <c:numRef>
              <c:f>'G2.6'!$O$24:$O$38</c:f>
              <c:numCache>
                <c:formatCode>0.0</c:formatCode>
                <c:ptCount val="15"/>
                <c:pt idx="0">
                  <c:v>49.79</c:v>
                </c:pt>
                <c:pt idx="1">
                  <c:v>46.44</c:v>
                </c:pt>
                <c:pt idx="2">
                  <c:v>44.26</c:v>
                </c:pt>
                <c:pt idx="3">
                  <c:v>45.69</c:v>
                </c:pt>
                <c:pt idx="4">
                  <c:v>42.87</c:v>
                </c:pt>
                <c:pt idx="5">
                  <c:v>43.35</c:v>
                </c:pt>
                <c:pt idx="6">
                  <c:v>45.58</c:v>
                </c:pt>
                <c:pt idx="7">
                  <c:v>43.97</c:v>
                </c:pt>
                <c:pt idx="8">
                  <c:v>41.26</c:v>
                </c:pt>
                <c:pt idx="9">
                  <c:v>42.84</c:v>
                </c:pt>
                <c:pt idx="10">
                  <c:v>43.08</c:v>
                </c:pt>
                <c:pt idx="11">
                  <c:v>39.53</c:v>
                </c:pt>
                <c:pt idx="12">
                  <c:v>40.46</c:v>
                </c:pt>
                <c:pt idx="13">
                  <c:v>38.869999999999997</c:v>
                </c:pt>
                <c:pt idx="14">
                  <c:v>33.46</c:v>
                </c:pt>
              </c:numCache>
            </c:numRef>
          </c:val>
          <c:extLst>
            <c:ext xmlns:c16="http://schemas.microsoft.com/office/drawing/2014/chart" uri="{C3380CC4-5D6E-409C-BE32-E72D297353CC}">
              <c16:uniqueId val="{00000005-751F-412E-8397-CE93E6899DDC}"/>
            </c:ext>
          </c:extLst>
        </c:ser>
        <c:dLbls>
          <c:showLegendKey val="0"/>
          <c:showVal val="0"/>
          <c:showCatName val="0"/>
          <c:showSerName val="0"/>
          <c:showPercent val="0"/>
          <c:showBubbleSize val="0"/>
        </c:dLbls>
        <c:gapWidth val="219"/>
        <c:axId val="40003599"/>
        <c:axId val="39996943"/>
      </c:barChart>
      <c:catAx>
        <c:axId val="4000359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39996943"/>
        <c:crosses val="autoZero"/>
        <c:auto val="1"/>
        <c:lblAlgn val="ctr"/>
        <c:lblOffset val="100"/>
        <c:noMultiLvlLbl val="0"/>
      </c:catAx>
      <c:valAx>
        <c:axId val="39996943"/>
        <c:scaling>
          <c:orientation val="minMax"/>
          <c:max val="9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a:t>
                </a:r>
              </a:p>
            </c:rich>
          </c:tx>
          <c:layout>
            <c:manualLayout>
              <c:xMode val="edge"/>
              <c:yMode val="edge"/>
              <c:x val="2.3747047244094488E-2"/>
              <c:y val="0.33716840233680467"/>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40003599"/>
        <c:crosses val="autoZero"/>
        <c:crossBetween val="between"/>
        <c:majorUnit val="10"/>
      </c:valAx>
      <c:spPr>
        <a:noFill/>
        <a:ln>
          <a:noFill/>
        </a:ln>
        <a:effectLst/>
      </c:spPr>
    </c:plotArea>
    <c:legend>
      <c:legendPos val="b"/>
      <c:layout>
        <c:manualLayout>
          <c:xMode val="edge"/>
          <c:yMode val="edge"/>
          <c:x val="0.88886176727909016"/>
          <c:y val="6.090004374453193E-2"/>
          <c:w val="9.1720909886264232E-2"/>
          <c:h val="0.15206291921843104"/>
        </c:manualLayout>
      </c:layout>
      <c:overlay val="0"/>
      <c:spPr>
        <a:solidFill>
          <a:schemeClr val="bg1"/>
        </a:solidFill>
        <a:ln>
          <a:solidFill>
            <a:schemeClr val="bg1">
              <a:lumMod val="7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'G2.8+G2.9'!$L$3</c:f>
              <c:strCache>
                <c:ptCount val="1"/>
                <c:pt idx="0">
                  <c:v> 1. pololetí</c:v>
                </c:pt>
              </c:strCache>
            </c:strRef>
          </c:tx>
          <c:spPr>
            <a:solidFill>
              <a:srgbClr val="632827"/>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'G2.8+G2.9'!$M$2:$T$2</c:f>
              <c:numCache>
                <c:formatCode>General</c:formatCode>
                <c:ptCount val="8"/>
                <c:pt idx="0">
                  <c:v>2015</c:v>
                </c:pt>
                <c:pt idx="1">
                  <c:v>2016</c:v>
                </c:pt>
                <c:pt idx="2">
                  <c:v>2017</c:v>
                </c:pt>
                <c:pt idx="3">
                  <c:v>2018</c:v>
                </c:pt>
                <c:pt idx="4">
                  <c:v>2019</c:v>
                </c:pt>
                <c:pt idx="5">
                  <c:v>2020</c:v>
                </c:pt>
                <c:pt idx="6">
                  <c:v>2021</c:v>
                </c:pt>
                <c:pt idx="7">
                  <c:v>2022</c:v>
                </c:pt>
              </c:numCache>
            </c:numRef>
          </c:cat>
          <c:val>
            <c:numRef>
              <c:f>'G2.8+G2.9'!$M$3:$T$3</c:f>
              <c:numCache>
                <c:formatCode>#,##0</c:formatCode>
                <c:ptCount val="8"/>
                <c:pt idx="0">
                  <c:v>35051963</c:v>
                </c:pt>
                <c:pt idx="1">
                  <c:v>36786872</c:v>
                </c:pt>
                <c:pt idx="2">
                  <c:v>38708732</c:v>
                </c:pt>
                <c:pt idx="3">
                  <c:v>40623841</c:v>
                </c:pt>
                <c:pt idx="4">
                  <c:v>41577938</c:v>
                </c:pt>
                <c:pt idx="5">
                  <c:v>47402024</c:v>
                </c:pt>
                <c:pt idx="6">
                  <c:v>50856089</c:v>
                </c:pt>
                <c:pt idx="7">
                  <c:v>50387135</c:v>
                </c:pt>
              </c:numCache>
            </c:numRef>
          </c:val>
          <c:extLst>
            <c:ext xmlns:c16="http://schemas.microsoft.com/office/drawing/2014/chart" uri="{C3380CC4-5D6E-409C-BE32-E72D297353CC}">
              <c16:uniqueId val="{00000000-0E32-4A1F-A2D0-2551597BA2C6}"/>
            </c:ext>
          </c:extLst>
        </c:ser>
        <c:ser>
          <c:idx val="1"/>
          <c:order val="1"/>
          <c:tx>
            <c:strRef>
              <c:f>'G2.8+G2.9'!$L$4</c:f>
              <c:strCache>
                <c:ptCount val="1"/>
                <c:pt idx="0">
                  <c:v> 2. pololetí</c:v>
                </c:pt>
              </c:strCache>
            </c:strRef>
          </c:tx>
          <c:spPr>
            <a:solidFill>
              <a:srgbClr val="B44946"/>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'G2.8+G2.9'!$M$2:$T$2</c:f>
              <c:numCache>
                <c:formatCode>General</c:formatCode>
                <c:ptCount val="8"/>
                <c:pt idx="0">
                  <c:v>2015</c:v>
                </c:pt>
                <c:pt idx="1">
                  <c:v>2016</c:v>
                </c:pt>
                <c:pt idx="2">
                  <c:v>2017</c:v>
                </c:pt>
                <c:pt idx="3">
                  <c:v>2018</c:v>
                </c:pt>
                <c:pt idx="4">
                  <c:v>2019</c:v>
                </c:pt>
                <c:pt idx="5">
                  <c:v>2020</c:v>
                </c:pt>
                <c:pt idx="6">
                  <c:v>2021</c:v>
                </c:pt>
                <c:pt idx="7">
                  <c:v>2022</c:v>
                </c:pt>
              </c:numCache>
            </c:numRef>
          </c:cat>
          <c:val>
            <c:numRef>
              <c:f>'G2.8+G2.9'!$M$4:$T$4</c:f>
              <c:numCache>
                <c:formatCode>#,##0</c:formatCode>
                <c:ptCount val="8"/>
                <c:pt idx="0">
                  <c:v>31765440</c:v>
                </c:pt>
                <c:pt idx="1">
                  <c:v>33465090</c:v>
                </c:pt>
                <c:pt idx="2">
                  <c:v>33968745</c:v>
                </c:pt>
                <c:pt idx="3">
                  <c:v>36533814</c:v>
                </c:pt>
                <c:pt idx="4">
                  <c:v>39626934</c:v>
                </c:pt>
                <c:pt idx="5">
                  <c:v>46844167</c:v>
                </c:pt>
                <c:pt idx="6">
                  <c:v>44093478</c:v>
                </c:pt>
                <c:pt idx="7">
                  <c:v>40676458</c:v>
                </c:pt>
              </c:numCache>
            </c:numRef>
          </c:val>
          <c:extLst>
            <c:ext xmlns:c16="http://schemas.microsoft.com/office/drawing/2014/chart" uri="{C3380CC4-5D6E-409C-BE32-E72D297353CC}">
              <c16:uniqueId val="{00000001-0E32-4A1F-A2D0-2551597BA2C6}"/>
            </c:ext>
          </c:extLst>
        </c:ser>
        <c:dLbls>
          <c:showLegendKey val="0"/>
          <c:showVal val="0"/>
          <c:showCatName val="0"/>
          <c:showSerName val="0"/>
          <c:showPercent val="0"/>
          <c:showBubbleSize val="0"/>
        </c:dLbls>
        <c:gapWidth val="70"/>
        <c:overlap val="-10"/>
        <c:axId val="103414079"/>
        <c:axId val="103411583"/>
      </c:barChart>
      <c:catAx>
        <c:axId val="10341407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03411583"/>
        <c:crosses val="autoZero"/>
        <c:auto val="1"/>
        <c:lblAlgn val="ctr"/>
        <c:lblOffset val="100"/>
        <c:noMultiLvlLbl val="0"/>
      </c:catAx>
      <c:valAx>
        <c:axId val="103411583"/>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03414079"/>
        <c:crosses val="autoZero"/>
        <c:crossBetween val="between"/>
        <c:majorUnit val="5000000"/>
        <c:dispUnits>
          <c:builtInUnit val="millions"/>
          <c:dispUnitsLbl>
            <c:layout>
              <c:manualLayout>
                <c:xMode val="edge"/>
                <c:yMode val="edge"/>
                <c:x val="1.6666666666666666E-2"/>
                <c:y val="0.3291203703703704"/>
              </c:manualLayout>
            </c:layout>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t>miliony</a:t>
                  </a:r>
                </a:p>
              </c:rich>
            </c:tx>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ispUnitsLbl>
        </c:dispUnits>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'G2.7'!$A$3</c:f>
              <c:strCache>
                <c:ptCount val="1"/>
                <c:pt idx="0">
                  <c:v> 1. pololetí</c:v>
                </c:pt>
              </c:strCache>
            </c:strRef>
          </c:tx>
          <c:spPr>
            <a:solidFill>
              <a:srgbClr val="632827"/>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'G2.7'!$B$2:$I$2</c:f>
              <c:numCache>
                <c:formatCode>General</c:formatCode>
                <c:ptCount val="8"/>
                <c:pt idx="0">
                  <c:v>2015</c:v>
                </c:pt>
                <c:pt idx="1">
                  <c:v>2016</c:v>
                </c:pt>
                <c:pt idx="2">
                  <c:v>2017</c:v>
                </c:pt>
                <c:pt idx="3">
                  <c:v>2018</c:v>
                </c:pt>
                <c:pt idx="4">
                  <c:v>2019</c:v>
                </c:pt>
                <c:pt idx="5">
                  <c:v>2020</c:v>
                </c:pt>
                <c:pt idx="6">
                  <c:v>2021</c:v>
                </c:pt>
                <c:pt idx="7">
                  <c:v>2022</c:v>
                </c:pt>
              </c:numCache>
            </c:numRef>
          </c:cat>
          <c:val>
            <c:numRef>
              <c:f>'G2.7'!$B$3:$I$3</c:f>
              <c:numCache>
                <c:formatCode>General</c:formatCode>
                <c:ptCount val="8"/>
                <c:pt idx="0">
                  <c:v>30184364</c:v>
                </c:pt>
                <c:pt idx="1">
                  <c:v>31661916</c:v>
                </c:pt>
                <c:pt idx="2">
                  <c:v>33258915</c:v>
                </c:pt>
                <c:pt idx="3">
                  <c:v>35167407</c:v>
                </c:pt>
                <c:pt idx="4">
                  <c:v>35860458</c:v>
                </c:pt>
                <c:pt idx="5">
                  <c:v>41551126</c:v>
                </c:pt>
                <c:pt idx="6" formatCode="#,##0">
                  <c:v>45205015</c:v>
                </c:pt>
                <c:pt idx="7" formatCode="#,##0">
                  <c:v>44375655</c:v>
                </c:pt>
              </c:numCache>
            </c:numRef>
          </c:val>
          <c:extLst>
            <c:ext xmlns:c16="http://schemas.microsoft.com/office/drawing/2014/chart" uri="{C3380CC4-5D6E-409C-BE32-E72D297353CC}">
              <c16:uniqueId val="{00000000-B093-439D-912C-F2AC80B5396A}"/>
            </c:ext>
          </c:extLst>
        </c:ser>
        <c:ser>
          <c:idx val="1"/>
          <c:order val="1"/>
          <c:tx>
            <c:strRef>
              <c:f>'G2.7'!$A$4</c:f>
              <c:strCache>
                <c:ptCount val="1"/>
                <c:pt idx="0">
                  <c:v> 2. pololetí</c:v>
                </c:pt>
              </c:strCache>
            </c:strRef>
          </c:tx>
          <c:spPr>
            <a:solidFill>
              <a:srgbClr val="B44946"/>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'G2.7'!$B$2:$I$2</c:f>
              <c:numCache>
                <c:formatCode>General</c:formatCode>
                <c:ptCount val="8"/>
                <c:pt idx="0">
                  <c:v>2015</c:v>
                </c:pt>
                <c:pt idx="1">
                  <c:v>2016</c:v>
                </c:pt>
                <c:pt idx="2">
                  <c:v>2017</c:v>
                </c:pt>
                <c:pt idx="3">
                  <c:v>2018</c:v>
                </c:pt>
                <c:pt idx="4">
                  <c:v>2019</c:v>
                </c:pt>
                <c:pt idx="5">
                  <c:v>2020</c:v>
                </c:pt>
                <c:pt idx="6">
                  <c:v>2021</c:v>
                </c:pt>
                <c:pt idx="7">
                  <c:v>2022</c:v>
                </c:pt>
              </c:numCache>
            </c:numRef>
          </c:cat>
          <c:val>
            <c:numRef>
              <c:f>'G2.7'!$B$4:$I$4</c:f>
              <c:numCache>
                <c:formatCode>General</c:formatCode>
                <c:ptCount val="8"/>
                <c:pt idx="0">
                  <c:v>26828755</c:v>
                </c:pt>
                <c:pt idx="1">
                  <c:v>28431614</c:v>
                </c:pt>
                <c:pt idx="2">
                  <c:v>28853901</c:v>
                </c:pt>
                <c:pt idx="3">
                  <c:v>31055960</c:v>
                </c:pt>
                <c:pt idx="4">
                  <c:v>34042075</c:v>
                </c:pt>
                <c:pt idx="5">
                  <c:v>40736349</c:v>
                </c:pt>
                <c:pt idx="6" formatCode="#,##0">
                  <c:v>38157901</c:v>
                </c:pt>
                <c:pt idx="7" formatCode="#,##0">
                  <c:v>34814115</c:v>
                </c:pt>
              </c:numCache>
            </c:numRef>
          </c:val>
          <c:extLst>
            <c:ext xmlns:c16="http://schemas.microsoft.com/office/drawing/2014/chart" uri="{C3380CC4-5D6E-409C-BE32-E72D297353CC}">
              <c16:uniqueId val="{00000001-B093-439D-912C-F2AC80B5396A}"/>
            </c:ext>
          </c:extLst>
        </c:ser>
        <c:dLbls>
          <c:showLegendKey val="0"/>
          <c:showVal val="0"/>
          <c:showCatName val="0"/>
          <c:showSerName val="0"/>
          <c:showPercent val="0"/>
          <c:showBubbleSize val="0"/>
        </c:dLbls>
        <c:gapWidth val="70"/>
        <c:overlap val="-10"/>
        <c:axId val="1315651423"/>
        <c:axId val="1315652255"/>
      </c:barChart>
      <c:catAx>
        <c:axId val="131565142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52255"/>
        <c:crosses val="autoZero"/>
        <c:auto val="1"/>
        <c:lblAlgn val="ctr"/>
        <c:lblOffset val="100"/>
        <c:noMultiLvlLbl val="0"/>
      </c:catAx>
      <c:valAx>
        <c:axId val="131565225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51423"/>
        <c:crosses val="autoZero"/>
        <c:crossBetween val="between"/>
        <c:dispUnits>
          <c:builtInUnit val="millions"/>
          <c:dispUnitsLbl>
            <c:layout>
              <c:manualLayout>
                <c:xMode val="edge"/>
                <c:yMode val="edge"/>
                <c:x val="1.9483311086891747E-2"/>
                <c:y val="0.3472223730654358"/>
              </c:manualLayout>
            </c:layout>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cs-CZ">
                      <a:solidFill>
                        <a:sysClr val="windowText" lastClr="000000"/>
                      </a:solidFill>
                    </a:rPr>
                    <a:t>miliony</a:t>
                  </a:r>
                </a:p>
              </c:rich>
            </c:tx>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ispUnitsLbl>
        </c:dispUnits>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latin typeface="Arial" panose="020B0604020202020204" pitchFamily="34" charset="0"/>
          <a:cs typeface="Arial" panose="020B0604020202020204" pitchFamily="34" charset="0"/>
        </a:defRPr>
      </a:pPr>
      <a:endParaRPr lang="cs-CZ"/>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'G2.8'!$A$4</c:f>
              <c:strCache>
                <c:ptCount val="1"/>
                <c:pt idx="0">
                  <c:v> 1. pololetí</c:v>
                </c:pt>
              </c:strCache>
            </c:strRef>
          </c:tx>
          <c:spPr>
            <a:solidFill>
              <a:srgbClr val="632827"/>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'G2.8'!$B$3:$I$3</c:f>
              <c:numCache>
                <c:formatCode>General</c:formatCode>
                <c:ptCount val="8"/>
                <c:pt idx="0">
                  <c:v>2015</c:v>
                </c:pt>
                <c:pt idx="1">
                  <c:v>2016</c:v>
                </c:pt>
                <c:pt idx="2">
                  <c:v>2017</c:v>
                </c:pt>
                <c:pt idx="3">
                  <c:v>2018</c:v>
                </c:pt>
                <c:pt idx="4">
                  <c:v>2019</c:v>
                </c:pt>
                <c:pt idx="5">
                  <c:v>2020</c:v>
                </c:pt>
                <c:pt idx="6">
                  <c:v>2021</c:v>
                </c:pt>
                <c:pt idx="7">
                  <c:v>2022</c:v>
                </c:pt>
              </c:numCache>
            </c:numRef>
          </c:cat>
          <c:val>
            <c:numRef>
              <c:f>'G2.8'!$B$4:$I$4</c:f>
              <c:numCache>
                <c:formatCode>General</c:formatCode>
                <c:ptCount val="8"/>
                <c:pt idx="0">
                  <c:v>38.509944412336203</c:v>
                </c:pt>
                <c:pt idx="1">
                  <c:v>40.744102371405191</c:v>
                </c:pt>
                <c:pt idx="2">
                  <c:v>39.518719722813358</c:v>
                </c:pt>
                <c:pt idx="3">
                  <c:v>37.50186030193516</c:v>
                </c:pt>
                <c:pt idx="4">
                  <c:v>41.090733046565084</c:v>
                </c:pt>
                <c:pt idx="5">
                  <c:v>42.533609854017961</c:v>
                </c:pt>
                <c:pt idx="6">
                  <c:v>34.767365218340984</c:v>
                </c:pt>
                <c:pt idx="7">
                  <c:v>22.845586194931368</c:v>
                </c:pt>
              </c:numCache>
            </c:numRef>
          </c:val>
          <c:extLst>
            <c:ext xmlns:c16="http://schemas.microsoft.com/office/drawing/2014/chart" uri="{C3380CC4-5D6E-409C-BE32-E72D297353CC}">
              <c16:uniqueId val="{00000000-4BCA-4B45-9CAD-42E097FBA59D}"/>
            </c:ext>
          </c:extLst>
        </c:ser>
        <c:ser>
          <c:idx val="1"/>
          <c:order val="1"/>
          <c:tx>
            <c:strRef>
              <c:f>'G2.8'!$A$5</c:f>
              <c:strCache>
                <c:ptCount val="1"/>
                <c:pt idx="0">
                  <c:v> 2. pololetí</c:v>
                </c:pt>
              </c:strCache>
            </c:strRef>
          </c:tx>
          <c:spPr>
            <a:solidFill>
              <a:srgbClr val="B44946"/>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'G2.8'!$B$3:$I$3</c:f>
              <c:numCache>
                <c:formatCode>General</c:formatCode>
                <c:ptCount val="8"/>
                <c:pt idx="0">
                  <c:v>2015</c:v>
                </c:pt>
                <c:pt idx="1">
                  <c:v>2016</c:v>
                </c:pt>
                <c:pt idx="2">
                  <c:v>2017</c:v>
                </c:pt>
                <c:pt idx="3">
                  <c:v>2018</c:v>
                </c:pt>
                <c:pt idx="4">
                  <c:v>2019</c:v>
                </c:pt>
                <c:pt idx="5">
                  <c:v>2020</c:v>
                </c:pt>
                <c:pt idx="6">
                  <c:v>2021</c:v>
                </c:pt>
                <c:pt idx="7">
                  <c:v>2022</c:v>
                </c:pt>
              </c:numCache>
            </c:numRef>
          </c:cat>
          <c:val>
            <c:numRef>
              <c:f>'G2.8'!$B$5:$I$5</c:f>
              <c:numCache>
                <c:formatCode>General</c:formatCode>
                <c:ptCount val="8"/>
                <c:pt idx="0">
                  <c:v>44.711014785483826</c:v>
                </c:pt>
                <c:pt idx="1">
                  <c:v>42.828757961207756</c:v>
                </c:pt>
                <c:pt idx="2">
                  <c:v>43.111981867026856</c:v>
                </c:pt>
                <c:pt idx="3">
                  <c:v>43.586211155367302</c:v>
                </c:pt>
                <c:pt idx="4">
                  <c:v>40.597567156614296</c:v>
                </c:pt>
                <c:pt idx="5">
                  <c:v>33.232215622499098</c:v>
                </c:pt>
                <c:pt idx="6">
                  <c:v>30.537680817264022</c:v>
                </c:pt>
                <c:pt idx="7">
                  <c:v>26.823087934812417</c:v>
                </c:pt>
              </c:numCache>
            </c:numRef>
          </c:val>
          <c:extLst>
            <c:ext xmlns:c16="http://schemas.microsoft.com/office/drawing/2014/chart" uri="{C3380CC4-5D6E-409C-BE32-E72D297353CC}">
              <c16:uniqueId val="{00000001-4BCA-4B45-9CAD-42E097FBA59D}"/>
            </c:ext>
          </c:extLst>
        </c:ser>
        <c:dLbls>
          <c:showLegendKey val="0"/>
          <c:showVal val="0"/>
          <c:showCatName val="0"/>
          <c:showSerName val="0"/>
          <c:showPercent val="0"/>
          <c:showBubbleSize val="0"/>
        </c:dLbls>
        <c:gapWidth val="94"/>
        <c:overlap val="-10"/>
        <c:axId val="1237737583"/>
        <c:axId val="1237740911"/>
      </c:barChart>
      <c:catAx>
        <c:axId val="12377375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237740911"/>
        <c:crosses val="autoZero"/>
        <c:auto val="1"/>
        <c:lblAlgn val="ctr"/>
        <c:lblOffset val="100"/>
        <c:noMultiLvlLbl val="0"/>
      </c:catAx>
      <c:valAx>
        <c:axId val="1237740911"/>
        <c:scaling>
          <c:orientation val="minMax"/>
          <c:max val="4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23773758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'G2.9'!$A$3</c:f>
              <c:strCache>
                <c:ptCount val="1"/>
                <c:pt idx="0">
                  <c:v> muži</c:v>
                </c:pt>
              </c:strCache>
            </c:strRef>
          </c:tx>
          <c:spPr>
            <a:solidFill>
              <a:srgbClr val="632827"/>
            </a:solidFill>
            <a:ln>
              <a:noFill/>
            </a:ln>
            <a:effectLst/>
          </c:spPr>
          <c:invertIfNegative val="0"/>
          <c:cat>
            <c:numRef>
              <c:f>'G2.9'!$B$2:$L$2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'G2.9'!$B$3:$L$3</c:f>
              <c:numCache>
                <c:formatCode>General</c:formatCode>
                <c:ptCount val="11"/>
                <c:pt idx="0">
                  <c:v>44.112795809401895</c:v>
                </c:pt>
                <c:pt idx="1">
                  <c:v>42.346100568813952</c:v>
                </c:pt>
                <c:pt idx="2">
                  <c:v>43.421782761290075</c:v>
                </c:pt>
                <c:pt idx="3">
                  <c:v>40.535215932702108</c:v>
                </c:pt>
                <c:pt idx="4">
                  <c:v>40.654897349033696</c:v>
                </c:pt>
                <c:pt idx="5">
                  <c:v>40.626409339981365</c:v>
                </c:pt>
                <c:pt idx="6">
                  <c:v>40.289645469571234</c:v>
                </c:pt>
                <c:pt idx="7">
                  <c:v>41.053973179652004</c:v>
                </c:pt>
                <c:pt idx="8">
                  <c:v>37.845603387500056</c:v>
                </c:pt>
                <c:pt idx="9" formatCode="0.0">
                  <c:v>32.954890437460811</c:v>
                </c:pt>
                <c:pt idx="10" formatCode="0.0">
                  <c:v>26.050335401474559</c:v>
                </c:pt>
              </c:numCache>
            </c:numRef>
          </c:val>
          <c:extLst>
            <c:ext xmlns:c16="http://schemas.microsoft.com/office/drawing/2014/chart" uri="{C3380CC4-5D6E-409C-BE32-E72D297353CC}">
              <c16:uniqueId val="{00000000-814D-4681-A609-5B470EDCAEB4}"/>
            </c:ext>
          </c:extLst>
        </c:ser>
        <c:ser>
          <c:idx val="1"/>
          <c:order val="1"/>
          <c:tx>
            <c:strRef>
              <c:f>'G2.9'!$A$4</c:f>
              <c:strCache>
                <c:ptCount val="1"/>
                <c:pt idx="0">
                  <c:v> ženy</c:v>
                </c:pt>
              </c:strCache>
            </c:strRef>
          </c:tx>
          <c:spPr>
            <a:solidFill>
              <a:srgbClr val="B44946"/>
            </a:solidFill>
            <a:ln>
              <a:noFill/>
            </a:ln>
            <a:effectLst/>
          </c:spPr>
          <c:invertIfNegative val="0"/>
          <c:cat>
            <c:numRef>
              <c:f>'G2.9'!$B$2:$L$2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'G2.9'!$B$4:$L$4</c:f>
              <c:numCache>
                <c:formatCode>General</c:formatCode>
                <c:ptCount val="11"/>
                <c:pt idx="0">
                  <c:v>47.86</c:v>
                </c:pt>
                <c:pt idx="1">
                  <c:v>45.52</c:v>
                </c:pt>
                <c:pt idx="2">
                  <c:v>48.02</c:v>
                </c:pt>
                <c:pt idx="3">
                  <c:v>44.776083656899999</c:v>
                </c:pt>
                <c:pt idx="4">
                  <c:v>45.185948486599997</c:v>
                </c:pt>
                <c:pt idx="5">
                  <c:v>44.329904953400003</c:v>
                </c:pt>
                <c:pt idx="6">
                  <c:v>43.000647046799997</c:v>
                </c:pt>
                <c:pt idx="7">
                  <c:v>43.616790123456788</c:v>
                </c:pt>
                <c:pt idx="8">
                  <c:v>40.852407441899999</c:v>
                </c:pt>
                <c:pt idx="9" formatCode="0.0">
                  <c:v>35.905781411699998</c:v>
                </c:pt>
                <c:pt idx="10" formatCode="0.0">
                  <c:v>26.5805903303695</c:v>
                </c:pt>
              </c:numCache>
            </c:numRef>
          </c:val>
          <c:extLst>
            <c:ext xmlns:c16="http://schemas.microsoft.com/office/drawing/2014/chart" uri="{C3380CC4-5D6E-409C-BE32-E72D297353CC}">
              <c16:uniqueId val="{00000001-814D-4681-A609-5B470EDCAEB4}"/>
            </c:ext>
          </c:extLst>
        </c:ser>
        <c:dLbls>
          <c:showLegendKey val="0"/>
          <c:showVal val="0"/>
          <c:showCatName val="0"/>
          <c:showSerName val="0"/>
          <c:showPercent val="0"/>
          <c:showBubbleSize val="0"/>
        </c:dLbls>
        <c:gapWidth val="219"/>
        <c:overlap val="-27"/>
        <c:axId val="1536008143"/>
        <c:axId val="1536029359"/>
      </c:barChart>
      <c:catAx>
        <c:axId val="153600814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36029359"/>
        <c:crosses val="autoZero"/>
        <c:auto val="1"/>
        <c:lblAlgn val="ctr"/>
        <c:lblOffset val="100"/>
        <c:noMultiLvlLbl val="0"/>
      </c:catAx>
      <c:valAx>
        <c:axId val="1536029359"/>
        <c:scaling>
          <c:orientation val="minMax"/>
          <c:max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36008143"/>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0119474586324142"/>
          <c:y val="3.036576949620428E-2"/>
          <c:w val="0.4667446606526332"/>
          <c:h val="0.86347358754068781"/>
        </c:manualLayout>
      </c:layout>
      <c:barChart>
        <c:barDir val="bar"/>
        <c:grouping val="clustered"/>
        <c:varyColors val="0"/>
        <c:ser>
          <c:idx val="0"/>
          <c:order val="0"/>
          <c:spPr>
            <a:solidFill>
              <a:srgbClr val="B44946"/>
            </a:solidFill>
            <a:ln>
              <a:noFill/>
            </a:ln>
            <a:effectLst/>
          </c:spPr>
          <c:invertIfNegative val="0"/>
          <c:dPt>
            <c:idx val="7"/>
            <c:invertIfNegative val="0"/>
            <c:bubble3D val="0"/>
            <c:spPr>
              <a:solidFill>
                <a:srgbClr val="632827"/>
              </a:solidFill>
              <a:ln>
                <a:noFill/>
              </a:ln>
              <a:effectLst/>
            </c:spPr>
            <c:extLst>
              <c:ext xmlns:c16="http://schemas.microsoft.com/office/drawing/2014/chart" uri="{C3380CC4-5D6E-409C-BE32-E72D297353CC}">
                <c16:uniqueId val="{00000001-D462-4F58-B3D0-475E01AD88B5}"/>
              </c:ext>
            </c:extLst>
          </c:dPt>
          <c:dPt>
            <c:idx val="14"/>
            <c:invertIfNegative val="0"/>
            <c:bubble3D val="0"/>
            <c:spPr>
              <a:solidFill>
                <a:srgbClr val="B44946"/>
              </a:solidFill>
              <a:ln>
                <a:noFill/>
              </a:ln>
              <a:effectLst/>
            </c:spPr>
            <c:extLst>
              <c:ext xmlns:c16="http://schemas.microsoft.com/office/drawing/2014/chart" uri="{C3380CC4-5D6E-409C-BE32-E72D297353CC}">
                <c16:uniqueId val="{00000003-D462-4F58-B3D0-475E01AD88B5}"/>
              </c:ext>
            </c:extLst>
          </c:dPt>
          <c:dPt>
            <c:idx val="18"/>
            <c:invertIfNegative val="0"/>
            <c:bubble3D val="0"/>
            <c:spPr>
              <a:solidFill>
                <a:srgbClr val="B44946"/>
              </a:solidFill>
              <a:ln>
                <a:noFill/>
              </a:ln>
              <a:effectLst/>
            </c:spPr>
            <c:extLst>
              <c:ext xmlns:c16="http://schemas.microsoft.com/office/drawing/2014/chart" uri="{C3380CC4-5D6E-409C-BE32-E72D297353CC}">
                <c16:uniqueId val="{00000005-D462-4F58-B3D0-475E01AD88B5}"/>
              </c:ext>
            </c:extLst>
          </c:dPt>
          <c:cat>
            <c:strRef>
              <c:f>'G2.10'!$S$2:$S$21</c:f>
              <c:strCache>
                <c:ptCount val="20"/>
                <c:pt idx="0">
                  <c:v>J – Informační a komunikační činnosti</c:v>
                </c:pt>
                <c:pt idx="1">
                  <c:v>P – Vzdělávání</c:v>
                </c:pt>
                <c:pt idx="2">
                  <c:v>O – Veřejná správa a obrana; povinné sociální zabezpečení</c:v>
                </c:pt>
                <c:pt idx="3">
                  <c:v>K – Peněžnictví a pojišťovnictví</c:v>
                </c:pt>
                <c:pt idx="4">
                  <c:v>M – Profesní, vědecké a technické činnosti</c:v>
                </c:pt>
                <c:pt idx="5">
                  <c:v>R – Kulturní, zábavní a rekreační činnosti</c:v>
                </c:pt>
                <c:pt idx="6">
                  <c:v>D – Výroba a rozvod elektřiny, plynu, tepla a klimatiz. vzduchu</c:v>
                </c:pt>
                <c:pt idx="7">
                  <c:v>CELKEM</c:v>
                </c:pt>
                <c:pt idx="8">
                  <c:v>C – Zpracovatelský průmysl</c:v>
                </c:pt>
                <c:pt idx="9">
                  <c:v>Q – Zdravotní a sociální péče</c:v>
                </c:pt>
                <c:pt idx="10">
                  <c:v>G – Velkoobchod a maloobchod; opravy a údržba motor. vozidel</c:v>
                </c:pt>
                <c:pt idx="11">
                  <c:v>E – Zásobování vodou; činnosti související s odpady a sanacemi</c:v>
                </c:pt>
                <c:pt idx="12">
                  <c:v>S – Ostatní činnosti</c:v>
                </c:pt>
                <c:pt idx="13">
                  <c:v>H – Doprava a skladování</c:v>
                </c:pt>
                <c:pt idx="14">
                  <c:v>L – Činnosti v oblasti nemovitostí</c:v>
                </c:pt>
                <c:pt idx="15">
                  <c:v>N – Administrativní a podpůrné činnosti</c:v>
                </c:pt>
                <c:pt idx="16">
                  <c:v>B – Těžba a dobývání</c:v>
                </c:pt>
                <c:pt idx="17">
                  <c:v>F – Stavebnictví</c:v>
                </c:pt>
                <c:pt idx="18">
                  <c:v>I – Ubytování, stravování a pohostinství</c:v>
                </c:pt>
                <c:pt idx="19">
                  <c:v>A – Zemědělství, lesnictví, rybářství</c:v>
                </c:pt>
              </c:strCache>
            </c:strRef>
          </c:cat>
          <c:val>
            <c:numRef>
              <c:f>'G2.10'!$T$2:$T$21</c:f>
              <c:numCache>
                <c:formatCode>0.00</c:formatCode>
                <c:ptCount val="20"/>
                <c:pt idx="0">
                  <c:v>16.761783166699999</c:v>
                </c:pt>
                <c:pt idx="1">
                  <c:v>16.928304433899999</c:v>
                </c:pt>
                <c:pt idx="2">
                  <c:v>20.676609789800001</c:v>
                </c:pt>
                <c:pt idx="3">
                  <c:v>21.0224574828</c:v>
                </c:pt>
                <c:pt idx="4">
                  <c:v>23.172926603099999</c:v>
                </c:pt>
                <c:pt idx="5">
                  <c:v>23.9041185801</c:v>
                </c:pt>
                <c:pt idx="6">
                  <c:v>24.198390055000001</c:v>
                </c:pt>
                <c:pt idx="7">
                  <c:v>26.336974745399999</c:v>
                </c:pt>
                <c:pt idx="8">
                  <c:v>26.7677956042</c:v>
                </c:pt>
                <c:pt idx="9">
                  <c:v>26.962731723099999</c:v>
                </c:pt>
                <c:pt idx="10">
                  <c:v>27.3858358946</c:v>
                </c:pt>
                <c:pt idx="11">
                  <c:v>29.307828374500001</c:v>
                </c:pt>
                <c:pt idx="12">
                  <c:v>29.398518447899999</c:v>
                </c:pt>
                <c:pt idx="13">
                  <c:v>29.477423910399999</c:v>
                </c:pt>
                <c:pt idx="14">
                  <c:v>31.3245487505</c:v>
                </c:pt>
                <c:pt idx="15">
                  <c:v>32.113564261</c:v>
                </c:pt>
                <c:pt idx="16">
                  <c:v>32.213023125799999</c:v>
                </c:pt>
                <c:pt idx="17">
                  <c:v>33.896217061199998</c:v>
                </c:pt>
                <c:pt idx="18">
                  <c:v>36.0437874096</c:v>
                </c:pt>
                <c:pt idx="19">
                  <c:v>36.990033169599997</c:v>
                </c:pt>
              </c:numCache>
            </c:numRef>
          </c:val>
          <c:extLst>
            <c:ext xmlns:c16="http://schemas.microsoft.com/office/drawing/2014/chart" uri="{C3380CC4-5D6E-409C-BE32-E72D297353CC}">
              <c16:uniqueId val="{00000006-D462-4F58-B3D0-475E01AD88B5}"/>
            </c:ext>
          </c:extLst>
        </c:ser>
        <c:dLbls>
          <c:showLegendKey val="0"/>
          <c:showVal val="0"/>
          <c:showCatName val="0"/>
          <c:showSerName val="0"/>
          <c:showPercent val="0"/>
          <c:showBubbleSize val="0"/>
        </c:dLbls>
        <c:gapWidth val="182"/>
        <c:axId val="1315644767"/>
        <c:axId val="1315646431"/>
      </c:barChart>
      <c:catAx>
        <c:axId val="1315644767"/>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46431"/>
        <c:crosses val="autoZero"/>
        <c:auto val="1"/>
        <c:lblAlgn val="ctr"/>
        <c:lblOffset val="100"/>
        <c:noMultiLvlLbl val="0"/>
      </c:catAx>
      <c:valAx>
        <c:axId val="1315646431"/>
        <c:scaling>
          <c:orientation val="minMax"/>
          <c:max val="4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15644767"/>
        <c:crosses val="autoZero"/>
        <c:crossBetween val="between"/>
        <c:majorUnit val="5"/>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5682480644693285E-2"/>
          <c:y val="4.6283420700546134E-2"/>
          <c:w val="0.8800434257903692"/>
          <c:h val="0.85135535141440666"/>
        </c:manualLayout>
      </c:layout>
      <c:barChart>
        <c:barDir val="col"/>
        <c:grouping val="clustered"/>
        <c:varyColors val="0"/>
        <c:ser>
          <c:idx val="1"/>
          <c:order val="0"/>
          <c:tx>
            <c:strRef>
              <c:f>'G2.11'!$O$24</c:f>
              <c:strCache>
                <c:ptCount val="1"/>
                <c:pt idx="0">
                  <c:v> 2022</c:v>
                </c:pt>
              </c:strCache>
            </c:strRef>
          </c:tx>
          <c:spPr>
            <a:solidFill>
              <a:srgbClr val="632827"/>
            </a:solidFill>
            <a:ln>
              <a:noFill/>
            </a:ln>
            <a:effectLst/>
          </c:spPr>
          <c:invertIfNegative val="0"/>
          <c:dPt>
            <c:idx val="7"/>
            <c:invertIfNegative val="0"/>
            <c:bubble3D val="0"/>
            <c:spPr>
              <a:solidFill>
                <a:srgbClr val="632827"/>
              </a:solidFill>
              <a:ln w="19050">
                <a:solidFill>
                  <a:schemeClr val="accent1"/>
                </a:solidFill>
              </a:ln>
              <a:effectLst/>
            </c:spPr>
            <c:extLst>
              <c:ext xmlns:c16="http://schemas.microsoft.com/office/drawing/2014/chart" uri="{C3380CC4-5D6E-409C-BE32-E72D297353CC}">
                <c16:uniqueId val="{00000001-5D33-4B7E-B6AC-DFAFFE88CC02}"/>
              </c:ext>
            </c:extLst>
          </c:dPt>
          <c:cat>
            <c:strRef>
              <c:f>'G2.11'!$M$25:$M$39</c:f>
              <c:strCache>
                <c:ptCount val="15"/>
                <c:pt idx="0">
                  <c:v>MSK</c:v>
                </c:pt>
                <c:pt idx="1">
                  <c:v>ZLK</c:v>
                </c:pt>
                <c:pt idx="2">
                  <c:v>OLK</c:v>
                </c:pt>
                <c:pt idx="3">
                  <c:v>VYS</c:v>
                </c:pt>
                <c:pt idx="4">
                  <c:v>JHC</c:v>
                </c:pt>
                <c:pt idx="5">
                  <c:v>KVK</c:v>
                </c:pt>
                <c:pt idx="6">
                  <c:v>JHM</c:v>
                </c:pt>
                <c:pt idx="7">
                  <c:v>ČR</c:v>
                </c:pt>
                <c:pt idx="8">
                  <c:v>ULK</c:v>
                </c:pt>
                <c:pt idx="9">
                  <c:v>PAK</c:v>
                </c:pt>
                <c:pt idx="10">
                  <c:v>PLK</c:v>
                </c:pt>
                <c:pt idx="11">
                  <c:v>HKK</c:v>
                </c:pt>
                <c:pt idx="12">
                  <c:v>STC</c:v>
                </c:pt>
                <c:pt idx="13">
                  <c:v>LBK</c:v>
                </c:pt>
                <c:pt idx="14">
                  <c:v>PHA</c:v>
                </c:pt>
              </c:strCache>
            </c:strRef>
          </c:cat>
          <c:val>
            <c:numRef>
              <c:f>'G2.11'!$O$25:$O$39</c:f>
              <c:numCache>
                <c:formatCode>0.00</c:formatCode>
                <c:ptCount val="15"/>
                <c:pt idx="0">
                  <c:v>31.028910553199999</c:v>
                </c:pt>
                <c:pt idx="1">
                  <c:v>29.837992275400001</c:v>
                </c:pt>
                <c:pt idx="2">
                  <c:v>28.5603138074</c:v>
                </c:pt>
                <c:pt idx="3">
                  <c:v>27.783799790500002</c:v>
                </c:pt>
                <c:pt idx="4">
                  <c:v>27.215228482400001</c:v>
                </c:pt>
                <c:pt idx="5">
                  <c:v>26.784038751699999</c:v>
                </c:pt>
                <c:pt idx="6">
                  <c:v>26.643655090900001</c:v>
                </c:pt>
                <c:pt idx="7">
                  <c:v>26.336974745399999</c:v>
                </c:pt>
                <c:pt idx="8">
                  <c:v>26.143606995700001</c:v>
                </c:pt>
                <c:pt idx="9">
                  <c:v>26.130592396699999</c:v>
                </c:pt>
                <c:pt idx="10">
                  <c:v>25.070275298799999</c:v>
                </c:pt>
                <c:pt idx="11">
                  <c:v>24.848566649399999</c:v>
                </c:pt>
                <c:pt idx="12">
                  <c:v>24.688105518</c:v>
                </c:pt>
                <c:pt idx="13">
                  <c:v>24.683540023399999</c:v>
                </c:pt>
                <c:pt idx="14">
                  <c:v>23.9115752895</c:v>
                </c:pt>
              </c:numCache>
            </c:numRef>
          </c:val>
          <c:extLst>
            <c:ext xmlns:c16="http://schemas.microsoft.com/office/drawing/2014/chart" uri="{C3380CC4-5D6E-409C-BE32-E72D297353CC}">
              <c16:uniqueId val="{00000002-5D33-4B7E-B6AC-DFAFFE88CC02}"/>
            </c:ext>
          </c:extLst>
        </c:ser>
        <c:ser>
          <c:idx val="0"/>
          <c:order val="1"/>
          <c:tx>
            <c:strRef>
              <c:f>'G2.11'!$N$24</c:f>
              <c:strCache>
                <c:ptCount val="1"/>
                <c:pt idx="0">
                  <c:v> 2019</c:v>
                </c:pt>
              </c:strCache>
            </c:strRef>
          </c:tx>
          <c:spPr>
            <a:solidFill>
              <a:srgbClr val="B44946"/>
            </a:solidFill>
            <a:ln>
              <a:noFill/>
            </a:ln>
            <a:effectLst/>
          </c:spPr>
          <c:invertIfNegative val="0"/>
          <c:dPt>
            <c:idx val="7"/>
            <c:invertIfNegative val="0"/>
            <c:bubble3D val="0"/>
            <c:spPr>
              <a:solidFill>
                <a:srgbClr val="B44946"/>
              </a:solidFill>
              <a:ln w="19050">
                <a:solidFill>
                  <a:schemeClr val="accent1"/>
                </a:solidFill>
              </a:ln>
              <a:effectLst/>
            </c:spPr>
            <c:extLst>
              <c:ext xmlns:c16="http://schemas.microsoft.com/office/drawing/2014/chart" uri="{C3380CC4-5D6E-409C-BE32-E72D297353CC}">
                <c16:uniqueId val="{00000004-5D33-4B7E-B6AC-DFAFFE88CC02}"/>
              </c:ext>
            </c:extLst>
          </c:dPt>
          <c:cat>
            <c:strRef>
              <c:f>'G2.11'!$M$25:$M$39</c:f>
              <c:strCache>
                <c:ptCount val="15"/>
                <c:pt idx="0">
                  <c:v>MSK</c:v>
                </c:pt>
                <c:pt idx="1">
                  <c:v>ZLK</c:v>
                </c:pt>
                <c:pt idx="2">
                  <c:v>OLK</c:v>
                </c:pt>
                <c:pt idx="3">
                  <c:v>VYS</c:v>
                </c:pt>
                <c:pt idx="4">
                  <c:v>JHC</c:v>
                </c:pt>
                <c:pt idx="5">
                  <c:v>KVK</c:v>
                </c:pt>
                <c:pt idx="6">
                  <c:v>JHM</c:v>
                </c:pt>
                <c:pt idx="7">
                  <c:v>ČR</c:v>
                </c:pt>
                <c:pt idx="8">
                  <c:v>ULK</c:v>
                </c:pt>
                <c:pt idx="9">
                  <c:v>PAK</c:v>
                </c:pt>
                <c:pt idx="10">
                  <c:v>PLK</c:v>
                </c:pt>
                <c:pt idx="11">
                  <c:v>HKK</c:v>
                </c:pt>
                <c:pt idx="12">
                  <c:v>STC</c:v>
                </c:pt>
                <c:pt idx="13">
                  <c:v>LBK</c:v>
                </c:pt>
                <c:pt idx="14">
                  <c:v>PHA</c:v>
                </c:pt>
              </c:strCache>
            </c:strRef>
          </c:cat>
          <c:val>
            <c:numRef>
              <c:f>'G2.11'!$N$25:$N$39</c:f>
              <c:numCache>
                <c:formatCode>0.0</c:formatCode>
                <c:ptCount val="15"/>
                <c:pt idx="0">
                  <c:v>48.71</c:v>
                </c:pt>
                <c:pt idx="1">
                  <c:v>49.55</c:v>
                </c:pt>
                <c:pt idx="2">
                  <c:v>46.13</c:v>
                </c:pt>
                <c:pt idx="3">
                  <c:v>45.57</c:v>
                </c:pt>
                <c:pt idx="4">
                  <c:v>44.37</c:v>
                </c:pt>
                <c:pt idx="5">
                  <c:v>40.33</c:v>
                </c:pt>
                <c:pt idx="6">
                  <c:v>43.31</c:v>
                </c:pt>
                <c:pt idx="7">
                  <c:v>42.41</c:v>
                </c:pt>
                <c:pt idx="8">
                  <c:v>41.97</c:v>
                </c:pt>
                <c:pt idx="9">
                  <c:v>42.18</c:v>
                </c:pt>
                <c:pt idx="10">
                  <c:v>39.56</c:v>
                </c:pt>
                <c:pt idx="11">
                  <c:v>39.17</c:v>
                </c:pt>
                <c:pt idx="12">
                  <c:v>40.43</c:v>
                </c:pt>
                <c:pt idx="13">
                  <c:v>38.799999999999997</c:v>
                </c:pt>
                <c:pt idx="14">
                  <c:v>38.82</c:v>
                </c:pt>
              </c:numCache>
            </c:numRef>
          </c:val>
          <c:extLst>
            <c:ext xmlns:c16="http://schemas.microsoft.com/office/drawing/2014/chart" uri="{C3380CC4-5D6E-409C-BE32-E72D297353CC}">
              <c16:uniqueId val="{00000005-5D33-4B7E-B6AC-DFAFFE88CC02}"/>
            </c:ext>
          </c:extLst>
        </c:ser>
        <c:dLbls>
          <c:showLegendKey val="0"/>
          <c:showVal val="0"/>
          <c:showCatName val="0"/>
          <c:showSerName val="0"/>
          <c:showPercent val="0"/>
          <c:showBubbleSize val="0"/>
        </c:dLbls>
        <c:gapWidth val="219"/>
        <c:axId val="39956655"/>
        <c:axId val="39965391"/>
      </c:barChart>
      <c:catAx>
        <c:axId val="3995665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39965391"/>
        <c:crosses val="autoZero"/>
        <c:auto val="1"/>
        <c:lblAlgn val="ctr"/>
        <c:lblOffset val="100"/>
        <c:noMultiLvlLbl val="0"/>
      </c:catAx>
      <c:valAx>
        <c:axId val="39965391"/>
        <c:scaling>
          <c:orientation val="minMax"/>
          <c:max val="5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layout>
            <c:manualLayout>
              <c:xMode val="edge"/>
              <c:yMode val="edge"/>
              <c:x val="1.9444444444444445E-2"/>
              <c:y val="0.33505249343832028"/>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39956655"/>
        <c:crosses val="autoZero"/>
        <c:crossBetween val="between"/>
      </c:valAx>
      <c:spPr>
        <a:noFill/>
        <a:ln>
          <a:noFill/>
        </a:ln>
        <a:effectLst/>
      </c:spPr>
    </c:plotArea>
    <c:legend>
      <c:legendPos val="b"/>
      <c:layout>
        <c:manualLayout>
          <c:xMode val="edge"/>
          <c:yMode val="edge"/>
          <c:x val="0.8467435603212915"/>
          <c:y val="3.7713026122431069E-2"/>
          <c:w val="0.12599912510936134"/>
          <c:h val="0.16132217847769029"/>
        </c:manualLayout>
      </c:layout>
      <c:overlay val="0"/>
      <c:spPr>
        <a:solidFill>
          <a:sysClr val="window" lastClr="FFFFFF"/>
        </a:solidFill>
        <a:ln>
          <a:solidFill>
            <a:schemeClr val="bg1">
              <a:lumMod val="8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'G2.12'!$O$26</c:f>
              <c:strCache>
                <c:ptCount val="1"/>
                <c:pt idx="0">
                  <c:v> nemoc</c:v>
                </c:pt>
              </c:strCache>
            </c:strRef>
          </c:tx>
          <c:spPr>
            <a:solidFill>
              <a:srgbClr val="632827"/>
            </a:solidFill>
            <a:ln>
              <a:noFill/>
            </a:ln>
            <a:effectLst/>
          </c:spPr>
          <c:invertIfNegative val="0"/>
          <c:cat>
            <c:multiLvlStrRef>
              <c:f>'G2.12'!$M$27:$N$33</c:f>
              <c:multiLvlStrCache>
                <c:ptCount val="7"/>
                <c:lvl>
                  <c:pt idx="2">
                    <c:v>1–49</c:v>
                  </c:pt>
                  <c:pt idx="3">
                    <c:v>50–99</c:v>
                  </c:pt>
                  <c:pt idx="4">
                    <c:v>100–249</c:v>
                  </c:pt>
                  <c:pt idx="5">
                    <c:v>250–499</c:v>
                  </c:pt>
                  <c:pt idx="6">
                    <c:v>500 a více</c:v>
                  </c:pt>
                </c:lvl>
                <c:lvl>
                  <c:pt idx="0">
                    <c:v>CELKEM</c:v>
                  </c:pt>
                  <c:pt idx="1">
                    <c:v>OSVČ</c:v>
                  </c:pt>
                  <c:pt idx="2">
                    <c:v>zaměstnanci (počet)</c:v>
                  </c:pt>
                </c:lvl>
              </c:multiLvlStrCache>
            </c:multiLvlStrRef>
          </c:cat>
          <c:val>
            <c:numRef>
              <c:f>'G2.12'!$O$27:$O$33</c:f>
              <c:numCache>
                <c:formatCode>0.00</c:formatCode>
                <c:ptCount val="7"/>
                <c:pt idx="0">
                  <c:v>24.438775274000001</c:v>
                </c:pt>
                <c:pt idx="1">
                  <c:v>77.726270974200006</c:v>
                </c:pt>
                <c:pt idx="2">
                  <c:v>27.1692673873</c:v>
                </c:pt>
                <c:pt idx="3">
                  <c:v>21.714442868700001</c:v>
                </c:pt>
                <c:pt idx="4">
                  <c:v>23.594699153499999</c:v>
                </c:pt>
                <c:pt idx="5">
                  <c:v>23.9898680429</c:v>
                </c:pt>
                <c:pt idx="6">
                  <c:v>23.258486283900002</c:v>
                </c:pt>
              </c:numCache>
            </c:numRef>
          </c:val>
          <c:extLst>
            <c:ext xmlns:c16="http://schemas.microsoft.com/office/drawing/2014/chart" uri="{C3380CC4-5D6E-409C-BE32-E72D297353CC}">
              <c16:uniqueId val="{00000000-CD17-4497-B897-57E9E7B34C58}"/>
            </c:ext>
          </c:extLst>
        </c:ser>
        <c:ser>
          <c:idx val="1"/>
          <c:order val="1"/>
          <c:tx>
            <c:strRef>
              <c:f>'G2.12'!$P$26</c:f>
              <c:strCache>
                <c:ptCount val="1"/>
                <c:pt idx="0">
                  <c:v> pracovní úraz</c:v>
                </c:pt>
              </c:strCache>
            </c:strRef>
          </c:tx>
          <c:spPr>
            <a:solidFill>
              <a:srgbClr val="B44946"/>
            </a:solidFill>
            <a:ln>
              <a:noFill/>
            </a:ln>
            <a:effectLst/>
          </c:spPr>
          <c:invertIfNegative val="0"/>
          <c:cat>
            <c:multiLvlStrRef>
              <c:f>'G2.12'!$M$27:$N$33</c:f>
              <c:multiLvlStrCache>
                <c:ptCount val="7"/>
                <c:lvl>
                  <c:pt idx="2">
                    <c:v>1–49</c:v>
                  </c:pt>
                  <c:pt idx="3">
                    <c:v>50–99</c:v>
                  </c:pt>
                  <c:pt idx="4">
                    <c:v>100–249</c:v>
                  </c:pt>
                  <c:pt idx="5">
                    <c:v>250–499</c:v>
                  </c:pt>
                  <c:pt idx="6">
                    <c:v>500 a více</c:v>
                  </c:pt>
                </c:lvl>
                <c:lvl>
                  <c:pt idx="0">
                    <c:v>CELKEM</c:v>
                  </c:pt>
                  <c:pt idx="1">
                    <c:v>OSVČ</c:v>
                  </c:pt>
                  <c:pt idx="2">
                    <c:v>zaměstnanci (počet)</c:v>
                  </c:pt>
                </c:lvl>
              </c:multiLvlStrCache>
            </c:multiLvlStrRef>
          </c:cat>
          <c:val>
            <c:numRef>
              <c:f>'G2.12'!$P$27:$P$33</c:f>
              <c:numCache>
                <c:formatCode>0.00</c:formatCode>
                <c:ptCount val="7"/>
                <c:pt idx="0">
                  <c:v>56.349869978500003</c:v>
                </c:pt>
                <c:pt idx="1">
                  <c:v>88.730103806200006</c:v>
                </c:pt>
                <c:pt idx="2">
                  <c:v>58.685606393299999</c:v>
                </c:pt>
                <c:pt idx="3">
                  <c:v>53.136363636399999</c:v>
                </c:pt>
                <c:pt idx="4">
                  <c:v>52.8558490566</c:v>
                </c:pt>
                <c:pt idx="5">
                  <c:v>53.506175221900001</c:v>
                </c:pt>
                <c:pt idx="6">
                  <c:v>58.2408</c:v>
                </c:pt>
              </c:numCache>
            </c:numRef>
          </c:val>
          <c:extLst>
            <c:ext xmlns:c16="http://schemas.microsoft.com/office/drawing/2014/chart" uri="{C3380CC4-5D6E-409C-BE32-E72D297353CC}">
              <c16:uniqueId val="{00000001-CD17-4497-B897-57E9E7B34C58}"/>
            </c:ext>
          </c:extLst>
        </c:ser>
        <c:ser>
          <c:idx val="2"/>
          <c:order val="2"/>
          <c:tx>
            <c:strRef>
              <c:f>'G2.12'!$Q$26</c:f>
              <c:strCache>
                <c:ptCount val="1"/>
                <c:pt idx="0">
                  <c:v> ostatní úraz</c:v>
                </c:pt>
              </c:strCache>
            </c:strRef>
          </c:tx>
          <c:spPr>
            <a:solidFill>
              <a:srgbClr val="F07373"/>
            </a:solidFill>
            <a:ln>
              <a:noFill/>
            </a:ln>
            <a:effectLst/>
          </c:spPr>
          <c:invertIfNegative val="0"/>
          <c:cat>
            <c:multiLvlStrRef>
              <c:f>'G2.12'!$M$27:$N$33</c:f>
              <c:multiLvlStrCache>
                <c:ptCount val="7"/>
                <c:lvl>
                  <c:pt idx="2">
                    <c:v>1–49</c:v>
                  </c:pt>
                  <c:pt idx="3">
                    <c:v>50–99</c:v>
                  </c:pt>
                  <c:pt idx="4">
                    <c:v>100–249</c:v>
                  </c:pt>
                  <c:pt idx="5">
                    <c:v>250–499</c:v>
                  </c:pt>
                  <c:pt idx="6">
                    <c:v>500 a více</c:v>
                  </c:pt>
                </c:lvl>
                <c:lvl>
                  <c:pt idx="0">
                    <c:v>CELKEM</c:v>
                  </c:pt>
                  <c:pt idx="1">
                    <c:v>OSVČ</c:v>
                  </c:pt>
                  <c:pt idx="2">
                    <c:v>zaměstnanci (počet)</c:v>
                  </c:pt>
                </c:lvl>
              </c:multiLvlStrCache>
            </c:multiLvlStrRef>
          </c:cat>
          <c:val>
            <c:numRef>
              <c:f>'G2.12'!$Q$27:$Q$33</c:f>
              <c:numCache>
                <c:formatCode>0.00</c:formatCode>
                <c:ptCount val="7"/>
                <c:pt idx="0">
                  <c:v>54.201514835700003</c:v>
                </c:pt>
                <c:pt idx="1">
                  <c:v>96.673618734000001</c:v>
                </c:pt>
                <c:pt idx="2">
                  <c:v>60.076938469200002</c:v>
                </c:pt>
                <c:pt idx="3">
                  <c:v>51.681122851300003</c:v>
                </c:pt>
                <c:pt idx="4">
                  <c:v>51.120423306200003</c:v>
                </c:pt>
                <c:pt idx="5">
                  <c:v>50.672818422200002</c:v>
                </c:pt>
                <c:pt idx="6">
                  <c:v>50.388470402099998</c:v>
                </c:pt>
              </c:numCache>
            </c:numRef>
          </c:val>
          <c:extLst>
            <c:ext xmlns:c16="http://schemas.microsoft.com/office/drawing/2014/chart" uri="{C3380CC4-5D6E-409C-BE32-E72D297353CC}">
              <c16:uniqueId val="{00000002-CD17-4497-B897-57E9E7B34C58}"/>
            </c:ext>
          </c:extLst>
        </c:ser>
        <c:dLbls>
          <c:showLegendKey val="0"/>
          <c:showVal val="0"/>
          <c:showCatName val="0"/>
          <c:showSerName val="0"/>
          <c:showPercent val="0"/>
          <c:showBubbleSize val="0"/>
        </c:dLbls>
        <c:gapWidth val="219"/>
        <c:overlap val="-10"/>
        <c:axId val="1541395279"/>
        <c:axId val="1541399855"/>
      </c:barChart>
      <c:catAx>
        <c:axId val="154139527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41399855"/>
        <c:crosses val="autoZero"/>
        <c:auto val="1"/>
        <c:lblAlgn val="ctr"/>
        <c:lblOffset val="100"/>
        <c:noMultiLvlLbl val="0"/>
      </c:catAx>
      <c:valAx>
        <c:axId val="1541399855"/>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dnů</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541395279"/>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0399533996826862"/>
          <c:y val="3.1022028291321353E-2"/>
          <c:w val="0.46924607810618402"/>
          <c:h val="0.90595052464722015"/>
        </c:manualLayout>
      </c:layout>
      <c:barChart>
        <c:barDir val="bar"/>
        <c:grouping val="clustered"/>
        <c:varyColors val="0"/>
        <c:ser>
          <c:idx val="0"/>
          <c:order val="0"/>
          <c:spPr>
            <a:solidFill>
              <a:srgbClr val="B44946"/>
            </a:solidFill>
            <a:ln>
              <a:noFill/>
            </a:ln>
            <a:effectLst/>
          </c:spPr>
          <c:invertIfNegative val="0"/>
          <c:dPt>
            <c:idx val="0"/>
            <c:invertIfNegative val="0"/>
            <c:bubble3D val="0"/>
            <c:spPr>
              <a:solidFill>
                <a:srgbClr val="B44946"/>
              </a:solidFill>
              <a:ln>
                <a:noFill/>
              </a:ln>
              <a:effectLst/>
            </c:spPr>
            <c:extLst>
              <c:ext xmlns:c16="http://schemas.microsoft.com/office/drawing/2014/chart" uri="{C3380CC4-5D6E-409C-BE32-E72D297353CC}">
                <c16:uniqueId val="{00000001-B143-4DF2-A309-E3CE66229419}"/>
              </c:ext>
            </c:extLst>
          </c:dPt>
          <c:dPt>
            <c:idx val="11"/>
            <c:invertIfNegative val="0"/>
            <c:bubble3D val="0"/>
            <c:spPr>
              <a:solidFill>
                <a:srgbClr val="632827"/>
              </a:solidFill>
              <a:ln>
                <a:noFill/>
              </a:ln>
              <a:effectLst/>
            </c:spPr>
            <c:extLst>
              <c:ext xmlns:c16="http://schemas.microsoft.com/office/drawing/2014/chart" uri="{C3380CC4-5D6E-409C-BE32-E72D297353CC}">
                <c16:uniqueId val="{00000003-B143-4DF2-A309-E3CE66229419}"/>
              </c:ext>
            </c:extLst>
          </c:dPt>
          <c:cat>
            <c:strRef>
              <c:f>'G2.13'!$S$2:$S$21</c:f>
              <c:strCache>
                <c:ptCount val="20"/>
                <c:pt idx="0">
                  <c:v>J – Informační a komunikační činnosti</c:v>
                </c:pt>
                <c:pt idx="1">
                  <c:v>K – Peněžnictví a pojišťovnictví</c:v>
                </c:pt>
                <c:pt idx="2">
                  <c:v>M – Profesní, vědecké a technické činnosti</c:v>
                </c:pt>
                <c:pt idx="3">
                  <c:v>L – Činnosti v oblasti nemovitostí</c:v>
                </c:pt>
                <c:pt idx="4">
                  <c:v>D – Výroba a rozvod elektřiny, plynu, tepla a klimatiz. vzduchu</c:v>
                </c:pt>
                <c:pt idx="5">
                  <c:v>R – Kulturní, zábavní a rekreační činnosti</c:v>
                </c:pt>
                <c:pt idx="6">
                  <c:v>P – Vzdělávání</c:v>
                </c:pt>
                <c:pt idx="7">
                  <c:v>O – Veřejná správa a obrana; povinné sociální zabezpečení</c:v>
                </c:pt>
                <c:pt idx="8">
                  <c:v>S – Ostatní činnosti</c:v>
                </c:pt>
                <c:pt idx="9">
                  <c:v>I – Ubytování, stravování a pohostinství</c:v>
                </c:pt>
                <c:pt idx="10">
                  <c:v>F – Stavebnictví</c:v>
                </c:pt>
                <c:pt idx="11">
                  <c:v>CELKEM</c:v>
                </c:pt>
                <c:pt idx="12">
                  <c:v>Q – Zdravotní a sociální péče</c:v>
                </c:pt>
                <c:pt idx="13">
                  <c:v>G – Velkoobchod a maloobchod; opravy a údržba motor. vozidel</c:v>
                </c:pt>
                <c:pt idx="14">
                  <c:v>H – Doprava a skladování</c:v>
                </c:pt>
                <c:pt idx="15">
                  <c:v>A – Zemědělství, lesnictví, rybářství</c:v>
                </c:pt>
                <c:pt idx="16">
                  <c:v>E – Zásobování vodou; činnosti související s odpady a sanacemi</c:v>
                </c:pt>
                <c:pt idx="17">
                  <c:v>N – Administrativní a podpůrné činnosti</c:v>
                </c:pt>
                <c:pt idx="18">
                  <c:v>B – Těžba a dobývání</c:v>
                </c:pt>
                <c:pt idx="19">
                  <c:v>C – Zpracovatelský průmysl</c:v>
                </c:pt>
              </c:strCache>
            </c:strRef>
          </c:cat>
          <c:val>
            <c:numRef>
              <c:f>'G2.13'!$T$2:$T$21</c:f>
              <c:numCache>
                <c:formatCode>0.00</c:formatCode>
                <c:ptCount val="20"/>
                <c:pt idx="0">
                  <c:v>1.7762994609E-2</c:v>
                </c:pt>
                <c:pt idx="1">
                  <c:v>2.4034179926000002E-2</c:v>
                </c:pt>
                <c:pt idx="2">
                  <c:v>2.5078635109000002E-2</c:v>
                </c:pt>
                <c:pt idx="3">
                  <c:v>2.9635327903999999E-2</c:v>
                </c:pt>
                <c:pt idx="4">
                  <c:v>3.4137819468E-2</c:v>
                </c:pt>
                <c:pt idx="5">
                  <c:v>3.6745788878000001E-2</c:v>
                </c:pt>
                <c:pt idx="6">
                  <c:v>4.0058177525999994E-2</c:v>
                </c:pt>
                <c:pt idx="7">
                  <c:v>4.3641265392E-2</c:v>
                </c:pt>
                <c:pt idx="8">
                  <c:v>4.5359772474999997E-2</c:v>
                </c:pt>
                <c:pt idx="9">
                  <c:v>5.1238112145999999E-2</c:v>
                </c:pt>
                <c:pt idx="10">
                  <c:v>5.1965286377E-2</c:v>
                </c:pt>
                <c:pt idx="11">
                  <c:v>5.2546747632999997E-2</c:v>
                </c:pt>
                <c:pt idx="12">
                  <c:v>5.3311381060000003E-2</c:v>
                </c:pt>
                <c:pt idx="13">
                  <c:v>5.3814090225999998E-2</c:v>
                </c:pt>
                <c:pt idx="14">
                  <c:v>5.6497936214999996E-2</c:v>
                </c:pt>
                <c:pt idx="15">
                  <c:v>5.8875862942E-2</c:v>
                </c:pt>
                <c:pt idx="16">
                  <c:v>6.0553339152000001E-2</c:v>
                </c:pt>
                <c:pt idx="17">
                  <c:v>6.1910815905999998E-2</c:v>
                </c:pt>
                <c:pt idx="18">
                  <c:v>6.6469544709000003E-2</c:v>
                </c:pt>
                <c:pt idx="19">
                  <c:v>6.9366041525999997E-2</c:v>
                </c:pt>
              </c:numCache>
            </c:numRef>
          </c:val>
          <c:extLst>
            <c:ext xmlns:c16="http://schemas.microsoft.com/office/drawing/2014/chart" uri="{C3380CC4-5D6E-409C-BE32-E72D297353CC}">
              <c16:uniqueId val="{00000004-B143-4DF2-A309-E3CE66229419}"/>
            </c:ext>
          </c:extLst>
        </c:ser>
        <c:dLbls>
          <c:showLegendKey val="0"/>
          <c:showVal val="0"/>
          <c:showCatName val="0"/>
          <c:showSerName val="0"/>
          <c:showPercent val="0"/>
          <c:showBubbleSize val="0"/>
        </c:dLbls>
        <c:gapWidth val="182"/>
        <c:axId val="1399942447"/>
        <c:axId val="1399957007"/>
      </c:barChart>
      <c:catAx>
        <c:axId val="1399942447"/>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99957007"/>
        <c:crosses val="autoZero"/>
        <c:auto val="1"/>
        <c:lblAlgn val="ctr"/>
        <c:lblOffset val="100"/>
        <c:noMultiLvlLbl val="0"/>
      </c:catAx>
      <c:valAx>
        <c:axId val="1399957007"/>
        <c:scaling>
          <c:orientation val="minMax"/>
          <c:max val="7.0000000000000007E-2"/>
          <c:min val="0"/>
        </c:scaling>
        <c:delete val="0"/>
        <c:axPos val="b"/>
        <c:majorGridlines>
          <c:spPr>
            <a:ln w="9525" cap="flat" cmpd="sng" algn="ctr">
              <a:solidFill>
                <a:schemeClr val="tx1">
                  <a:lumMod val="15000"/>
                  <a:lumOff val="85000"/>
                </a:schemeClr>
              </a:solidFill>
              <a:round/>
            </a:ln>
            <a:effectLst/>
          </c:spPr>
        </c:majorGridlines>
        <c:numFmt formatCode="0\ %"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399942447"/>
        <c:crosses val="autoZero"/>
        <c:crossBetween val="between"/>
        <c:majorUnit val="1.0000000000000002E-2"/>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7442257217847768E-2"/>
          <c:y val="5.0925925925925923E-2"/>
          <c:w val="0.89200218722659663"/>
          <c:h val="0.84225284339457562"/>
        </c:manualLayout>
      </c:layout>
      <c:barChart>
        <c:barDir val="col"/>
        <c:grouping val="clustered"/>
        <c:varyColors val="0"/>
        <c:ser>
          <c:idx val="0"/>
          <c:order val="0"/>
          <c:tx>
            <c:strRef>
              <c:f>'G2.14'!$R$23</c:f>
              <c:strCache>
                <c:ptCount val="1"/>
                <c:pt idx="0">
                  <c:v> 2022</c:v>
                </c:pt>
              </c:strCache>
            </c:strRef>
          </c:tx>
          <c:spPr>
            <a:solidFill>
              <a:srgbClr val="632827"/>
            </a:solidFill>
            <a:ln>
              <a:noFill/>
            </a:ln>
            <a:effectLst/>
          </c:spPr>
          <c:invertIfNegative val="0"/>
          <c:dPt>
            <c:idx val="5"/>
            <c:invertIfNegative val="0"/>
            <c:bubble3D val="0"/>
            <c:spPr>
              <a:solidFill>
                <a:srgbClr val="632827"/>
              </a:solidFill>
              <a:ln w="19050">
                <a:noFill/>
              </a:ln>
              <a:effectLst/>
            </c:spPr>
            <c:extLst>
              <c:ext xmlns:c16="http://schemas.microsoft.com/office/drawing/2014/chart" uri="{C3380CC4-5D6E-409C-BE32-E72D297353CC}">
                <c16:uniqueId val="{00000001-BFC7-4050-B2B3-52EB4D4CB2D8}"/>
              </c:ext>
            </c:extLst>
          </c:dPt>
          <c:dPt>
            <c:idx val="7"/>
            <c:invertIfNegative val="0"/>
            <c:bubble3D val="0"/>
            <c:spPr>
              <a:solidFill>
                <a:srgbClr val="632827"/>
              </a:solidFill>
              <a:ln w="19050">
                <a:noFill/>
              </a:ln>
              <a:effectLst/>
            </c:spPr>
            <c:extLst>
              <c:ext xmlns:c16="http://schemas.microsoft.com/office/drawing/2014/chart" uri="{C3380CC4-5D6E-409C-BE32-E72D297353CC}">
                <c16:uniqueId val="{00000003-BFC7-4050-B2B3-52EB4D4CB2D8}"/>
              </c:ext>
            </c:extLst>
          </c:dPt>
          <c:dPt>
            <c:idx val="12"/>
            <c:invertIfNegative val="0"/>
            <c:bubble3D val="0"/>
            <c:spPr>
              <a:solidFill>
                <a:srgbClr val="632827"/>
              </a:solidFill>
              <a:ln w="19050">
                <a:solidFill>
                  <a:schemeClr val="accent1"/>
                </a:solidFill>
              </a:ln>
              <a:effectLst/>
            </c:spPr>
            <c:extLst>
              <c:ext xmlns:c16="http://schemas.microsoft.com/office/drawing/2014/chart" uri="{C3380CC4-5D6E-409C-BE32-E72D297353CC}">
                <c16:uniqueId val="{00000005-BFC7-4050-B2B3-52EB4D4CB2D8}"/>
              </c:ext>
            </c:extLst>
          </c:dPt>
          <c:cat>
            <c:strRef>
              <c:f>'G2.14'!$Q$24:$Q$38</c:f>
              <c:strCache>
                <c:ptCount val="15"/>
                <c:pt idx="0">
                  <c:v>MSK</c:v>
                </c:pt>
                <c:pt idx="1">
                  <c:v>ZLK</c:v>
                </c:pt>
                <c:pt idx="2">
                  <c:v>LBK</c:v>
                </c:pt>
                <c:pt idx="3">
                  <c:v>OLK</c:v>
                </c:pt>
                <c:pt idx="4">
                  <c:v>ULK</c:v>
                </c:pt>
                <c:pt idx="5">
                  <c:v>VYS</c:v>
                </c:pt>
                <c:pt idx="6">
                  <c:v>JHC</c:v>
                </c:pt>
                <c:pt idx="7">
                  <c:v>PAK</c:v>
                </c:pt>
                <c:pt idx="8">
                  <c:v>KVK</c:v>
                </c:pt>
                <c:pt idx="9">
                  <c:v>PLK</c:v>
                </c:pt>
                <c:pt idx="10">
                  <c:v>HKK</c:v>
                </c:pt>
                <c:pt idx="11">
                  <c:v>STC</c:v>
                </c:pt>
                <c:pt idx="12">
                  <c:v>ČR</c:v>
                </c:pt>
                <c:pt idx="13">
                  <c:v>JHM</c:v>
                </c:pt>
                <c:pt idx="14">
                  <c:v>PHA</c:v>
                </c:pt>
              </c:strCache>
            </c:strRef>
          </c:cat>
          <c:val>
            <c:numRef>
              <c:f>'G2.14'!$R$24:$R$38</c:f>
              <c:numCache>
                <c:formatCode>0.00</c:formatCode>
                <c:ptCount val="15"/>
                <c:pt idx="0">
                  <c:v>6.5884386377000004E-2</c:v>
                </c:pt>
                <c:pt idx="1">
                  <c:v>6.3899506039000006E-2</c:v>
                </c:pt>
                <c:pt idx="2">
                  <c:v>6.0511409493999996E-2</c:v>
                </c:pt>
                <c:pt idx="3">
                  <c:v>6.0142627809000003E-2</c:v>
                </c:pt>
                <c:pt idx="4">
                  <c:v>5.9149140583999997E-2</c:v>
                </c:pt>
                <c:pt idx="5">
                  <c:v>5.9061549279000002E-2</c:v>
                </c:pt>
                <c:pt idx="6">
                  <c:v>5.8413354390999997E-2</c:v>
                </c:pt>
                <c:pt idx="7">
                  <c:v>5.7785705258000003E-2</c:v>
                </c:pt>
                <c:pt idx="8">
                  <c:v>5.7632955023000004E-2</c:v>
                </c:pt>
                <c:pt idx="9">
                  <c:v>5.6954533698999998E-2</c:v>
                </c:pt>
                <c:pt idx="10">
                  <c:v>5.5793709678999999E-2</c:v>
                </c:pt>
                <c:pt idx="11">
                  <c:v>5.3636772411999996E-2</c:v>
                </c:pt>
                <c:pt idx="12">
                  <c:v>5.2546747632999997E-2</c:v>
                </c:pt>
                <c:pt idx="13">
                  <c:v>5.2179681646000002E-2</c:v>
                </c:pt>
                <c:pt idx="14">
                  <c:v>3.7429417538999997E-2</c:v>
                </c:pt>
              </c:numCache>
            </c:numRef>
          </c:val>
          <c:extLst>
            <c:ext xmlns:c16="http://schemas.microsoft.com/office/drawing/2014/chart" uri="{C3380CC4-5D6E-409C-BE32-E72D297353CC}">
              <c16:uniqueId val="{00000006-BFC7-4050-B2B3-52EB4D4CB2D8}"/>
            </c:ext>
          </c:extLst>
        </c:ser>
        <c:ser>
          <c:idx val="1"/>
          <c:order val="1"/>
          <c:tx>
            <c:strRef>
              <c:f>'G2.14'!$S$23</c:f>
              <c:strCache>
                <c:ptCount val="1"/>
                <c:pt idx="0">
                  <c:v> 2019</c:v>
                </c:pt>
              </c:strCache>
            </c:strRef>
          </c:tx>
          <c:spPr>
            <a:solidFill>
              <a:srgbClr val="B44946"/>
            </a:solidFill>
            <a:ln>
              <a:noFill/>
            </a:ln>
            <a:effectLst/>
          </c:spPr>
          <c:invertIfNegative val="0"/>
          <c:dPt>
            <c:idx val="5"/>
            <c:invertIfNegative val="0"/>
            <c:bubble3D val="0"/>
            <c:spPr>
              <a:solidFill>
                <a:srgbClr val="B44946"/>
              </a:solidFill>
              <a:ln w="19050">
                <a:noFill/>
              </a:ln>
              <a:effectLst/>
            </c:spPr>
            <c:extLst>
              <c:ext xmlns:c16="http://schemas.microsoft.com/office/drawing/2014/chart" uri="{C3380CC4-5D6E-409C-BE32-E72D297353CC}">
                <c16:uniqueId val="{00000008-BFC7-4050-B2B3-52EB4D4CB2D8}"/>
              </c:ext>
            </c:extLst>
          </c:dPt>
          <c:dPt>
            <c:idx val="7"/>
            <c:invertIfNegative val="0"/>
            <c:bubble3D val="0"/>
            <c:spPr>
              <a:solidFill>
                <a:srgbClr val="B44946"/>
              </a:solidFill>
              <a:ln w="19050">
                <a:noFill/>
              </a:ln>
              <a:effectLst/>
            </c:spPr>
            <c:extLst>
              <c:ext xmlns:c16="http://schemas.microsoft.com/office/drawing/2014/chart" uri="{C3380CC4-5D6E-409C-BE32-E72D297353CC}">
                <c16:uniqueId val="{0000000A-BFC7-4050-B2B3-52EB4D4CB2D8}"/>
              </c:ext>
            </c:extLst>
          </c:dPt>
          <c:dPt>
            <c:idx val="12"/>
            <c:invertIfNegative val="0"/>
            <c:bubble3D val="0"/>
            <c:spPr>
              <a:solidFill>
                <a:srgbClr val="B44946"/>
              </a:solidFill>
              <a:ln w="19050">
                <a:solidFill>
                  <a:schemeClr val="accent1"/>
                </a:solidFill>
              </a:ln>
              <a:effectLst/>
            </c:spPr>
            <c:extLst>
              <c:ext xmlns:c16="http://schemas.microsoft.com/office/drawing/2014/chart" uri="{C3380CC4-5D6E-409C-BE32-E72D297353CC}">
                <c16:uniqueId val="{0000000C-BFC7-4050-B2B3-52EB4D4CB2D8}"/>
              </c:ext>
            </c:extLst>
          </c:dPt>
          <c:cat>
            <c:strRef>
              <c:f>'G2.14'!$Q$24:$Q$38</c:f>
              <c:strCache>
                <c:ptCount val="15"/>
                <c:pt idx="0">
                  <c:v>MSK</c:v>
                </c:pt>
                <c:pt idx="1">
                  <c:v>ZLK</c:v>
                </c:pt>
                <c:pt idx="2">
                  <c:v>LBK</c:v>
                </c:pt>
                <c:pt idx="3">
                  <c:v>OLK</c:v>
                </c:pt>
                <c:pt idx="4">
                  <c:v>ULK</c:v>
                </c:pt>
                <c:pt idx="5">
                  <c:v>VYS</c:v>
                </c:pt>
                <c:pt idx="6">
                  <c:v>JHC</c:v>
                </c:pt>
                <c:pt idx="7">
                  <c:v>PAK</c:v>
                </c:pt>
                <c:pt idx="8">
                  <c:v>KVK</c:v>
                </c:pt>
                <c:pt idx="9">
                  <c:v>PLK</c:v>
                </c:pt>
                <c:pt idx="10">
                  <c:v>HKK</c:v>
                </c:pt>
                <c:pt idx="11">
                  <c:v>STC</c:v>
                </c:pt>
                <c:pt idx="12">
                  <c:v>ČR</c:v>
                </c:pt>
                <c:pt idx="13">
                  <c:v>JHM</c:v>
                </c:pt>
                <c:pt idx="14">
                  <c:v>PHA</c:v>
                </c:pt>
              </c:strCache>
            </c:strRef>
          </c:cat>
          <c:val>
            <c:numRef>
              <c:f>'G2.14'!$S$24:$S$38</c:f>
              <c:numCache>
                <c:formatCode>0.0</c:formatCode>
                <c:ptCount val="15"/>
                <c:pt idx="0">
                  <c:v>5.7500000000000002E-2</c:v>
                </c:pt>
                <c:pt idx="1">
                  <c:v>5.5999999999999994E-2</c:v>
                </c:pt>
                <c:pt idx="2">
                  <c:v>5.2900000000000003E-2</c:v>
                </c:pt>
                <c:pt idx="3">
                  <c:v>0.05</c:v>
                </c:pt>
                <c:pt idx="4">
                  <c:v>5.0900000000000001E-2</c:v>
                </c:pt>
                <c:pt idx="5">
                  <c:v>5.3499999999999999E-2</c:v>
                </c:pt>
                <c:pt idx="6">
                  <c:v>5.3399999999999996E-2</c:v>
                </c:pt>
                <c:pt idx="7">
                  <c:v>4.9500000000000002E-2</c:v>
                </c:pt>
                <c:pt idx="8">
                  <c:v>5.04E-2</c:v>
                </c:pt>
                <c:pt idx="9">
                  <c:v>5.0300000000000004E-2</c:v>
                </c:pt>
                <c:pt idx="10">
                  <c:v>4.9000000000000002E-2</c:v>
                </c:pt>
                <c:pt idx="11">
                  <c:v>4.8000000000000001E-2</c:v>
                </c:pt>
                <c:pt idx="12">
                  <c:v>4.7E-2</c:v>
                </c:pt>
                <c:pt idx="13">
                  <c:v>4.6100000000000002E-2</c:v>
                </c:pt>
                <c:pt idx="14">
                  <c:v>3.56E-2</c:v>
                </c:pt>
              </c:numCache>
            </c:numRef>
          </c:val>
          <c:extLst>
            <c:ext xmlns:c16="http://schemas.microsoft.com/office/drawing/2014/chart" uri="{C3380CC4-5D6E-409C-BE32-E72D297353CC}">
              <c16:uniqueId val="{0000000D-BFC7-4050-B2B3-52EB4D4CB2D8}"/>
            </c:ext>
          </c:extLst>
        </c:ser>
        <c:dLbls>
          <c:showLegendKey val="0"/>
          <c:showVal val="0"/>
          <c:showCatName val="0"/>
          <c:showSerName val="0"/>
          <c:showPercent val="0"/>
          <c:showBubbleSize val="0"/>
        </c:dLbls>
        <c:gapWidth val="219"/>
        <c:axId val="180492687"/>
        <c:axId val="180497679"/>
      </c:barChart>
      <c:catAx>
        <c:axId val="18049268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80497679"/>
        <c:crosses val="autoZero"/>
        <c:auto val="1"/>
        <c:lblAlgn val="ctr"/>
        <c:lblOffset val="100"/>
        <c:noMultiLvlLbl val="0"/>
      </c:catAx>
      <c:valAx>
        <c:axId val="180497679"/>
        <c:scaling>
          <c:orientation val="minMax"/>
          <c:max val="7.0000000000000007E-2"/>
        </c:scaling>
        <c:delete val="0"/>
        <c:axPos val="l"/>
        <c:majorGridlines>
          <c:spPr>
            <a:ln w="9525" cap="flat" cmpd="sng" algn="ctr">
              <a:solidFill>
                <a:schemeClr val="tx1">
                  <a:lumMod val="15000"/>
                  <a:lumOff val="85000"/>
                </a:schemeClr>
              </a:solidFill>
              <a:round/>
            </a:ln>
            <a:effectLst/>
          </c:spPr>
        </c:majorGridlines>
        <c:numFmt formatCode="0\ %"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80492687"/>
        <c:crosses val="autoZero"/>
        <c:crossBetween val="between"/>
      </c:valAx>
      <c:spPr>
        <a:noFill/>
        <a:ln>
          <a:noFill/>
        </a:ln>
        <a:effectLst/>
      </c:spPr>
    </c:plotArea>
    <c:legend>
      <c:legendPos val="b"/>
      <c:layout>
        <c:manualLayout>
          <c:xMode val="edge"/>
          <c:yMode val="edge"/>
          <c:x val="0.83130119099434174"/>
          <c:y val="6.076334208223972E-2"/>
          <c:w val="0.1469789894353658"/>
          <c:h val="0.15669254884806066"/>
        </c:manualLayout>
      </c:layout>
      <c:overlay val="0"/>
      <c:spPr>
        <a:solidFill>
          <a:sysClr val="window" lastClr="FFFFFF"/>
        </a:solidFill>
        <a:ln>
          <a:solidFill>
            <a:schemeClr val="bg1">
              <a:lumMod val="8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08341162687721"/>
          <c:y val="9.9914832074562129E-2"/>
          <c:w val="0.48817198327486505"/>
          <c:h val="0.80017033585087582"/>
        </c:manualLayout>
      </c:layout>
      <c:pieChart>
        <c:varyColors val="1"/>
        <c:ser>
          <c:idx val="0"/>
          <c:order val="0"/>
          <c:dPt>
            <c:idx val="0"/>
            <c:bubble3D val="0"/>
            <c:spPr>
              <a:solidFill>
                <a:srgbClr val="4E201E"/>
              </a:solidFill>
              <a:ln w="19050">
                <a:solidFill>
                  <a:schemeClr val="lt1"/>
                </a:solidFill>
              </a:ln>
              <a:effectLst/>
            </c:spPr>
            <c:extLst>
              <c:ext xmlns:c16="http://schemas.microsoft.com/office/drawing/2014/chart" uri="{C3380CC4-5D6E-409C-BE32-E72D297353CC}">
                <c16:uniqueId val="{00000001-95B4-42DB-8950-2CA9DAF7BB88}"/>
              </c:ext>
            </c:extLst>
          </c:dPt>
          <c:dPt>
            <c:idx val="1"/>
            <c:bubble3D val="0"/>
            <c:spPr>
              <a:solidFill>
                <a:srgbClr val="722F2C"/>
              </a:solidFill>
              <a:ln w="19050">
                <a:solidFill>
                  <a:schemeClr val="lt1"/>
                </a:solidFill>
              </a:ln>
              <a:effectLst/>
            </c:spPr>
            <c:extLst>
              <c:ext xmlns:c16="http://schemas.microsoft.com/office/drawing/2014/chart" uri="{C3380CC4-5D6E-409C-BE32-E72D297353CC}">
                <c16:uniqueId val="{00000003-95B4-42DB-8950-2CA9DAF7BB88}"/>
              </c:ext>
            </c:extLst>
          </c:dPt>
          <c:dPt>
            <c:idx val="2"/>
            <c:bubble3D val="0"/>
            <c:spPr>
              <a:solidFill>
                <a:srgbClr val="9A403C"/>
              </a:solidFill>
              <a:ln w="19050">
                <a:solidFill>
                  <a:schemeClr val="lt1"/>
                </a:solidFill>
              </a:ln>
              <a:effectLst/>
            </c:spPr>
            <c:extLst>
              <c:ext xmlns:c16="http://schemas.microsoft.com/office/drawing/2014/chart" uri="{C3380CC4-5D6E-409C-BE32-E72D297353CC}">
                <c16:uniqueId val="{00000005-95B4-42DB-8950-2CA9DAF7BB88}"/>
              </c:ext>
            </c:extLst>
          </c:dPt>
          <c:dPt>
            <c:idx val="3"/>
            <c:bubble3D val="0"/>
            <c:spPr>
              <a:solidFill>
                <a:srgbClr val="C36969"/>
              </a:solidFill>
              <a:ln w="19050">
                <a:solidFill>
                  <a:schemeClr val="lt1"/>
                </a:solidFill>
              </a:ln>
              <a:effectLst/>
            </c:spPr>
            <c:extLst>
              <c:ext xmlns:c16="http://schemas.microsoft.com/office/drawing/2014/chart" uri="{C3380CC4-5D6E-409C-BE32-E72D297353CC}">
                <c16:uniqueId val="{00000007-95B4-42DB-8950-2CA9DAF7BB88}"/>
              </c:ext>
            </c:extLst>
          </c:dPt>
          <c:dPt>
            <c:idx val="4"/>
            <c:bubble3D val="0"/>
            <c:spPr>
              <a:solidFill>
                <a:srgbClr val="F07373"/>
              </a:solidFill>
              <a:ln w="19050">
                <a:solidFill>
                  <a:schemeClr val="lt1"/>
                </a:solidFill>
              </a:ln>
              <a:effectLst/>
            </c:spPr>
            <c:extLst>
              <c:ext xmlns:c16="http://schemas.microsoft.com/office/drawing/2014/chart" uri="{C3380CC4-5D6E-409C-BE32-E72D297353CC}">
                <c16:uniqueId val="{00000009-95B4-42DB-8950-2CA9DAF7BB88}"/>
              </c:ext>
            </c:extLst>
          </c:dPt>
          <c:dPt>
            <c:idx val="5"/>
            <c:bubble3D val="0"/>
            <c:spPr>
              <a:solidFill>
                <a:srgbClr val="D79895"/>
              </a:solidFill>
              <a:ln w="19050">
                <a:solidFill>
                  <a:schemeClr val="lt1"/>
                </a:solidFill>
              </a:ln>
              <a:effectLst/>
            </c:spPr>
            <c:extLst>
              <c:ext xmlns:c16="http://schemas.microsoft.com/office/drawing/2014/chart" uri="{C3380CC4-5D6E-409C-BE32-E72D297353CC}">
                <c16:uniqueId val="{0000000B-95B4-42DB-8950-2CA9DAF7BB88}"/>
              </c:ext>
            </c:extLst>
          </c:dPt>
          <c:dPt>
            <c:idx val="6"/>
            <c:bubble3D val="0"/>
            <c:spPr>
              <a:solidFill>
                <a:srgbClr val="FA9696"/>
              </a:solidFill>
              <a:ln w="19050">
                <a:solidFill>
                  <a:schemeClr val="lt1"/>
                </a:solidFill>
              </a:ln>
              <a:effectLst/>
            </c:spPr>
            <c:extLst>
              <c:ext xmlns:c16="http://schemas.microsoft.com/office/drawing/2014/chart" uri="{C3380CC4-5D6E-409C-BE32-E72D297353CC}">
                <c16:uniqueId val="{0000000D-95B4-42DB-8950-2CA9DAF7BB88}"/>
              </c:ext>
            </c:extLst>
          </c:dPt>
          <c:dPt>
            <c:idx val="7"/>
            <c:bubble3D val="0"/>
            <c:spPr>
              <a:solidFill>
                <a:srgbClr val="E2B6B4"/>
              </a:solidFill>
              <a:ln w="19050">
                <a:solidFill>
                  <a:schemeClr val="lt1"/>
                </a:solidFill>
              </a:ln>
              <a:effectLst/>
            </c:spPr>
            <c:extLst>
              <c:ext xmlns:c16="http://schemas.microsoft.com/office/drawing/2014/chart" uri="{C3380CC4-5D6E-409C-BE32-E72D297353CC}">
                <c16:uniqueId val="{0000000F-95B4-42DB-8950-2CA9DAF7BB88}"/>
              </c:ext>
            </c:extLst>
          </c:dPt>
          <c:dPt>
            <c:idx val="8"/>
            <c:bubble3D val="0"/>
            <c:spPr>
              <a:solidFill>
                <a:srgbClr val="EBCDCB"/>
              </a:solidFill>
              <a:ln w="19050">
                <a:solidFill>
                  <a:schemeClr val="lt1"/>
                </a:solidFill>
              </a:ln>
              <a:effectLst/>
            </c:spPr>
            <c:extLst>
              <c:ext xmlns:c16="http://schemas.microsoft.com/office/drawing/2014/chart" uri="{C3380CC4-5D6E-409C-BE32-E72D297353CC}">
                <c16:uniqueId val="{00000011-95B4-42DB-8950-2CA9DAF7BB88}"/>
              </c:ext>
            </c:extLst>
          </c:dPt>
          <c:dPt>
            <c:idx val="9"/>
            <c:bubble3D val="0"/>
            <c:spPr>
              <a:solidFill>
                <a:srgbClr val="F6E7E6"/>
              </a:solidFill>
              <a:ln w="19050">
                <a:solidFill>
                  <a:schemeClr val="lt1"/>
                </a:solidFill>
              </a:ln>
              <a:effectLst/>
            </c:spPr>
            <c:extLst>
              <c:ext xmlns:c16="http://schemas.microsoft.com/office/drawing/2014/chart" uri="{C3380CC4-5D6E-409C-BE32-E72D297353CC}">
                <c16:uniqueId val="{00000013-95B4-42DB-8950-2CA9DAF7BB88}"/>
              </c:ext>
            </c:extLst>
          </c:dPt>
          <c:dPt>
            <c:idx val="10"/>
            <c:bubble3D val="0"/>
            <c:spPr>
              <a:solidFill>
                <a:srgbClr val="D9D9D9"/>
              </a:solidFill>
              <a:ln w="19050">
                <a:solidFill>
                  <a:schemeClr val="lt1"/>
                </a:solidFill>
              </a:ln>
              <a:effectLst/>
            </c:spPr>
            <c:extLst>
              <c:ext xmlns:c16="http://schemas.microsoft.com/office/drawing/2014/chart" uri="{C3380CC4-5D6E-409C-BE32-E72D297353CC}">
                <c16:uniqueId val="{00000015-95B4-42DB-8950-2CA9DAF7BB88}"/>
              </c:ext>
            </c:extLst>
          </c:dPt>
          <c:dPt>
            <c:idx val="11"/>
            <c:bubble3D val="0"/>
            <c:spPr>
              <a:solidFill>
                <a:srgbClr val="BFBFBF"/>
              </a:solidFill>
              <a:ln w="19050">
                <a:solidFill>
                  <a:schemeClr val="lt1"/>
                </a:solidFill>
              </a:ln>
              <a:effectLst/>
            </c:spPr>
            <c:extLst>
              <c:ext xmlns:c16="http://schemas.microsoft.com/office/drawing/2014/chart" uri="{C3380CC4-5D6E-409C-BE32-E72D297353CC}">
                <c16:uniqueId val="{00000017-95B4-42DB-8950-2CA9DAF7BB88}"/>
              </c:ext>
            </c:extLst>
          </c:dPt>
          <c:dLbls>
            <c:dLbl>
              <c:idx val="0"/>
              <c:layout>
                <c:manualLayout>
                  <c:x val="0.16164169425100486"/>
                  <c:y val="8.7269570987599465E-2"/>
                </c:manualLayout>
              </c:layout>
              <c:numFmt formatCode="0\ %" sourceLinked="0"/>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0"/>
              <c:showCatName val="1"/>
              <c:showSerName val="0"/>
              <c:showPercent val="1"/>
              <c:showBubbleSize val="0"/>
              <c:extLst>
                <c:ext xmlns:c15="http://schemas.microsoft.com/office/drawing/2012/chart" uri="{CE6537A1-D6FC-4f65-9D91-7224C49458BB}">
                  <c15:layout>
                    <c:manualLayout>
                      <c:w val="0.14000832772897662"/>
                      <c:h val="0.12083720930232558"/>
                    </c:manualLayout>
                  </c15:layout>
                </c:ext>
                <c:ext xmlns:c16="http://schemas.microsoft.com/office/drawing/2014/chart" uri="{C3380CC4-5D6E-409C-BE32-E72D297353CC}">
                  <c16:uniqueId val="{00000001-95B4-42DB-8950-2CA9DAF7BB88}"/>
                </c:ext>
              </c:extLst>
            </c:dLbl>
            <c:dLbl>
              <c:idx val="1"/>
              <c:layout>
                <c:manualLayout>
                  <c:x val="-4.9560934536321245E-2"/>
                  <c:y val="0.13893176445495103"/>
                </c:manualLayout>
              </c:layout>
              <c:numFmt formatCode="0\ %" sourceLinked="0"/>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3-95B4-42DB-8950-2CA9DAF7BB88}"/>
                </c:ext>
              </c:extLst>
            </c:dLbl>
            <c:dLbl>
              <c:idx val="2"/>
              <c:layout>
                <c:manualLayout>
                  <c:x val="6.2407988065612909E-2"/>
                  <c:y val="-8.9520059992500942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95B4-42DB-8950-2CA9DAF7BB88}"/>
                </c:ext>
              </c:extLst>
            </c:dLbl>
            <c:dLbl>
              <c:idx val="3"/>
              <c:layout>
                <c:manualLayout>
                  <c:x val="0.14258079485239691"/>
                  <c:y val="-0.14486126734158231"/>
                </c:manualLayout>
              </c:layout>
              <c:numFmt formatCode="0\ %" sourceLinked="0"/>
              <c:spPr>
                <a:noFill/>
                <a:ln>
                  <a:noFill/>
                </a:ln>
                <a:effectLst/>
              </c:spPr>
              <c:txPr>
                <a:bodyPr rot="0" spcFirstLastPara="1" vertOverflow="ellipsis" vert="horz" wrap="square" lIns="38100" tIns="19050" rIns="38100" bIns="19050" anchor="ctr" anchorCtr="1">
                  <a:no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0"/>
              <c:showCatName val="1"/>
              <c:showSerName val="0"/>
              <c:showPercent val="1"/>
              <c:showBubbleSize val="0"/>
              <c:extLst>
                <c:ext xmlns:c15="http://schemas.microsoft.com/office/drawing/2012/chart" uri="{CE6537A1-D6FC-4f65-9D91-7224C49458BB}">
                  <c15:layout>
                    <c:manualLayout>
                      <c:w val="0.16671693991175562"/>
                      <c:h val="0.13324019599130241"/>
                    </c:manualLayout>
                  </c15:layout>
                </c:ext>
                <c:ext xmlns:c16="http://schemas.microsoft.com/office/drawing/2014/chart" uri="{C3380CC4-5D6E-409C-BE32-E72D297353CC}">
                  <c16:uniqueId val="{00000007-95B4-42DB-8950-2CA9DAF7BB88}"/>
                </c:ext>
              </c:extLst>
            </c:dLbl>
            <c:dLbl>
              <c:idx val="4"/>
              <c:layout>
                <c:manualLayout>
                  <c:x val="0.16253184164388665"/>
                  <c:y val="-0.11400208902458621"/>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95B4-42DB-8950-2CA9DAF7BB88}"/>
                </c:ext>
              </c:extLst>
            </c:dLbl>
            <c:dLbl>
              <c:idx val="5"/>
              <c:layout>
                <c:manualLayout>
                  <c:x val="0.19167762776280881"/>
                  <c:y val="-6.7934543896298674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95B4-42DB-8950-2CA9DAF7BB88}"/>
                </c:ext>
              </c:extLst>
            </c:dLbl>
            <c:dLbl>
              <c:idx val="6"/>
              <c:layout>
                <c:manualLayout>
                  <c:x val="0.1873020671129535"/>
                  <c:y val="-1.5629117788847822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D-95B4-42DB-8950-2CA9DAF7BB88}"/>
                </c:ext>
              </c:extLst>
            </c:dLbl>
            <c:dLbl>
              <c:idx val="7"/>
              <c:layout>
                <c:manualLayout>
                  <c:x val="0.16350796470009624"/>
                  <c:y val="7.0325673576517214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F-95B4-42DB-8950-2CA9DAF7BB88}"/>
                </c:ext>
              </c:extLst>
            </c:dLbl>
            <c:dLbl>
              <c:idx val="8"/>
              <c:layout>
                <c:manualLayout>
                  <c:x val="0.10880063005197602"/>
                  <c:y val="0.15329396325459305"/>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1-95B4-42DB-8950-2CA9DAF7BB88}"/>
                </c:ext>
              </c:extLst>
            </c:dLbl>
            <c:dLbl>
              <c:idx val="9"/>
              <c:layout>
                <c:manualLayout>
                  <c:x val="0.18454787725097344"/>
                  <c:y val="0.22431008623922011"/>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3-95B4-42DB-8950-2CA9DAF7BB88}"/>
                </c:ext>
              </c:extLst>
            </c:dLbl>
            <c:dLbl>
              <c:idx val="10"/>
              <c:layout>
                <c:manualLayout>
                  <c:x val="0.15302158614277803"/>
                  <c:y val="0.29842707161604798"/>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15-95B4-42DB-8950-2CA9DAF7BB88}"/>
                </c:ext>
              </c:extLst>
            </c:dLbl>
            <c:dLbl>
              <c:idx val="11"/>
              <c:layout>
                <c:manualLayout>
                  <c:x val="-1.0167109849392612E-2"/>
                  <c:y val="-0.24443243691604014"/>
                </c:manualLayout>
              </c:layout>
              <c:tx>
                <c:rich>
                  <a:bodyPr/>
                  <a:lstStyle/>
                  <a:p>
                    <a:fld id="{9EC7617E-0871-4136-946D-9D47FADF0F9A}" type="CATEGORYNAME">
                      <a:rPr lang="en-US"/>
                      <a:pPr/>
                      <a:t>[NÁZEV KATEGORIE]</a:t>
                    </a:fld>
                    <a:r>
                      <a:rPr lang="en-US" baseline="0"/>
                      <a:t>
(vč. karantén)</a:t>
                    </a:r>
                  </a:p>
                  <a:p>
                    <a:fld id="{69E4E9E8-80A9-415F-8F44-31BCB68EA069}" type="PERCENTAGE">
                      <a:rPr lang="en-US" baseline="0"/>
                      <a:pPr/>
                      <a:t>[PROCENTO]</a:t>
                    </a:fld>
                    <a:r>
                      <a:rPr lang="en-US" baseline="0"/>
                      <a:t> </a:t>
                    </a:r>
                  </a:p>
                </c:rich>
              </c:tx>
              <c:showLegendKey val="0"/>
              <c:showVal val="0"/>
              <c:showCatName val="1"/>
              <c:showSerName val="0"/>
              <c:showPercent val="1"/>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17-95B4-42DB-8950-2CA9DAF7BB88}"/>
                </c:ext>
              </c:extLst>
            </c:dLbl>
            <c:numFmt formatCode="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showLegendKey val="0"/>
            <c:showVal val="0"/>
            <c:showCatName val="1"/>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'G3.1'!$A$19:$A$30</c:f>
              <c:strCache>
                <c:ptCount val="12"/>
                <c:pt idx="0">
                  <c:v>nemoci dýchací soustavy</c:v>
                </c:pt>
                <c:pt idx="1">
                  <c:v>nemoci pohybové
 soustavy</c:v>
                </c:pt>
                <c:pt idx="2">
                  <c:v>úrazy, otravy</c:v>
                </c:pt>
                <c:pt idx="3">
                  <c:v>nemoci trávicí soustavy</c:v>
                </c:pt>
                <c:pt idx="4">
                  <c:v>nemoci močové 
a pohlavní soustavy</c:v>
                </c:pt>
                <c:pt idx="5">
                  <c:v>nemoci duševní</c:v>
                </c:pt>
                <c:pt idx="6">
                  <c:v>nemoci oběhové soustavy</c:v>
                </c:pt>
                <c:pt idx="7">
                  <c:v>těhotenství, porod, šestinedělí</c:v>
                </c:pt>
                <c:pt idx="8">
                  <c:v>nemoci nervové soustavy</c:v>
                </c:pt>
                <c:pt idx="9">
                  <c:v>nemoci kůže</c:v>
                </c:pt>
                <c:pt idx="10">
                  <c:v>zhoubné novotvary</c:v>
                </c:pt>
                <c:pt idx="11">
                  <c:v>nemoci ostatní</c:v>
                </c:pt>
              </c:strCache>
            </c:strRef>
          </c:cat>
          <c:val>
            <c:numRef>
              <c:f>'G3.1'!$C$19:$C$30</c:f>
              <c:numCache>
                <c:formatCode>General</c:formatCode>
                <c:ptCount val="12"/>
                <c:pt idx="0">
                  <c:v>0.28079531611238256</c:v>
                </c:pt>
                <c:pt idx="1">
                  <c:v>0.11300768973898637</c:v>
                </c:pt>
                <c:pt idx="2">
                  <c:v>5.9214131713395783E-2</c:v>
                </c:pt>
                <c:pt idx="3">
                  <c:v>4.6623914867177763E-2</c:v>
                </c:pt>
                <c:pt idx="4">
                  <c:v>2.4378764731685237E-2</c:v>
                </c:pt>
                <c:pt idx="5">
                  <c:v>1.607701141534713E-2</c:v>
                </c:pt>
                <c:pt idx="6">
                  <c:v>1.5282614487984856E-2</c:v>
                </c:pt>
                <c:pt idx="7">
                  <c:v>9.7747763995173695E-3</c:v>
                </c:pt>
                <c:pt idx="8">
                  <c:v>9.4300820169013685E-3</c:v>
                </c:pt>
                <c:pt idx="9">
                  <c:v>8.1883095954771445E-3</c:v>
                </c:pt>
                <c:pt idx="10">
                  <c:v>4.6410117085555185E-3</c:v>
                </c:pt>
                <c:pt idx="11">
                  <c:v>0.4125863772125889</c:v>
                </c:pt>
              </c:numCache>
            </c:numRef>
          </c:val>
          <c:extLst>
            <c:ext xmlns:c16="http://schemas.microsoft.com/office/drawing/2014/chart" uri="{C3380CC4-5D6E-409C-BE32-E72D297353CC}">
              <c16:uniqueId val="{00000018-95B4-42DB-8950-2CA9DAF7BB88}"/>
            </c:ext>
          </c:extLst>
        </c:ser>
        <c:dLbls>
          <c:showLegendKey val="0"/>
          <c:showVal val="0"/>
          <c:showCatName val="0"/>
          <c:showSerName val="0"/>
          <c:showPercent val="0"/>
          <c:showBubbleSize val="0"/>
          <c:showLeaderLines val="1"/>
        </c:dLbls>
        <c:firstSliceAng val="249"/>
      </c:pieChart>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'G4.1'!$A$3</c:f>
              <c:strCache>
                <c:ptCount val="1"/>
                <c:pt idx="0">
                  <c:v> nemocenské </c:v>
                </c:pt>
              </c:strCache>
            </c:strRef>
          </c:tx>
          <c:spPr>
            <a:solidFill>
              <a:srgbClr val="B44946"/>
            </a:solidFill>
            <a:ln>
              <a:solidFill>
                <a:srgbClr val="B44946"/>
              </a:solidFill>
            </a:ln>
            <a:effectLst/>
          </c:spPr>
          <c:invertIfNegative val="0"/>
          <c:dLbls>
            <c:numFmt formatCode="#,##0.0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'G4.1'!$B$2:$L$2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'G4.1'!$B$3:$L$3</c:f>
              <c:numCache>
                <c:formatCode>General</c:formatCode>
                <c:ptCount val="11"/>
                <c:pt idx="0">
                  <c:v>11.465</c:v>
                </c:pt>
                <c:pt idx="1">
                  <c:v>12.035</c:v>
                </c:pt>
                <c:pt idx="2">
                  <c:v>13.881</c:v>
                </c:pt>
                <c:pt idx="3">
                  <c:v>15.428000000000001</c:v>
                </c:pt>
                <c:pt idx="4">
                  <c:v>16.984999999999999</c:v>
                </c:pt>
                <c:pt idx="5">
                  <c:v>18.29</c:v>
                </c:pt>
                <c:pt idx="6">
                  <c:v>22.68</c:v>
                </c:pt>
                <c:pt idx="7" formatCode="0.00">
                  <c:v>26.669625022889999</c:v>
                </c:pt>
                <c:pt idx="8" formatCode="#,##0.00">
                  <c:v>32.766449426119998</c:v>
                </c:pt>
                <c:pt idx="9" formatCode="#,##0.00">
                  <c:v>34.037351810419999</c:v>
                </c:pt>
                <c:pt idx="10" formatCode="#,##0.00">
                  <c:v>32.754035904779997</c:v>
                </c:pt>
              </c:numCache>
            </c:numRef>
          </c:val>
          <c:extLst>
            <c:ext xmlns:c16="http://schemas.microsoft.com/office/drawing/2014/chart" uri="{C3380CC4-5D6E-409C-BE32-E72D297353CC}">
              <c16:uniqueId val="{00000000-A555-40CA-8F5E-B72AA4E9B4E7}"/>
            </c:ext>
          </c:extLst>
        </c:ser>
        <c:dLbls>
          <c:showLegendKey val="0"/>
          <c:showVal val="0"/>
          <c:showCatName val="0"/>
          <c:showSerName val="0"/>
          <c:showPercent val="0"/>
          <c:showBubbleSize val="0"/>
        </c:dLbls>
        <c:gapWidth val="64"/>
        <c:overlap val="-27"/>
        <c:axId val="621806511"/>
        <c:axId val="621830639"/>
      </c:barChart>
      <c:lineChart>
        <c:grouping val="stacked"/>
        <c:varyColors val="0"/>
        <c:ser>
          <c:idx val="1"/>
          <c:order val="1"/>
          <c:tx>
            <c:strRef>
              <c:f>'G4.1'!$A$4</c:f>
              <c:strCache>
                <c:ptCount val="1"/>
                <c:pt idx="0">
                  <c:v>výdaje na 1 pojištěnce (Kč)</c:v>
                </c:pt>
              </c:strCache>
            </c:strRef>
          </c:tx>
          <c:spPr>
            <a:ln w="25400" cap="rnd">
              <a:noFill/>
              <a:round/>
            </a:ln>
            <a:effectLst/>
          </c:spPr>
          <c:marker>
            <c:symbol val="circle"/>
            <c:size val="5"/>
            <c:spPr>
              <a:solidFill>
                <a:srgbClr val="632827"/>
              </a:solidFill>
              <a:ln w="9525">
                <a:solidFill>
                  <a:srgbClr val="632827"/>
                </a:solidFill>
              </a:ln>
              <a:effectLst/>
            </c:spPr>
          </c:marker>
          <c:dLbls>
            <c:numFmt formatCode="#,##0"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'G4.1'!$B$2:$L$2</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'G4.1'!$B$4:$L$4</c:f>
              <c:numCache>
                <c:formatCode>General</c:formatCode>
                <c:ptCount val="11"/>
                <c:pt idx="0">
                  <c:v>2563.7935109748923</c:v>
                </c:pt>
                <c:pt idx="1">
                  <c:v>2710.3865797241015</c:v>
                </c:pt>
                <c:pt idx="2">
                  <c:v>3109.5033060733767</c:v>
                </c:pt>
                <c:pt idx="3">
                  <c:v>3423.1104776290813</c:v>
                </c:pt>
                <c:pt idx="4">
                  <c:v>3715.5693990274981</c:v>
                </c:pt>
                <c:pt idx="5">
                  <c:v>3914.9580434067425</c:v>
                </c:pt>
                <c:pt idx="6">
                  <c:v>4792.1527680967365</c:v>
                </c:pt>
                <c:pt idx="7">
                  <c:v>5634.9562735716163</c:v>
                </c:pt>
                <c:pt idx="8">
                  <c:v>6985.8938827470065</c:v>
                </c:pt>
                <c:pt idx="9">
                  <c:v>7229.4310119163056</c:v>
                </c:pt>
                <c:pt idx="10">
                  <c:v>6898.5647360475032</c:v>
                </c:pt>
              </c:numCache>
            </c:numRef>
          </c:val>
          <c:smooth val="0"/>
          <c:extLst>
            <c:ext xmlns:c16="http://schemas.microsoft.com/office/drawing/2014/chart" uri="{C3380CC4-5D6E-409C-BE32-E72D297353CC}">
              <c16:uniqueId val="{00000001-A555-40CA-8F5E-B72AA4E9B4E7}"/>
            </c:ext>
          </c:extLst>
        </c:ser>
        <c:dLbls>
          <c:showLegendKey val="0"/>
          <c:showVal val="0"/>
          <c:showCatName val="0"/>
          <c:showSerName val="0"/>
          <c:showPercent val="0"/>
          <c:showBubbleSize val="0"/>
        </c:dLbls>
        <c:marker val="1"/>
        <c:smooth val="0"/>
        <c:axId val="676338687"/>
        <c:axId val="676332863"/>
      </c:lineChart>
      <c:catAx>
        <c:axId val="62180651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21830639"/>
        <c:crosses val="autoZero"/>
        <c:auto val="1"/>
        <c:lblAlgn val="ctr"/>
        <c:lblOffset val="100"/>
        <c:noMultiLvlLbl val="0"/>
      </c:catAx>
      <c:valAx>
        <c:axId val="621830639"/>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mld. Kč</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21806511"/>
        <c:crosses val="autoZero"/>
        <c:crossBetween val="between"/>
      </c:valAx>
      <c:valAx>
        <c:axId val="676332863"/>
        <c:scaling>
          <c:orientation val="minMax"/>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76338687"/>
        <c:crosses val="max"/>
        <c:crossBetween val="between"/>
      </c:valAx>
      <c:catAx>
        <c:axId val="676338687"/>
        <c:scaling>
          <c:orientation val="minMax"/>
        </c:scaling>
        <c:delete val="1"/>
        <c:axPos val="b"/>
        <c:numFmt formatCode="General" sourceLinked="1"/>
        <c:majorTickMark val="out"/>
        <c:minorTickMark val="none"/>
        <c:tickLblPos val="nextTo"/>
        <c:crossAx val="676332863"/>
        <c:crosses val="autoZero"/>
        <c:auto val="1"/>
        <c:lblAlgn val="ctr"/>
        <c:lblOffset val="100"/>
        <c:noMultiLvlLbl val="0"/>
      </c:cat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'G4.2'!$B$4</c:f>
              <c:strCache>
                <c:ptCount val="1"/>
                <c:pt idx="0">
                  <c:v> karantény či izolace</c:v>
                </c:pt>
              </c:strCache>
            </c:strRef>
          </c:tx>
          <c:spPr>
            <a:solidFill>
              <a:srgbClr val="B44946"/>
            </a:solidFill>
            <a:ln>
              <a:solidFill>
                <a:srgbClr val="B44946"/>
              </a:solidFill>
            </a:ln>
            <a:effectLst/>
          </c:spPr>
          <c:invertIfNegative val="0"/>
          <c:cat>
            <c:strRef>
              <c:f>'G4.2'!$A$5:$A$12</c:f>
              <c:strCache>
                <c:ptCount val="8"/>
                <c:pt idx="0">
                  <c:v>leden</c:v>
                </c:pt>
                <c:pt idx="1">
                  <c:v>únor</c:v>
                </c:pt>
                <c:pt idx="2">
                  <c:v>březen</c:v>
                </c:pt>
                <c:pt idx="3">
                  <c:v>duben</c:v>
                </c:pt>
                <c:pt idx="4">
                  <c:v>květen</c:v>
                </c:pt>
                <c:pt idx="5">
                  <c:v>červen</c:v>
                </c:pt>
                <c:pt idx="6">
                  <c:v>červenec</c:v>
                </c:pt>
                <c:pt idx="7">
                  <c:v>srpen</c:v>
                </c:pt>
              </c:strCache>
            </c:strRef>
          </c:cat>
          <c:val>
            <c:numRef>
              <c:f>'G4.2'!$B$5:$B$12</c:f>
              <c:numCache>
                <c:formatCode>General</c:formatCode>
                <c:ptCount val="8"/>
                <c:pt idx="0">
                  <c:v>318231</c:v>
                </c:pt>
                <c:pt idx="1">
                  <c:v>368342</c:v>
                </c:pt>
                <c:pt idx="2">
                  <c:v>107043</c:v>
                </c:pt>
                <c:pt idx="3">
                  <c:v>38669</c:v>
                </c:pt>
                <c:pt idx="4">
                  <c:v>7951</c:v>
                </c:pt>
                <c:pt idx="5">
                  <c:v>6296</c:v>
                </c:pt>
                <c:pt idx="6">
                  <c:v>27719</c:v>
                </c:pt>
                <c:pt idx="7">
                  <c:v>41359</c:v>
                </c:pt>
              </c:numCache>
            </c:numRef>
          </c:val>
          <c:extLst>
            <c:ext xmlns:c16="http://schemas.microsoft.com/office/drawing/2014/chart" uri="{C3380CC4-5D6E-409C-BE32-E72D297353CC}">
              <c16:uniqueId val="{00000000-203D-47AC-A577-3D1747478E91}"/>
            </c:ext>
          </c:extLst>
        </c:ser>
        <c:dLbls>
          <c:showLegendKey val="0"/>
          <c:showVal val="0"/>
          <c:showCatName val="0"/>
          <c:showSerName val="0"/>
          <c:showPercent val="0"/>
          <c:showBubbleSize val="0"/>
        </c:dLbls>
        <c:gapWidth val="54"/>
        <c:overlap val="-27"/>
        <c:axId val="206616559"/>
        <c:axId val="201900655"/>
      </c:barChart>
      <c:scatterChart>
        <c:scatterStyle val="lineMarker"/>
        <c:varyColors val="0"/>
        <c:ser>
          <c:idx val="1"/>
          <c:order val="1"/>
          <c:tx>
            <c:strRef>
              <c:f>'G4.2'!$C$4</c:f>
              <c:strCache>
                <c:ptCount val="1"/>
                <c:pt idx="0">
                  <c:v> podíl na počtu vydaných neschopenek</c:v>
                </c:pt>
              </c:strCache>
            </c:strRef>
          </c:tx>
          <c:spPr>
            <a:ln w="25400" cap="rnd">
              <a:noFill/>
              <a:round/>
            </a:ln>
            <a:effectLst/>
          </c:spPr>
          <c:marker>
            <c:symbol val="circle"/>
            <c:size val="5"/>
            <c:spPr>
              <a:solidFill>
                <a:srgbClr val="632827"/>
              </a:solidFill>
              <a:ln w="9525">
                <a:solidFill>
                  <a:schemeClr val="tx1"/>
                </a:solidFill>
              </a:ln>
              <a:effectLst/>
            </c:spPr>
          </c:marker>
          <c:dLbls>
            <c:numFmt formatCode="0\ %" sourceLinked="0"/>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xVal>
            <c:strRef>
              <c:f>'G4.2'!$A$5:$A$12</c:f>
              <c:strCache>
                <c:ptCount val="8"/>
                <c:pt idx="0">
                  <c:v>leden</c:v>
                </c:pt>
                <c:pt idx="1">
                  <c:v>únor</c:v>
                </c:pt>
                <c:pt idx="2">
                  <c:v>březen</c:v>
                </c:pt>
                <c:pt idx="3">
                  <c:v>duben</c:v>
                </c:pt>
                <c:pt idx="4">
                  <c:v>květen</c:v>
                </c:pt>
                <c:pt idx="5">
                  <c:v>červen</c:v>
                </c:pt>
                <c:pt idx="6">
                  <c:v>červenec</c:v>
                </c:pt>
                <c:pt idx="7">
                  <c:v>srpen</c:v>
                </c:pt>
              </c:strCache>
            </c:strRef>
          </c:xVal>
          <c:yVal>
            <c:numRef>
              <c:f>'G4.2'!$C$5:$C$12</c:f>
              <c:numCache>
                <c:formatCode>General</c:formatCode>
                <c:ptCount val="8"/>
                <c:pt idx="0">
                  <c:v>0.53482224186668725</c:v>
                </c:pt>
                <c:pt idx="1">
                  <c:v>0.58862389895296663</c:v>
                </c:pt>
                <c:pt idx="2">
                  <c:v>0.29107387587287087</c:v>
                </c:pt>
                <c:pt idx="3">
                  <c:v>0.15745668505812652</c:v>
                </c:pt>
                <c:pt idx="4">
                  <c:v>3.8788014791254037E-2</c:v>
                </c:pt>
                <c:pt idx="5">
                  <c:v>3.4910284560959924E-2</c:v>
                </c:pt>
                <c:pt idx="6">
                  <c:v>0.17096879645220781</c:v>
                </c:pt>
                <c:pt idx="7">
                  <c:v>0.19434159085783023</c:v>
                </c:pt>
              </c:numCache>
            </c:numRef>
          </c:yVal>
          <c:smooth val="0"/>
          <c:extLst>
            <c:ext xmlns:c16="http://schemas.microsoft.com/office/drawing/2014/chart" uri="{C3380CC4-5D6E-409C-BE32-E72D297353CC}">
              <c16:uniqueId val="{00000001-203D-47AC-A577-3D1747478E91}"/>
            </c:ext>
          </c:extLst>
        </c:ser>
        <c:dLbls>
          <c:showLegendKey val="0"/>
          <c:showVal val="0"/>
          <c:showCatName val="0"/>
          <c:showSerName val="0"/>
          <c:showPercent val="0"/>
          <c:showBubbleSize val="0"/>
        </c:dLbls>
        <c:axId val="209150511"/>
        <c:axId val="209158831"/>
      </c:scatterChart>
      <c:catAx>
        <c:axId val="20661655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201900655"/>
        <c:crosses val="autoZero"/>
        <c:auto val="1"/>
        <c:lblAlgn val="ctr"/>
        <c:lblOffset val="100"/>
        <c:noMultiLvlLbl val="0"/>
      </c:catAx>
      <c:valAx>
        <c:axId val="201900655"/>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206616559"/>
        <c:crosses val="autoZero"/>
        <c:crossBetween val="between"/>
      </c:valAx>
      <c:valAx>
        <c:axId val="209158831"/>
        <c:scaling>
          <c:orientation val="minMax"/>
          <c:max val="1"/>
        </c:scaling>
        <c:delete val="0"/>
        <c:axPos val="r"/>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bg1"/>
                </a:solidFill>
                <a:latin typeface="Arial" panose="020B0604020202020204" pitchFamily="34" charset="0"/>
                <a:ea typeface="+mn-ea"/>
                <a:cs typeface="Arial" panose="020B0604020202020204" pitchFamily="34" charset="0"/>
              </a:defRPr>
            </a:pPr>
            <a:endParaRPr lang="cs-CZ"/>
          </a:p>
        </c:txPr>
        <c:crossAx val="209150511"/>
        <c:crosses val="max"/>
        <c:crossBetween val="midCat"/>
      </c:valAx>
      <c:valAx>
        <c:axId val="209150511"/>
        <c:scaling>
          <c:orientation val="minMax"/>
        </c:scaling>
        <c:delete val="1"/>
        <c:axPos val="b"/>
        <c:numFmt formatCode="General" sourceLinked="1"/>
        <c:majorTickMark val="out"/>
        <c:minorTickMark val="none"/>
        <c:tickLblPos val="nextTo"/>
        <c:crossAx val="209158831"/>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0748830047219989E-2"/>
          <c:y val="2.0786933927245732E-2"/>
          <c:w val="0.92505287011339421"/>
          <c:h val="0.87529850528149455"/>
        </c:manualLayout>
      </c:layout>
      <c:lineChart>
        <c:grouping val="standard"/>
        <c:varyColors val="0"/>
        <c:ser>
          <c:idx val="0"/>
          <c:order val="0"/>
          <c:tx>
            <c:strRef>
              <c:f>'G4.3'!$C$2</c:f>
              <c:strCache>
                <c:ptCount val="1"/>
                <c:pt idx="0">
                  <c:v> 2021</c:v>
                </c:pt>
              </c:strCache>
            </c:strRef>
          </c:tx>
          <c:spPr>
            <a:ln w="28575" cap="rnd">
              <a:solidFill>
                <a:srgbClr val="B44946"/>
              </a:solidFill>
              <a:round/>
            </a:ln>
            <a:effectLst/>
          </c:spPr>
          <c:marker>
            <c:symbol val="none"/>
          </c:marker>
          <c:cat>
            <c:strRef>
              <c:f>'G4.3'!$A$3:$A$367</c:f>
              <c:strCache>
                <c:ptCount val="365"/>
                <c:pt idx="0">
                  <c:v>01.01.</c:v>
                </c:pt>
                <c:pt idx="1">
                  <c:v>02.01.</c:v>
                </c:pt>
                <c:pt idx="2">
                  <c:v>03.01.</c:v>
                </c:pt>
                <c:pt idx="3">
                  <c:v>04.01.</c:v>
                </c:pt>
                <c:pt idx="4">
                  <c:v>05.01.</c:v>
                </c:pt>
                <c:pt idx="5">
                  <c:v>06.01.</c:v>
                </c:pt>
                <c:pt idx="6">
                  <c:v>07.01.</c:v>
                </c:pt>
                <c:pt idx="7">
                  <c:v>08.01.</c:v>
                </c:pt>
                <c:pt idx="8">
                  <c:v>09.01.</c:v>
                </c:pt>
                <c:pt idx="9">
                  <c:v>10.01.</c:v>
                </c:pt>
                <c:pt idx="10">
                  <c:v>11.01.</c:v>
                </c:pt>
                <c:pt idx="11">
                  <c:v>12.01.</c:v>
                </c:pt>
                <c:pt idx="12">
                  <c:v>13.01.</c:v>
                </c:pt>
                <c:pt idx="13">
                  <c:v>14.01.</c:v>
                </c:pt>
                <c:pt idx="14">
                  <c:v>15.01.</c:v>
                </c:pt>
                <c:pt idx="15">
                  <c:v>16.01.</c:v>
                </c:pt>
                <c:pt idx="16">
                  <c:v>17.01.</c:v>
                </c:pt>
                <c:pt idx="17">
                  <c:v>18.01.</c:v>
                </c:pt>
                <c:pt idx="18">
                  <c:v>19.01.</c:v>
                </c:pt>
                <c:pt idx="19">
                  <c:v>20.01.</c:v>
                </c:pt>
                <c:pt idx="20">
                  <c:v>21.01.</c:v>
                </c:pt>
                <c:pt idx="21">
                  <c:v>22.01.</c:v>
                </c:pt>
                <c:pt idx="22">
                  <c:v>23.01.</c:v>
                </c:pt>
                <c:pt idx="23">
                  <c:v>24.01.</c:v>
                </c:pt>
                <c:pt idx="24">
                  <c:v>25.01.</c:v>
                </c:pt>
                <c:pt idx="25">
                  <c:v>26.01.</c:v>
                </c:pt>
                <c:pt idx="26">
                  <c:v>27.01.</c:v>
                </c:pt>
                <c:pt idx="27">
                  <c:v>28.01.</c:v>
                </c:pt>
                <c:pt idx="28">
                  <c:v>29.01.</c:v>
                </c:pt>
                <c:pt idx="29">
                  <c:v>30.01.</c:v>
                </c:pt>
                <c:pt idx="30">
                  <c:v>31.01.</c:v>
                </c:pt>
                <c:pt idx="31">
                  <c:v>01.02.</c:v>
                </c:pt>
                <c:pt idx="32">
                  <c:v>02.02.</c:v>
                </c:pt>
                <c:pt idx="33">
                  <c:v>03.02.</c:v>
                </c:pt>
                <c:pt idx="34">
                  <c:v>04.02.</c:v>
                </c:pt>
                <c:pt idx="35">
                  <c:v>05.02.</c:v>
                </c:pt>
                <c:pt idx="36">
                  <c:v>06.02.</c:v>
                </c:pt>
                <c:pt idx="37">
                  <c:v>07.02.</c:v>
                </c:pt>
                <c:pt idx="38">
                  <c:v>08.02.</c:v>
                </c:pt>
                <c:pt idx="39">
                  <c:v>09.02.</c:v>
                </c:pt>
                <c:pt idx="40">
                  <c:v>10.02.</c:v>
                </c:pt>
                <c:pt idx="41">
                  <c:v>11.02.</c:v>
                </c:pt>
                <c:pt idx="42">
                  <c:v>12.02.</c:v>
                </c:pt>
                <c:pt idx="43">
                  <c:v>13.02.</c:v>
                </c:pt>
                <c:pt idx="44">
                  <c:v>14.02.</c:v>
                </c:pt>
                <c:pt idx="45">
                  <c:v>15.02.</c:v>
                </c:pt>
                <c:pt idx="46">
                  <c:v>16.02.</c:v>
                </c:pt>
                <c:pt idx="47">
                  <c:v>17.02.</c:v>
                </c:pt>
                <c:pt idx="48">
                  <c:v>18.02.</c:v>
                </c:pt>
                <c:pt idx="49">
                  <c:v>19.02.</c:v>
                </c:pt>
                <c:pt idx="50">
                  <c:v>20.02.</c:v>
                </c:pt>
                <c:pt idx="51">
                  <c:v>21.02.</c:v>
                </c:pt>
                <c:pt idx="52">
                  <c:v>22.02.</c:v>
                </c:pt>
                <c:pt idx="53">
                  <c:v>23.02.</c:v>
                </c:pt>
                <c:pt idx="54">
                  <c:v>24.02.</c:v>
                </c:pt>
                <c:pt idx="55">
                  <c:v>25.02.</c:v>
                </c:pt>
                <c:pt idx="56">
                  <c:v>26.02.</c:v>
                </c:pt>
                <c:pt idx="57">
                  <c:v>27.02.</c:v>
                </c:pt>
                <c:pt idx="58">
                  <c:v>28.02.</c:v>
                </c:pt>
                <c:pt idx="59">
                  <c:v>01.03.</c:v>
                </c:pt>
                <c:pt idx="60">
                  <c:v>02.03.</c:v>
                </c:pt>
                <c:pt idx="61">
                  <c:v>03.03.</c:v>
                </c:pt>
                <c:pt idx="62">
                  <c:v>04.03.</c:v>
                </c:pt>
                <c:pt idx="63">
                  <c:v>05.03.</c:v>
                </c:pt>
                <c:pt idx="64">
                  <c:v>06.03.</c:v>
                </c:pt>
                <c:pt idx="65">
                  <c:v>07.03.</c:v>
                </c:pt>
                <c:pt idx="66">
                  <c:v>08.03.</c:v>
                </c:pt>
                <c:pt idx="67">
                  <c:v>09.03.</c:v>
                </c:pt>
                <c:pt idx="68">
                  <c:v>10.03.</c:v>
                </c:pt>
                <c:pt idx="69">
                  <c:v>11.03.</c:v>
                </c:pt>
                <c:pt idx="70">
                  <c:v>12.03.</c:v>
                </c:pt>
                <c:pt idx="71">
                  <c:v>13.03.</c:v>
                </c:pt>
                <c:pt idx="72">
                  <c:v>14.03.</c:v>
                </c:pt>
                <c:pt idx="73">
                  <c:v>15.03.</c:v>
                </c:pt>
                <c:pt idx="74">
                  <c:v>16.03.</c:v>
                </c:pt>
                <c:pt idx="75">
                  <c:v>17.03.</c:v>
                </c:pt>
                <c:pt idx="76">
                  <c:v>18.03.</c:v>
                </c:pt>
                <c:pt idx="77">
                  <c:v>19.03.</c:v>
                </c:pt>
                <c:pt idx="78">
                  <c:v>20.03.</c:v>
                </c:pt>
                <c:pt idx="79">
                  <c:v>21.03.</c:v>
                </c:pt>
                <c:pt idx="80">
                  <c:v>22.03.</c:v>
                </c:pt>
                <c:pt idx="81">
                  <c:v>23.03.</c:v>
                </c:pt>
                <c:pt idx="82">
                  <c:v>24.03.</c:v>
                </c:pt>
                <c:pt idx="83">
                  <c:v>25.03.</c:v>
                </c:pt>
                <c:pt idx="84">
                  <c:v>26.03.</c:v>
                </c:pt>
                <c:pt idx="85">
                  <c:v>27.03.</c:v>
                </c:pt>
                <c:pt idx="86">
                  <c:v>28.03.</c:v>
                </c:pt>
                <c:pt idx="87">
                  <c:v>29.03.</c:v>
                </c:pt>
                <c:pt idx="88">
                  <c:v>30.03.</c:v>
                </c:pt>
                <c:pt idx="89">
                  <c:v>31.03.</c:v>
                </c:pt>
                <c:pt idx="90">
                  <c:v>01.04.</c:v>
                </c:pt>
                <c:pt idx="91">
                  <c:v>02.04.</c:v>
                </c:pt>
                <c:pt idx="92">
                  <c:v>03.04.</c:v>
                </c:pt>
                <c:pt idx="93">
                  <c:v>04.04.</c:v>
                </c:pt>
                <c:pt idx="94">
                  <c:v>05.04.</c:v>
                </c:pt>
                <c:pt idx="95">
                  <c:v>06.04.</c:v>
                </c:pt>
                <c:pt idx="96">
                  <c:v>07.04.</c:v>
                </c:pt>
                <c:pt idx="97">
                  <c:v>08.04.</c:v>
                </c:pt>
                <c:pt idx="98">
                  <c:v>09.04.</c:v>
                </c:pt>
                <c:pt idx="99">
                  <c:v>10.04.</c:v>
                </c:pt>
                <c:pt idx="100">
                  <c:v>11.04.</c:v>
                </c:pt>
                <c:pt idx="101">
                  <c:v>12.04.</c:v>
                </c:pt>
                <c:pt idx="102">
                  <c:v>13.04.</c:v>
                </c:pt>
                <c:pt idx="103">
                  <c:v>14.04.</c:v>
                </c:pt>
                <c:pt idx="104">
                  <c:v>15.04.</c:v>
                </c:pt>
                <c:pt idx="105">
                  <c:v>16.04.</c:v>
                </c:pt>
                <c:pt idx="106">
                  <c:v>17.04.</c:v>
                </c:pt>
                <c:pt idx="107">
                  <c:v>18.04.</c:v>
                </c:pt>
                <c:pt idx="108">
                  <c:v>19.04.</c:v>
                </c:pt>
                <c:pt idx="109">
                  <c:v>20.04.</c:v>
                </c:pt>
                <c:pt idx="110">
                  <c:v>21.04.</c:v>
                </c:pt>
                <c:pt idx="111">
                  <c:v>22.04.</c:v>
                </c:pt>
                <c:pt idx="112">
                  <c:v>23.04.</c:v>
                </c:pt>
                <c:pt idx="113">
                  <c:v>24.04.</c:v>
                </c:pt>
                <c:pt idx="114">
                  <c:v>25.04.</c:v>
                </c:pt>
                <c:pt idx="115">
                  <c:v>26.04.</c:v>
                </c:pt>
                <c:pt idx="116">
                  <c:v>27.04.</c:v>
                </c:pt>
                <c:pt idx="117">
                  <c:v>28.04.</c:v>
                </c:pt>
                <c:pt idx="118">
                  <c:v>29.04.</c:v>
                </c:pt>
                <c:pt idx="119">
                  <c:v>30.04.</c:v>
                </c:pt>
                <c:pt idx="120">
                  <c:v>01.05.</c:v>
                </c:pt>
                <c:pt idx="121">
                  <c:v>02.05.</c:v>
                </c:pt>
                <c:pt idx="122">
                  <c:v>03.05.</c:v>
                </c:pt>
                <c:pt idx="123">
                  <c:v>04.05.</c:v>
                </c:pt>
                <c:pt idx="124">
                  <c:v>05.05.</c:v>
                </c:pt>
                <c:pt idx="125">
                  <c:v>06.05.</c:v>
                </c:pt>
                <c:pt idx="126">
                  <c:v>07.05.</c:v>
                </c:pt>
                <c:pt idx="127">
                  <c:v>08.05.</c:v>
                </c:pt>
                <c:pt idx="128">
                  <c:v>09.05.</c:v>
                </c:pt>
                <c:pt idx="129">
                  <c:v>10.05.</c:v>
                </c:pt>
                <c:pt idx="130">
                  <c:v>11.05.</c:v>
                </c:pt>
                <c:pt idx="131">
                  <c:v>12.05.</c:v>
                </c:pt>
                <c:pt idx="132">
                  <c:v>13.05.</c:v>
                </c:pt>
                <c:pt idx="133">
                  <c:v>14.05.</c:v>
                </c:pt>
                <c:pt idx="134">
                  <c:v>15.05.</c:v>
                </c:pt>
                <c:pt idx="135">
                  <c:v>16.05.</c:v>
                </c:pt>
                <c:pt idx="136">
                  <c:v>17.05.</c:v>
                </c:pt>
                <c:pt idx="137">
                  <c:v>18.05.</c:v>
                </c:pt>
                <c:pt idx="138">
                  <c:v>19.05.</c:v>
                </c:pt>
                <c:pt idx="139">
                  <c:v>20.05.</c:v>
                </c:pt>
                <c:pt idx="140">
                  <c:v>21.05.</c:v>
                </c:pt>
                <c:pt idx="141">
                  <c:v>22.05.</c:v>
                </c:pt>
                <c:pt idx="142">
                  <c:v>23.05.</c:v>
                </c:pt>
                <c:pt idx="143">
                  <c:v>24.05.</c:v>
                </c:pt>
                <c:pt idx="144">
                  <c:v>25.05.</c:v>
                </c:pt>
                <c:pt idx="145">
                  <c:v>26.05.</c:v>
                </c:pt>
                <c:pt idx="146">
                  <c:v>27.05.</c:v>
                </c:pt>
                <c:pt idx="147">
                  <c:v>28.05.</c:v>
                </c:pt>
                <c:pt idx="148">
                  <c:v>29.05.</c:v>
                </c:pt>
                <c:pt idx="149">
                  <c:v>30.05.</c:v>
                </c:pt>
                <c:pt idx="150">
                  <c:v>31.05.</c:v>
                </c:pt>
                <c:pt idx="151">
                  <c:v>01.06.</c:v>
                </c:pt>
                <c:pt idx="152">
                  <c:v>02.06.</c:v>
                </c:pt>
                <c:pt idx="153">
                  <c:v>03.06.</c:v>
                </c:pt>
                <c:pt idx="154">
                  <c:v>04.06.</c:v>
                </c:pt>
                <c:pt idx="155">
                  <c:v>05.06.</c:v>
                </c:pt>
                <c:pt idx="156">
                  <c:v>06.06.</c:v>
                </c:pt>
                <c:pt idx="157">
                  <c:v>07.06.</c:v>
                </c:pt>
                <c:pt idx="158">
                  <c:v>08.06.</c:v>
                </c:pt>
                <c:pt idx="159">
                  <c:v>09.06.</c:v>
                </c:pt>
                <c:pt idx="160">
                  <c:v>10.06.</c:v>
                </c:pt>
                <c:pt idx="161">
                  <c:v>11.06.</c:v>
                </c:pt>
                <c:pt idx="162">
                  <c:v>12.06.</c:v>
                </c:pt>
                <c:pt idx="163">
                  <c:v>13.06.</c:v>
                </c:pt>
                <c:pt idx="164">
                  <c:v>14.06.</c:v>
                </c:pt>
                <c:pt idx="165">
                  <c:v>15.06.</c:v>
                </c:pt>
                <c:pt idx="166">
                  <c:v>16.06.</c:v>
                </c:pt>
                <c:pt idx="167">
                  <c:v>17.06.</c:v>
                </c:pt>
                <c:pt idx="168">
                  <c:v>18.06.</c:v>
                </c:pt>
                <c:pt idx="169">
                  <c:v>19.06.</c:v>
                </c:pt>
                <c:pt idx="170">
                  <c:v>20.06.</c:v>
                </c:pt>
                <c:pt idx="171">
                  <c:v>21.06.</c:v>
                </c:pt>
                <c:pt idx="172">
                  <c:v>22.06.</c:v>
                </c:pt>
                <c:pt idx="173">
                  <c:v>23.06.</c:v>
                </c:pt>
                <c:pt idx="174">
                  <c:v>24.06.</c:v>
                </c:pt>
                <c:pt idx="175">
                  <c:v>25.06.</c:v>
                </c:pt>
                <c:pt idx="176">
                  <c:v>26.06.</c:v>
                </c:pt>
                <c:pt idx="177">
                  <c:v>27.06.</c:v>
                </c:pt>
                <c:pt idx="178">
                  <c:v>28.06.</c:v>
                </c:pt>
                <c:pt idx="179">
                  <c:v>29.06.</c:v>
                </c:pt>
                <c:pt idx="180">
                  <c:v>30.06.</c:v>
                </c:pt>
                <c:pt idx="181">
                  <c:v>01.07.</c:v>
                </c:pt>
                <c:pt idx="182">
                  <c:v>02.07.</c:v>
                </c:pt>
                <c:pt idx="183">
                  <c:v>03.07.</c:v>
                </c:pt>
                <c:pt idx="184">
                  <c:v>04.07.</c:v>
                </c:pt>
                <c:pt idx="185">
                  <c:v>05.07.</c:v>
                </c:pt>
                <c:pt idx="186">
                  <c:v>06.07.</c:v>
                </c:pt>
                <c:pt idx="187">
                  <c:v>07.07.</c:v>
                </c:pt>
                <c:pt idx="188">
                  <c:v>08.07.</c:v>
                </c:pt>
                <c:pt idx="189">
                  <c:v>09.07.</c:v>
                </c:pt>
                <c:pt idx="190">
                  <c:v>10.07.</c:v>
                </c:pt>
                <c:pt idx="191">
                  <c:v>11.07.</c:v>
                </c:pt>
                <c:pt idx="192">
                  <c:v>12.07.</c:v>
                </c:pt>
                <c:pt idx="193">
                  <c:v>13.07.</c:v>
                </c:pt>
                <c:pt idx="194">
                  <c:v>14.07.</c:v>
                </c:pt>
                <c:pt idx="195">
                  <c:v>15.07.</c:v>
                </c:pt>
                <c:pt idx="196">
                  <c:v>16.07.</c:v>
                </c:pt>
                <c:pt idx="197">
                  <c:v>17.07.</c:v>
                </c:pt>
                <c:pt idx="198">
                  <c:v>18.07.</c:v>
                </c:pt>
                <c:pt idx="199">
                  <c:v>19.07.</c:v>
                </c:pt>
                <c:pt idx="200">
                  <c:v>20.07.</c:v>
                </c:pt>
                <c:pt idx="201">
                  <c:v>21.07.</c:v>
                </c:pt>
                <c:pt idx="202">
                  <c:v>22.07.</c:v>
                </c:pt>
                <c:pt idx="203">
                  <c:v>23.07.</c:v>
                </c:pt>
                <c:pt idx="204">
                  <c:v>24.07.</c:v>
                </c:pt>
                <c:pt idx="205">
                  <c:v>25.07.</c:v>
                </c:pt>
                <c:pt idx="206">
                  <c:v>26.07.</c:v>
                </c:pt>
                <c:pt idx="207">
                  <c:v>27.07.</c:v>
                </c:pt>
                <c:pt idx="208">
                  <c:v>28.07.</c:v>
                </c:pt>
                <c:pt idx="209">
                  <c:v>29.07.</c:v>
                </c:pt>
                <c:pt idx="210">
                  <c:v>30.07.</c:v>
                </c:pt>
                <c:pt idx="211">
                  <c:v>31.07.</c:v>
                </c:pt>
                <c:pt idx="212">
                  <c:v>01.08.</c:v>
                </c:pt>
                <c:pt idx="213">
                  <c:v>02.08.</c:v>
                </c:pt>
                <c:pt idx="214">
                  <c:v>03.08.</c:v>
                </c:pt>
                <c:pt idx="215">
                  <c:v>04.08.</c:v>
                </c:pt>
                <c:pt idx="216">
                  <c:v>05.08.</c:v>
                </c:pt>
                <c:pt idx="217">
                  <c:v>06.08.</c:v>
                </c:pt>
                <c:pt idx="218">
                  <c:v>07.08.</c:v>
                </c:pt>
                <c:pt idx="219">
                  <c:v>08.08.</c:v>
                </c:pt>
                <c:pt idx="220">
                  <c:v>09.08.</c:v>
                </c:pt>
                <c:pt idx="221">
                  <c:v>10.08.</c:v>
                </c:pt>
                <c:pt idx="222">
                  <c:v>11.08.</c:v>
                </c:pt>
                <c:pt idx="223">
                  <c:v>12.08.</c:v>
                </c:pt>
                <c:pt idx="224">
                  <c:v>13.08.</c:v>
                </c:pt>
                <c:pt idx="225">
                  <c:v>14.08.</c:v>
                </c:pt>
                <c:pt idx="226">
                  <c:v>15.08.</c:v>
                </c:pt>
                <c:pt idx="227">
                  <c:v>16.08.</c:v>
                </c:pt>
                <c:pt idx="228">
                  <c:v>17.08.</c:v>
                </c:pt>
                <c:pt idx="229">
                  <c:v>18.08.</c:v>
                </c:pt>
                <c:pt idx="230">
                  <c:v>19.08.</c:v>
                </c:pt>
                <c:pt idx="231">
                  <c:v>20.08.</c:v>
                </c:pt>
                <c:pt idx="232">
                  <c:v>21.08.</c:v>
                </c:pt>
                <c:pt idx="233">
                  <c:v>22.08.</c:v>
                </c:pt>
                <c:pt idx="234">
                  <c:v>23.08.</c:v>
                </c:pt>
                <c:pt idx="235">
                  <c:v>24.08.</c:v>
                </c:pt>
                <c:pt idx="236">
                  <c:v>25.08.</c:v>
                </c:pt>
                <c:pt idx="237">
                  <c:v>26.08.</c:v>
                </c:pt>
                <c:pt idx="238">
                  <c:v>27.08.</c:v>
                </c:pt>
                <c:pt idx="239">
                  <c:v>28.08.</c:v>
                </c:pt>
                <c:pt idx="240">
                  <c:v>29.08.</c:v>
                </c:pt>
                <c:pt idx="241">
                  <c:v>30.08.</c:v>
                </c:pt>
                <c:pt idx="242">
                  <c:v>31.08.</c:v>
                </c:pt>
                <c:pt idx="243">
                  <c:v>01.09.</c:v>
                </c:pt>
                <c:pt idx="244">
                  <c:v>02.09.</c:v>
                </c:pt>
                <c:pt idx="245">
                  <c:v>03.09.</c:v>
                </c:pt>
                <c:pt idx="246">
                  <c:v>04.09.</c:v>
                </c:pt>
                <c:pt idx="247">
                  <c:v>05.09.</c:v>
                </c:pt>
                <c:pt idx="248">
                  <c:v>06.09.</c:v>
                </c:pt>
                <c:pt idx="249">
                  <c:v>07.09.</c:v>
                </c:pt>
                <c:pt idx="250">
                  <c:v>08.09.</c:v>
                </c:pt>
                <c:pt idx="251">
                  <c:v>09.09.</c:v>
                </c:pt>
                <c:pt idx="252">
                  <c:v>10.09.</c:v>
                </c:pt>
                <c:pt idx="253">
                  <c:v>11.09.</c:v>
                </c:pt>
                <c:pt idx="254">
                  <c:v>12.09.</c:v>
                </c:pt>
                <c:pt idx="255">
                  <c:v>13.09.</c:v>
                </c:pt>
                <c:pt idx="256">
                  <c:v>14.09.</c:v>
                </c:pt>
                <c:pt idx="257">
                  <c:v>15.09.</c:v>
                </c:pt>
                <c:pt idx="258">
                  <c:v>16.09.</c:v>
                </c:pt>
                <c:pt idx="259">
                  <c:v>17.09.</c:v>
                </c:pt>
                <c:pt idx="260">
                  <c:v>18.09.</c:v>
                </c:pt>
                <c:pt idx="261">
                  <c:v>19.09.</c:v>
                </c:pt>
                <c:pt idx="262">
                  <c:v>20.09.</c:v>
                </c:pt>
                <c:pt idx="263">
                  <c:v>21.09.</c:v>
                </c:pt>
                <c:pt idx="264">
                  <c:v>22.09.</c:v>
                </c:pt>
                <c:pt idx="265">
                  <c:v>23.09.</c:v>
                </c:pt>
                <c:pt idx="266">
                  <c:v>24.09.</c:v>
                </c:pt>
                <c:pt idx="267">
                  <c:v>25.09.</c:v>
                </c:pt>
                <c:pt idx="268">
                  <c:v>26.09.</c:v>
                </c:pt>
                <c:pt idx="269">
                  <c:v>27.09.</c:v>
                </c:pt>
                <c:pt idx="270">
                  <c:v>28.09.</c:v>
                </c:pt>
                <c:pt idx="271">
                  <c:v>29.09.</c:v>
                </c:pt>
                <c:pt idx="272">
                  <c:v>30.09.</c:v>
                </c:pt>
                <c:pt idx="273">
                  <c:v>01.10.</c:v>
                </c:pt>
                <c:pt idx="274">
                  <c:v>02.10.</c:v>
                </c:pt>
                <c:pt idx="275">
                  <c:v>03.10.</c:v>
                </c:pt>
                <c:pt idx="276">
                  <c:v>04.10.</c:v>
                </c:pt>
                <c:pt idx="277">
                  <c:v>05.10.</c:v>
                </c:pt>
                <c:pt idx="278">
                  <c:v>06.10.</c:v>
                </c:pt>
                <c:pt idx="279">
                  <c:v>07.10.</c:v>
                </c:pt>
                <c:pt idx="280">
                  <c:v>08.10.</c:v>
                </c:pt>
                <c:pt idx="281">
                  <c:v>09.10.</c:v>
                </c:pt>
                <c:pt idx="282">
                  <c:v>10.10.</c:v>
                </c:pt>
                <c:pt idx="283">
                  <c:v>11.10.</c:v>
                </c:pt>
                <c:pt idx="284">
                  <c:v>12.10.</c:v>
                </c:pt>
                <c:pt idx="285">
                  <c:v>13.10.</c:v>
                </c:pt>
                <c:pt idx="286">
                  <c:v>14.10.</c:v>
                </c:pt>
                <c:pt idx="287">
                  <c:v>15.10.</c:v>
                </c:pt>
                <c:pt idx="288">
                  <c:v>16.10.</c:v>
                </c:pt>
                <c:pt idx="289">
                  <c:v>17.10.</c:v>
                </c:pt>
                <c:pt idx="290">
                  <c:v>18.10.</c:v>
                </c:pt>
                <c:pt idx="291">
                  <c:v>19.10.</c:v>
                </c:pt>
                <c:pt idx="292">
                  <c:v>20.10.</c:v>
                </c:pt>
                <c:pt idx="293">
                  <c:v>21.10.</c:v>
                </c:pt>
                <c:pt idx="294">
                  <c:v>22.10.</c:v>
                </c:pt>
                <c:pt idx="295">
                  <c:v>23.10.</c:v>
                </c:pt>
                <c:pt idx="296">
                  <c:v>24.10.</c:v>
                </c:pt>
                <c:pt idx="297">
                  <c:v>25.10.</c:v>
                </c:pt>
                <c:pt idx="298">
                  <c:v>26.10.</c:v>
                </c:pt>
                <c:pt idx="299">
                  <c:v>27.10.</c:v>
                </c:pt>
                <c:pt idx="300">
                  <c:v>28.10.</c:v>
                </c:pt>
                <c:pt idx="301">
                  <c:v>29.10.</c:v>
                </c:pt>
                <c:pt idx="302">
                  <c:v>30.10.</c:v>
                </c:pt>
                <c:pt idx="303">
                  <c:v>31.10.</c:v>
                </c:pt>
                <c:pt idx="304">
                  <c:v>01.11.</c:v>
                </c:pt>
                <c:pt idx="305">
                  <c:v>02.11.</c:v>
                </c:pt>
                <c:pt idx="306">
                  <c:v>03.11.</c:v>
                </c:pt>
                <c:pt idx="307">
                  <c:v>04.11.</c:v>
                </c:pt>
                <c:pt idx="308">
                  <c:v>05.11.</c:v>
                </c:pt>
                <c:pt idx="309">
                  <c:v>06.11.</c:v>
                </c:pt>
                <c:pt idx="310">
                  <c:v>07.11.</c:v>
                </c:pt>
                <c:pt idx="311">
                  <c:v>08.11.</c:v>
                </c:pt>
                <c:pt idx="312">
                  <c:v>09.11.</c:v>
                </c:pt>
                <c:pt idx="313">
                  <c:v>10.11.</c:v>
                </c:pt>
                <c:pt idx="314">
                  <c:v>11.11.</c:v>
                </c:pt>
                <c:pt idx="315">
                  <c:v>12.11.</c:v>
                </c:pt>
                <c:pt idx="316">
                  <c:v>13.11.</c:v>
                </c:pt>
                <c:pt idx="317">
                  <c:v>14.11.</c:v>
                </c:pt>
                <c:pt idx="318">
                  <c:v>15.11.</c:v>
                </c:pt>
                <c:pt idx="319">
                  <c:v>16.11.</c:v>
                </c:pt>
                <c:pt idx="320">
                  <c:v>17.11.</c:v>
                </c:pt>
                <c:pt idx="321">
                  <c:v>18.11.</c:v>
                </c:pt>
                <c:pt idx="322">
                  <c:v>19.11.</c:v>
                </c:pt>
                <c:pt idx="323">
                  <c:v>20.11.</c:v>
                </c:pt>
                <c:pt idx="324">
                  <c:v>21.11.</c:v>
                </c:pt>
                <c:pt idx="325">
                  <c:v>22.11.</c:v>
                </c:pt>
                <c:pt idx="326">
                  <c:v>23.11.</c:v>
                </c:pt>
                <c:pt idx="327">
                  <c:v>24.11.</c:v>
                </c:pt>
                <c:pt idx="328">
                  <c:v>25.11.</c:v>
                </c:pt>
                <c:pt idx="329">
                  <c:v>26.11.</c:v>
                </c:pt>
                <c:pt idx="330">
                  <c:v>27.11.</c:v>
                </c:pt>
                <c:pt idx="331">
                  <c:v>28.11.</c:v>
                </c:pt>
                <c:pt idx="332">
                  <c:v>29.11.</c:v>
                </c:pt>
                <c:pt idx="333">
                  <c:v>30.11.</c:v>
                </c:pt>
                <c:pt idx="334">
                  <c:v>01.12.</c:v>
                </c:pt>
                <c:pt idx="335">
                  <c:v>02.12.</c:v>
                </c:pt>
                <c:pt idx="336">
                  <c:v>03.12.</c:v>
                </c:pt>
                <c:pt idx="337">
                  <c:v>04.12.</c:v>
                </c:pt>
                <c:pt idx="338">
                  <c:v>05.12.</c:v>
                </c:pt>
                <c:pt idx="339">
                  <c:v>06.12.</c:v>
                </c:pt>
                <c:pt idx="340">
                  <c:v>07.12.</c:v>
                </c:pt>
                <c:pt idx="341">
                  <c:v>08.12.</c:v>
                </c:pt>
                <c:pt idx="342">
                  <c:v>09.12.</c:v>
                </c:pt>
                <c:pt idx="343">
                  <c:v>10.12.</c:v>
                </c:pt>
                <c:pt idx="344">
                  <c:v>11.12.</c:v>
                </c:pt>
                <c:pt idx="345">
                  <c:v>12.12.</c:v>
                </c:pt>
                <c:pt idx="346">
                  <c:v>13.12.</c:v>
                </c:pt>
                <c:pt idx="347">
                  <c:v>14.12.</c:v>
                </c:pt>
                <c:pt idx="348">
                  <c:v>15.12.</c:v>
                </c:pt>
                <c:pt idx="349">
                  <c:v>16.12.</c:v>
                </c:pt>
                <c:pt idx="350">
                  <c:v>17.12.</c:v>
                </c:pt>
                <c:pt idx="351">
                  <c:v>18.12.</c:v>
                </c:pt>
                <c:pt idx="352">
                  <c:v>19.12.</c:v>
                </c:pt>
                <c:pt idx="353">
                  <c:v>20.12.</c:v>
                </c:pt>
                <c:pt idx="354">
                  <c:v>21.12.</c:v>
                </c:pt>
                <c:pt idx="355">
                  <c:v>22.12.</c:v>
                </c:pt>
                <c:pt idx="356">
                  <c:v>23.12.</c:v>
                </c:pt>
                <c:pt idx="357">
                  <c:v>24.12.</c:v>
                </c:pt>
                <c:pt idx="358">
                  <c:v>25.12.</c:v>
                </c:pt>
                <c:pt idx="359">
                  <c:v>26.12.</c:v>
                </c:pt>
                <c:pt idx="360">
                  <c:v>27.12.</c:v>
                </c:pt>
                <c:pt idx="361">
                  <c:v>28.12.</c:v>
                </c:pt>
                <c:pt idx="362">
                  <c:v>29.12.</c:v>
                </c:pt>
                <c:pt idx="363">
                  <c:v>30.12.</c:v>
                </c:pt>
                <c:pt idx="364">
                  <c:v>31.12.</c:v>
                </c:pt>
              </c:strCache>
            </c:strRef>
          </c:cat>
          <c:val>
            <c:numRef>
              <c:f>'G4.3'!$C$3:$C$367</c:f>
              <c:numCache>
                <c:formatCode>#,##0</c:formatCode>
                <c:ptCount val="365"/>
                <c:pt idx="0">
                  <c:v>16799</c:v>
                </c:pt>
                <c:pt idx="1">
                  <c:v>16619</c:v>
                </c:pt>
                <c:pt idx="2">
                  <c:v>16481</c:v>
                </c:pt>
                <c:pt idx="3">
                  <c:v>23210</c:v>
                </c:pt>
                <c:pt idx="4">
                  <c:v>28633</c:v>
                </c:pt>
                <c:pt idx="5">
                  <c:v>30907</c:v>
                </c:pt>
                <c:pt idx="6">
                  <c:v>32599</c:v>
                </c:pt>
                <c:pt idx="7">
                  <c:v>33841</c:v>
                </c:pt>
                <c:pt idx="8">
                  <c:v>31394</c:v>
                </c:pt>
                <c:pt idx="9">
                  <c:v>30892</c:v>
                </c:pt>
                <c:pt idx="10">
                  <c:v>33366</c:v>
                </c:pt>
                <c:pt idx="11">
                  <c:v>33536</c:v>
                </c:pt>
                <c:pt idx="12">
                  <c:v>34345</c:v>
                </c:pt>
                <c:pt idx="13">
                  <c:v>34432</c:v>
                </c:pt>
                <c:pt idx="14">
                  <c:v>35026</c:v>
                </c:pt>
                <c:pt idx="15">
                  <c:v>30948</c:v>
                </c:pt>
                <c:pt idx="16">
                  <c:v>30243</c:v>
                </c:pt>
                <c:pt idx="17">
                  <c:v>30331</c:v>
                </c:pt>
                <c:pt idx="18">
                  <c:v>29328</c:v>
                </c:pt>
                <c:pt idx="19">
                  <c:v>29661</c:v>
                </c:pt>
                <c:pt idx="20">
                  <c:v>29930</c:v>
                </c:pt>
                <c:pt idx="21">
                  <c:v>30127</c:v>
                </c:pt>
                <c:pt idx="22">
                  <c:v>26841</c:v>
                </c:pt>
                <c:pt idx="23">
                  <c:v>26139</c:v>
                </c:pt>
                <c:pt idx="24">
                  <c:v>26984</c:v>
                </c:pt>
                <c:pt idx="25">
                  <c:v>26597</c:v>
                </c:pt>
                <c:pt idx="26">
                  <c:v>27490</c:v>
                </c:pt>
                <c:pt idx="27">
                  <c:v>27887</c:v>
                </c:pt>
                <c:pt idx="28">
                  <c:v>27974</c:v>
                </c:pt>
                <c:pt idx="29">
                  <c:v>25254</c:v>
                </c:pt>
                <c:pt idx="30">
                  <c:v>24675</c:v>
                </c:pt>
                <c:pt idx="31">
                  <c:v>24765</c:v>
                </c:pt>
                <c:pt idx="32">
                  <c:v>24838</c:v>
                </c:pt>
                <c:pt idx="33">
                  <c:v>25867</c:v>
                </c:pt>
                <c:pt idx="34">
                  <c:v>26658</c:v>
                </c:pt>
                <c:pt idx="35">
                  <c:v>27532</c:v>
                </c:pt>
                <c:pt idx="36">
                  <c:v>24771</c:v>
                </c:pt>
                <c:pt idx="37">
                  <c:v>24223</c:v>
                </c:pt>
                <c:pt idx="38">
                  <c:v>25943</c:v>
                </c:pt>
                <c:pt idx="39">
                  <c:v>26131</c:v>
                </c:pt>
                <c:pt idx="40">
                  <c:v>27436</c:v>
                </c:pt>
                <c:pt idx="41">
                  <c:v>28302</c:v>
                </c:pt>
                <c:pt idx="42">
                  <c:v>29432</c:v>
                </c:pt>
                <c:pt idx="43">
                  <c:v>26629</c:v>
                </c:pt>
                <c:pt idx="44">
                  <c:v>26020</c:v>
                </c:pt>
                <c:pt idx="45">
                  <c:v>28058</c:v>
                </c:pt>
                <c:pt idx="46">
                  <c:v>28494</c:v>
                </c:pt>
                <c:pt idx="47">
                  <c:v>29926</c:v>
                </c:pt>
                <c:pt idx="48">
                  <c:v>31873</c:v>
                </c:pt>
                <c:pt idx="49">
                  <c:v>33230</c:v>
                </c:pt>
                <c:pt idx="50">
                  <c:v>30180</c:v>
                </c:pt>
                <c:pt idx="51">
                  <c:v>29481</c:v>
                </c:pt>
                <c:pt idx="52">
                  <c:v>33140</c:v>
                </c:pt>
                <c:pt idx="53">
                  <c:v>34688</c:v>
                </c:pt>
                <c:pt idx="54">
                  <c:v>37112</c:v>
                </c:pt>
                <c:pt idx="55">
                  <c:v>38705</c:v>
                </c:pt>
                <c:pt idx="56">
                  <c:v>40648</c:v>
                </c:pt>
                <c:pt idx="57">
                  <c:v>37291</c:v>
                </c:pt>
                <c:pt idx="58">
                  <c:v>36547</c:v>
                </c:pt>
                <c:pt idx="59">
                  <c:v>39108</c:v>
                </c:pt>
                <c:pt idx="60">
                  <c:v>40497</c:v>
                </c:pt>
                <c:pt idx="61">
                  <c:v>43190</c:v>
                </c:pt>
                <c:pt idx="62">
                  <c:v>44028</c:v>
                </c:pt>
                <c:pt idx="63">
                  <c:v>47263</c:v>
                </c:pt>
                <c:pt idx="64">
                  <c:v>43648</c:v>
                </c:pt>
                <c:pt idx="65">
                  <c:v>42980</c:v>
                </c:pt>
                <c:pt idx="66">
                  <c:v>41892</c:v>
                </c:pt>
                <c:pt idx="67">
                  <c:v>47673</c:v>
                </c:pt>
                <c:pt idx="68">
                  <c:v>48245</c:v>
                </c:pt>
                <c:pt idx="69">
                  <c:v>50515</c:v>
                </c:pt>
                <c:pt idx="70">
                  <c:v>51866</c:v>
                </c:pt>
                <c:pt idx="71">
                  <c:v>48712</c:v>
                </c:pt>
                <c:pt idx="72">
                  <c:v>48357</c:v>
                </c:pt>
                <c:pt idx="73">
                  <c:v>50242</c:v>
                </c:pt>
                <c:pt idx="74">
                  <c:v>49329</c:v>
                </c:pt>
                <c:pt idx="75">
                  <c:v>49012</c:v>
                </c:pt>
                <c:pt idx="76">
                  <c:v>48504</c:v>
                </c:pt>
                <c:pt idx="77">
                  <c:v>48330</c:v>
                </c:pt>
                <c:pt idx="78">
                  <c:v>44418</c:v>
                </c:pt>
                <c:pt idx="79">
                  <c:v>43910</c:v>
                </c:pt>
                <c:pt idx="80">
                  <c:v>44339</c:v>
                </c:pt>
                <c:pt idx="81">
                  <c:v>42648</c:v>
                </c:pt>
                <c:pt idx="82">
                  <c:v>41683</c:v>
                </c:pt>
                <c:pt idx="83">
                  <c:v>40611</c:v>
                </c:pt>
                <c:pt idx="84">
                  <c:v>40017</c:v>
                </c:pt>
                <c:pt idx="85">
                  <c:v>36466</c:v>
                </c:pt>
                <c:pt idx="86">
                  <c:v>36031</c:v>
                </c:pt>
                <c:pt idx="87">
                  <c:v>36136</c:v>
                </c:pt>
                <c:pt idx="88">
                  <c:v>34182</c:v>
                </c:pt>
                <c:pt idx="89">
                  <c:v>33072</c:v>
                </c:pt>
                <c:pt idx="90">
                  <c:v>30636</c:v>
                </c:pt>
                <c:pt idx="91">
                  <c:v>28094</c:v>
                </c:pt>
                <c:pt idx="92">
                  <c:v>27154</c:v>
                </c:pt>
                <c:pt idx="93">
                  <c:v>26800</c:v>
                </c:pt>
                <c:pt idx="94">
                  <c:v>26342</c:v>
                </c:pt>
                <c:pt idx="95">
                  <c:v>27320</c:v>
                </c:pt>
                <c:pt idx="96">
                  <c:v>25239</c:v>
                </c:pt>
                <c:pt idx="97">
                  <c:v>24471</c:v>
                </c:pt>
                <c:pt idx="98">
                  <c:v>24253</c:v>
                </c:pt>
                <c:pt idx="99">
                  <c:v>22231</c:v>
                </c:pt>
                <c:pt idx="100">
                  <c:v>21979</c:v>
                </c:pt>
                <c:pt idx="101">
                  <c:v>22006</c:v>
                </c:pt>
                <c:pt idx="102">
                  <c:v>20933</c:v>
                </c:pt>
                <c:pt idx="103">
                  <c:v>20306</c:v>
                </c:pt>
                <c:pt idx="104">
                  <c:v>19408</c:v>
                </c:pt>
                <c:pt idx="105">
                  <c:v>19314</c:v>
                </c:pt>
                <c:pt idx="106">
                  <c:v>18125</c:v>
                </c:pt>
                <c:pt idx="107">
                  <c:v>17925</c:v>
                </c:pt>
                <c:pt idx="108">
                  <c:v>18102</c:v>
                </c:pt>
                <c:pt idx="109">
                  <c:v>17967</c:v>
                </c:pt>
                <c:pt idx="110">
                  <c:v>17285</c:v>
                </c:pt>
                <c:pt idx="111">
                  <c:v>16859</c:v>
                </c:pt>
                <c:pt idx="112">
                  <c:v>16735</c:v>
                </c:pt>
                <c:pt idx="113">
                  <c:v>15506</c:v>
                </c:pt>
                <c:pt idx="114">
                  <c:v>15317</c:v>
                </c:pt>
                <c:pt idx="115">
                  <c:v>15482</c:v>
                </c:pt>
                <c:pt idx="116">
                  <c:v>15100</c:v>
                </c:pt>
                <c:pt idx="117">
                  <c:v>14761</c:v>
                </c:pt>
                <c:pt idx="118">
                  <c:v>14479</c:v>
                </c:pt>
                <c:pt idx="119">
                  <c:v>14186</c:v>
                </c:pt>
                <c:pt idx="120">
                  <c:v>12670</c:v>
                </c:pt>
                <c:pt idx="121">
                  <c:v>12547</c:v>
                </c:pt>
                <c:pt idx="122">
                  <c:v>12711</c:v>
                </c:pt>
                <c:pt idx="123">
                  <c:v>12221</c:v>
                </c:pt>
                <c:pt idx="124">
                  <c:v>11982</c:v>
                </c:pt>
                <c:pt idx="125">
                  <c:v>11720</c:v>
                </c:pt>
                <c:pt idx="126">
                  <c:v>11535</c:v>
                </c:pt>
                <c:pt idx="127">
                  <c:v>10688</c:v>
                </c:pt>
                <c:pt idx="128">
                  <c:v>10560</c:v>
                </c:pt>
                <c:pt idx="129">
                  <c:v>10653</c:v>
                </c:pt>
                <c:pt idx="130">
                  <c:v>10210</c:v>
                </c:pt>
                <c:pt idx="131">
                  <c:v>9969</c:v>
                </c:pt>
                <c:pt idx="132">
                  <c:v>9758</c:v>
                </c:pt>
                <c:pt idx="133">
                  <c:v>9597</c:v>
                </c:pt>
                <c:pt idx="134">
                  <c:v>8869</c:v>
                </c:pt>
                <c:pt idx="135">
                  <c:v>8788</c:v>
                </c:pt>
                <c:pt idx="136">
                  <c:v>8717</c:v>
                </c:pt>
                <c:pt idx="137">
                  <c:v>8353</c:v>
                </c:pt>
                <c:pt idx="138">
                  <c:v>8074</c:v>
                </c:pt>
                <c:pt idx="139">
                  <c:v>7849</c:v>
                </c:pt>
                <c:pt idx="140">
                  <c:v>7685</c:v>
                </c:pt>
                <c:pt idx="141">
                  <c:v>7178</c:v>
                </c:pt>
                <c:pt idx="142">
                  <c:v>7108</c:v>
                </c:pt>
                <c:pt idx="143">
                  <c:v>6979</c:v>
                </c:pt>
                <c:pt idx="144">
                  <c:v>6660</c:v>
                </c:pt>
                <c:pt idx="145">
                  <c:v>6388</c:v>
                </c:pt>
                <c:pt idx="146">
                  <c:v>6147</c:v>
                </c:pt>
                <c:pt idx="147">
                  <c:v>5952</c:v>
                </c:pt>
                <c:pt idx="148">
                  <c:v>5555</c:v>
                </c:pt>
                <c:pt idx="149">
                  <c:v>5496</c:v>
                </c:pt>
                <c:pt idx="150">
                  <c:v>5385</c:v>
                </c:pt>
                <c:pt idx="151">
                  <c:v>4799</c:v>
                </c:pt>
                <c:pt idx="152">
                  <c:v>4642</c:v>
                </c:pt>
                <c:pt idx="153">
                  <c:v>4503</c:v>
                </c:pt>
                <c:pt idx="154">
                  <c:v>4454</c:v>
                </c:pt>
                <c:pt idx="155">
                  <c:v>4179</c:v>
                </c:pt>
                <c:pt idx="156">
                  <c:v>4137</c:v>
                </c:pt>
                <c:pt idx="157">
                  <c:v>4051</c:v>
                </c:pt>
                <c:pt idx="158">
                  <c:v>3865</c:v>
                </c:pt>
                <c:pt idx="159">
                  <c:v>3730</c:v>
                </c:pt>
                <c:pt idx="160">
                  <c:v>3687</c:v>
                </c:pt>
                <c:pt idx="161">
                  <c:v>3593</c:v>
                </c:pt>
                <c:pt idx="162">
                  <c:v>3430</c:v>
                </c:pt>
                <c:pt idx="163">
                  <c:v>3412</c:v>
                </c:pt>
                <c:pt idx="164">
                  <c:v>3327</c:v>
                </c:pt>
                <c:pt idx="165">
                  <c:v>3211</c:v>
                </c:pt>
                <c:pt idx="166">
                  <c:v>3154</c:v>
                </c:pt>
                <c:pt idx="167">
                  <c:v>3038</c:v>
                </c:pt>
                <c:pt idx="168">
                  <c:v>3001</c:v>
                </c:pt>
                <c:pt idx="169">
                  <c:v>2870</c:v>
                </c:pt>
                <c:pt idx="170">
                  <c:v>2858</c:v>
                </c:pt>
                <c:pt idx="171">
                  <c:v>2815</c:v>
                </c:pt>
                <c:pt idx="172">
                  <c:v>2725</c:v>
                </c:pt>
                <c:pt idx="173">
                  <c:v>2644</c:v>
                </c:pt>
                <c:pt idx="174">
                  <c:v>2573</c:v>
                </c:pt>
                <c:pt idx="175">
                  <c:v>2519</c:v>
                </c:pt>
                <c:pt idx="176">
                  <c:v>2425</c:v>
                </c:pt>
                <c:pt idx="177">
                  <c:v>2416</c:v>
                </c:pt>
                <c:pt idx="178">
                  <c:v>2405</c:v>
                </c:pt>
                <c:pt idx="179">
                  <c:v>2362</c:v>
                </c:pt>
                <c:pt idx="180">
                  <c:v>2293</c:v>
                </c:pt>
                <c:pt idx="181">
                  <c:v>2174</c:v>
                </c:pt>
                <c:pt idx="182">
                  <c:v>2164</c:v>
                </c:pt>
                <c:pt idx="183">
                  <c:v>2081</c:v>
                </c:pt>
                <c:pt idx="184">
                  <c:v>2071</c:v>
                </c:pt>
                <c:pt idx="185">
                  <c:v>2051</c:v>
                </c:pt>
                <c:pt idx="186">
                  <c:v>2038</c:v>
                </c:pt>
                <c:pt idx="187">
                  <c:v>2109</c:v>
                </c:pt>
                <c:pt idx="188">
                  <c:v>2098</c:v>
                </c:pt>
                <c:pt idx="189">
                  <c:v>2119</c:v>
                </c:pt>
                <c:pt idx="190">
                  <c:v>2065</c:v>
                </c:pt>
                <c:pt idx="191">
                  <c:v>2055</c:v>
                </c:pt>
                <c:pt idx="192">
                  <c:v>2131</c:v>
                </c:pt>
                <c:pt idx="193">
                  <c:v>2121</c:v>
                </c:pt>
                <c:pt idx="194">
                  <c:v>2111</c:v>
                </c:pt>
                <c:pt idx="195">
                  <c:v>2082</c:v>
                </c:pt>
                <c:pt idx="196">
                  <c:v>2078</c:v>
                </c:pt>
                <c:pt idx="197">
                  <c:v>2015</c:v>
                </c:pt>
                <c:pt idx="198">
                  <c:v>2009</c:v>
                </c:pt>
                <c:pt idx="199">
                  <c:v>2082</c:v>
                </c:pt>
                <c:pt idx="200">
                  <c:v>2085</c:v>
                </c:pt>
                <c:pt idx="201">
                  <c:v>2098</c:v>
                </c:pt>
                <c:pt idx="202">
                  <c:v>2090</c:v>
                </c:pt>
                <c:pt idx="203">
                  <c:v>2081</c:v>
                </c:pt>
                <c:pt idx="204">
                  <c:v>2017</c:v>
                </c:pt>
                <c:pt idx="205">
                  <c:v>2005</c:v>
                </c:pt>
                <c:pt idx="206">
                  <c:v>2032</c:v>
                </c:pt>
                <c:pt idx="207">
                  <c:v>2007</c:v>
                </c:pt>
                <c:pt idx="208">
                  <c:v>1973</c:v>
                </c:pt>
                <c:pt idx="209">
                  <c:v>1931</c:v>
                </c:pt>
                <c:pt idx="210">
                  <c:v>1913</c:v>
                </c:pt>
                <c:pt idx="211">
                  <c:v>1870</c:v>
                </c:pt>
                <c:pt idx="212">
                  <c:v>1846</c:v>
                </c:pt>
                <c:pt idx="213">
                  <c:v>1856</c:v>
                </c:pt>
                <c:pt idx="214">
                  <c:v>1829</c:v>
                </c:pt>
                <c:pt idx="215">
                  <c:v>1821</c:v>
                </c:pt>
                <c:pt idx="216">
                  <c:v>1798</c:v>
                </c:pt>
                <c:pt idx="217">
                  <c:v>1776</c:v>
                </c:pt>
                <c:pt idx="218">
                  <c:v>1718</c:v>
                </c:pt>
                <c:pt idx="219">
                  <c:v>1709</c:v>
                </c:pt>
                <c:pt idx="220">
                  <c:v>1756</c:v>
                </c:pt>
                <c:pt idx="221">
                  <c:v>1746</c:v>
                </c:pt>
                <c:pt idx="222">
                  <c:v>1726</c:v>
                </c:pt>
                <c:pt idx="223">
                  <c:v>1752</c:v>
                </c:pt>
                <c:pt idx="224">
                  <c:v>1760</c:v>
                </c:pt>
                <c:pt idx="225">
                  <c:v>1720</c:v>
                </c:pt>
                <c:pt idx="226">
                  <c:v>1717</c:v>
                </c:pt>
                <c:pt idx="227">
                  <c:v>1758</c:v>
                </c:pt>
                <c:pt idx="228">
                  <c:v>1755</c:v>
                </c:pt>
                <c:pt idx="229">
                  <c:v>1747</c:v>
                </c:pt>
                <c:pt idx="230">
                  <c:v>1750</c:v>
                </c:pt>
                <c:pt idx="231">
                  <c:v>1743</c:v>
                </c:pt>
                <c:pt idx="232">
                  <c:v>1695</c:v>
                </c:pt>
                <c:pt idx="233">
                  <c:v>1694</c:v>
                </c:pt>
                <c:pt idx="234">
                  <c:v>1702</c:v>
                </c:pt>
                <c:pt idx="235">
                  <c:v>1681</c:v>
                </c:pt>
                <c:pt idx="236">
                  <c:v>1663</c:v>
                </c:pt>
                <c:pt idx="237">
                  <c:v>1670</c:v>
                </c:pt>
                <c:pt idx="238">
                  <c:v>1667</c:v>
                </c:pt>
                <c:pt idx="239">
                  <c:v>1626</c:v>
                </c:pt>
                <c:pt idx="240">
                  <c:v>1623</c:v>
                </c:pt>
                <c:pt idx="241">
                  <c:v>1641</c:v>
                </c:pt>
                <c:pt idx="242">
                  <c:v>1624</c:v>
                </c:pt>
                <c:pt idx="243">
                  <c:v>1637</c:v>
                </c:pt>
                <c:pt idx="244">
                  <c:v>1642</c:v>
                </c:pt>
                <c:pt idx="245">
                  <c:v>1701</c:v>
                </c:pt>
                <c:pt idx="246">
                  <c:v>1665</c:v>
                </c:pt>
                <c:pt idx="247">
                  <c:v>1661</c:v>
                </c:pt>
                <c:pt idx="248">
                  <c:v>1753</c:v>
                </c:pt>
                <c:pt idx="249">
                  <c:v>1763</c:v>
                </c:pt>
                <c:pt idx="250">
                  <c:v>1784</c:v>
                </c:pt>
                <c:pt idx="251">
                  <c:v>1823</c:v>
                </c:pt>
                <c:pt idx="252">
                  <c:v>1864</c:v>
                </c:pt>
                <c:pt idx="253">
                  <c:v>1808</c:v>
                </c:pt>
                <c:pt idx="254">
                  <c:v>1799</c:v>
                </c:pt>
                <c:pt idx="255">
                  <c:v>1936</c:v>
                </c:pt>
                <c:pt idx="256">
                  <c:v>1981</c:v>
                </c:pt>
                <c:pt idx="257">
                  <c:v>2015</c:v>
                </c:pt>
                <c:pt idx="258">
                  <c:v>2031</c:v>
                </c:pt>
                <c:pt idx="259">
                  <c:v>2107</c:v>
                </c:pt>
                <c:pt idx="260">
                  <c:v>2028</c:v>
                </c:pt>
                <c:pt idx="261">
                  <c:v>2018</c:v>
                </c:pt>
                <c:pt idx="262">
                  <c:v>2147</c:v>
                </c:pt>
                <c:pt idx="263">
                  <c:v>2155</c:v>
                </c:pt>
                <c:pt idx="264">
                  <c:v>2202</c:v>
                </c:pt>
                <c:pt idx="265">
                  <c:v>2208</c:v>
                </c:pt>
                <c:pt idx="266">
                  <c:v>2208</c:v>
                </c:pt>
                <c:pt idx="267">
                  <c:v>2102</c:v>
                </c:pt>
                <c:pt idx="268">
                  <c:v>2086</c:v>
                </c:pt>
                <c:pt idx="269">
                  <c:v>2167</c:v>
                </c:pt>
                <c:pt idx="270">
                  <c:v>2086</c:v>
                </c:pt>
                <c:pt idx="271">
                  <c:v>2165</c:v>
                </c:pt>
                <c:pt idx="272">
                  <c:v>2140</c:v>
                </c:pt>
                <c:pt idx="273">
                  <c:v>2183</c:v>
                </c:pt>
                <c:pt idx="274">
                  <c:v>2109</c:v>
                </c:pt>
                <c:pt idx="275">
                  <c:v>2094</c:v>
                </c:pt>
                <c:pt idx="276">
                  <c:v>2223</c:v>
                </c:pt>
                <c:pt idx="277">
                  <c:v>2252</c:v>
                </c:pt>
                <c:pt idx="278">
                  <c:v>2318</c:v>
                </c:pt>
                <c:pt idx="279">
                  <c:v>2431</c:v>
                </c:pt>
                <c:pt idx="280">
                  <c:v>2461</c:v>
                </c:pt>
                <c:pt idx="281">
                  <c:v>2365</c:v>
                </c:pt>
                <c:pt idx="282">
                  <c:v>2349</c:v>
                </c:pt>
                <c:pt idx="283">
                  <c:v>2530</c:v>
                </c:pt>
                <c:pt idx="284">
                  <c:v>2611</c:v>
                </c:pt>
                <c:pt idx="285">
                  <c:v>2697</c:v>
                </c:pt>
                <c:pt idx="286">
                  <c:v>2838</c:v>
                </c:pt>
                <c:pt idx="287">
                  <c:v>2930</c:v>
                </c:pt>
                <c:pt idx="288">
                  <c:v>2777</c:v>
                </c:pt>
                <c:pt idx="289">
                  <c:v>2752</c:v>
                </c:pt>
                <c:pt idx="290">
                  <c:v>3149</c:v>
                </c:pt>
                <c:pt idx="291">
                  <c:v>3339</c:v>
                </c:pt>
                <c:pt idx="292">
                  <c:v>3586</c:v>
                </c:pt>
                <c:pt idx="293">
                  <c:v>3869</c:v>
                </c:pt>
                <c:pt idx="294">
                  <c:v>4373</c:v>
                </c:pt>
                <c:pt idx="295">
                  <c:v>4185</c:v>
                </c:pt>
                <c:pt idx="296">
                  <c:v>4167</c:v>
                </c:pt>
                <c:pt idx="297">
                  <c:v>5021</c:v>
                </c:pt>
                <c:pt idx="298">
                  <c:v>5483</c:v>
                </c:pt>
                <c:pt idx="299">
                  <c:v>6081</c:v>
                </c:pt>
                <c:pt idx="300">
                  <c:v>5893</c:v>
                </c:pt>
                <c:pt idx="301">
                  <c:v>6537</c:v>
                </c:pt>
                <c:pt idx="302">
                  <c:v>6297</c:v>
                </c:pt>
                <c:pt idx="303">
                  <c:v>6313</c:v>
                </c:pt>
                <c:pt idx="304">
                  <c:v>7192</c:v>
                </c:pt>
                <c:pt idx="305">
                  <c:v>7406</c:v>
                </c:pt>
                <c:pt idx="306">
                  <c:v>7616</c:v>
                </c:pt>
                <c:pt idx="307">
                  <c:v>7993</c:v>
                </c:pt>
                <c:pt idx="308">
                  <c:v>8605</c:v>
                </c:pt>
                <c:pt idx="309">
                  <c:v>8013</c:v>
                </c:pt>
                <c:pt idx="310">
                  <c:v>7978</c:v>
                </c:pt>
                <c:pt idx="311">
                  <c:v>9161</c:v>
                </c:pt>
                <c:pt idx="312">
                  <c:v>9694</c:v>
                </c:pt>
                <c:pt idx="313">
                  <c:v>10108</c:v>
                </c:pt>
                <c:pt idx="314">
                  <c:v>10814</c:v>
                </c:pt>
                <c:pt idx="315">
                  <c:v>11728</c:v>
                </c:pt>
                <c:pt idx="316">
                  <c:v>11022</c:v>
                </c:pt>
                <c:pt idx="317">
                  <c:v>10894</c:v>
                </c:pt>
                <c:pt idx="318">
                  <c:v>12492</c:v>
                </c:pt>
                <c:pt idx="319">
                  <c:v>13543</c:v>
                </c:pt>
                <c:pt idx="320">
                  <c:v>12782</c:v>
                </c:pt>
                <c:pt idx="321">
                  <c:v>13677</c:v>
                </c:pt>
                <c:pt idx="322">
                  <c:v>14674</c:v>
                </c:pt>
                <c:pt idx="323">
                  <c:v>13852</c:v>
                </c:pt>
                <c:pt idx="324">
                  <c:v>13770</c:v>
                </c:pt>
                <c:pt idx="325">
                  <c:v>15769</c:v>
                </c:pt>
                <c:pt idx="326">
                  <c:v>16251</c:v>
                </c:pt>
                <c:pt idx="327">
                  <c:v>17092</c:v>
                </c:pt>
                <c:pt idx="328">
                  <c:v>17716</c:v>
                </c:pt>
                <c:pt idx="329">
                  <c:v>18680</c:v>
                </c:pt>
                <c:pt idx="330">
                  <c:v>17536</c:v>
                </c:pt>
                <c:pt idx="331">
                  <c:v>17390</c:v>
                </c:pt>
                <c:pt idx="332">
                  <c:v>18645</c:v>
                </c:pt>
                <c:pt idx="333">
                  <c:v>18779</c:v>
                </c:pt>
                <c:pt idx="334">
                  <c:v>18574</c:v>
                </c:pt>
                <c:pt idx="335">
                  <c:v>18849</c:v>
                </c:pt>
                <c:pt idx="336">
                  <c:v>19258</c:v>
                </c:pt>
                <c:pt idx="337">
                  <c:v>17896</c:v>
                </c:pt>
                <c:pt idx="338">
                  <c:v>17728</c:v>
                </c:pt>
                <c:pt idx="339">
                  <c:v>18384</c:v>
                </c:pt>
                <c:pt idx="340">
                  <c:v>17653</c:v>
                </c:pt>
                <c:pt idx="341">
                  <c:v>17326</c:v>
                </c:pt>
                <c:pt idx="342">
                  <c:v>16848</c:v>
                </c:pt>
                <c:pt idx="343">
                  <c:v>16732</c:v>
                </c:pt>
                <c:pt idx="344">
                  <c:v>15357</c:v>
                </c:pt>
                <c:pt idx="345">
                  <c:v>15276</c:v>
                </c:pt>
                <c:pt idx="346">
                  <c:v>15484</c:v>
                </c:pt>
                <c:pt idx="347">
                  <c:v>14241</c:v>
                </c:pt>
                <c:pt idx="348">
                  <c:v>14113</c:v>
                </c:pt>
                <c:pt idx="349">
                  <c:v>14100</c:v>
                </c:pt>
                <c:pt idx="350">
                  <c:v>13977</c:v>
                </c:pt>
                <c:pt idx="351">
                  <c:v>13012</c:v>
                </c:pt>
                <c:pt idx="352">
                  <c:v>12865</c:v>
                </c:pt>
                <c:pt idx="353">
                  <c:v>12618</c:v>
                </c:pt>
                <c:pt idx="354">
                  <c:v>11751</c:v>
                </c:pt>
                <c:pt idx="355">
                  <c:v>11081</c:v>
                </c:pt>
                <c:pt idx="356">
                  <c:v>10441</c:v>
                </c:pt>
                <c:pt idx="357">
                  <c:v>9573</c:v>
                </c:pt>
                <c:pt idx="358">
                  <c:v>9422</c:v>
                </c:pt>
                <c:pt idx="359">
                  <c:v>9385</c:v>
                </c:pt>
                <c:pt idx="360">
                  <c:v>9199</c:v>
                </c:pt>
                <c:pt idx="361">
                  <c:v>8818</c:v>
                </c:pt>
                <c:pt idx="362">
                  <c:v>8392</c:v>
                </c:pt>
                <c:pt idx="363">
                  <c:v>8090</c:v>
                </c:pt>
                <c:pt idx="364">
                  <c:v>7943</c:v>
                </c:pt>
              </c:numCache>
            </c:numRef>
          </c:val>
          <c:smooth val="0"/>
          <c:extLst>
            <c:ext xmlns:c16="http://schemas.microsoft.com/office/drawing/2014/chart" uri="{C3380CC4-5D6E-409C-BE32-E72D297353CC}">
              <c16:uniqueId val="{00000000-E565-46E2-8A95-DF462CA5747F}"/>
            </c:ext>
          </c:extLst>
        </c:ser>
        <c:ser>
          <c:idx val="1"/>
          <c:order val="1"/>
          <c:tx>
            <c:strRef>
              <c:f>'G4.3'!$B$2</c:f>
              <c:strCache>
                <c:ptCount val="1"/>
                <c:pt idx="0">
                  <c:v> 2020</c:v>
                </c:pt>
              </c:strCache>
            </c:strRef>
          </c:tx>
          <c:spPr>
            <a:ln w="28575" cap="rnd">
              <a:solidFill>
                <a:srgbClr val="F07373"/>
              </a:solidFill>
              <a:round/>
            </a:ln>
            <a:effectLst/>
          </c:spPr>
          <c:marker>
            <c:symbol val="none"/>
          </c:marker>
          <c:cat>
            <c:strRef>
              <c:f>'G4.3'!$A$3:$A$367</c:f>
              <c:strCache>
                <c:ptCount val="365"/>
                <c:pt idx="0">
                  <c:v>01.01.</c:v>
                </c:pt>
                <c:pt idx="1">
                  <c:v>02.01.</c:v>
                </c:pt>
                <c:pt idx="2">
                  <c:v>03.01.</c:v>
                </c:pt>
                <c:pt idx="3">
                  <c:v>04.01.</c:v>
                </c:pt>
                <c:pt idx="4">
                  <c:v>05.01.</c:v>
                </c:pt>
                <c:pt idx="5">
                  <c:v>06.01.</c:v>
                </c:pt>
                <c:pt idx="6">
                  <c:v>07.01.</c:v>
                </c:pt>
                <c:pt idx="7">
                  <c:v>08.01.</c:v>
                </c:pt>
                <c:pt idx="8">
                  <c:v>09.01.</c:v>
                </c:pt>
                <c:pt idx="9">
                  <c:v>10.01.</c:v>
                </c:pt>
                <c:pt idx="10">
                  <c:v>11.01.</c:v>
                </c:pt>
                <c:pt idx="11">
                  <c:v>12.01.</c:v>
                </c:pt>
                <c:pt idx="12">
                  <c:v>13.01.</c:v>
                </c:pt>
                <c:pt idx="13">
                  <c:v>14.01.</c:v>
                </c:pt>
                <c:pt idx="14">
                  <c:v>15.01.</c:v>
                </c:pt>
                <c:pt idx="15">
                  <c:v>16.01.</c:v>
                </c:pt>
                <c:pt idx="16">
                  <c:v>17.01.</c:v>
                </c:pt>
                <c:pt idx="17">
                  <c:v>18.01.</c:v>
                </c:pt>
                <c:pt idx="18">
                  <c:v>19.01.</c:v>
                </c:pt>
                <c:pt idx="19">
                  <c:v>20.01.</c:v>
                </c:pt>
                <c:pt idx="20">
                  <c:v>21.01.</c:v>
                </c:pt>
                <c:pt idx="21">
                  <c:v>22.01.</c:v>
                </c:pt>
                <c:pt idx="22">
                  <c:v>23.01.</c:v>
                </c:pt>
                <c:pt idx="23">
                  <c:v>24.01.</c:v>
                </c:pt>
                <c:pt idx="24">
                  <c:v>25.01.</c:v>
                </c:pt>
                <c:pt idx="25">
                  <c:v>26.01.</c:v>
                </c:pt>
                <c:pt idx="26">
                  <c:v>27.01.</c:v>
                </c:pt>
                <c:pt idx="27">
                  <c:v>28.01.</c:v>
                </c:pt>
                <c:pt idx="28">
                  <c:v>29.01.</c:v>
                </c:pt>
                <c:pt idx="29">
                  <c:v>30.01.</c:v>
                </c:pt>
                <c:pt idx="30">
                  <c:v>31.01.</c:v>
                </c:pt>
                <c:pt idx="31">
                  <c:v>01.02.</c:v>
                </c:pt>
                <c:pt idx="32">
                  <c:v>02.02.</c:v>
                </c:pt>
                <c:pt idx="33">
                  <c:v>03.02.</c:v>
                </c:pt>
                <c:pt idx="34">
                  <c:v>04.02.</c:v>
                </c:pt>
                <c:pt idx="35">
                  <c:v>05.02.</c:v>
                </c:pt>
                <c:pt idx="36">
                  <c:v>06.02.</c:v>
                </c:pt>
                <c:pt idx="37">
                  <c:v>07.02.</c:v>
                </c:pt>
                <c:pt idx="38">
                  <c:v>08.02.</c:v>
                </c:pt>
                <c:pt idx="39">
                  <c:v>09.02.</c:v>
                </c:pt>
                <c:pt idx="40">
                  <c:v>10.02.</c:v>
                </c:pt>
                <c:pt idx="41">
                  <c:v>11.02.</c:v>
                </c:pt>
                <c:pt idx="42">
                  <c:v>12.02.</c:v>
                </c:pt>
                <c:pt idx="43">
                  <c:v>13.02.</c:v>
                </c:pt>
                <c:pt idx="44">
                  <c:v>14.02.</c:v>
                </c:pt>
                <c:pt idx="45">
                  <c:v>15.02.</c:v>
                </c:pt>
                <c:pt idx="46">
                  <c:v>16.02.</c:v>
                </c:pt>
                <c:pt idx="47">
                  <c:v>17.02.</c:v>
                </c:pt>
                <c:pt idx="48">
                  <c:v>18.02.</c:v>
                </c:pt>
                <c:pt idx="49">
                  <c:v>19.02.</c:v>
                </c:pt>
                <c:pt idx="50">
                  <c:v>20.02.</c:v>
                </c:pt>
                <c:pt idx="51">
                  <c:v>21.02.</c:v>
                </c:pt>
                <c:pt idx="52">
                  <c:v>22.02.</c:v>
                </c:pt>
                <c:pt idx="53">
                  <c:v>23.02.</c:v>
                </c:pt>
                <c:pt idx="54">
                  <c:v>24.02.</c:v>
                </c:pt>
                <c:pt idx="55">
                  <c:v>25.02.</c:v>
                </c:pt>
                <c:pt idx="56">
                  <c:v>26.02.</c:v>
                </c:pt>
                <c:pt idx="57">
                  <c:v>27.02.</c:v>
                </c:pt>
                <c:pt idx="58">
                  <c:v>28.02.</c:v>
                </c:pt>
                <c:pt idx="59">
                  <c:v>01.03.</c:v>
                </c:pt>
                <c:pt idx="60">
                  <c:v>02.03.</c:v>
                </c:pt>
                <c:pt idx="61">
                  <c:v>03.03.</c:v>
                </c:pt>
                <c:pt idx="62">
                  <c:v>04.03.</c:v>
                </c:pt>
                <c:pt idx="63">
                  <c:v>05.03.</c:v>
                </c:pt>
                <c:pt idx="64">
                  <c:v>06.03.</c:v>
                </c:pt>
                <c:pt idx="65">
                  <c:v>07.03.</c:v>
                </c:pt>
                <c:pt idx="66">
                  <c:v>08.03.</c:v>
                </c:pt>
                <c:pt idx="67">
                  <c:v>09.03.</c:v>
                </c:pt>
                <c:pt idx="68">
                  <c:v>10.03.</c:v>
                </c:pt>
                <c:pt idx="69">
                  <c:v>11.03.</c:v>
                </c:pt>
                <c:pt idx="70">
                  <c:v>12.03.</c:v>
                </c:pt>
                <c:pt idx="71">
                  <c:v>13.03.</c:v>
                </c:pt>
                <c:pt idx="72">
                  <c:v>14.03.</c:v>
                </c:pt>
                <c:pt idx="73">
                  <c:v>15.03.</c:v>
                </c:pt>
                <c:pt idx="74">
                  <c:v>16.03.</c:v>
                </c:pt>
                <c:pt idx="75">
                  <c:v>17.03.</c:v>
                </c:pt>
                <c:pt idx="76">
                  <c:v>18.03.</c:v>
                </c:pt>
                <c:pt idx="77">
                  <c:v>19.03.</c:v>
                </c:pt>
                <c:pt idx="78">
                  <c:v>20.03.</c:v>
                </c:pt>
                <c:pt idx="79">
                  <c:v>21.03.</c:v>
                </c:pt>
                <c:pt idx="80">
                  <c:v>22.03.</c:v>
                </c:pt>
                <c:pt idx="81">
                  <c:v>23.03.</c:v>
                </c:pt>
                <c:pt idx="82">
                  <c:v>24.03.</c:v>
                </c:pt>
                <c:pt idx="83">
                  <c:v>25.03.</c:v>
                </c:pt>
                <c:pt idx="84">
                  <c:v>26.03.</c:v>
                </c:pt>
                <c:pt idx="85">
                  <c:v>27.03.</c:v>
                </c:pt>
                <c:pt idx="86">
                  <c:v>28.03.</c:v>
                </c:pt>
                <c:pt idx="87">
                  <c:v>29.03.</c:v>
                </c:pt>
                <c:pt idx="88">
                  <c:v>30.03.</c:v>
                </c:pt>
                <c:pt idx="89">
                  <c:v>31.03.</c:v>
                </c:pt>
                <c:pt idx="90">
                  <c:v>01.04.</c:v>
                </c:pt>
                <c:pt idx="91">
                  <c:v>02.04.</c:v>
                </c:pt>
                <c:pt idx="92">
                  <c:v>03.04.</c:v>
                </c:pt>
                <c:pt idx="93">
                  <c:v>04.04.</c:v>
                </c:pt>
                <c:pt idx="94">
                  <c:v>05.04.</c:v>
                </c:pt>
                <c:pt idx="95">
                  <c:v>06.04.</c:v>
                </c:pt>
                <c:pt idx="96">
                  <c:v>07.04.</c:v>
                </c:pt>
                <c:pt idx="97">
                  <c:v>08.04.</c:v>
                </c:pt>
                <c:pt idx="98">
                  <c:v>09.04.</c:v>
                </c:pt>
                <c:pt idx="99">
                  <c:v>10.04.</c:v>
                </c:pt>
                <c:pt idx="100">
                  <c:v>11.04.</c:v>
                </c:pt>
                <c:pt idx="101">
                  <c:v>12.04.</c:v>
                </c:pt>
                <c:pt idx="102">
                  <c:v>13.04.</c:v>
                </c:pt>
                <c:pt idx="103">
                  <c:v>14.04.</c:v>
                </c:pt>
                <c:pt idx="104">
                  <c:v>15.04.</c:v>
                </c:pt>
                <c:pt idx="105">
                  <c:v>16.04.</c:v>
                </c:pt>
                <c:pt idx="106">
                  <c:v>17.04.</c:v>
                </c:pt>
                <c:pt idx="107">
                  <c:v>18.04.</c:v>
                </c:pt>
                <c:pt idx="108">
                  <c:v>19.04.</c:v>
                </c:pt>
                <c:pt idx="109">
                  <c:v>20.04.</c:v>
                </c:pt>
                <c:pt idx="110">
                  <c:v>21.04.</c:v>
                </c:pt>
                <c:pt idx="111">
                  <c:v>22.04.</c:v>
                </c:pt>
                <c:pt idx="112">
                  <c:v>23.04.</c:v>
                </c:pt>
                <c:pt idx="113">
                  <c:v>24.04.</c:v>
                </c:pt>
                <c:pt idx="114">
                  <c:v>25.04.</c:v>
                </c:pt>
                <c:pt idx="115">
                  <c:v>26.04.</c:v>
                </c:pt>
                <c:pt idx="116">
                  <c:v>27.04.</c:v>
                </c:pt>
                <c:pt idx="117">
                  <c:v>28.04.</c:v>
                </c:pt>
                <c:pt idx="118">
                  <c:v>29.04.</c:v>
                </c:pt>
                <c:pt idx="119">
                  <c:v>30.04.</c:v>
                </c:pt>
                <c:pt idx="120">
                  <c:v>01.05.</c:v>
                </c:pt>
                <c:pt idx="121">
                  <c:v>02.05.</c:v>
                </c:pt>
                <c:pt idx="122">
                  <c:v>03.05.</c:v>
                </c:pt>
                <c:pt idx="123">
                  <c:v>04.05.</c:v>
                </c:pt>
                <c:pt idx="124">
                  <c:v>05.05.</c:v>
                </c:pt>
                <c:pt idx="125">
                  <c:v>06.05.</c:v>
                </c:pt>
                <c:pt idx="126">
                  <c:v>07.05.</c:v>
                </c:pt>
                <c:pt idx="127">
                  <c:v>08.05.</c:v>
                </c:pt>
                <c:pt idx="128">
                  <c:v>09.05.</c:v>
                </c:pt>
                <c:pt idx="129">
                  <c:v>10.05.</c:v>
                </c:pt>
                <c:pt idx="130">
                  <c:v>11.05.</c:v>
                </c:pt>
                <c:pt idx="131">
                  <c:v>12.05.</c:v>
                </c:pt>
                <c:pt idx="132">
                  <c:v>13.05.</c:v>
                </c:pt>
                <c:pt idx="133">
                  <c:v>14.05.</c:v>
                </c:pt>
                <c:pt idx="134">
                  <c:v>15.05.</c:v>
                </c:pt>
                <c:pt idx="135">
                  <c:v>16.05.</c:v>
                </c:pt>
                <c:pt idx="136">
                  <c:v>17.05.</c:v>
                </c:pt>
                <c:pt idx="137">
                  <c:v>18.05.</c:v>
                </c:pt>
                <c:pt idx="138">
                  <c:v>19.05.</c:v>
                </c:pt>
                <c:pt idx="139">
                  <c:v>20.05.</c:v>
                </c:pt>
                <c:pt idx="140">
                  <c:v>21.05.</c:v>
                </c:pt>
                <c:pt idx="141">
                  <c:v>22.05.</c:v>
                </c:pt>
                <c:pt idx="142">
                  <c:v>23.05.</c:v>
                </c:pt>
                <c:pt idx="143">
                  <c:v>24.05.</c:v>
                </c:pt>
                <c:pt idx="144">
                  <c:v>25.05.</c:v>
                </c:pt>
                <c:pt idx="145">
                  <c:v>26.05.</c:v>
                </c:pt>
                <c:pt idx="146">
                  <c:v>27.05.</c:v>
                </c:pt>
                <c:pt idx="147">
                  <c:v>28.05.</c:v>
                </c:pt>
                <c:pt idx="148">
                  <c:v>29.05.</c:v>
                </c:pt>
                <c:pt idx="149">
                  <c:v>30.05.</c:v>
                </c:pt>
                <c:pt idx="150">
                  <c:v>31.05.</c:v>
                </c:pt>
                <c:pt idx="151">
                  <c:v>01.06.</c:v>
                </c:pt>
                <c:pt idx="152">
                  <c:v>02.06.</c:v>
                </c:pt>
                <c:pt idx="153">
                  <c:v>03.06.</c:v>
                </c:pt>
                <c:pt idx="154">
                  <c:v>04.06.</c:v>
                </c:pt>
                <c:pt idx="155">
                  <c:v>05.06.</c:v>
                </c:pt>
                <c:pt idx="156">
                  <c:v>06.06.</c:v>
                </c:pt>
                <c:pt idx="157">
                  <c:v>07.06.</c:v>
                </c:pt>
                <c:pt idx="158">
                  <c:v>08.06.</c:v>
                </c:pt>
                <c:pt idx="159">
                  <c:v>09.06.</c:v>
                </c:pt>
                <c:pt idx="160">
                  <c:v>10.06.</c:v>
                </c:pt>
                <c:pt idx="161">
                  <c:v>11.06.</c:v>
                </c:pt>
                <c:pt idx="162">
                  <c:v>12.06.</c:v>
                </c:pt>
                <c:pt idx="163">
                  <c:v>13.06.</c:v>
                </c:pt>
                <c:pt idx="164">
                  <c:v>14.06.</c:v>
                </c:pt>
                <c:pt idx="165">
                  <c:v>15.06.</c:v>
                </c:pt>
                <c:pt idx="166">
                  <c:v>16.06.</c:v>
                </c:pt>
                <c:pt idx="167">
                  <c:v>17.06.</c:v>
                </c:pt>
                <c:pt idx="168">
                  <c:v>18.06.</c:v>
                </c:pt>
                <c:pt idx="169">
                  <c:v>19.06.</c:v>
                </c:pt>
                <c:pt idx="170">
                  <c:v>20.06.</c:v>
                </c:pt>
                <c:pt idx="171">
                  <c:v>21.06.</c:v>
                </c:pt>
                <c:pt idx="172">
                  <c:v>22.06.</c:v>
                </c:pt>
                <c:pt idx="173">
                  <c:v>23.06.</c:v>
                </c:pt>
                <c:pt idx="174">
                  <c:v>24.06.</c:v>
                </c:pt>
                <c:pt idx="175">
                  <c:v>25.06.</c:v>
                </c:pt>
                <c:pt idx="176">
                  <c:v>26.06.</c:v>
                </c:pt>
                <c:pt idx="177">
                  <c:v>27.06.</c:v>
                </c:pt>
                <c:pt idx="178">
                  <c:v>28.06.</c:v>
                </c:pt>
                <c:pt idx="179">
                  <c:v>29.06.</c:v>
                </c:pt>
                <c:pt idx="180">
                  <c:v>30.06.</c:v>
                </c:pt>
                <c:pt idx="181">
                  <c:v>01.07.</c:v>
                </c:pt>
                <c:pt idx="182">
                  <c:v>02.07.</c:v>
                </c:pt>
                <c:pt idx="183">
                  <c:v>03.07.</c:v>
                </c:pt>
                <c:pt idx="184">
                  <c:v>04.07.</c:v>
                </c:pt>
                <c:pt idx="185">
                  <c:v>05.07.</c:v>
                </c:pt>
                <c:pt idx="186">
                  <c:v>06.07.</c:v>
                </c:pt>
                <c:pt idx="187">
                  <c:v>07.07.</c:v>
                </c:pt>
                <c:pt idx="188">
                  <c:v>08.07.</c:v>
                </c:pt>
                <c:pt idx="189">
                  <c:v>09.07.</c:v>
                </c:pt>
                <c:pt idx="190">
                  <c:v>10.07.</c:v>
                </c:pt>
                <c:pt idx="191">
                  <c:v>11.07.</c:v>
                </c:pt>
                <c:pt idx="192">
                  <c:v>12.07.</c:v>
                </c:pt>
                <c:pt idx="193">
                  <c:v>13.07.</c:v>
                </c:pt>
                <c:pt idx="194">
                  <c:v>14.07.</c:v>
                </c:pt>
                <c:pt idx="195">
                  <c:v>15.07.</c:v>
                </c:pt>
                <c:pt idx="196">
                  <c:v>16.07.</c:v>
                </c:pt>
                <c:pt idx="197">
                  <c:v>17.07.</c:v>
                </c:pt>
                <c:pt idx="198">
                  <c:v>18.07.</c:v>
                </c:pt>
                <c:pt idx="199">
                  <c:v>19.07.</c:v>
                </c:pt>
                <c:pt idx="200">
                  <c:v>20.07.</c:v>
                </c:pt>
                <c:pt idx="201">
                  <c:v>21.07.</c:v>
                </c:pt>
                <c:pt idx="202">
                  <c:v>22.07.</c:v>
                </c:pt>
                <c:pt idx="203">
                  <c:v>23.07.</c:v>
                </c:pt>
                <c:pt idx="204">
                  <c:v>24.07.</c:v>
                </c:pt>
                <c:pt idx="205">
                  <c:v>25.07.</c:v>
                </c:pt>
                <c:pt idx="206">
                  <c:v>26.07.</c:v>
                </c:pt>
                <c:pt idx="207">
                  <c:v>27.07.</c:v>
                </c:pt>
                <c:pt idx="208">
                  <c:v>28.07.</c:v>
                </c:pt>
                <c:pt idx="209">
                  <c:v>29.07.</c:v>
                </c:pt>
                <c:pt idx="210">
                  <c:v>30.07.</c:v>
                </c:pt>
                <c:pt idx="211">
                  <c:v>31.07.</c:v>
                </c:pt>
                <c:pt idx="212">
                  <c:v>01.08.</c:v>
                </c:pt>
                <c:pt idx="213">
                  <c:v>02.08.</c:v>
                </c:pt>
                <c:pt idx="214">
                  <c:v>03.08.</c:v>
                </c:pt>
                <c:pt idx="215">
                  <c:v>04.08.</c:v>
                </c:pt>
                <c:pt idx="216">
                  <c:v>05.08.</c:v>
                </c:pt>
                <c:pt idx="217">
                  <c:v>06.08.</c:v>
                </c:pt>
                <c:pt idx="218">
                  <c:v>07.08.</c:v>
                </c:pt>
                <c:pt idx="219">
                  <c:v>08.08.</c:v>
                </c:pt>
                <c:pt idx="220">
                  <c:v>09.08.</c:v>
                </c:pt>
                <c:pt idx="221">
                  <c:v>10.08.</c:v>
                </c:pt>
                <c:pt idx="222">
                  <c:v>11.08.</c:v>
                </c:pt>
                <c:pt idx="223">
                  <c:v>12.08.</c:v>
                </c:pt>
                <c:pt idx="224">
                  <c:v>13.08.</c:v>
                </c:pt>
                <c:pt idx="225">
                  <c:v>14.08.</c:v>
                </c:pt>
                <c:pt idx="226">
                  <c:v>15.08.</c:v>
                </c:pt>
                <c:pt idx="227">
                  <c:v>16.08.</c:v>
                </c:pt>
                <c:pt idx="228">
                  <c:v>17.08.</c:v>
                </c:pt>
                <c:pt idx="229">
                  <c:v>18.08.</c:v>
                </c:pt>
                <c:pt idx="230">
                  <c:v>19.08.</c:v>
                </c:pt>
                <c:pt idx="231">
                  <c:v>20.08.</c:v>
                </c:pt>
                <c:pt idx="232">
                  <c:v>21.08.</c:v>
                </c:pt>
                <c:pt idx="233">
                  <c:v>22.08.</c:v>
                </c:pt>
                <c:pt idx="234">
                  <c:v>23.08.</c:v>
                </c:pt>
                <c:pt idx="235">
                  <c:v>24.08.</c:v>
                </c:pt>
                <c:pt idx="236">
                  <c:v>25.08.</c:v>
                </c:pt>
                <c:pt idx="237">
                  <c:v>26.08.</c:v>
                </c:pt>
                <c:pt idx="238">
                  <c:v>27.08.</c:v>
                </c:pt>
                <c:pt idx="239">
                  <c:v>28.08.</c:v>
                </c:pt>
                <c:pt idx="240">
                  <c:v>29.08.</c:v>
                </c:pt>
                <c:pt idx="241">
                  <c:v>30.08.</c:v>
                </c:pt>
                <c:pt idx="242">
                  <c:v>31.08.</c:v>
                </c:pt>
                <c:pt idx="243">
                  <c:v>01.09.</c:v>
                </c:pt>
                <c:pt idx="244">
                  <c:v>02.09.</c:v>
                </c:pt>
                <c:pt idx="245">
                  <c:v>03.09.</c:v>
                </c:pt>
                <c:pt idx="246">
                  <c:v>04.09.</c:v>
                </c:pt>
                <c:pt idx="247">
                  <c:v>05.09.</c:v>
                </c:pt>
                <c:pt idx="248">
                  <c:v>06.09.</c:v>
                </c:pt>
                <c:pt idx="249">
                  <c:v>07.09.</c:v>
                </c:pt>
                <c:pt idx="250">
                  <c:v>08.09.</c:v>
                </c:pt>
                <c:pt idx="251">
                  <c:v>09.09.</c:v>
                </c:pt>
                <c:pt idx="252">
                  <c:v>10.09.</c:v>
                </c:pt>
                <c:pt idx="253">
                  <c:v>11.09.</c:v>
                </c:pt>
                <c:pt idx="254">
                  <c:v>12.09.</c:v>
                </c:pt>
                <c:pt idx="255">
                  <c:v>13.09.</c:v>
                </c:pt>
                <c:pt idx="256">
                  <c:v>14.09.</c:v>
                </c:pt>
                <c:pt idx="257">
                  <c:v>15.09.</c:v>
                </c:pt>
                <c:pt idx="258">
                  <c:v>16.09.</c:v>
                </c:pt>
                <c:pt idx="259">
                  <c:v>17.09.</c:v>
                </c:pt>
                <c:pt idx="260">
                  <c:v>18.09.</c:v>
                </c:pt>
                <c:pt idx="261">
                  <c:v>19.09.</c:v>
                </c:pt>
                <c:pt idx="262">
                  <c:v>20.09.</c:v>
                </c:pt>
                <c:pt idx="263">
                  <c:v>21.09.</c:v>
                </c:pt>
                <c:pt idx="264">
                  <c:v>22.09.</c:v>
                </c:pt>
                <c:pt idx="265">
                  <c:v>23.09.</c:v>
                </c:pt>
                <c:pt idx="266">
                  <c:v>24.09.</c:v>
                </c:pt>
                <c:pt idx="267">
                  <c:v>25.09.</c:v>
                </c:pt>
                <c:pt idx="268">
                  <c:v>26.09.</c:v>
                </c:pt>
                <c:pt idx="269">
                  <c:v>27.09.</c:v>
                </c:pt>
                <c:pt idx="270">
                  <c:v>28.09.</c:v>
                </c:pt>
                <c:pt idx="271">
                  <c:v>29.09.</c:v>
                </c:pt>
                <c:pt idx="272">
                  <c:v>30.09.</c:v>
                </c:pt>
                <c:pt idx="273">
                  <c:v>01.10.</c:v>
                </c:pt>
                <c:pt idx="274">
                  <c:v>02.10.</c:v>
                </c:pt>
                <c:pt idx="275">
                  <c:v>03.10.</c:v>
                </c:pt>
                <c:pt idx="276">
                  <c:v>04.10.</c:v>
                </c:pt>
                <c:pt idx="277">
                  <c:v>05.10.</c:v>
                </c:pt>
                <c:pt idx="278">
                  <c:v>06.10.</c:v>
                </c:pt>
                <c:pt idx="279">
                  <c:v>07.10.</c:v>
                </c:pt>
                <c:pt idx="280">
                  <c:v>08.10.</c:v>
                </c:pt>
                <c:pt idx="281">
                  <c:v>09.10.</c:v>
                </c:pt>
                <c:pt idx="282">
                  <c:v>10.10.</c:v>
                </c:pt>
                <c:pt idx="283">
                  <c:v>11.10.</c:v>
                </c:pt>
                <c:pt idx="284">
                  <c:v>12.10.</c:v>
                </c:pt>
                <c:pt idx="285">
                  <c:v>13.10.</c:v>
                </c:pt>
                <c:pt idx="286">
                  <c:v>14.10.</c:v>
                </c:pt>
                <c:pt idx="287">
                  <c:v>15.10.</c:v>
                </c:pt>
                <c:pt idx="288">
                  <c:v>16.10.</c:v>
                </c:pt>
                <c:pt idx="289">
                  <c:v>17.10.</c:v>
                </c:pt>
                <c:pt idx="290">
                  <c:v>18.10.</c:v>
                </c:pt>
                <c:pt idx="291">
                  <c:v>19.10.</c:v>
                </c:pt>
                <c:pt idx="292">
                  <c:v>20.10.</c:v>
                </c:pt>
                <c:pt idx="293">
                  <c:v>21.10.</c:v>
                </c:pt>
                <c:pt idx="294">
                  <c:v>22.10.</c:v>
                </c:pt>
                <c:pt idx="295">
                  <c:v>23.10.</c:v>
                </c:pt>
                <c:pt idx="296">
                  <c:v>24.10.</c:v>
                </c:pt>
                <c:pt idx="297">
                  <c:v>25.10.</c:v>
                </c:pt>
                <c:pt idx="298">
                  <c:v>26.10.</c:v>
                </c:pt>
                <c:pt idx="299">
                  <c:v>27.10.</c:v>
                </c:pt>
                <c:pt idx="300">
                  <c:v>28.10.</c:v>
                </c:pt>
                <c:pt idx="301">
                  <c:v>29.10.</c:v>
                </c:pt>
                <c:pt idx="302">
                  <c:v>30.10.</c:v>
                </c:pt>
                <c:pt idx="303">
                  <c:v>31.10.</c:v>
                </c:pt>
                <c:pt idx="304">
                  <c:v>01.11.</c:v>
                </c:pt>
                <c:pt idx="305">
                  <c:v>02.11.</c:v>
                </c:pt>
                <c:pt idx="306">
                  <c:v>03.11.</c:v>
                </c:pt>
                <c:pt idx="307">
                  <c:v>04.11.</c:v>
                </c:pt>
                <c:pt idx="308">
                  <c:v>05.11.</c:v>
                </c:pt>
                <c:pt idx="309">
                  <c:v>06.11.</c:v>
                </c:pt>
                <c:pt idx="310">
                  <c:v>07.11.</c:v>
                </c:pt>
                <c:pt idx="311">
                  <c:v>08.11.</c:v>
                </c:pt>
                <c:pt idx="312">
                  <c:v>09.11.</c:v>
                </c:pt>
                <c:pt idx="313">
                  <c:v>10.11.</c:v>
                </c:pt>
                <c:pt idx="314">
                  <c:v>11.11.</c:v>
                </c:pt>
                <c:pt idx="315">
                  <c:v>12.11.</c:v>
                </c:pt>
                <c:pt idx="316">
                  <c:v>13.11.</c:v>
                </c:pt>
                <c:pt idx="317">
                  <c:v>14.11.</c:v>
                </c:pt>
                <c:pt idx="318">
                  <c:v>15.11.</c:v>
                </c:pt>
                <c:pt idx="319">
                  <c:v>16.11.</c:v>
                </c:pt>
                <c:pt idx="320">
                  <c:v>17.11.</c:v>
                </c:pt>
                <c:pt idx="321">
                  <c:v>18.11.</c:v>
                </c:pt>
                <c:pt idx="322">
                  <c:v>19.11.</c:v>
                </c:pt>
                <c:pt idx="323">
                  <c:v>20.11.</c:v>
                </c:pt>
                <c:pt idx="324">
                  <c:v>21.11.</c:v>
                </c:pt>
                <c:pt idx="325">
                  <c:v>22.11.</c:v>
                </c:pt>
                <c:pt idx="326">
                  <c:v>23.11.</c:v>
                </c:pt>
                <c:pt idx="327">
                  <c:v>24.11.</c:v>
                </c:pt>
                <c:pt idx="328">
                  <c:v>25.11.</c:v>
                </c:pt>
                <c:pt idx="329">
                  <c:v>26.11.</c:v>
                </c:pt>
                <c:pt idx="330">
                  <c:v>27.11.</c:v>
                </c:pt>
                <c:pt idx="331">
                  <c:v>28.11.</c:v>
                </c:pt>
                <c:pt idx="332">
                  <c:v>29.11.</c:v>
                </c:pt>
                <c:pt idx="333">
                  <c:v>30.11.</c:v>
                </c:pt>
                <c:pt idx="334">
                  <c:v>01.12.</c:v>
                </c:pt>
                <c:pt idx="335">
                  <c:v>02.12.</c:v>
                </c:pt>
                <c:pt idx="336">
                  <c:v>03.12.</c:v>
                </c:pt>
                <c:pt idx="337">
                  <c:v>04.12.</c:v>
                </c:pt>
                <c:pt idx="338">
                  <c:v>05.12.</c:v>
                </c:pt>
                <c:pt idx="339">
                  <c:v>06.12.</c:v>
                </c:pt>
                <c:pt idx="340">
                  <c:v>07.12.</c:v>
                </c:pt>
                <c:pt idx="341">
                  <c:v>08.12.</c:v>
                </c:pt>
                <c:pt idx="342">
                  <c:v>09.12.</c:v>
                </c:pt>
                <c:pt idx="343">
                  <c:v>10.12.</c:v>
                </c:pt>
                <c:pt idx="344">
                  <c:v>11.12.</c:v>
                </c:pt>
                <c:pt idx="345">
                  <c:v>12.12.</c:v>
                </c:pt>
                <c:pt idx="346">
                  <c:v>13.12.</c:v>
                </c:pt>
                <c:pt idx="347">
                  <c:v>14.12.</c:v>
                </c:pt>
                <c:pt idx="348">
                  <c:v>15.12.</c:v>
                </c:pt>
                <c:pt idx="349">
                  <c:v>16.12.</c:v>
                </c:pt>
                <c:pt idx="350">
                  <c:v>17.12.</c:v>
                </c:pt>
                <c:pt idx="351">
                  <c:v>18.12.</c:v>
                </c:pt>
                <c:pt idx="352">
                  <c:v>19.12.</c:v>
                </c:pt>
                <c:pt idx="353">
                  <c:v>20.12.</c:v>
                </c:pt>
                <c:pt idx="354">
                  <c:v>21.12.</c:v>
                </c:pt>
                <c:pt idx="355">
                  <c:v>22.12.</c:v>
                </c:pt>
                <c:pt idx="356">
                  <c:v>23.12.</c:v>
                </c:pt>
                <c:pt idx="357">
                  <c:v>24.12.</c:v>
                </c:pt>
                <c:pt idx="358">
                  <c:v>25.12.</c:v>
                </c:pt>
                <c:pt idx="359">
                  <c:v>26.12.</c:v>
                </c:pt>
                <c:pt idx="360">
                  <c:v>27.12.</c:v>
                </c:pt>
                <c:pt idx="361">
                  <c:v>28.12.</c:v>
                </c:pt>
                <c:pt idx="362">
                  <c:v>29.12.</c:v>
                </c:pt>
                <c:pt idx="363">
                  <c:v>30.12.</c:v>
                </c:pt>
                <c:pt idx="364">
                  <c:v>31.12.</c:v>
                </c:pt>
              </c:strCache>
            </c:strRef>
          </c:cat>
          <c:val>
            <c:numRef>
              <c:f>'G4.3'!$B$3:$B$367</c:f>
              <c:numCache>
                <c:formatCode>General</c:formatCode>
                <c:ptCount val="365"/>
                <c:pt idx="59" formatCode="0">
                  <c:v>35</c:v>
                </c:pt>
                <c:pt idx="60" formatCode="0">
                  <c:v>128</c:v>
                </c:pt>
                <c:pt idx="61" formatCode="0">
                  <c:v>165</c:v>
                </c:pt>
                <c:pt idx="62" formatCode="0">
                  <c:v>203</c:v>
                </c:pt>
                <c:pt idx="63" formatCode="0">
                  <c:v>259</c:v>
                </c:pt>
                <c:pt idx="64" formatCode="0">
                  <c:v>430</c:v>
                </c:pt>
                <c:pt idx="65" formatCode="0">
                  <c:v>807</c:v>
                </c:pt>
                <c:pt idx="66" formatCode="0">
                  <c:v>968</c:v>
                </c:pt>
                <c:pt idx="67" formatCode="0">
                  <c:v>2613</c:v>
                </c:pt>
                <c:pt idx="68" formatCode="0">
                  <c:v>2878</c:v>
                </c:pt>
                <c:pt idx="69" formatCode="0">
                  <c:v>3273</c:v>
                </c:pt>
                <c:pt idx="70" formatCode="0">
                  <c:v>3727</c:v>
                </c:pt>
                <c:pt idx="71" formatCode="0">
                  <c:v>5974</c:v>
                </c:pt>
                <c:pt idx="72" formatCode="0">
                  <c:v>6827</c:v>
                </c:pt>
                <c:pt idx="73" formatCode="0">
                  <c:v>7286</c:v>
                </c:pt>
                <c:pt idx="74" formatCode="0">
                  <c:v>13988</c:v>
                </c:pt>
                <c:pt idx="75" formatCode="0">
                  <c:v>17018</c:v>
                </c:pt>
                <c:pt idx="76" formatCode="0">
                  <c:v>18150</c:v>
                </c:pt>
                <c:pt idx="77" formatCode="0">
                  <c:v>19338</c:v>
                </c:pt>
                <c:pt idx="78" formatCode="0">
                  <c:v>20823</c:v>
                </c:pt>
                <c:pt idx="79" formatCode="0">
                  <c:v>20173</c:v>
                </c:pt>
                <c:pt idx="80" formatCode="0">
                  <c:v>20020</c:v>
                </c:pt>
                <c:pt idx="81" formatCode="0">
                  <c:v>21460</c:v>
                </c:pt>
                <c:pt idx="82" formatCode="0">
                  <c:v>21460</c:v>
                </c:pt>
                <c:pt idx="83" formatCode="0">
                  <c:v>21920</c:v>
                </c:pt>
                <c:pt idx="84" formatCode="0">
                  <c:v>22403</c:v>
                </c:pt>
                <c:pt idx="85" formatCode="0">
                  <c:v>22350</c:v>
                </c:pt>
                <c:pt idx="86" formatCode="0">
                  <c:v>19753</c:v>
                </c:pt>
                <c:pt idx="87" formatCode="0">
                  <c:v>19198</c:v>
                </c:pt>
                <c:pt idx="88" formatCode="0">
                  <c:v>17799</c:v>
                </c:pt>
                <c:pt idx="89" formatCode="0">
                  <c:v>15341</c:v>
                </c:pt>
                <c:pt idx="90" formatCode="0">
                  <c:v>13764</c:v>
                </c:pt>
                <c:pt idx="91" formatCode="0">
                  <c:v>13293</c:v>
                </c:pt>
                <c:pt idx="92" formatCode="0">
                  <c:v>12995</c:v>
                </c:pt>
                <c:pt idx="93" formatCode="0">
                  <c:v>11956</c:v>
                </c:pt>
                <c:pt idx="94" formatCode="0">
                  <c:v>11867</c:v>
                </c:pt>
                <c:pt idx="95" formatCode="0">
                  <c:v>12182</c:v>
                </c:pt>
                <c:pt idx="96" formatCode="0">
                  <c:v>11298</c:v>
                </c:pt>
                <c:pt idx="97" formatCode="0">
                  <c:v>10792</c:v>
                </c:pt>
                <c:pt idx="98" formatCode="0">
                  <c:v>10442</c:v>
                </c:pt>
                <c:pt idx="99" formatCode="0">
                  <c:v>9330</c:v>
                </c:pt>
                <c:pt idx="100" formatCode="0">
                  <c:v>9092</c:v>
                </c:pt>
                <c:pt idx="101" formatCode="0">
                  <c:v>9003</c:v>
                </c:pt>
                <c:pt idx="102" formatCode="0">
                  <c:v>8808</c:v>
                </c:pt>
                <c:pt idx="103" formatCode="0">
                  <c:v>9090</c:v>
                </c:pt>
                <c:pt idx="104" formatCode="0">
                  <c:v>7993</c:v>
                </c:pt>
                <c:pt idx="105" formatCode="0">
                  <c:v>7668</c:v>
                </c:pt>
                <c:pt idx="106" formatCode="0">
                  <c:v>7384</c:v>
                </c:pt>
                <c:pt idx="107" formatCode="0">
                  <c:v>6759</c:v>
                </c:pt>
                <c:pt idx="108" formatCode="0">
                  <c:v>6719</c:v>
                </c:pt>
                <c:pt idx="109" formatCode="0">
                  <c:v>6882</c:v>
                </c:pt>
                <c:pt idx="110" formatCode="0">
                  <c:v>6523</c:v>
                </c:pt>
                <c:pt idx="111" formatCode="0">
                  <c:v>6279</c:v>
                </c:pt>
                <c:pt idx="112" formatCode="0">
                  <c:v>6117</c:v>
                </c:pt>
                <c:pt idx="113" formatCode="0">
                  <c:v>6049</c:v>
                </c:pt>
                <c:pt idx="114" formatCode="0">
                  <c:v>5635</c:v>
                </c:pt>
                <c:pt idx="115" formatCode="0">
                  <c:v>5613</c:v>
                </c:pt>
                <c:pt idx="116" formatCode="0">
                  <c:v>5804</c:v>
                </c:pt>
                <c:pt idx="117" formatCode="0">
                  <c:v>5507</c:v>
                </c:pt>
                <c:pt idx="118" formatCode="0">
                  <c:v>5329</c:v>
                </c:pt>
                <c:pt idx="119" formatCode="0">
                  <c:v>5112</c:v>
                </c:pt>
                <c:pt idx="120" formatCode="0">
                  <c:v>4524</c:v>
                </c:pt>
                <c:pt idx="121" formatCode="0">
                  <c:v>4481</c:v>
                </c:pt>
                <c:pt idx="122" formatCode="0">
                  <c:v>4445</c:v>
                </c:pt>
                <c:pt idx="123" formatCode="0">
                  <c:v>4455</c:v>
                </c:pt>
                <c:pt idx="124" formatCode="0">
                  <c:v>3959</c:v>
                </c:pt>
                <c:pt idx="125" formatCode="0">
                  <c:v>3763</c:v>
                </c:pt>
                <c:pt idx="126" formatCode="0">
                  <c:v>3602</c:v>
                </c:pt>
                <c:pt idx="127" formatCode="0">
                  <c:v>3290</c:v>
                </c:pt>
                <c:pt idx="128" formatCode="0">
                  <c:v>3254</c:v>
                </c:pt>
                <c:pt idx="129" formatCode="0">
                  <c:v>3245</c:v>
                </c:pt>
                <c:pt idx="130" formatCode="0">
                  <c:v>3292</c:v>
                </c:pt>
                <c:pt idx="131" formatCode="0">
                  <c:v>3016</c:v>
                </c:pt>
                <c:pt idx="132" formatCode="0">
                  <c:v>2903</c:v>
                </c:pt>
                <c:pt idx="133" formatCode="0">
                  <c:v>2833</c:v>
                </c:pt>
                <c:pt idx="134" formatCode="0">
                  <c:v>2779</c:v>
                </c:pt>
                <c:pt idx="135" formatCode="0">
                  <c:v>2602</c:v>
                </c:pt>
                <c:pt idx="136" formatCode="0">
                  <c:v>2583</c:v>
                </c:pt>
                <c:pt idx="137" formatCode="0">
                  <c:v>2686</c:v>
                </c:pt>
                <c:pt idx="138" formatCode="0">
                  <c:v>2617</c:v>
                </c:pt>
                <c:pt idx="139" formatCode="0">
                  <c:v>2623</c:v>
                </c:pt>
                <c:pt idx="140" formatCode="0">
                  <c:v>2689</c:v>
                </c:pt>
                <c:pt idx="141" formatCode="0">
                  <c:v>2692</c:v>
                </c:pt>
                <c:pt idx="142" formatCode="0">
                  <c:v>2581</c:v>
                </c:pt>
                <c:pt idx="143" formatCode="0">
                  <c:v>2571</c:v>
                </c:pt>
                <c:pt idx="144" formatCode="0">
                  <c:v>2658</c:v>
                </c:pt>
                <c:pt idx="145" formatCode="0">
                  <c:v>2634</c:v>
                </c:pt>
                <c:pt idx="146" formatCode="0">
                  <c:v>2614</c:v>
                </c:pt>
                <c:pt idx="147" formatCode="0">
                  <c:v>2578</c:v>
                </c:pt>
                <c:pt idx="148" formatCode="0">
                  <c:v>2570</c:v>
                </c:pt>
                <c:pt idx="149" formatCode="0">
                  <c:v>2454</c:v>
                </c:pt>
                <c:pt idx="150" formatCode="0">
                  <c:v>2446</c:v>
                </c:pt>
                <c:pt idx="151" formatCode="0">
                  <c:v>2393</c:v>
                </c:pt>
                <c:pt idx="152" formatCode="0">
                  <c:v>2241</c:v>
                </c:pt>
                <c:pt idx="153" formatCode="0">
                  <c:v>2195</c:v>
                </c:pt>
                <c:pt idx="154" formatCode="0">
                  <c:v>2145</c:v>
                </c:pt>
                <c:pt idx="155" formatCode="0">
                  <c:v>2072</c:v>
                </c:pt>
                <c:pt idx="156" formatCode="0">
                  <c:v>1926</c:v>
                </c:pt>
                <c:pt idx="157" formatCode="0">
                  <c:v>1919</c:v>
                </c:pt>
                <c:pt idx="158" formatCode="0">
                  <c:v>1940</c:v>
                </c:pt>
                <c:pt idx="159" formatCode="0">
                  <c:v>1919</c:v>
                </c:pt>
                <c:pt idx="160" formatCode="0">
                  <c:v>1881</c:v>
                </c:pt>
                <c:pt idx="161" formatCode="0">
                  <c:v>1875</c:v>
                </c:pt>
                <c:pt idx="162" formatCode="0">
                  <c:v>1862</c:v>
                </c:pt>
                <c:pt idx="163" formatCode="0">
                  <c:v>1764</c:v>
                </c:pt>
                <c:pt idx="164" formatCode="0">
                  <c:v>1758</c:v>
                </c:pt>
                <c:pt idx="165" formatCode="0">
                  <c:v>1826</c:v>
                </c:pt>
                <c:pt idx="166" formatCode="0">
                  <c:v>1764</c:v>
                </c:pt>
                <c:pt idx="167" formatCode="0">
                  <c:v>1746</c:v>
                </c:pt>
                <c:pt idx="168" formatCode="0">
                  <c:v>1784</c:v>
                </c:pt>
                <c:pt idx="169" formatCode="0">
                  <c:v>1851</c:v>
                </c:pt>
                <c:pt idx="170" formatCode="0">
                  <c:v>1754</c:v>
                </c:pt>
                <c:pt idx="171" formatCode="0">
                  <c:v>1748</c:v>
                </c:pt>
                <c:pt idx="172" formatCode="0">
                  <c:v>1967</c:v>
                </c:pt>
                <c:pt idx="173" formatCode="0">
                  <c:v>2009</c:v>
                </c:pt>
                <c:pt idx="174" formatCode="0">
                  <c:v>2072</c:v>
                </c:pt>
                <c:pt idx="175" formatCode="0">
                  <c:v>2151</c:v>
                </c:pt>
                <c:pt idx="176" formatCode="0">
                  <c:v>2263</c:v>
                </c:pt>
                <c:pt idx="177" formatCode="0">
                  <c:v>2173</c:v>
                </c:pt>
                <c:pt idx="178" formatCode="0">
                  <c:v>2170</c:v>
                </c:pt>
                <c:pt idx="179" formatCode="0">
                  <c:v>2502</c:v>
                </c:pt>
                <c:pt idx="180" formatCode="0">
                  <c:v>2645</c:v>
                </c:pt>
                <c:pt idx="181" formatCode="0">
                  <c:v>2780</c:v>
                </c:pt>
                <c:pt idx="182" formatCode="0">
                  <c:v>2911</c:v>
                </c:pt>
                <c:pt idx="183" formatCode="0">
                  <c:v>2947</c:v>
                </c:pt>
                <c:pt idx="184" formatCode="0">
                  <c:v>2802</c:v>
                </c:pt>
                <c:pt idx="185" formatCode="0">
                  <c:v>2793</c:v>
                </c:pt>
                <c:pt idx="186" formatCode="0">
                  <c:v>2779</c:v>
                </c:pt>
                <c:pt idx="187" formatCode="0">
                  <c:v>3009</c:v>
                </c:pt>
                <c:pt idx="188" formatCode="0">
                  <c:v>3079</c:v>
                </c:pt>
                <c:pt idx="189" formatCode="0">
                  <c:v>3184</c:v>
                </c:pt>
                <c:pt idx="190" formatCode="0">
                  <c:v>3167</c:v>
                </c:pt>
                <c:pt idx="191" formatCode="0">
                  <c:v>3009</c:v>
                </c:pt>
                <c:pt idx="192" formatCode="0">
                  <c:v>2990</c:v>
                </c:pt>
                <c:pt idx="193" formatCode="0">
                  <c:v>3067</c:v>
                </c:pt>
                <c:pt idx="194" formatCode="0">
                  <c:v>2858</c:v>
                </c:pt>
                <c:pt idx="195" formatCode="0">
                  <c:v>2824</c:v>
                </c:pt>
                <c:pt idx="196" formatCode="0">
                  <c:v>2765</c:v>
                </c:pt>
                <c:pt idx="197" formatCode="0">
                  <c:v>2794</c:v>
                </c:pt>
                <c:pt idx="198" formatCode="0">
                  <c:v>2556</c:v>
                </c:pt>
                <c:pt idx="199" formatCode="0">
                  <c:v>2547</c:v>
                </c:pt>
                <c:pt idx="200" formatCode="0">
                  <c:v>2789</c:v>
                </c:pt>
                <c:pt idx="201" formatCode="0">
                  <c:v>2719</c:v>
                </c:pt>
                <c:pt idx="202" formatCode="0">
                  <c:v>2775</c:v>
                </c:pt>
                <c:pt idx="203" formatCode="0">
                  <c:v>2858</c:v>
                </c:pt>
                <c:pt idx="204" formatCode="0">
                  <c:v>3038</c:v>
                </c:pt>
                <c:pt idx="205" formatCode="0">
                  <c:v>2875</c:v>
                </c:pt>
                <c:pt idx="206" formatCode="0">
                  <c:v>2865</c:v>
                </c:pt>
                <c:pt idx="207" formatCode="0">
                  <c:v>3275</c:v>
                </c:pt>
                <c:pt idx="208" formatCode="0">
                  <c:v>3371</c:v>
                </c:pt>
                <c:pt idx="209" formatCode="0">
                  <c:v>3542</c:v>
                </c:pt>
                <c:pt idx="210" formatCode="0">
                  <c:v>3656</c:v>
                </c:pt>
                <c:pt idx="211" formatCode="0">
                  <c:v>3751</c:v>
                </c:pt>
                <c:pt idx="212" formatCode="0">
                  <c:v>3419</c:v>
                </c:pt>
                <c:pt idx="213" formatCode="0">
                  <c:v>3410</c:v>
                </c:pt>
                <c:pt idx="214" formatCode="0">
                  <c:v>3812</c:v>
                </c:pt>
                <c:pt idx="215" formatCode="0">
                  <c:v>3747</c:v>
                </c:pt>
                <c:pt idx="216" formatCode="0">
                  <c:v>3808</c:v>
                </c:pt>
                <c:pt idx="217" formatCode="0">
                  <c:v>3826</c:v>
                </c:pt>
                <c:pt idx="218" formatCode="0">
                  <c:v>3906</c:v>
                </c:pt>
                <c:pt idx="219" formatCode="0">
                  <c:v>3646</c:v>
                </c:pt>
                <c:pt idx="220" formatCode="0">
                  <c:v>3634</c:v>
                </c:pt>
                <c:pt idx="221" formatCode="0">
                  <c:v>4017</c:v>
                </c:pt>
                <c:pt idx="222" formatCode="0">
                  <c:v>3987</c:v>
                </c:pt>
                <c:pt idx="223" formatCode="0">
                  <c:v>3984</c:v>
                </c:pt>
                <c:pt idx="224" formatCode="0">
                  <c:v>4000</c:v>
                </c:pt>
                <c:pt idx="225" formatCode="0">
                  <c:v>4087</c:v>
                </c:pt>
                <c:pt idx="226" formatCode="0">
                  <c:v>3814</c:v>
                </c:pt>
                <c:pt idx="227" formatCode="0">
                  <c:v>3802</c:v>
                </c:pt>
                <c:pt idx="228" formatCode="0">
                  <c:v>4304</c:v>
                </c:pt>
                <c:pt idx="229" formatCode="0">
                  <c:v>4224</c:v>
                </c:pt>
                <c:pt idx="230" formatCode="0">
                  <c:v>4242</c:v>
                </c:pt>
                <c:pt idx="231" formatCode="0">
                  <c:v>4186</c:v>
                </c:pt>
                <c:pt idx="232" formatCode="0">
                  <c:v>4256</c:v>
                </c:pt>
                <c:pt idx="233" formatCode="0">
                  <c:v>4028</c:v>
                </c:pt>
                <c:pt idx="234" formatCode="0">
                  <c:v>4013</c:v>
                </c:pt>
                <c:pt idx="235" formatCode="0">
                  <c:v>4436</c:v>
                </c:pt>
                <c:pt idx="236" formatCode="0">
                  <c:v>4364</c:v>
                </c:pt>
                <c:pt idx="237" formatCode="0">
                  <c:v>4359</c:v>
                </c:pt>
                <c:pt idx="238" formatCode="0">
                  <c:v>4405</c:v>
                </c:pt>
                <c:pt idx="239" formatCode="0">
                  <c:v>4562</c:v>
                </c:pt>
                <c:pt idx="240" formatCode="0">
                  <c:v>4225</c:v>
                </c:pt>
                <c:pt idx="241" formatCode="0">
                  <c:v>4204</c:v>
                </c:pt>
                <c:pt idx="242" formatCode="0">
                  <c:v>5016</c:v>
                </c:pt>
                <c:pt idx="243" formatCode="0">
                  <c:v>4982</c:v>
                </c:pt>
                <c:pt idx="244" formatCode="0">
                  <c:v>5251</c:v>
                </c:pt>
                <c:pt idx="245" formatCode="0">
                  <c:v>5579</c:v>
                </c:pt>
                <c:pt idx="246" formatCode="0">
                  <c:v>5980</c:v>
                </c:pt>
                <c:pt idx="247" formatCode="0">
                  <c:v>5629</c:v>
                </c:pt>
                <c:pt idx="248" formatCode="0">
                  <c:v>5608</c:v>
                </c:pt>
                <c:pt idx="249" formatCode="0">
                  <c:v>6791</c:v>
                </c:pt>
                <c:pt idx="250" formatCode="0">
                  <c:v>7010</c:v>
                </c:pt>
                <c:pt idx="251" formatCode="0">
                  <c:v>7478</c:v>
                </c:pt>
                <c:pt idx="252" formatCode="0">
                  <c:v>7957</c:v>
                </c:pt>
                <c:pt idx="253" formatCode="0">
                  <c:v>8395</c:v>
                </c:pt>
                <c:pt idx="254" formatCode="0">
                  <c:v>7845</c:v>
                </c:pt>
                <c:pt idx="255" formatCode="0">
                  <c:v>7790</c:v>
                </c:pt>
                <c:pt idx="256" formatCode="0">
                  <c:v>9534</c:v>
                </c:pt>
                <c:pt idx="257" formatCode="0">
                  <c:v>9658</c:v>
                </c:pt>
                <c:pt idx="258" formatCode="0">
                  <c:v>10273</c:v>
                </c:pt>
                <c:pt idx="259" formatCode="0">
                  <c:v>10771</c:v>
                </c:pt>
                <c:pt idx="260" formatCode="0">
                  <c:v>11447</c:v>
                </c:pt>
                <c:pt idx="261" formatCode="0">
                  <c:v>10682</c:v>
                </c:pt>
                <c:pt idx="262" formatCode="0">
                  <c:v>10611</c:v>
                </c:pt>
                <c:pt idx="263" formatCode="0">
                  <c:v>12249</c:v>
                </c:pt>
                <c:pt idx="264" formatCode="0">
                  <c:v>12151</c:v>
                </c:pt>
                <c:pt idx="265" formatCode="0">
                  <c:v>12505</c:v>
                </c:pt>
                <c:pt idx="266" formatCode="0">
                  <c:v>12950</c:v>
                </c:pt>
                <c:pt idx="267" formatCode="0">
                  <c:v>13323</c:v>
                </c:pt>
                <c:pt idx="268" formatCode="0">
                  <c:v>12210</c:v>
                </c:pt>
                <c:pt idx="269" formatCode="0">
                  <c:v>12113</c:v>
                </c:pt>
                <c:pt idx="270" formatCode="0">
                  <c:v>11898</c:v>
                </c:pt>
                <c:pt idx="271" formatCode="0">
                  <c:v>14256</c:v>
                </c:pt>
                <c:pt idx="272" formatCode="0">
                  <c:v>13117</c:v>
                </c:pt>
                <c:pt idx="273" formatCode="0">
                  <c:v>13153</c:v>
                </c:pt>
                <c:pt idx="274" formatCode="0">
                  <c:v>14738</c:v>
                </c:pt>
                <c:pt idx="275" formatCode="0">
                  <c:v>13600</c:v>
                </c:pt>
                <c:pt idx="276" formatCode="0">
                  <c:v>13421</c:v>
                </c:pt>
                <c:pt idx="277" formatCode="0">
                  <c:v>15980</c:v>
                </c:pt>
                <c:pt idx="278" formatCode="0">
                  <c:v>16312</c:v>
                </c:pt>
                <c:pt idx="279" formatCode="0">
                  <c:v>18095</c:v>
                </c:pt>
                <c:pt idx="280" formatCode="0">
                  <c:v>20171</c:v>
                </c:pt>
                <c:pt idx="281" formatCode="0">
                  <c:v>22318</c:v>
                </c:pt>
                <c:pt idx="282" formatCode="0">
                  <c:v>20782</c:v>
                </c:pt>
                <c:pt idx="283" formatCode="0">
                  <c:v>20361</c:v>
                </c:pt>
                <c:pt idx="284" formatCode="0">
                  <c:v>26541</c:v>
                </c:pt>
                <c:pt idx="285" formatCode="0">
                  <c:v>28278</c:v>
                </c:pt>
                <c:pt idx="286" formatCode="0">
                  <c:v>31149</c:v>
                </c:pt>
                <c:pt idx="287" formatCode="0">
                  <c:v>34452</c:v>
                </c:pt>
                <c:pt idx="288" formatCode="0">
                  <c:v>37376</c:v>
                </c:pt>
                <c:pt idx="289" formatCode="0">
                  <c:v>34748</c:v>
                </c:pt>
                <c:pt idx="290" formatCode="0">
                  <c:v>34134</c:v>
                </c:pt>
                <c:pt idx="291" formatCode="0">
                  <c:v>41775</c:v>
                </c:pt>
                <c:pt idx="292" formatCode="0">
                  <c:v>42941</c:v>
                </c:pt>
                <c:pt idx="293" formatCode="0">
                  <c:v>45975</c:v>
                </c:pt>
                <c:pt idx="294" formatCode="0">
                  <c:v>48831</c:v>
                </c:pt>
                <c:pt idx="295" formatCode="0">
                  <c:v>51036</c:v>
                </c:pt>
                <c:pt idx="296" formatCode="0">
                  <c:v>46845</c:v>
                </c:pt>
                <c:pt idx="297" formatCode="0">
                  <c:v>45888</c:v>
                </c:pt>
                <c:pt idx="298" formatCode="0">
                  <c:v>51560</c:v>
                </c:pt>
                <c:pt idx="299" formatCode="0">
                  <c:v>51464</c:v>
                </c:pt>
                <c:pt idx="300" formatCode="0">
                  <c:v>49097</c:v>
                </c:pt>
                <c:pt idx="301" formatCode="0">
                  <c:v>53448</c:v>
                </c:pt>
                <c:pt idx="302" formatCode="0">
                  <c:v>54767</c:v>
                </c:pt>
                <c:pt idx="303" formatCode="0">
                  <c:v>50666</c:v>
                </c:pt>
                <c:pt idx="304" formatCode="0">
                  <c:v>48359</c:v>
                </c:pt>
                <c:pt idx="305" formatCode="0">
                  <c:v>51264</c:v>
                </c:pt>
                <c:pt idx="306" formatCode="0">
                  <c:v>49677</c:v>
                </c:pt>
                <c:pt idx="307" formatCode="0">
                  <c:v>49469</c:v>
                </c:pt>
                <c:pt idx="308" formatCode="0">
                  <c:v>48643</c:v>
                </c:pt>
                <c:pt idx="309" formatCode="0">
                  <c:v>48673</c:v>
                </c:pt>
                <c:pt idx="310" formatCode="0">
                  <c:v>43590</c:v>
                </c:pt>
                <c:pt idx="311" formatCode="0">
                  <c:v>42666</c:v>
                </c:pt>
                <c:pt idx="312" formatCode="0">
                  <c:v>42377</c:v>
                </c:pt>
                <c:pt idx="313" formatCode="0">
                  <c:v>39661</c:v>
                </c:pt>
                <c:pt idx="314" formatCode="0">
                  <c:v>39113</c:v>
                </c:pt>
                <c:pt idx="315" formatCode="0">
                  <c:v>38585</c:v>
                </c:pt>
                <c:pt idx="316" formatCode="0">
                  <c:v>37879</c:v>
                </c:pt>
                <c:pt idx="317" formatCode="0">
                  <c:v>33022</c:v>
                </c:pt>
                <c:pt idx="318" formatCode="0">
                  <c:v>32020</c:v>
                </c:pt>
                <c:pt idx="319" formatCode="0">
                  <c:v>30354</c:v>
                </c:pt>
                <c:pt idx="320" formatCode="0">
                  <c:v>27208</c:v>
                </c:pt>
                <c:pt idx="321" formatCode="0">
                  <c:v>28042</c:v>
                </c:pt>
                <c:pt idx="322" formatCode="0">
                  <c:v>27451</c:v>
                </c:pt>
                <c:pt idx="323" formatCode="0">
                  <c:v>27164</c:v>
                </c:pt>
                <c:pt idx="324" formatCode="0">
                  <c:v>23847</c:v>
                </c:pt>
                <c:pt idx="325" formatCode="0">
                  <c:v>23191</c:v>
                </c:pt>
                <c:pt idx="326" formatCode="0">
                  <c:v>22711</c:v>
                </c:pt>
                <c:pt idx="327" formatCode="0">
                  <c:v>21501</c:v>
                </c:pt>
                <c:pt idx="328" formatCode="0">
                  <c:v>21703</c:v>
                </c:pt>
                <c:pt idx="329" formatCode="0">
                  <c:v>21698</c:v>
                </c:pt>
                <c:pt idx="330" formatCode="0">
                  <c:v>21521</c:v>
                </c:pt>
                <c:pt idx="331" formatCode="0">
                  <c:v>19753</c:v>
                </c:pt>
                <c:pt idx="332" formatCode="0">
                  <c:v>19198</c:v>
                </c:pt>
                <c:pt idx="333" formatCode="0">
                  <c:v>18749</c:v>
                </c:pt>
                <c:pt idx="334" formatCode="0">
                  <c:v>17132</c:v>
                </c:pt>
                <c:pt idx="335" formatCode="0">
                  <c:v>17859</c:v>
                </c:pt>
                <c:pt idx="336" formatCode="0">
                  <c:v>18178</c:v>
                </c:pt>
                <c:pt idx="337" formatCode="0">
                  <c:v>18310</c:v>
                </c:pt>
                <c:pt idx="338" formatCode="0">
                  <c:v>16532</c:v>
                </c:pt>
                <c:pt idx="339" formatCode="0">
                  <c:v>16130</c:v>
                </c:pt>
                <c:pt idx="340" formatCode="0">
                  <c:v>17016</c:v>
                </c:pt>
                <c:pt idx="341" formatCode="0">
                  <c:v>17010</c:v>
                </c:pt>
                <c:pt idx="342" formatCode="0">
                  <c:v>18044</c:v>
                </c:pt>
                <c:pt idx="343" formatCode="0">
                  <c:v>19018</c:v>
                </c:pt>
                <c:pt idx="344" formatCode="0">
                  <c:v>19799</c:v>
                </c:pt>
                <c:pt idx="345" formatCode="0">
                  <c:v>18166</c:v>
                </c:pt>
                <c:pt idx="346" formatCode="0">
                  <c:v>17792</c:v>
                </c:pt>
                <c:pt idx="347" formatCode="0">
                  <c:v>19357</c:v>
                </c:pt>
                <c:pt idx="348" formatCode="0">
                  <c:v>19586</c:v>
                </c:pt>
                <c:pt idx="349" formatCode="0">
                  <c:v>20646</c:v>
                </c:pt>
                <c:pt idx="350" formatCode="0">
                  <c:v>21554</c:v>
                </c:pt>
                <c:pt idx="351" formatCode="0">
                  <c:v>21816</c:v>
                </c:pt>
                <c:pt idx="352" formatCode="0">
                  <c:v>19584</c:v>
                </c:pt>
                <c:pt idx="353" formatCode="0">
                  <c:v>19048</c:v>
                </c:pt>
                <c:pt idx="354" formatCode="0">
                  <c:v>19788</c:v>
                </c:pt>
                <c:pt idx="355" formatCode="0">
                  <c:v>19271</c:v>
                </c:pt>
                <c:pt idx="356" formatCode="0">
                  <c:v>19171</c:v>
                </c:pt>
                <c:pt idx="357" formatCode="0">
                  <c:v>16732</c:v>
                </c:pt>
                <c:pt idx="358" formatCode="0">
                  <c:v>16243</c:v>
                </c:pt>
                <c:pt idx="359" formatCode="0">
                  <c:v>15820</c:v>
                </c:pt>
                <c:pt idx="360" formatCode="0">
                  <c:v>15608</c:v>
                </c:pt>
                <c:pt idx="361" formatCode="0">
                  <c:v>17768</c:v>
                </c:pt>
                <c:pt idx="362" formatCode="0">
                  <c:v>17733</c:v>
                </c:pt>
                <c:pt idx="363" formatCode="0">
                  <c:v>17997</c:v>
                </c:pt>
                <c:pt idx="364" formatCode="0">
                  <c:v>19067</c:v>
                </c:pt>
              </c:numCache>
            </c:numRef>
          </c:val>
          <c:smooth val="0"/>
          <c:extLst>
            <c:ext xmlns:c16="http://schemas.microsoft.com/office/drawing/2014/chart" uri="{C3380CC4-5D6E-409C-BE32-E72D297353CC}">
              <c16:uniqueId val="{00000001-E565-46E2-8A95-DF462CA5747F}"/>
            </c:ext>
          </c:extLst>
        </c:ser>
        <c:ser>
          <c:idx val="2"/>
          <c:order val="2"/>
          <c:tx>
            <c:strRef>
              <c:f>'G4.3'!$E$2</c:f>
              <c:strCache>
                <c:ptCount val="1"/>
                <c:pt idx="0">
                  <c:v> 2022</c:v>
                </c:pt>
              </c:strCache>
            </c:strRef>
          </c:tx>
          <c:spPr>
            <a:ln w="28575" cap="rnd">
              <a:solidFill>
                <a:srgbClr val="632827"/>
              </a:solidFill>
              <a:round/>
            </a:ln>
            <a:effectLst/>
          </c:spPr>
          <c:marker>
            <c:symbol val="circle"/>
            <c:size val="3"/>
            <c:spPr>
              <a:solidFill>
                <a:srgbClr val="632827"/>
              </a:solidFill>
              <a:ln w="9525">
                <a:solidFill>
                  <a:srgbClr val="632827"/>
                </a:solidFill>
              </a:ln>
              <a:effectLst/>
            </c:spPr>
          </c:marker>
          <c:cat>
            <c:strRef>
              <c:f>'G4.3'!$A$3:$A$367</c:f>
              <c:strCache>
                <c:ptCount val="365"/>
                <c:pt idx="0">
                  <c:v>01.01.</c:v>
                </c:pt>
                <c:pt idx="1">
                  <c:v>02.01.</c:v>
                </c:pt>
                <c:pt idx="2">
                  <c:v>03.01.</c:v>
                </c:pt>
                <c:pt idx="3">
                  <c:v>04.01.</c:v>
                </c:pt>
                <c:pt idx="4">
                  <c:v>05.01.</c:v>
                </c:pt>
                <c:pt idx="5">
                  <c:v>06.01.</c:v>
                </c:pt>
                <c:pt idx="6">
                  <c:v>07.01.</c:v>
                </c:pt>
                <c:pt idx="7">
                  <c:v>08.01.</c:v>
                </c:pt>
                <c:pt idx="8">
                  <c:v>09.01.</c:v>
                </c:pt>
                <c:pt idx="9">
                  <c:v>10.01.</c:v>
                </c:pt>
                <c:pt idx="10">
                  <c:v>11.01.</c:v>
                </c:pt>
                <c:pt idx="11">
                  <c:v>12.01.</c:v>
                </c:pt>
                <c:pt idx="12">
                  <c:v>13.01.</c:v>
                </c:pt>
                <c:pt idx="13">
                  <c:v>14.01.</c:v>
                </c:pt>
                <c:pt idx="14">
                  <c:v>15.01.</c:v>
                </c:pt>
                <c:pt idx="15">
                  <c:v>16.01.</c:v>
                </c:pt>
                <c:pt idx="16">
                  <c:v>17.01.</c:v>
                </c:pt>
                <c:pt idx="17">
                  <c:v>18.01.</c:v>
                </c:pt>
                <c:pt idx="18">
                  <c:v>19.01.</c:v>
                </c:pt>
                <c:pt idx="19">
                  <c:v>20.01.</c:v>
                </c:pt>
                <c:pt idx="20">
                  <c:v>21.01.</c:v>
                </c:pt>
                <c:pt idx="21">
                  <c:v>22.01.</c:v>
                </c:pt>
                <c:pt idx="22">
                  <c:v>23.01.</c:v>
                </c:pt>
                <c:pt idx="23">
                  <c:v>24.01.</c:v>
                </c:pt>
                <c:pt idx="24">
                  <c:v>25.01.</c:v>
                </c:pt>
                <c:pt idx="25">
                  <c:v>26.01.</c:v>
                </c:pt>
                <c:pt idx="26">
                  <c:v>27.01.</c:v>
                </c:pt>
                <c:pt idx="27">
                  <c:v>28.01.</c:v>
                </c:pt>
                <c:pt idx="28">
                  <c:v>29.01.</c:v>
                </c:pt>
                <c:pt idx="29">
                  <c:v>30.01.</c:v>
                </c:pt>
                <c:pt idx="30">
                  <c:v>31.01.</c:v>
                </c:pt>
                <c:pt idx="31">
                  <c:v>01.02.</c:v>
                </c:pt>
                <c:pt idx="32">
                  <c:v>02.02.</c:v>
                </c:pt>
                <c:pt idx="33">
                  <c:v>03.02.</c:v>
                </c:pt>
                <c:pt idx="34">
                  <c:v>04.02.</c:v>
                </c:pt>
                <c:pt idx="35">
                  <c:v>05.02.</c:v>
                </c:pt>
                <c:pt idx="36">
                  <c:v>06.02.</c:v>
                </c:pt>
                <c:pt idx="37">
                  <c:v>07.02.</c:v>
                </c:pt>
                <c:pt idx="38">
                  <c:v>08.02.</c:v>
                </c:pt>
                <c:pt idx="39">
                  <c:v>09.02.</c:v>
                </c:pt>
                <c:pt idx="40">
                  <c:v>10.02.</c:v>
                </c:pt>
                <c:pt idx="41">
                  <c:v>11.02.</c:v>
                </c:pt>
                <c:pt idx="42">
                  <c:v>12.02.</c:v>
                </c:pt>
                <c:pt idx="43">
                  <c:v>13.02.</c:v>
                </c:pt>
                <c:pt idx="44">
                  <c:v>14.02.</c:v>
                </c:pt>
                <c:pt idx="45">
                  <c:v>15.02.</c:v>
                </c:pt>
                <c:pt idx="46">
                  <c:v>16.02.</c:v>
                </c:pt>
                <c:pt idx="47">
                  <c:v>17.02.</c:v>
                </c:pt>
                <c:pt idx="48">
                  <c:v>18.02.</c:v>
                </c:pt>
                <c:pt idx="49">
                  <c:v>19.02.</c:v>
                </c:pt>
                <c:pt idx="50">
                  <c:v>20.02.</c:v>
                </c:pt>
                <c:pt idx="51">
                  <c:v>21.02.</c:v>
                </c:pt>
                <c:pt idx="52">
                  <c:v>22.02.</c:v>
                </c:pt>
                <c:pt idx="53">
                  <c:v>23.02.</c:v>
                </c:pt>
                <c:pt idx="54">
                  <c:v>24.02.</c:v>
                </c:pt>
                <c:pt idx="55">
                  <c:v>25.02.</c:v>
                </c:pt>
                <c:pt idx="56">
                  <c:v>26.02.</c:v>
                </c:pt>
                <c:pt idx="57">
                  <c:v>27.02.</c:v>
                </c:pt>
                <c:pt idx="58">
                  <c:v>28.02.</c:v>
                </c:pt>
                <c:pt idx="59">
                  <c:v>01.03.</c:v>
                </c:pt>
                <c:pt idx="60">
                  <c:v>02.03.</c:v>
                </c:pt>
                <c:pt idx="61">
                  <c:v>03.03.</c:v>
                </c:pt>
                <c:pt idx="62">
                  <c:v>04.03.</c:v>
                </c:pt>
                <c:pt idx="63">
                  <c:v>05.03.</c:v>
                </c:pt>
                <c:pt idx="64">
                  <c:v>06.03.</c:v>
                </c:pt>
                <c:pt idx="65">
                  <c:v>07.03.</c:v>
                </c:pt>
                <c:pt idx="66">
                  <c:v>08.03.</c:v>
                </c:pt>
                <c:pt idx="67">
                  <c:v>09.03.</c:v>
                </c:pt>
                <c:pt idx="68">
                  <c:v>10.03.</c:v>
                </c:pt>
                <c:pt idx="69">
                  <c:v>11.03.</c:v>
                </c:pt>
                <c:pt idx="70">
                  <c:v>12.03.</c:v>
                </c:pt>
                <c:pt idx="71">
                  <c:v>13.03.</c:v>
                </c:pt>
                <c:pt idx="72">
                  <c:v>14.03.</c:v>
                </c:pt>
                <c:pt idx="73">
                  <c:v>15.03.</c:v>
                </c:pt>
                <c:pt idx="74">
                  <c:v>16.03.</c:v>
                </c:pt>
                <c:pt idx="75">
                  <c:v>17.03.</c:v>
                </c:pt>
                <c:pt idx="76">
                  <c:v>18.03.</c:v>
                </c:pt>
                <c:pt idx="77">
                  <c:v>19.03.</c:v>
                </c:pt>
                <c:pt idx="78">
                  <c:v>20.03.</c:v>
                </c:pt>
                <c:pt idx="79">
                  <c:v>21.03.</c:v>
                </c:pt>
                <c:pt idx="80">
                  <c:v>22.03.</c:v>
                </c:pt>
                <c:pt idx="81">
                  <c:v>23.03.</c:v>
                </c:pt>
                <c:pt idx="82">
                  <c:v>24.03.</c:v>
                </c:pt>
                <c:pt idx="83">
                  <c:v>25.03.</c:v>
                </c:pt>
                <c:pt idx="84">
                  <c:v>26.03.</c:v>
                </c:pt>
                <c:pt idx="85">
                  <c:v>27.03.</c:v>
                </c:pt>
                <c:pt idx="86">
                  <c:v>28.03.</c:v>
                </c:pt>
                <c:pt idx="87">
                  <c:v>29.03.</c:v>
                </c:pt>
                <c:pt idx="88">
                  <c:v>30.03.</c:v>
                </c:pt>
                <c:pt idx="89">
                  <c:v>31.03.</c:v>
                </c:pt>
                <c:pt idx="90">
                  <c:v>01.04.</c:v>
                </c:pt>
                <c:pt idx="91">
                  <c:v>02.04.</c:v>
                </c:pt>
                <c:pt idx="92">
                  <c:v>03.04.</c:v>
                </c:pt>
                <c:pt idx="93">
                  <c:v>04.04.</c:v>
                </c:pt>
                <c:pt idx="94">
                  <c:v>05.04.</c:v>
                </c:pt>
                <c:pt idx="95">
                  <c:v>06.04.</c:v>
                </c:pt>
                <c:pt idx="96">
                  <c:v>07.04.</c:v>
                </c:pt>
                <c:pt idx="97">
                  <c:v>08.04.</c:v>
                </c:pt>
                <c:pt idx="98">
                  <c:v>09.04.</c:v>
                </c:pt>
                <c:pt idx="99">
                  <c:v>10.04.</c:v>
                </c:pt>
                <c:pt idx="100">
                  <c:v>11.04.</c:v>
                </c:pt>
                <c:pt idx="101">
                  <c:v>12.04.</c:v>
                </c:pt>
                <c:pt idx="102">
                  <c:v>13.04.</c:v>
                </c:pt>
                <c:pt idx="103">
                  <c:v>14.04.</c:v>
                </c:pt>
                <c:pt idx="104">
                  <c:v>15.04.</c:v>
                </c:pt>
                <c:pt idx="105">
                  <c:v>16.04.</c:v>
                </c:pt>
                <c:pt idx="106">
                  <c:v>17.04.</c:v>
                </c:pt>
                <c:pt idx="107">
                  <c:v>18.04.</c:v>
                </c:pt>
                <c:pt idx="108">
                  <c:v>19.04.</c:v>
                </c:pt>
                <c:pt idx="109">
                  <c:v>20.04.</c:v>
                </c:pt>
                <c:pt idx="110">
                  <c:v>21.04.</c:v>
                </c:pt>
                <c:pt idx="111">
                  <c:v>22.04.</c:v>
                </c:pt>
                <c:pt idx="112">
                  <c:v>23.04.</c:v>
                </c:pt>
                <c:pt idx="113">
                  <c:v>24.04.</c:v>
                </c:pt>
                <c:pt idx="114">
                  <c:v>25.04.</c:v>
                </c:pt>
                <c:pt idx="115">
                  <c:v>26.04.</c:v>
                </c:pt>
                <c:pt idx="116">
                  <c:v>27.04.</c:v>
                </c:pt>
                <c:pt idx="117">
                  <c:v>28.04.</c:v>
                </c:pt>
                <c:pt idx="118">
                  <c:v>29.04.</c:v>
                </c:pt>
                <c:pt idx="119">
                  <c:v>30.04.</c:v>
                </c:pt>
                <c:pt idx="120">
                  <c:v>01.05.</c:v>
                </c:pt>
                <c:pt idx="121">
                  <c:v>02.05.</c:v>
                </c:pt>
                <c:pt idx="122">
                  <c:v>03.05.</c:v>
                </c:pt>
                <c:pt idx="123">
                  <c:v>04.05.</c:v>
                </c:pt>
                <c:pt idx="124">
                  <c:v>05.05.</c:v>
                </c:pt>
                <c:pt idx="125">
                  <c:v>06.05.</c:v>
                </c:pt>
                <c:pt idx="126">
                  <c:v>07.05.</c:v>
                </c:pt>
                <c:pt idx="127">
                  <c:v>08.05.</c:v>
                </c:pt>
                <c:pt idx="128">
                  <c:v>09.05.</c:v>
                </c:pt>
                <c:pt idx="129">
                  <c:v>10.05.</c:v>
                </c:pt>
                <c:pt idx="130">
                  <c:v>11.05.</c:v>
                </c:pt>
                <c:pt idx="131">
                  <c:v>12.05.</c:v>
                </c:pt>
                <c:pt idx="132">
                  <c:v>13.05.</c:v>
                </c:pt>
                <c:pt idx="133">
                  <c:v>14.05.</c:v>
                </c:pt>
                <c:pt idx="134">
                  <c:v>15.05.</c:v>
                </c:pt>
                <c:pt idx="135">
                  <c:v>16.05.</c:v>
                </c:pt>
                <c:pt idx="136">
                  <c:v>17.05.</c:v>
                </c:pt>
                <c:pt idx="137">
                  <c:v>18.05.</c:v>
                </c:pt>
                <c:pt idx="138">
                  <c:v>19.05.</c:v>
                </c:pt>
                <c:pt idx="139">
                  <c:v>20.05.</c:v>
                </c:pt>
                <c:pt idx="140">
                  <c:v>21.05.</c:v>
                </c:pt>
                <c:pt idx="141">
                  <c:v>22.05.</c:v>
                </c:pt>
                <c:pt idx="142">
                  <c:v>23.05.</c:v>
                </c:pt>
                <c:pt idx="143">
                  <c:v>24.05.</c:v>
                </c:pt>
                <c:pt idx="144">
                  <c:v>25.05.</c:v>
                </c:pt>
                <c:pt idx="145">
                  <c:v>26.05.</c:v>
                </c:pt>
                <c:pt idx="146">
                  <c:v>27.05.</c:v>
                </c:pt>
                <c:pt idx="147">
                  <c:v>28.05.</c:v>
                </c:pt>
                <c:pt idx="148">
                  <c:v>29.05.</c:v>
                </c:pt>
                <c:pt idx="149">
                  <c:v>30.05.</c:v>
                </c:pt>
                <c:pt idx="150">
                  <c:v>31.05.</c:v>
                </c:pt>
                <c:pt idx="151">
                  <c:v>01.06.</c:v>
                </c:pt>
                <c:pt idx="152">
                  <c:v>02.06.</c:v>
                </c:pt>
                <c:pt idx="153">
                  <c:v>03.06.</c:v>
                </c:pt>
                <c:pt idx="154">
                  <c:v>04.06.</c:v>
                </c:pt>
                <c:pt idx="155">
                  <c:v>05.06.</c:v>
                </c:pt>
                <c:pt idx="156">
                  <c:v>06.06.</c:v>
                </c:pt>
                <c:pt idx="157">
                  <c:v>07.06.</c:v>
                </c:pt>
                <c:pt idx="158">
                  <c:v>08.06.</c:v>
                </c:pt>
                <c:pt idx="159">
                  <c:v>09.06.</c:v>
                </c:pt>
                <c:pt idx="160">
                  <c:v>10.06.</c:v>
                </c:pt>
                <c:pt idx="161">
                  <c:v>11.06.</c:v>
                </c:pt>
                <c:pt idx="162">
                  <c:v>12.06.</c:v>
                </c:pt>
                <c:pt idx="163">
                  <c:v>13.06.</c:v>
                </c:pt>
                <c:pt idx="164">
                  <c:v>14.06.</c:v>
                </c:pt>
                <c:pt idx="165">
                  <c:v>15.06.</c:v>
                </c:pt>
                <c:pt idx="166">
                  <c:v>16.06.</c:v>
                </c:pt>
                <c:pt idx="167">
                  <c:v>17.06.</c:v>
                </c:pt>
                <c:pt idx="168">
                  <c:v>18.06.</c:v>
                </c:pt>
                <c:pt idx="169">
                  <c:v>19.06.</c:v>
                </c:pt>
                <c:pt idx="170">
                  <c:v>20.06.</c:v>
                </c:pt>
                <c:pt idx="171">
                  <c:v>21.06.</c:v>
                </c:pt>
                <c:pt idx="172">
                  <c:v>22.06.</c:v>
                </c:pt>
                <c:pt idx="173">
                  <c:v>23.06.</c:v>
                </c:pt>
                <c:pt idx="174">
                  <c:v>24.06.</c:v>
                </c:pt>
                <c:pt idx="175">
                  <c:v>25.06.</c:v>
                </c:pt>
                <c:pt idx="176">
                  <c:v>26.06.</c:v>
                </c:pt>
                <c:pt idx="177">
                  <c:v>27.06.</c:v>
                </c:pt>
                <c:pt idx="178">
                  <c:v>28.06.</c:v>
                </c:pt>
                <c:pt idx="179">
                  <c:v>29.06.</c:v>
                </c:pt>
                <c:pt idx="180">
                  <c:v>30.06.</c:v>
                </c:pt>
                <c:pt idx="181">
                  <c:v>01.07.</c:v>
                </c:pt>
                <c:pt idx="182">
                  <c:v>02.07.</c:v>
                </c:pt>
                <c:pt idx="183">
                  <c:v>03.07.</c:v>
                </c:pt>
                <c:pt idx="184">
                  <c:v>04.07.</c:v>
                </c:pt>
                <c:pt idx="185">
                  <c:v>05.07.</c:v>
                </c:pt>
                <c:pt idx="186">
                  <c:v>06.07.</c:v>
                </c:pt>
                <c:pt idx="187">
                  <c:v>07.07.</c:v>
                </c:pt>
                <c:pt idx="188">
                  <c:v>08.07.</c:v>
                </c:pt>
                <c:pt idx="189">
                  <c:v>09.07.</c:v>
                </c:pt>
                <c:pt idx="190">
                  <c:v>10.07.</c:v>
                </c:pt>
                <c:pt idx="191">
                  <c:v>11.07.</c:v>
                </c:pt>
                <c:pt idx="192">
                  <c:v>12.07.</c:v>
                </c:pt>
                <c:pt idx="193">
                  <c:v>13.07.</c:v>
                </c:pt>
                <c:pt idx="194">
                  <c:v>14.07.</c:v>
                </c:pt>
                <c:pt idx="195">
                  <c:v>15.07.</c:v>
                </c:pt>
                <c:pt idx="196">
                  <c:v>16.07.</c:v>
                </c:pt>
                <c:pt idx="197">
                  <c:v>17.07.</c:v>
                </c:pt>
                <c:pt idx="198">
                  <c:v>18.07.</c:v>
                </c:pt>
                <c:pt idx="199">
                  <c:v>19.07.</c:v>
                </c:pt>
                <c:pt idx="200">
                  <c:v>20.07.</c:v>
                </c:pt>
                <c:pt idx="201">
                  <c:v>21.07.</c:v>
                </c:pt>
                <c:pt idx="202">
                  <c:v>22.07.</c:v>
                </c:pt>
                <c:pt idx="203">
                  <c:v>23.07.</c:v>
                </c:pt>
                <c:pt idx="204">
                  <c:v>24.07.</c:v>
                </c:pt>
                <c:pt idx="205">
                  <c:v>25.07.</c:v>
                </c:pt>
                <c:pt idx="206">
                  <c:v>26.07.</c:v>
                </c:pt>
                <c:pt idx="207">
                  <c:v>27.07.</c:v>
                </c:pt>
                <c:pt idx="208">
                  <c:v>28.07.</c:v>
                </c:pt>
                <c:pt idx="209">
                  <c:v>29.07.</c:v>
                </c:pt>
                <c:pt idx="210">
                  <c:v>30.07.</c:v>
                </c:pt>
                <c:pt idx="211">
                  <c:v>31.07.</c:v>
                </c:pt>
                <c:pt idx="212">
                  <c:v>01.08.</c:v>
                </c:pt>
                <c:pt idx="213">
                  <c:v>02.08.</c:v>
                </c:pt>
                <c:pt idx="214">
                  <c:v>03.08.</c:v>
                </c:pt>
                <c:pt idx="215">
                  <c:v>04.08.</c:v>
                </c:pt>
                <c:pt idx="216">
                  <c:v>05.08.</c:v>
                </c:pt>
                <c:pt idx="217">
                  <c:v>06.08.</c:v>
                </c:pt>
                <c:pt idx="218">
                  <c:v>07.08.</c:v>
                </c:pt>
                <c:pt idx="219">
                  <c:v>08.08.</c:v>
                </c:pt>
                <c:pt idx="220">
                  <c:v>09.08.</c:v>
                </c:pt>
                <c:pt idx="221">
                  <c:v>10.08.</c:v>
                </c:pt>
                <c:pt idx="222">
                  <c:v>11.08.</c:v>
                </c:pt>
                <c:pt idx="223">
                  <c:v>12.08.</c:v>
                </c:pt>
                <c:pt idx="224">
                  <c:v>13.08.</c:v>
                </c:pt>
                <c:pt idx="225">
                  <c:v>14.08.</c:v>
                </c:pt>
                <c:pt idx="226">
                  <c:v>15.08.</c:v>
                </c:pt>
                <c:pt idx="227">
                  <c:v>16.08.</c:v>
                </c:pt>
                <c:pt idx="228">
                  <c:v>17.08.</c:v>
                </c:pt>
                <c:pt idx="229">
                  <c:v>18.08.</c:v>
                </c:pt>
                <c:pt idx="230">
                  <c:v>19.08.</c:v>
                </c:pt>
                <c:pt idx="231">
                  <c:v>20.08.</c:v>
                </c:pt>
                <c:pt idx="232">
                  <c:v>21.08.</c:v>
                </c:pt>
                <c:pt idx="233">
                  <c:v>22.08.</c:v>
                </c:pt>
                <c:pt idx="234">
                  <c:v>23.08.</c:v>
                </c:pt>
                <c:pt idx="235">
                  <c:v>24.08.</c:v>
                </c:pt>
                <c:pt idx="236">
                  <c:v>25.08.</c:v>
                </c:pt>
                <c:pt idx="237">
                  <c:v>26.08.</c:v>
                </c:pt>
                <c:pt idx="238">
                  <c:v>27.08.</c:v>
                </c:pt>
                <c:pt idx="239">
                  <c:v>28.08.</c:v>
                </c:pt>
                <c:pt idx="240">
                  <c:v>29.08.</c:v>
                </c:pt>
                <c:pt idx="241">
                  <c:v>30.08.</c:v>
                </c:pt>
                <c:pt idx="242">
                  <c:v>31.08.</c:v>
                </c:pt>
                <c:pt idx="243">
                  <c:v>01.09.</c:v>
                </c:pt>
                <c:pt idx="244">
                  <c:v>02.09.</c:v>
                </c:pt>
                <c:pt idx="245">
                  <c:v>03.09.</c:v>
                </c:pt>
                <c:pt idx="246">
                  <c:v>04.09.</c:v>
                </c:pt>
                <c:pt idx="247">
                  <c:v>05.09.</c:v>
                </c:pt>
                <c:pt idx="248">
                  <c:v>06.09.</c:v>
                </c:pt>
                <c:pt idx="249">
                  <c:v>07.09.</c:v>
                </c:pt>
                <c:pt idx="250">
                  <c:v>08.09.</c:v>
                </c:pt>
                <c:pt idx="251">
                  <c:v>09.09.</c:v>
                </c:pt>
                <c:pt idx="252">
                  <c:v>10.09.</c:v>
                </c:pt>
                <c:pt idx="253">
                  <c:v>11.09.</c:v>
                </c:pt>
                <c:pt idx="254">
                  <c:v>12.09.</c:v>
                </c:pt>
                <c:pt idx="255">
                  <c:v>13.09.</c:v>
                </c:pt>
                <c:pt idx="256">
                  <c:v>14.09.</c:v>
                </c:pt>
                <c:pt idx="257">
                  <c:v>15.09.</c:v>
                </c:pt>
                <c:pt idx="258">
                  <c:v>16.09.</c:v>
                </c:pt>
                <c:pt idx="259">
                  <c:v>17.09.</c:v>
                </c:pt>
                <c:pt idx="260">
                  <c:v>18.09.</c:v>
                </c:pt>
                <c:pt idx="261">
                  <c:v>19.09.</c:v>
                </c:pt>
                <c:pt idx="262">
                  <c:v>20.09.</c:v>
                </c:pt>
                <c:pt idx="263">
                  <c:v>21.09.</c:v>
                </c:pt>
                <c:pt idx="264">
                  <c:v>22.09.</c:v>
                </c:pt>
                <c:pt idx="265">
                  <c:v>23.09.</c:v>
                </c:pt>
                <c:pt idx="266">
                  <c:v>24.09.</c:v>
                </c:pt>
                <c:pt idx="267">
                  <c:v>25.09.</c:v>
                </c:pt>
                <c:pt idx="268">
                  <c:v>26.09.</c:v>
                </c:pt>
                <c:pt idx="269">
                  <c:v>27.09.</c:v>
                </c:pt>
                <c:pt idx="270">
                  <c:v>28.09.</c:v>
                </c:pt>
                <c:pt idx="271">
                  <c:v>29.09.</c:v>
                </c:pt>
                <c:pt idx="272">
                  <c:v>30.09.</c:v>
                </c:pt>
                <c:pt idx="273">
                  <c:v>01.10.</c:v>
                </c:pt>
                <c:pt idx="274">
                  <c:v>02.10.</c:v>
                </c:pt>
                <c:pt idx="275">
                  <c:v>03.10.</c:v>
                </c:pt>
                <c:pt idx="276">
                  <c:v>04.10.</c:v>
                </c:pt>
                <c:pt idx="277">
                  <c:v>05.10.</c:v>
                </c:pt>
                <c:pt idx="278">
                  <c:v>06.10.</c:v>
                </c:pt>
                <c:pt idx="279">
                  <c:v>07.10.</c:v>
                </c:pt>
                <c:pt idx="280">
                  <c:v>08.10.</c:v>
                </c:pt>
                <c:pt idx="281">
                  <c:v>09.10.</c:v>
                </c:pt>
                <c:pt idx="282">
                  <c:v>10.10.</c:v>
                </c:pt>
                <c:pt idx="283">
                  <c:v>11.10.</c:v>
                </c:pt>
                <c:pt idx="284">
                  <c:v>12.10.</c:v>
                </c:pt>
                <c:pt idx="285">
                  <c:v>13.10.</c:v>
                </c:pt>
                <c:pt idx="286">
                  <c:v>14.10.</c:v>
                </c:pt>
                <c:pt idx="287">
                  <c:v>15.10.</c:v>
                </c:pt>
                <c:pt idx="288">
                  <c:v>16.10.</c:v>
                </c:pt>
                <c:pt idx="289">
                  <c:v>17.10.</c:v>
                </c:pt>
                <c:pt idx="290">
                  <c:v>18.10.</c:v>
                </c:pt>
                <c:pt idx="291">
                  <c:v>19.10.</c:v>
                </c:pt>
                <c:pt idx="292">
                  <c:v>20.10.</c:v>
                </c:pt>
                <c:pt idx="293">
                  <c:v>21.10.</c:v>
                </c:pt>
                <c:pt idx="294">
                  <c:v>22.10.</c:v>
                </c:pt>
                <c:pt idx="295">
                  <c:v>23.10.</c:v>
                </c:pt>
                <c:pt idx="296">
                  <c:v>24.10.</c:v>
                </c:pt>
                <c:pt idx="297">
                  <c:v>25.10.</c:v>
                </c:pt>
                <c:pt idx="298">
                  <c:v>26.10.</c:v>
                </c:pt>
                <c:pt idx="299">
                  <c:v>27.10.</c:v>
                </c:pt>
                <c:pt idx="300">
                  <c:v>28.10.</c:v>
                </c:pt>
                <c:pt idx="301">
                  <c:v>29.10.</c:v>
                </c:pt>
                <c:pt idx="302">
                  <c:v>30.10.</c:v>
                </c:pt>
                <c:pt idx="303">
                  <c:v>31.10.</c:v>
                </c:pt>
                <c:pt idx="304">
                  <c:v>01.11.</c:v>
                </c:pt>
                <c:pt idx="305">
                  <c:v>02.11.</c:v>
                </c:pt>
                <c:pt idx="306">
                  <c:v>03.11.</c:v>
                </c:pt>
                <c:pt idx="307">
                  <c:v>04.11.</c:v>
                </c:pt>
                <c:pt idx="308">
                  <c:v>05.11.</c:v>
                </c:pt>
                <c:pt idx="309">
                  <c:v>06.11.</c:v>
                </c:pt>
                <c:pt idx="310">
                  <c:v>07.11.</c:v>
                </c:pt>
                <c:pt idx="311">
                  <c:v>08.11.</c:v>
                </c:pt>
                <c:pt idx="312">
                  <c:v>09.11.</c:v>
                </c:pt>
                <c:pt idx="313">
                  <c:v>10.11.</c:v>
                </c:pt>
                <c:pt idx="314">
                  <c:v>11.11.</c:v>
                </c:pt>
                <c:pt idx="315">
                  <c:v>12.11.</c:v>
                </c:pt>
                <c:pt idx="316">
                  <c:v>13.11.</c:v>
                </c:pt>
                <c:pt idx="317">
                  <c:v>14.11.</c:v>
                </c:pt>
                <c:pt idx="318">
                  <c:v>15.11.</c:v>
                </c:pt>
                <c:pt idx="319">
                  <c:v>16.11.</c:v>
                </c:pt>
                <c:pt idx="320">
                  <c:v>17.11.</c:v>
                </c:pt>
                <c:pt idx="321">
                  <c:v>18.11.</c:v>
                </c:pt>
                <c:pt idx="322">
                  <c:v>19.11.</c:v>
                </c:pt>
                <c:pt idx="323">
                  <c:v>20.11.</c:v>
                </c:pt>
                <c:pt idx="324">
                  <c:v>21.11.</c:v>
                </c:pt>
                <c:pt idx="325">
                  <c:v>22.11.</c:v>
                </c:pt>
                <c:pt idx="326">
                  <c:v>23.11.</c:v>
                </c:pt>
                <c:pt idx="327">
                  <c:v>24.11.</c:v>
                </c:pt>
                <c:pt idx="328">
                  <c:v>25.11.</c:v>
                </c:pt>
                <c:pt idx="329">
                  <c:v>26.11.</c:v>
                </c:pt>
                <c:pt idx="330">
                  <c:v>27.11.</c:v>
                </c:pt>
                <c:pt idx="331">
                  <c:v>28.11.</c:v>
                </c:pt>
                <c:pt idx="332">
                  <c:v>29.11.</c:v>
                </c:pt>
                <c:pt idx="333">
                  <c:v>30.11.</c:v>
                </c:pt>
                <c:pt idx="334">
                  <c:v>01.12.</c:v>
                </c:pt>
                <c:pt idx="335">
                  <c:v>02.12.</c:v>
                </c:pt>
                <c:pt idx="336">
                  <c:v>03.12.</c:v>
                </c:pt>
                <c:pt idx="337">
                  <c:v>04.12.</c:v>
                </c:pt>
                <c:pt idx="338">
                  <c:v>05.12.</c:v>
                </c:pt>
                <c:pt idx="339">
                  <c:v>06.12.</c:v>
                </c:pt>
                <c:pt idx="340">
                  <c:v>07.12.</c:v>
                </c:pt>
                <c:pt idx="341">
                  <c:v>08.12.</c:v>
                </c:pt>
                <c:pt idx="342">
                  <c:v>09.12.</c:v>
                </c:pt>
                <c:pt idx="343">
                  <c:v>10.12.</c:v>
                </c:pt>
                <c:pt idx="344">
                  <c:v>11.12.</c:v>
                </c:pt>
                <c:pt idx="345">
                  <c:v>12.12.</c:v>
                </c:pt>
                <c:pt idx="346">
                  <c:v>13.12.</c:v>
                </c:pt>
                <c:pt idx="347">
                  <c:v>14.12.</c:v>
                </c:pt>
                <c:pt idx="348">
                  <c:v>15.12.</c:v>
                </c:pt>
                <c:pt idx="349">
                  <c:v>16.12.</c:v>
                </c:pt>
                <c:pt idx="350">
                  <c:v>17.12.</c:v>
                </c:pt>
                <c:pt idx="351">
                  <c:v>18.12.</c:v>
                </c:pt>
                <c:pt idx="352">
                  <c:v>19.12.</c:v>
                </c:pt>
                <c:pt idx="353">
                  <c:v>20.12.</c:v>
                </c:pt>
                <c:pt idx="354">
                  <c:v>21.12.</c:v>
                </c:pt>
                <c:pt idx="355">
                  <c:v>22.12.</c:v>
                </c:pt>
                <c:pt idx="356">
                  <c:v>23.12.</c:v>
                </c:pt>
                <c:pt idx="357">
                  <c:v>24.12.</c:v>
                </c:pt>
                <c:pt idx="358">
                  <c:v>25.12.</c:v>
                </c:pt>
                <c:pt idx="359">
                  <c:v>26.12.</c:v>
                </c:pt>
                <c:pt idx="360">
                  <c:v>27.12.</c:v>
                </c:pt>
                <c:pt idx="361">
                  <c:v>28.12.</c:v>
                </c:pt>
                <c:pt idx="362">
                  <c:v>29.12.</c:v>
                </c:pt>
                <c:pt idx="363">
                  <c:v>30.12.</c:v>
                </c:pt>
                <c:pt idx="364">
                  <c:v>31.12.</c:v>
                </c:pt>
              </c:strCache>
            </c:strRef>
          </c:cat>
          <c:val>
            <c:numRef>
              <c:f>'G4.3'!$E$3:$E$367</c:f>
              <c:numCache>
                <c:formatCode>General</c:formatCode>
                <c:ptCount val="365"/>
                <c:pt idx="0">
                  <c:v>7387</c:v>
                </c:pt>
                <c:pt idx="1">
                  <c:v>7372</c:v>
                </c:pt>
                <c:pt idx="2">
                  <c:v>7572</c:v>
                </c:pt>
                <c:pt idx="3">
                  <c:v>7436</c:v>
                </c:pt>
                <c:pt idx="4">
                  <c:v>7473</c:v>
                </c:pt>
                <c:pt idx="5">
                  <c:v>7537</c:v>
                </c:pt>
                <c:pt idx="6">
                  <c:v>7623</c:v>
                </c:pt>
                <c:pt idx="7">
                  <c:v>7279</c:v>
                </c:pt>
                <c:pt idx="8">
                  <c:v>7249</c:v>
                </c:pt>
                <c:pt idx="9">
                  <c:v>7631</c:v>
                </c:pt>
                <c:pt idx="10">
                  <c:v>7738</c:v>
                </c:pt>
                <c:pt idx="11">
                  <c:v>7925</c:v>
                </c:pt>
                <c:pt idx="12">
                  <c:v>8059</c:v>
                </c:pt>
                <c:pt idx="13">
                  <c:v>8443</c:v>
                </c:pt>
                <c:pt idx="14">
                  <c:v>8004</c:v>
                </c:pt>
                <c:pt idx="15">
                  <c:v>7820</c:v>
                </c:pt>
                <c:pt idx="16">
                  <c:v>9213</c:v>
                </c:pt>
                <c:pt idx="17">
                  <c:v>18149</c:v>
                </c:pt>
                <c:pt idx="18">
                  <c:v>24211</c:v>
                </c:pt>
                <c:pt idx="19">
                  <c:v>31786</c:v>
                </c:pt>
                <c:pt idx="20">
                  <c:v>37940</c:v>
                </c:pt>
                <c:pt idx="21">
                  <c:v>35777</c:v>
                </c:pt>
                <c:pt idx="22">
                  <c:v>32208</c:v>
                </c:pt>
                <c:pt idx="23">
                  <c:v>43205</c:v>
                </c:pt>
                <c:pt idx="24">
                  <c:v>44720</c:v>
                </c:pt>
                <c:pt idx="25">
                  <c:v>45315</c:v>
                </c:pt>
                <c:pt idx="26">
                  <c:v>52539</c:v>
                </c:pt>
                <c:pt idx="27">
                  <c:v>61377</c:v>
                </c:pt>
                <c:pt idx="28">
                  <c:v>56731</c:v>
                </c:pt>
                <c:pt idx="29">
                  <c:v>55682</c:v>
                </c:pt>
                <c:pt idx="30">
                  <c:v>50331</c:v>
                </c:pt>
                <c:pt idx="31">
                  <c:v>60041</c:v>
                </c:pt>
                <c:pt idx="32">
                  <c:v>56219</c:v>
                </c:pt>
                <c:pt idx="33">
                  <c:v>61079</c:v>
                </c:pt>
                <c:pt idx="34">
                  <c:v>68493</c:v>
                </c:pt>
                <c:pt idx="35">
                  <c:v>63850</c:v>
                </c:pt>
                <c:pt idx="36">
                  <c:v>47068</c:v>
                </c:pt>
                <c:pt idx="37">
                  <c:v>50899</c:v>
                </c:pt>
                <c:pt idx="38">
                  <c:v>52018</c:v>
                </c:pt>
                <c:pt idx="39">
                  <c:v>46031</c:v>
                </c:pt>
                <c:pt idx="40">
                  <c:v>49291</c:v>
                </c:pt>
                <c:pt idx="41">
                  <c:v>53307</c:v>
                </c:pt>
                <c:pt idx="42">
                  <c:v>49499</c:v>
                </c:pt>
                <c:pt idx="43">
                  <c:v>35429</c:v>
                </c:pt>
                <c:pt idx="44">
                  <c:v>37280</c:v>
                </c:pt>
                <c:pt idx="45">
                  <c:v>38337</c:v>
                </c:pt>
                <c:pt idx="46">
                  <c:v>33296</c:v>
                </c:pt>
                <c:pt idx="47">
                  <c:v>35495</c:v>
                </c:pt>
                <c:pt idx="48">
                  <c:v>37242</c:v>
                </c:pt>
                <c:pt idx="49">
                  <c:v>34380</c:v>
                </c:pt>
                <c:pt idx="50">
                  <c:v>24089</c:v>
                </c:pt>
                <c:pt idx="51">
                  <c:v>18486</c:v>
                </c:pt>
                <c:pt idx="52">
                  <c:v>14699</c:v>
                </c:pt>
                <c:pt idx="53">
                  <c:v>8663</c:v>
                </c:pt>
                <c:pt idx="54">
                  <c:v>6711</c:v>
                </c:pt>
                <c:pt idx="55">
                  <c:v>6385</c:v>
                </c:pt>
                <c:pt idx="56">
                  <c:v>6144</c:v>
                </c:pt>
                <c:pt idx="57">
                  <c:v>6131</c:v>
                </c:pt>
                <c:pt idx="58">
                  <c:v>5814</c:v>
                </c:pt>
                <c:pt idx="59">
                  <c:v>5396</c:v>
                </c:pt>
                <c:pt idx="60">
                  <c:v>5083</c:v>
                </c:pt>
                <c:pt idx="61">
                  <c:v>4864</c:v>
                </c:pt>
                <c:pt idx="62">
                  <c:v>4687</c:v>
                </c:pt>
                <c:pt idx="63">
                  <c:v>4567</c:v>
                </c:pt>
                <c:pt idx="64">
                  <c:v>4560</c:v>
                </c:pt>
                <c:pt idx="65">
                  <c:v>4430</c:v>
                </c:pt>
                <c:pt idx="66">
                  <c:v>4274</c:v>
                </c:pt>
                <c:pt idx="67">
                  <c:v>4149</c:v>
                </c:pt>
                <c:pt idx="68">
                  <c:v>4024</c:v>
                </c:pt>
                <c:pt idx="69">
                  <c:v>3940</c:v>
                </c:pt>
                <c:pt idx="70">
                  <c:v>3874</c:v>
                </c:pt>
                <c:pt idx="71">
                  <c:v>3872</c:v>
                </c:pt>
                <c:pt idx="72">
                  <c:v>3773</c:v>
                </c:pt>
                <c:pt idx="73">
                  <c:v>3701</c:v>
                </c:pt>
                <c:pt idx="74">
                  <c:v>3600</c:v>
                </c:pt>
                <c:pt idx="75">
                  <c:v>3504</c:v>
                </c:pt>
                <c:pt idx="76">
                  <c:v>3434</c:v>
                </c:pt>
                <c:pt idx="77">
                  <c:v>3370</c:v>
                </c:pt>
                <c:pt idx="78">
                  <c:v>3367</c:v>
                </c:pt>
                <c:pt idx="79">
                  <c:v>3270</c:v>
                </c:pt>
                <c:pt idx="80">
                  <c:v>3184</c:v>
                </c:pt>
                <c:pt idx="81">
                  <c:v>3131</c:v>
                </c:pt>
                <c:pt idx="82">
                  <c:v>3075</c:v>
                </c:pt>
                <c:pt idx="83">
                  <c:v>3002</c:v>
                </c:pt>
                <c:pt idx="84">
                  <c:v>2945</c:v>
                </c:pt>
                <c:pt idx="85">
                  <c:v>2944</c:v>
                </c:pt>
                <c:pt idx="86">
                  <c:v>2866</c:v>
                </c:pt>
                <c:pt idx="87">
                  <c:v>2825</c:v>
                </c:pt>
                <c:pt idx="88">
                  <c:v>2719</c:v>
                </c:pt>
                <c:pt idx="89">
                  <c:v>2677</c:v>
                </c:pt>
                <c:pt idx="90">
                  <c:v>2601</c:v>
                </c:pt>
                <c:pt idx="91">
                  <c:v>2558</c:v>
                </c:pt>
                <c:pt idx="92">
                  <c:v>2554</c:v>
                </c:pt>
                <c:pt idx="93">
                  <c:v>2534</c:v>
                </c:pt>
                <c:pt idx="94">
                  <c:v>2507</c:v>
                </c:pt>
                <c:pt idx="95">
                  <c:v>2441</c:v>
                </c:pt>
                <c:pt idx="96">
                  <c:v>2397</c:v>
                </c:pt>
                <c:pt idx="97">
                  <c:v>2369</c:v>
                </c:pt>
                <c:pt idx="98">
                  <c:v>2329</c:v>
                </c:pt>
                <c:pt idx="99">
                  <c:v>2328</c:v>
                </c:pt>
                <c:pt idx="100">
                  <c:v>2296</c:v>
                </c:pt>
                <c:pt idx="101">
                  <c:v>2255</c:v>
                </c:pt>
                <c:pt idx="102">
                  <c:v>2229</c:v>
                </c:pt>
                <c:pt idx="103">
                  <c:v>2077</c:v>
                </c:pt>
                <c:pt idx="104">
                  <c:v>2027</c:v>
                </c:pt>
                <c:pt idx="105">
                  <c:v>2019</c:v>
                </c:pt>
                <c:pt idx="106">
                  <c:v>2017</c:v>
                </c:pt>
                <c:pt idx="107">
                  <c:v>2013</c:v>
                </c:pt>
                <c:pt idx="108">
                  <c:v>1928</c:v>
                </c:pt>
                <c:pt idx="109">
                  <c:v>1893</c:v>
                </c:pt>
                <c:pt idx="110">
                  <c:v>1835</c:v>
                </c:pt>
                <c:pt idx="111">
                  <c:v>1758</c:v>
                </c:pt>
                <c:pt idx="112">
                  <c:v>1695</c:v>
                </c:pt>
                <c:pt idx="113">
                  <c:v>1695</c:v>
                </c:pt>
                <c:pt idx="114">
                  <c:v>1676</c:v>
                </c:pt>
                <c:pt idx="115">
                  <c:v>1650</c:v>
                </c:pt>
                <c:pt idx="116">
                  <c:v>1599</c:v>
                </c:pt>
                <c:pt idx="117">
                  <c:v>1576</c:v>
                </c:pt>
                <c:pt idx="118">
                  <c:v>1555</c:v>
                </c:pt>
                <c:pt idx="119">
                  <c:v>1536</c:v>
                </c:pt>
                <c:pt idx="120">
                  <c:v>1528</c:v>
                </c:pt>
                <c:pt idx="121">
                  <c:v>1501</c:v>
                </c:pt>
                <c:pt idx="122">
                  <c:v>1481</c:v>
                </c:pt>
                <c:pt idx="123">
                  <c:v>1456</c:v>
                </c:pt>
                <c:pt idx="124">
                  <c:v>1437</c:v>
                </c:pt>
                <c:pt idx="125">
                  <c:v>1422</c:v>
                </c:pt>
                <c:pt idx="126">
                  <c:v>1414</c:v>
                </c:pt>
                <c:pt idx="127">
                  <c:v>1414</c:v>
                </c:pt>
                <c:pt idx="128">
                  <c:v>1397</c:v>
                </c:pt>
                <c:pt idx="129">
                  <c:v>1383</c:v>
                </c:pt>
                <c:pt idx="130">
                  <c:v>1372</c:v>
                </c:pt>
                <c:pt idx="131">
                  <c:v>1361</c:v>
                </c:pt>
                <c:pt idx="132">
                  <c:v>1338</c:v>
                </c:pt>
                <c:pt idx="133">
                  <c:v>1328</c:v>
                </c:pt>
                <c:pt idx="134">
                  <c:v>1328</c:v>
                </c:pt>
                <c:pt idx="135">
                  <c:v>1318</c:v>
                </c:pt>
                <c:pt idx="136">
                  <c:v>1222</c:v>
                </c:pt>
                <c:pt idx="137">
                  <c:v>1166</c:v>
                </c:pt>
                <c:pt idx="138">
                  <c:v>1154</c:v>
                </c:pt>
                <c:pt idx="139">
                  <c:v>1150</c:v>
                </c:pt>
                <c:pt idx="140">
                  <c:v>1147</c:v>
                </c:pt>
                <c:pt idx="141">
                  <c:v>1147</c:v>
                </c:pt>
                <c:pt idx="142">
                  <c:v>1146</c:v>
                </c:pt>
                <c:pt idx="143">
                  <c:v>1139</c:v>
                </c:pt>
                <c:pt idx="144">
                  <c:v>1126</c:v>
                </c:pt>
                <c:pt idx="145">
                  <c:v>1118</c:v>
                </c:pt>
                <c:pt idx="146">
                  <c:v>1108</c:v>
                </c:pt>
                <c:pt idx="147">
                  <c:v>1103</c:v>
                </c:pt>
                <c:pt idx="148">
                  <c:v>1103</c:v>
                </c:pt>
                <c:pt idx="149">
                  <c:v>1086</c:v>
                </c:pt>
                <c:pt idx="150">
                  <c:v>1068</c:v>
                </c:pt>
                <c:pt idx="151">
                  <c:v>1061</c:v>
                </c:pt>
                <c:pt idx="152">
                  <c:v>1053</c:v>
                </c:pt>
                <c:pt idx="153">
                  <c:v>1050</c:v>
                </c:pt>
                <c:pt idx="154">
                  <c:v>1048</c:v>
                </c:pt>
                <c:pt idx="155">
                  <c:v>1048</c:v>
                </c:pt>
                <c:pt idx="156">
                  <c:v>1048</c:v>
                </c:pt>
                <c:pt idx="157">
                  <c:v>1043</c:v>
                </c:pt>
                <c:pt idx="158">
                  <c:v>1042</c:v>
                </c:pt>
                <c:pt idx="159">
                  <c:v>1019</c:v>
                </c:pt>
                <c:pt idx="160">
                  <c:v>1011</c:v>
                </c:pt>
                <c:pt idx="161">
                  <c:v>1010</c:v>
                </c:pt>
                <c:pt idx="162">
                  <c:v>1010</c:v>
                </c:pt>
                <c:pt idx="163">
                  <c:v>1006</c:v>
                </c:pt>
                <c:pt idx="164">
                  <c:v>993</c:v>
                </c:pt>
                <c:pt idx="165">
                  <c:v>975</c:v>
                </c:pt>
                <c:pt idx="166">
                  <c:v>963</c:v>
                </c:pt>
                <c:pt idx="167">
                  <c:v>955</c:v>
                </c:pt>
                <c:pt idx="168">
                  <c:v>950</c:v>
                </c:pt>
                <c:pt idx="169">
                  <c:v>950</c:v>
                </c:pt>
                <c:pt idx="170">
                  <c:v>947</c:v>
                </c:pt>
                <c:pt idx="171">
                  <c:v>953</c:v>
                </c:pt>
                <c:pt idx="172">
                  <c:v>952</c:v>
                </c:pt>
                <c:pt idx="173">
                  <c:v>935</c:v>
                </c:pt>
                <c:pt idx="174">
                  <c:v>932</c:v>
                </c:pt>
                <c:pt idx="175">
                  <c:v>927</c:v>
                </c:pt>
                <c:pt idx="176">
                  <c:v>927</c:v>
                </c:pt>
                <c:pt idx="177">
                  <c:v>927</c:v>
                </c:pt>
                <c:pt idx="178">
                  <c:v>925</c:v>
                </c:pt>
                <c:pt idx="179">
                  <c:v>919</c:v>
                </c:pt>
                <c:pt idx="180">
                  <c:v>919</c:v>
                </c:pt>
                <c:pt idx="186">
                  <c:v>898</c:v>
                </c:pt>
                <c:pt idx="193">
                  <c:v>916</c:v>
                </c:pt>
                <c:pt idx="200">
                  <c:v>929</c:v>
                </c:pt>
                <c:pt idx="207">
                  <c:v>941</c:v>
                </c:pt>
                <c:pt idx="214">
                  <c:v>924</c:v>
                </c:pt>
                <c:pt idx="221">
                  <c:v>906</c:v>
                </c:pt>
                <c:pt idx="228">
                  <c:v>923</c:v>
                </c:pt>
                <c:pt idx="235">
                  <c:v>919</c:v>
                </c:pt>
                <c:pt idx="242">
                  <c:v>895</c:v>
                </c:pt>
                <c:pt idx="249">
                  <c:v>857</c:v>
                </c:pt>
                <c:pt idx="256">
                  <c:v>876</c:v>
                </c:pt>
                <c:pt idx="263">
                  <c:v>874</c:v>
                </c:pt>
                <c:pt idx="270">
                  <c:v>871</c:v>
                </c:pt>
                <c:pt idx="277">
                  <c:v>847</c:v>
                </c:pt>
                <c:pt idx="284">
                  <c:v>835</c:v>
                </c:pt>
                <c:pt idx="291">
                  <c:v>811</c:v>
                </c:pt>
                <c:pt idx="298">
                  <c:v>762</c:v>
                </c:pt>
                <c:pt idx="305">
                  <c:v>723</c:v>
                </c:pt>
                <c:pt idx="312">
                  <c:v>704</c:v>
                </c:pt>
                <c:pt idx="319">
                  <c:v>682</c:v>
                </c:pt>
                <c:pt idx="326">
                  <c:v>682</c:v>
                </c:pt>
                <c:pt idx="333">
                  <c:v>675</c:v>
                </c:pt>
                <c:pt idx="340">
                  <c:v>663</c:v>
                </c:pt>
                <c:pt idx="347">
                  <c:v>667</c:v>
                </c:pt>
                <c:pt idx="354">
                  <c:v>646</c:v>
                </c:pt>
                <c:pt idx="361">
                  <c:v>632</c:v>
                </c:pt>
              </c:numCache>
            </c:numRef>
          </c:val>
          <c:smooth val="0"/>
          <c:extLst>
            <c:ext xmlns:c16="http://schemas.microsoft.com/office/drawing/2014/chart" uri="{C3380CC4-5D6E-409C-BE32-E72D297353CC}">
              <c16:uniqueId val="{00000002-E565-46E2-8A95-DF462CA5747F}"/>
            </c:ext>
          </c:extLst>
        </c:ser>
        <c:dLbls>
          <c:showLegendKey val="0"/>
          <c:showVal val="0"/>
          <c:showCatName val="0"/>
          <c:showSerName val="0"/>
          <c:showPercent val="0"/>
          <c:showBubbleSize val="0"/>
        </c:dLbls>
        <c:smooth val="0"/>
        <c:axId val="551561631"/>
        <c:axId val="551562463"/>
      </c:lineChart>
      <c:catAx>
        <c:axId val="551561631"/>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5400000" spcFirstLastPara="1" vertOverflow="ellipsis"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551562463"/>
        <c:crosses val="autoZero"/>
        <c:auto val="1"/>
        <c:lblAlgn val="ctr"/>
        <c:lblOffset val="100"/>
        <c:tickLblSkip val="14"/>
        <c:noMultiLvlLbl val="0"/>
      </c:catAx>
      <c:valAx>
        <c:axId val="551562463"/>
        <c:scaling>
          <c:orientation val="minMax"/>
          <c:max val="70000"/>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551561631"/>
        <c:crosses val="autoZero"/>
        <c:crossBetween val="between"/>
        <c:majorUnit val="5000"/>
      </c:valAx>
      <c:spPr>
        <a:noFill/>
        <a:ln>
          <a:noFill/>
        </a:ln>
        <a:effectLst/>
      </c:spPr>
    </c:plotArea>
    <c:legend>
      <c:legendPos val="r"/>
      <c:layout>
        <c:manualLayout>
          <c:xMode val="edge"/>
          <c:yMode val="edge"/>
          <c:x val="0.80105814745765203"/>
          <c:y val="3.4744973888573213E-2"/>
          <c:w val="0.17665556123807827"/>
          <c:h val="0.15958898178964742"/>
        </c:manualLayout>
      </c:layout>
      <c:overlay val="0"/>
      <c:spPr>
        <a:solidFill>
          <a:schemeClr val="bg1"/>
        </a:solidFill>
        <a:ln>
          <a:solidFill>
            <a:schemeClr val="bg1">
              <a:lumMod val="8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'G5.1'!$B$5</c:f>
              <c:strCache>
                <c:ptCount val="1"/>
                <c:pt idx="0">
                  <c:v> celkem</c:v>
                </c:pt>
              </c:strCache>
            </c:strRef>
          </c:tx>
          <c:spPr>
            <a:solidFill>
              <a:srgbClr val="632827"/>
            </a:solidFill>
            <a:ln>
              <a:noFill/>
            </a:ln>
            <a:effectLst/>
          </c:spPr>
          <c:invertIfNegative val="0"/>
          <c:cat>
            <c:numRef>
              <c:f>'G5.1'!$A$6:$A$16</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'G5.1'!$B$6:$B$16</c:f>
              <c:numCache>
                <c:formatCode>General</c:formatCode>
                <c:ptCount val="11"/>
                <c:pt idx="0">
                  <c:v>973.70484821962259</c:v>
                </c:pt>
                <c:pt idx="1">
                  <c:v>953.87140493738525</c:v>
                </c:pt>
                <c:pt idx="2">
                  <c:v>992.39324229058911</c:v>
                </c:pt>
                <c:pt idx="3">
                  <c:v>1012.2229156237019</c:v>
                </c:pt>
                <c:pt idx="4">
                  <c:v>1021.8745560010099</c:v>
                </c:pt>
                <c:pt idx="5">
                  <c:v>1003.2481328292729</c:v>
                </c:pt>
                <c:pt idx="6">
                  <c:v>964.89615656043009</c:v>
                </c:pt>
                <c:pt idx="7">
                  <c:v>928.79837124568758</c:v>
                </c:pt>
                <c:pt idx="8">
                  <c:v>864.94183499552605</c:v>
                </c:pt>
                <c:pt idx="9">
                  <c:v>934.1219542430548</c:v>
                </c:pt>
                <c:pt idx="10">
                  <c:v>917.4697717880631</c:v>
                </c:pt>
              </c:numCache>
            </c:numRef>
          </c:val>
          <c:extLst>
            <c:ext xmlns:c16="http://schemas.microsoft.com/office/drawing/2014/chart" uri="{C3380CC4-5D6E-409C-BE32-E72D297353CC}">
              <c16:uniqueId val="{00000000-F0CC-432E-98C1-CDDCE8881DFB}"/>
            </c:ext>
          </c:extLst>
        </c:ser>
        <c:ser>
          <c:idx val="1"/>
          <c:order val="1"/>
          <c:tx>
            <c:strRef>
              <c:f>'G5.1'!$C$5</c:f>
              <c:strCache>
                <c:ptCount val="1"/>
                <c:pt idx="0">
                  <c:v> muži</c:v>
                </c:pt>
              </c:strCache>
            </c:strRef>
          </c:tx>
          <c:spPr>
            <a:solidFill>
              <a:srgbClr val="B44946"/>
            </a:solidFill>
            <a:ln>
              <a:noFill/>
            </a:ln>
            <a:effectLst/>
          </c:spPr>
          <c:invertIfNegative val="0"/>
          <c:cat>
            <c:numRef>
              <c:f>'G5.1'!$A$6:$A$16</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'G5.1'!$C$6:$C$16</c:f>
              <c:numCache>
                <c:formatCode>General</c:formatCode>
                <c:ptCount val="11"/>
                <c:pt idx="0">
                  <c:v>1359.6356655065706</c:v>
                </c:pt>
                <c:pt idx="1">
                  <c:v>1325.0414476326634</c:v>
                </c:pt>
                <c:pt idx="2">
                  <c:v>1372.173752359331</c:v>
                </c:pt>
                <c:pt idx="3">
                  <c:v>1373.3670257323856</c:v>
                </c:pt>
                <c:pt idx="4">
                  <c:v>1378.6665387508742</c:v>
                </c:pt>
                <c:pt idx="5">
                  <c:v>1355.2518700976673</c:v>
                </c:pt>
                <c:pt idx="6">
                  <c:v>1294.0989767393464</c:v>
                </c:pt>
                <c:pt idx="7">
                  <c:v>1243.7952127639396</c:v>
                </c:pt>
                <c:pt idx="8">
                  <c:v>1193.8973535578518</c:v>
                </c:pt>
                <c:pt idx="9">
                  <c:v>1291.789040414631</c:v>
                </c:pt>
                <c:pt idx="10">
                  <c:v>1235.5213676374165</c:v>
                </c:pt>
              </c:numCache>
            </c:numRef>
          </c:val>
          <c:extLst>
            <c:ext xmlns:c16="http://schemas.microsoft.com/office/drawing/2014/chart" uri="{C3380CC4-5D6E-409C-BE32-E72D297353CC}">
              <c16:uniqueId val="{00000001-F0CC-432E-98C1-CDDCE8881DFB}"/>
            </c:ext>
          </c:extLst>
        </c:ser>
        <c:ser>
          <c:idx val="2"/>
          <c:order val="2"/>
          <c:tx>
            <c:strRef>
              <c:f>'G5.1'!$D$5</c:f>
              <c:strCache>
                <c:ptCount val="1"/>
                <c:pt idx="0">
                  <c:v> ženy</c:v>
                </c:pt>
              </c:strCache>
            </c:strRef>
          </c:tx>
          <c:spPr>
            <a:solidFill>
              <a:srgbClr val="F07373"/>
            </a:solidFill>
            <a:ln>
              <a:noFill/>
            </a:ln>
            <a:effectLst/>
          </c:spPr>
          <c:invertIfNegative val="0"/>
          <c:cat>
            <c:numRef>
              <c:f>'G5.1'!$A$6:$A$16</c:f>
              <c:numCache>
                <c:formatCode>General</c:formatCode>
                <c:ptCount val="11"/>
                <c:pt idx="0">
                  <c:v>2012</c:v>
                </c:pt>
                <c:pt idx="1">
                  <c:v>2013</c:v>
                </c:pt>
                <c:pt idx="2">
                  <c:v>2014</c:v>
                </c:pt>
                <c:pt idx="3">
                  <c:v>2015</c:v>
                </c:pt>
                <c:pt idx="4">
                  <c:v>2016</c:v>
                </c:pt>
                <c:pt idx="5">
                  <c:v>2017</c:v>
                </c:pt>
                <c:pt idx="6">
                  <c:v>2018</c:v>
                </c:pt>
                <c:pt idx="7">
                  <c:v>2019</c:v>
                </c:pt>
                <c:pt idx="8">
                  <c:v>2020</c:v>
                </c:pt>
                <c:pt idx="9">
                  <c:v>2021</c:v>
                </c:pt>
                <c:pt idx="10">
                  <c:v>2022</c:v>
                </c:pt>
              </c:numCache>
            </c:numRef>
          </c:cat>
          <c:val>
            <c:numRef>
              <c:f>'G5.1'!$D$6:$D$16</c:f>
              <c:numCache>
                <c:formatCode>General</c:formatCode>
                <c:ptCount val="11"/>
                <c:pt idx="0">
                  <c:v>571.7497029175031</c:v>
                </c:pt>
                <c:pt idx="1">
                  <c:v>568.90076443746273</c:v>
                </c:pt>
                <c:pt idx="2">
                  <c:v>598.4482241654789</c:v>
                </c:pt>
                <c:pt idx="3">
                  <c:v>635.43511275243941</c:v>
                </c:pt>
                <c:pt idx="4">
                  <c:v>651.45580665256648</c:v>
                </c:pt>
                <c:pt idx="5">
                  <c:v>640.8067102346364</c:v>
                </c:pt>
                <c:pt idx="6">
                  <c:v>628.65610667766714</c:v>
                </c:pt>
                <c:pt idx="7">
                  <c:v>608.85567093888449</c:v>
                </c:pt>
                <c:pt idx="8">
                  <c:v>533.51264368714521</c:v>
                </c:pt>
                <c:pt idx="9">
                  <c:v>576.42611519516709</c:v>
                </c:pt>
                <c:pt idx="10">
                  <c:v>603.53284675204736</c:v>
                </c:pt>
              </c:numCache>
            </c:numRef>
          </c:val>
          <c:extLst>
            <c:ext xmlns:c16="http://schemas.microsoft.com/office/drawing/2014/chart" uri="{C3380CC4-5D6E-409C-BE32-E72D297353CC}">
              <c16:uniqueId val="{00000002-F0CC-432E-98C1-CDDCE8881DFB}"/>
            </c:ext>
          </c:extLst>
        </c:ser>
        <c:dLbls>
          <c:showLegendKey val="0"/>
          <c:showVal val="0"/>
          <c:showCatName val="0"/>
          <c:showSerName val="0"/>
          <c:showPercent val="0"/>
          <c:showBubbleSize val="0"/>
        </c:dLbls>
        <c:gapWidth val="219"/>
        <c:axId val="764446415"/>
        <c:axId val="764448079"/>
      </c:barChart>
      <c:catAx>
        <c:axId val="76444641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764448079"/>
        <c:crosses val="autoZero"/>
        <c:auto val="1"/>
        <c:lblAlgn val="ctr"/>
        <c:lblOffset val="100"/>
        <c:noMultiLvlLbl val="0"/>
      </c:catAx>
      <c:valAx>
        <c:axId val="764448079"/>
        <c:scaling>
          <c:orientation val="minMax"/>
          <c:max val="14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 </a:t>
                </a:r>
              </a:p>
            </c:rich>
          </c:tx>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764446415"/>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50119490925846344"/>
          <c:y val="3.3577533577533576E-2"/>
          <c:w val="0.45520160519466091"/>
          <c:h val="0.84903329391518367"/>
        </c:manualLayout>
      </c:layout>
      <c:barChart>
        <c:barDir val="bar"/>
        <c:grouping val="clustered"/>
        <c:varyColors val="0"/>
        <c:ser>
          <c:idx val="0"/>
          <c:order val="0"/>
          <c:spPr>
            <a:solidFill>
              <a:srgbClr val="B44946"/>
            </a:solidFill>
            <a:ln>
              <a:noFill/>
            </a:ln>
            <a:effectLst/>
          </c:spPr>
          <c:invertIfNegative val="0"/>
          <c:dPt>
            <c:idx val="13"/>
            <c:invertIfNegative val="0"/>
            <c:bubble3D val="0"/>
            <c:spPr>
              <a:solidFill>
                <a:srgbClr val="632827"/>
              </a:solidFill>
              <a:ln>
                <a:noFill/>
              </a:ln>
              <a:effectLst/>
            </c:spPr>
            <c:extLst>
              <c:ext xmlns:c16="http://schemas.microsoft.com/office/drawing/2014/chart" uri="{C3380CC4-5D6E-409C-BE32-E72D297353CC}">
                <c16:uniqueId val="{00000001-2B5E-4234-AA55-4B769C6F5980}"/>
              </c:ext>
            </c:extLst>
          </c:dPt>
          <c:cat>
            <c:strRef>
              <c:f>'G5.2'!$J$8:$J$27</c:f>
              <c:strCache>
                <c:ptCount val="20"/>
                <c:pt idx="0">
                  <c:v>K – Peněžnictví a pojišťovnictví</c:v>
                </c:pt>
                <c:pt idx="1">
                  <c:v>J – Informační a komunikační činnosti</c:v>
                </c:pt>
                <c:pt idx="2">
                  <c:v>M – Profesní, vědecké a technické činnosti</c:v>
                </c:pt>
                <c:pt idx="3">
                  <c:v>S – Ostatní činnosti</c:v>
                </c:pt>
                <c:pt idx="4">
                  <c:v>L – Činnosti v oblasti nemovitostí</c:v>
                </c:pt>
                <c:pt idx="5">
                  <c:v>D – Výroba a rozvod elektřiny, plynu, tepla a klimatiz. vzduchu</c:v>
                </c:pt>
                <c:pt idx="6">
                  <c:v>P – Vzdělávání</c:v>
                </c:pt>
                <c:pt idx="7">
                  <c:v>O – Veřejná správa a obrana; povinné sociální zabezpečení</c:v>
                </c:pt>
                <c:pt idx="8">
                  <c:v>R – Kulturní, zábavní a rekreační činnosti</c:v>
                </c:pt>
                <c:pt idx="9">
                  <c:v>Q – Zdravotní a sociální péče</c:v>
                </c:pt>
                <c:pt idx="10">
                  <c:v>I – Ubytování, stravování a pohostinství</c:v>
                </c:pt>
                <c:pt idx="11">
                  <c:v>N – Administrativní a podpůrné činnosti</c:v>
                </c:pt>
                <c:pt idx="12">
                  <c:v>G – Velkoobchod a maloobchod; opravy a údržba motor. vozidel</c:v>
                </c:pt>
                <c:pt idx="13">
                  <c:v>CELKEM</c:v>
                </c:pt>
                <c:pt idx="14">
                  <c:v>F – Stavebnictví</c:v>
                </c:pt>
                <c:pt idx="15">
                  <c:v>C – Zpracovatelský průmysl</c:v>
                </c:pt>
                <c:pt idx="16">
                  <c:v>H – Doprava a skladování</c:v>
                </c:pt>
                <c:pt idx="17">
                  <c:v>B – Těžba a dobývání</c:v>
                </c:pt>
                <c:pt idx="18">
                  <c:v>E – Zásobování vodou; činnosti související s odpady a sanacemi</c:v>
                </c:pt>
                <c:pt idx="19">
                  <c:v>A – Zemědělství, lesnictví, rybářství</c:v>
                </c:pt>
              </c:strCache>
            </c:strRef>
          </c:cat>
          <c:val>
            <c:numRef>
              <c:f>'G5.2'!$K$8:$K$27</c:f>
              <c:numCache>
                <c:formatCode>General</c:formatCode>
                <c:ptCount val="20"/>
                <c:pt idx="0">
                  <c:v>62.329522332106883</c:v>
                </c:pt>
                <c:pt idx="1">
                  <c:v>88.574311394898899</c:v>
                </c:pt>
                <c:pt idx="2">
                  <c:v>195.38029068146713</c:v>
                </c:pt>
                <c:pt idx="3">
                  <c:v>363.52485455179414</c:v>
                </c:pt>
                <c:pt idx="4">
                  <c:v>374.24695303645927</c:v>
                </c:pt>
                <c:pt idx="5">
                  <c:v>401.38168377795705</c:v>
                </c:pt>
                <c:pt idx="6">
                  <c:v>424.01662726407449</c:v>
                </c:pt>
                <c:pt idx="7">
                  <c:v>446.70052099449168</c:v>
                </c:pt>
                <c:pt idx="8">
                  <c:v>543.19218432252705</c:v>
                </c:pt>
                <c:pt idx="9">
                  <c:v>621.74673914133518</c:v>
                </c:pt>
                <c:pt idx="10">
                  <c:v>640.59361909797701</c:v>
                </c:pt>
                <c:pt idx="11">
                  <c:v>820.61833862185131</c:v>
                </c:pt>
                <c:pt idx="12">
                  <c:v>828.79324723583522</c:v>
                </c:pt>
                <c:pt idx="13">
                  <c:v>917.4697717880631</c:v>
                </c:pt>
                <c:pt idx="14">
                  <c:v>1262.7223897520321</c:v>
                </c:pt>
                <c:pt idx="15">
                  <c:v>1407.4208728339624</c:v>
                </c:pt>
                <c:pt idx="16">
                  <c:v>1458.0921883494225</c:v>
                </c:pt>
                <c:pt idx="17">
                  <c:v>1831.1868324406428</c:v>
                </c:pt>
                <c:pt idx="18">
                  <c:v>1958.1845173669888</c:v>
                </c:pt>
                <c:pt idx="19">
                  <c:v>2354.1121277669981</c:v>
                </c:pt>
              </c:numCache>
            </c:numRef>
          </c:val>
          <c:extLst>
            <c:ext xmlns:c16="http://schemas.microsoft.com/office/drawing/2014/chart" uri="{C3380CC4-5D6E-409C-BE32-E72D297353CC}">
              <c16:uniqueId val="{00000002-2B5E-4234-AA55-4B769C6F5980}"/>
            </c:ext>
          </c:extLst>
        </c:ser>
        <c:dLbls>
          <c:showLegendKey val="0"/>
          <c:showVal val="0"/>
          <c:showCatName val="0"/>
          <c:showSerName val="0"/>
          <c:showPercent val="0"/>
          <c:showBubbleSize val="0"/>
        </c:dLbls>
        <c:gapWidth val="182"/>
        <c:axId val="759560607"/>
        <c:axId val="759561023"/>
      </c:barChart>
      <c:catAx>
        <c:axId val="759560607"/>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759561023"/>
        <c:crosses val="autoZero"/>
        <c:auto val="1"/>
        <c:lblAlgn val="ctr"/>
        <c:lblOffset val="100"/>
        <c:noMultiLvlLbl val="0"/>
      </c:catAx>
      <c:valAx>
        <c:axId val="759561023"/>
        <c:scaling>
          <c:orientation val="minMax"/>
          <c:max val="25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a:t>
                </a:r>
                <a:r>
                  <a:rPr lang="cs-CZ"/>
                  <a:t>padů</a:t>
                </a:r>
                <a:endParaRPr lang="en-US"/>
              </a:p>
            </c:rich>
          </c:tx>
          <c:layout>
            <c:manualLayout>
              <c:xMode val="edge"/>
              <c:yMode val="edge"/>
              <c:x val="0.66349162517789662"/>
              <c:y val="0.93530207762491235"/>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759560607"/>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1360641791635342"/>
          <c:y val="5.0925925925925923E-2"/>
          <c:w val="0.85583808148353313"/>
          <c:h val="0.8374664625255176"/>
        </c:manualLayout>
      </c:layout>
      <c:barChart>
        <c:barDir val="col"/>
        <c:grouping val="clustered"/>
        <c:varyColors val="0"/>
        <c:ser>
          <c:idx val="0"/>
          <c:order val="0"/>
          <c:tx>
            <c:strRef>
              <c:f>'G5.3, poj.v sekci A, vel. fy'!$Q$29</c:f>
              <c:strCache>
                <c:ptCount val="1"/>
                <c:pt idx="0">
                  <c:v> 2022</c:v>
                </c:pt>
              </c:strCache>
            </c:strRef>
          </c:tx>
          <c:spPr>
            <a:solidFill>
              <a:srgbClr val="632827"/>
            </a:solidFill>
            <a:ln>
              <a:noFill/>
            </a:ln>
            <a:effectLst/>
          </c:spPr>
          <c:invertIfNegative val="0"/>
          <c:dPt>
            <c:idx val="7"/>
            <c:invertIfNegative val="0"/>
            <c:bubble3D val="0"/>
            <c:spPr>
              <a:solidFill>
                <a:srgbClr val="632827"/>
              </a:solidFill>
              <a:ln w="19050">
                <a:noFill/>
              </a:ln>
              <a:effectLst/>
            </c:spPr>
            <c:extLst>
              <c:ext xmlns:c16="http://schemas.microsoft.com/office/drawing/2014/chart" uri="{C3380CC4-5D6E-409C-BE32-E72D297353CC}">
                <c16:uniqueId val="{00000001-ED75-41BA-B48B-7ADFE313C15A}"/>
              </c:ext>
            </c:extLst>
          </c:dPt>
          <c:dPt>
            <c:idx val="11"/>
            <c:invertIfNegative val="0"/>
            <c:bubble3D val="0"/>
            <c:spPr>
              <a:solidFill>
                <a:srgbClr val="632827"/>
              </a:solidFill>
              <a:ln w="19050">
                <a:solidFill>
                  <a:schemeClr val="accent1"/>
                </a:solidFill>
              </a:ln>
              <a:effectLst/>
            </c:spPr>
            <c:extLst>
              <c:ext xmlns:c16="http://schemas.microsoft.com/office/drawing/2014/chart" uri="{C3380CC4-5D6E-409C-BE32-E72D297353CC}">
                <c16:uniqueId val="{00000003-ED75-41BA-B48B-7ADFE313C15A}"/>
              </c:ext>
            </c:extLst>
          </c:dPt>
          <c:dPt>
            <c:idx val="13"/>
            <c:invertIfNegative val="0"/>
            <c:bubble3D val="0"/>
            <c:spPr>
              <a:solidFill>
                <a:srgbClr val="632827"/>
              </a:solidFill>
              <a:ln w="19050">
                <a:noFill/>
              </a:ln>
              <a:effectLst/>
            </c:spPr>
            <c:extLst>
              <c:ext xmlns:c16="http://schemas.microsoft.com/office/drawing/2014/chart" uri="{C3380CC4-5D6E-409C-BE32-E72D297353CC}">
                <c16:uniqueId val="{00000005-ED75-41BA-B48B-7ADFE313C15A}"/>
              </c:ext>
            </c:extLst>
          </c:dPt>
          <c:cat>
            <c:strRef>
              <c:f>'G5.3, poj.v sekci A, vel. fy'!$P$30:$P$44</c:f>
              <c:strCache>
                <c:ptCount val="15"/>
                <c:pt idx="0">
                  <c:v>VYS</c:v>
                </c:pt>
                <c:pt idx="1">
                  <c:v>PLK</c:v>
                </c:pt>
                <c:pt idx="2">
                  <c:v>JHC</c:v>
                </c:pt>
                <c:pt idx="3">
                  <c:v>KVK</c:v>
                </c:pt>
                <c:pt idx="4">
                  <c:v>ULK</c:v>
                </c:pt>
                <c:pt idx="5">
                  <c:v>PAK</c:v>
                </c:pt>
                <c:pt idx="6">
                  <c:v>HKK</c:v>
                </c:pt>
                <c:pt idx="7">
                  <c:v>ZLK</c:v>
                </c:pt>
                <c:pt idx="8">
                  <c:v>OLK</c:v>
                </c:pt>
                <c:pt idx="9">
                  <c:v>LBK</c:v>
                </c:pt>
                <c:pt idx="10">
                  <c:v>MSK</c:v>
                </c:pt>
                <c:pt idx="11">
                  <c:v>ČR</c:v>
                </c:pt>
                <c:pt idx="12">
                  <c:v>STC</c:v>
                </c:pt>
                <c:pt idx="13">
                  <c:v>JHM</c:v>
                </c:pt>
                <c:pt idx="14">
                  <c:v>PHA</c:v>
                </c:pt>
              </c:strCache>
            </c:strRef>
          </c:cat>
          <c:val>
            <c:numRef>
              <c:f>'G5.3, poj.v sekci A, vel. fy'!$Q$30:$Q$44</c:f>
              <c:numCache>
                <c:formatCode>General</c:formatCode>
                <c:ptCount val="15"/>
                <c:pt idx="0">
                  <c:v>1328.7062219789145</c:v>
                </c:pt>
                <c:pt idx="1">
                  <c:v>1268.6536678360631</c:v>
                </c:pt>
                <c:pt idx="2">
                  <c:v>1258.7043396601864</c:v>
                </c:pt>
                <c:pt idx="3">
                  <c:v>1246.1030761321742</c:v>
                </c:pt>
                <c:pt idx="4">
                  <c:v>1220.1664658170005</c:v>
                </c:pt>
                <c:pt idx="5">
                  <c:v>1143.0491577286596</c:v>
                </c:pt>
                <c:pt idx="6">
                  <c:v>1087.2530818351693</c:v>
                </c:pt>
                <c:pt idx="7">
                  <c:v>1076.1408900651961</c:v>
                </c:pt>
                <c:pt idx="8">
                  <c:v>1056.4586355855424</c:v>
                </c:pt>
                <c:pt idx="9">
                  <c:v>1004.4248525950289</c:v>
                </c:pt>
                <c:pt idx="10">
                  <c:v>935.61346294384634</c:v>
                </c:pt>
                <c:pt idx="11">
                  <c:v>917.4697717880631</c:v>
                </c:pt>
                <c:pt idx="12">
                  <c:v>895.7829556429532</c:v>
                </c:pt>
                <c:pt idx="13">
                  <c:v>832.55724768468895</c:v>
                </c:pt>
                <c:pt idx="14">
                  <c:v>563.00084130144728</c:v>
                </c:pt>
              </c:numCache>
            </c:numRef>
          </c:val>
          <c:extLst>
            <c:ext xmlns:c16="http://schemas.microsoft.com/office/drawing/2014/chart" uri="{C3380CC4-5D6E-409C-BE32-E72D297353CC}">
              <c16:uniqueId val="{00000006-ED75-41BA-B48B-7ADFE313C15A}"/>
            </c:ext>
          </c:extLst>
        </c:ser>
        <c:ser>
          <c:idx val="1"/>
          <c:order val="1"/>
          <c:tx>
            <c:strRef>
              <c:f>'G5.3, poj.v sekci A, vel. fy'!$R$29</c:f>
              <c:strCache>
                <c:ptCount val="1"/>
                <c:pt idx="0">
                  <c:v> 2019</c:v>
                </c:pt>
              </c:strCache>
            </c:strRef>
          </c:tx>
          <c:spPr>
            <a:solidFill>
              <a:srgbClr val="B44946"/>
            </a:solidFill>
            <a:ln>
              <a:noFill/>
            </a:ln>
            <a:effectLst/>
          </c:spPr>
          <c:invertIfNegative val="0"/>
          <c:dPt>
            <c:idx val="7"/>
            <c:invertIfNegative val="0"/>
            <c:bubble3D val="0"/>
            <c:spPr>
              <a:solidFill>
                <a:srgbClr val="B44946"/>
              </a:solidFill>
              <a:ln w="19050">
                <a:noFill/>
              </a:ln>
              <a:effectLst/>
            </c:spPr>
            <c:extLst>
              <c:ext xmlns:c16="http://schemas.microsoft.com/office/drawing/2014/chart" uri="{C3380CC4-5D6E-409C-BE32-E72D297353CC}">
                <c16:uniqueId val="{00000008-ED75-41BA-B48B-7ADFE313C15A}"/>
              </c:ext>
            </c:extLst>
          </c:dPt>
          <c:dPt>
            <c:idx val="11"/>
            <c:invertIfNegative val="0"/>
            <c:bubble3D val="0"/>
            <c:spPr>
              <a:solidFill>
                <a:srgbClr val="B44946"/>
              </a:solidFill>
              <a:ln w="19050">
                <a:solidFill>
                  <a:schemeClr val="accent1"/>
                </a:solidFill>
              </a:ln>
              <a:effectLst/>
            </c:spPr>
            <c:extLst>
              <c:ext xmlns:c16="http://schemas.microsoft.com/office/drawing/2014/chart" uri="{C3380CC4-5D6E-409C-BE32-E72D297353CC}">
                <c16:uniqueId val="{0000000A-ED75-41BA-B48B-7ADFE313C15A}"/>
              </c:ext>
            </c:extLst>
          </c:dPt>
          <c:dPt>
            <c:idx val="13"/>
            <c:invertIfNegative val="0"/>
            <c:bubble3D val="0"/>
            <c:spPr>
              <a:solidFill>
                <a:srgbClr val="B44946"/>
              </a:solidFill>
              <a:ln w="19050">
                <a:noFill/>
              </a:ln>
              <a:effectLst/>
            </c:spPr>
            <c:extLst>
              <c:ext xmlns:c16="http://schemas.microsoft.com/office/drawing/2014/chart" uri="{C3380CC4-5D6E-409C-BE32-E72D297353CC}">
                <c16:uniqueId val="{0000000C-ED75-41BA-B48B-7ADFE313C15A}"/>
              </c:ext>
            </c:extLst>
          </c:dPt>
          <c:cat>
            <c:strRef>
              <c:f>'G5.3, poj.v sekci A, vel. fy'!$P$30:$P$44</c:f>
              <c:strCache>
                <c:ptCount val="15"/>
                <c:pt idx="0">
                  <c:v>VYS</c:v>
                </c:pt>
                <c:pt idx="1">
                  <c:v>PLK</c:v>
                </c:pt>
                <c:pt idx="2">
                  <c:v>JHC</c:v>
                </c:pt>
                <c:pt idx="3">
                  <c:v>KVK</c:v>
                </c:pt>
                <c:pt idx="4">
                  <c:v>ULK</c:v>
                </c:pt>
                <c:pt idx="5">
                  <c:v>PAK</c:v>
                </c:pt>
                <c:pt idx="6">
                  <c:v>HKK</c:v>
                </c:pt>
                <c:pt idx="7">
                  <c:v>ZLK</c:v>
                </c:pt>
                <c:pt idx="8">
                  <c:v>OLK</c:v>
                </c:pt>
                <c:pt idx="9">
                  <c:v>LBK</c:v>
                </c:pt>
                <c:pt idx="10">
                  <c:v>MSK</c:v>
                </c:pt>
                <c:pt idx="11">
                  <c:v>ČR</c:v>
                </c:pt>
                <c:pt idx="12">
                  <c:v>STC</c:v>
                </c:pt>
                <c:pt idx="13">
                  <c:v>JHM</c:v>
                </c:pt>
                <c:pt idx="14">
                  <c:v>PHA</c:v>
                </c:pt>
              </c:strCache>
            </c:strRef>
          </c:cat>
          <c:val>
            <c:numRef>
              <c:f>'G5.3, poj.v sekci A, vel. fy'!$R$30:$R$44</c:f>
              <c:numCache>
                <c:formatCode>General</c:formatCode>
                <c:ptCount val="15"/>
                <c:pt idx="0">
                  <c:v>1414.2535949373141</c:v>
                </c:pt>
                <c:pt idx="1">
                  <c:v>1299.2010321270709</c:v>
                </c:pt>
                <c:pt idx="2">
                  <c:v>1387.0934786540511</c:v>
                </c:pt>
                <c:pt idx="3">
                  <c:v>1186.2100123467133</c:v>
                </c:pt>
                <c:pt idx="4">
                  <c:v>1220.3632824764002</c:v>
                </c:pt>
                <c:pt idx="5">
                  <c:v>1103.5059030131486</c:v>
                </c:pt>
                <c:pt idx="6">
                  <c:v>1214.9603555301571</c:v>
                </c:pt>
                <c:pt idx="7">
                  <c:v>1031.3984501042264</c:v>
                </c:pt>
                <c:pt idx="8">
                  <c:v>978.78007227276942</c:v>
                </c:pt>
                <c:pt idx="9">
                  <c:v>1010.63809679787</c:v>
                </c:pt>
                <c:pt idx="10">
                  <c:v>921.8190201809881</c:v>
                </c:pt>
                <c:pt idx="11">
                  <c:v>928.79837124568758</c:v>
                </c:pt>
                <c:pt idx="12">
                  <c:v>944.65633667369013</c:v>
                </c:pt>
                <c:pt idx="13">
                  <c:v>846.13459554188057</c:v>
                </c:pt>
                <c:pt idx="14">
                  <c:v>543.59822336681088</c:v>
                </c:pt>
              </c:numCache>
            </c:numRef>
          </c:val>
          <c:extLst>
            <c:ext xmlns:c16="http://schemas.microsoft.com/office/drawing/2014/chart" uri="{C3380CC4-5D6E-409C-BE32-E72D297353CC}">
              <c16:uniqueId val="{0000000D-ED75-41BA-B48B-7ADFE313C15A}"/>
            </c:ext>
          </c:extLst>
        </c:ser>
        <c:dLbls>
          <c:showLegendKey val="0"/>
          <c:showVal val="0"/>
          <c:showCatName val="0"/>
          <c:showSerName val="0"/>
          <c:showPercent val="0"/>
          <c:showBubbleSize val="0"/>
        </c:dLbls>
        <c:gapWidth val="219"/>
        <c:axId val="180486447"/>
        <c:axId val="180503919"/>
      </c:barChart>
      <c:catAx>
        <c:axId val="18048644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80503919"/>
        <c:crosses val="autoZero"/>
        <c:auto val="1"/>
        <c:lblAlgn val="ctr"/>
        <c:lblOffset val="100"/>
        <c:noMultiLvlLbl val="0"/>
      </c:catAx>
      <c:valAx>
        <c:axId val="180503919"/>
        <c:scaling>
          <c:orientation val="minMax"/>
          <c:max val="15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a:t>
                </a:r>
              </a:p>
            </c:rich>
          </c:tx>
          <c:layout>
            <c:manualLayout>
              <c:xMode val="edge"/>
              <c:yMode val="edge"/>
              <c:x val="2.5925650803083577E-2"/>
              <c:y val="0.32535357268067122"/>
            </c:manualLayout>
          </c:layout>
          <c:overlay val="0"/>
          <c:spPr>
            <a:noFill/>
            <a:ln>
              <a:noFill/>
            </a:ln>
            <a:effectLst/>
          </c:spPr>
          <c:txPr>
            <a:bodyPr rot="-54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180486447"/>
        <c:crosses val="autoZero"/>
        <c:crossBetween val="between"/>
        <c:majorUnit val="300"/>
      </c:valAx>
      <c:spPr>
        <a:noFill/>
        <a:ln>
          <a:noFill/>
        </a:ln>
        <a:effectLst/>
      </c:spPr>
    </c:plotArea>
    <c:legend>
      <c:legendPos val="b"/>
      <c:layout>
        <c:manualLayout>
          <c:xMode val="edge"/>
          <c:yMode val="edge"/>
          <c:x val="0.81755599300087489"/>
          <c:y val="9.3307451151939336E-2"/>
          <c:w val="0.14907279178042443"/>
          <c:h val="0.17058143773694956"/>
        </c:manualLayout>
      </c:layout>
      <c:overlay val="0"/>
      <c:spPr>
        <a:solidFill>
          <a:schemeClr val="bg1"/>
        </a:solidFill>
        <a:ln>
          <a:solidFill>
            <a:schemeClr val="bg1">
              <a:lumMod val="85000"/>
            </a:schemeClr>
          </a:solid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b="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B44946"/>
            </a:solidFill>
            <a:ln>
              <a:noFill/>
            </a:ln>
            <a:effectLst/>
          </c:spPr>
          <c:invertIfNegative val="0"/>
          <c:dPt>
            <c:idx val="9"/>
            <c:invertIfNegative val="0"/>
            <c:bubble3D val="0"/>
            <c:spPr>
              <a:solidFill>
                <a:srgbClr val="B44946"/>
              </a:solidFill>
              <a:ln>
                <a:noFill/>
              </a:ln>
              <a:effectLst/>
            </c:spPr>
            <c:extLst>
              <c:ext xmlns:c16="http://schemas.microsoft.com/office/drawing/2014/chart" uri="{C3380CC4-5D6E-409C-BE32-E72D297353CC}">
                <c16:uniqueId val="{00000001-361B-4489-B7D0-12F9242403B7}"/>
              </c:ext>
            </c:extLst>
          </c:dPt>
          <c:dPt>
            <c:idx val="10"/>
            <c:invertIfNegative val="0"/>
            <c:bubble3D val="0"/>
            <c:spPr>
              <a:solidFill>
                <a:srgbClr val="B44946"/>
              </a:solidFill>
              <a:ln>
                <a:noFill/>
              </a:ln>
              <a:effectLst/>
            </c:spPr>
            <c:extLst>
              <c:ext xmlns:c16="http://schemas.microsoft.com/office/drawing/2014/chart" uri="{C3380CC4-5D6E-409C-BE32-E72D297353CC}">
                <c16:uniqueId val="{00000003-361B-4489-B7D0-12F9242403B7}"/>
              </c:ext>
            </c:extLst>
          </c:dPt>
          <c:dPt>
            <c:idx val="11"/>
            <c:invertIfNegative val="0"/>
            <c:bubble3D val="0"/>
            <c:spPr>
              <a:solidFill>
                <a:srgbClr val="632827"/>
              </a:solidFill>
              <a:ln>
                <a:noFill/>
              </a:ln>
              <a:effectLst/>
            </c:spPr>
            <c:extLst>
              <c:ext xmlns:c16="http://schemas.microsoft.com/office/drawing/2014/chart" uri="{C3380CC4-5D6E-409C-BE32-E72D297353CC}">
                <c16:uniqueId val="{00000005-361B-4489-B7D0-12F9242403B7}"/>
              </c:ext>
            </c:extLst>
          </c:dPt>
          <c:dPt>
            <c:idx val="15"/>
            <c:invertIfNegative val="0"/>
            <c:bubble3D val="0"/>
            <c:spPr>
              <a:solidFill>
                <a:srgbClr val="B44946"/>
              </a:solidFill>
              <a:ln>
                <a:noFill/>
              </a:ln>
              <a:effectLst/>
            </c:spPr>
            <c:extLst>
              <c:ext xmlns:c16="http://schemas.microsoft.com/office/drawing/2014/chart" uri="{C3380CC4-5D6E-409C-BE32-E72D297353CC}">
                <c16:uniqueId val="{00000007-361B-4489-B7D0-12F9242403B7}"/>
              </c:ext>
            </c:extLst>
          </c:dPt>
          <c:dPt>
            <c:idx val="16"/>
            <c:invertIfNegative val="0"/>
            <c:bubble3D val="0"/>
            <c:spPr>
              <a:solidFill>
                <a:srgbClr val="B44946"/>
              </a:solidFill>
              <a:ln>
                <a:noFill/>
              </a:ln>
              <a:effectLst/>
            </c:spPr>
            <c:extLst>
              <c:ext xmlns:c16="http://schemas.microsoft.com/office/drawing/2014/chart" uri="{C3380CC4-5D6E-409C-BE32-E72D297353CC}">
                <c16:uniqueId val="{00000009-361B-4489-B7D0-12F9242403B7}"/>
              </c:ext>
            </c:extLst>
          </c:dPt>
          <c:dPt>
            <c:idx val="19"/>
            <c:invertIfNegative val="0"/>
            <c:bubble3D val="0"/>
            <c:spPr>
              <a:solidFill>
                <a:srgbClr val="632827"/>
              </a:solidFill>
              <a:ln>
                <a:noFill/>
              </a:ln>
              <a:effectLst/>
            </c:spPr>
            <c:extLst>
              <c:ext xmlns:c16="http://schemas.microsoft.com/office/drawing/2014/chart" uri="{C3380CC4-5D6E-409C-BE32-E72D297353CC}">
                <c16:uniqueId val="{0000000B-361B-4489-B7D0-12F9242403B7}"/>
              </c:ext>
            </c:extLst>
          </c:dPt>
          <c:cat>
            <c:strRef>
              <c:f>'G6.1'!$D$2:$D$29</c:f>
              <c:strCache>
                <c:ptCount val="28"/>
                <c:pt idx="0">
                  <c:v>Bulharsko</c:v>
                </c:pt>
                <c:pt idx="1">
                  <c:v>Rumunsko</c:v>
                </c:pt>
                <c:pt idx="2">
                  <c:v>Řecko</c:v>
                </c:pt>
                <c:pt idx="3">
                  <c:v>Lotyšsko</c:v>
                </c:pt>
                <c:pt idx="4">
                  <c:v>Litva</c:v>
                </c:pt>
                <c:pt idx="5">
                  <c:v>Polsko</c:v>
                </c:pt>
                <c:pt idx="6">
                  <c:v>Slovensko</c:v>
                </c:pt>
                <c:pt idx="7">
                  <c:v>Irsko</c:v>
                </c:pt>
                <c:pt idx="8">
                  <c:v>Chorvatsko</c:v>
                </c:pt>
                <c:pt idx="9">
                  <c:v>Kypr</c:v>
                </c:pt>
                <c:pt idx="10">
                  <c:v>Maďarsko</c:v>
                </c:pt>
                <c:pt idx="11">
                  <c:v>Česko</c:v>
                </c:pt>
                <c:pt idx="12">
                  <c:v>Malta</c:v>
                </c:pt>
                <c:pt idx="13">
                  <c:v>Švédsko</c:v>
                </c:pt>
                <c:pt idx="14">
                  <c:v>Estonsko</c:v>
                </c:pt>
                <c:pt idx="15">
                  <c:v>Itálie</c:v>
                </c:pt>
                <c:pt idx="16">
                  <c:v>Nizozemsko</c:v>
                </c:pt>
                <c:pt idx="17">
                  <c:v>Slovinsko</c:v>
                </c:pt>
                <c:pt idx="18">
                  <c:v>Finsko</c:v>
                </c:pt>
                <c:pt idx="19">
                  <c:v>EU27</c:v>
                </c:pt>
                <c:pt idx="20">
                  <c:v>Belgie</c:v>
                </c:pt>
                <c:pt idx="21">
                  <c:v>Rakousko</c:v>
                </c:pt>
                <c:pt idx="22">
                  <c:v>Lucembursko</c:v>
                </c:pt>
                <c:pt idx="23">
                  <c:v>Německo</c:v>
                </c:pt>
                <c:pt idx="24">
                  <c:v>Dánsko</c:v>
                </c:pt>
                <c:pt idx="25">
                  <c:v>Španělsko</c:v>
                </c:pt>
                <c:pt idx="26">
                  <c:v>Francie</c:v>
                </c:pt>
                <c:pt idx="27">
                  <c:v>Portugalsko</c:v>
                </c:pt>
              </c:strCache>
            </c:strRef>
          </c:cat>
          <c:val>
            <c:numRef>
              <c:f>'G6.1'!$E$2:$E$29</c:f>
              <c:numCache>
                <c:formatCode>#\ ##0.0</c:formatCode>
                <c:ptCount val="28"/>
                <c:pt idx="0">
                  <c:v>76.75</c:v>
                </c:pt>
                <c:pt idx="1">
                  <c:v>80.61</c:v>
                </c:pt>
                <c:pt idx="2">
                  <c:v>157.01</c:v>
                </c:pt>
                <c:pt idx="3">
                  <c:v>284.92</c:v>
                </c:pt>
                <c:pt idx="4">
                  <c:v>368.99</c:v>
                </c:pt>
                <c:pt idx="5">
                  <c:v>423.99</c:v>
                </c:pt>
                <c:pt idx="6">
                  <c:v>433.14</c:v>
                </c:pt>
                <c:pt idx="7">
                  <c:v>534.23</c:v>
                </c:pt>
                <c:pt idx="8">
                  <c:v>564.39</c:v>
                </c:pt>
                <c:pt idx="9">
                  <c:v>584.94000000000005</c:v>
                </c:pt>
                <c:pt idx="10">
                  <c:v>638.91</c:v>
                </c:pt>
                <c:pt idx="11">
                  <c:v>719.67</c:v>
                </c:pt>
                <c:pt idx="12">
                  <c:v>829.31</c:v>
                </c:pt>
                <c:pt idx="13">
                  <c:v>841.82</c:v>
                </c:pt>
                <c:pt idx="14">
                  <c:v>1032.49</c:v>
                </c:pt>
                <c:pt idx="15">
                  <c:v>1036.82</c:v>
                </c:pt>
                <c:pt idx="16">
                  <c:v>1139.6400000000001</c:v>
                </c:pt>
                <c:pt idx="17">
                  <c:v>1294.3699999999999</c:v>
                </c:pt>
                <c:pt idx="18">
                  <c:v>1392.98</c:v>
                </c:pt>
                <c:pt idx="19">
                  <c:v>1466.34</c:v>
                </c:pt>
                <c:pt idx="20">
                  <c:v>1503.37</c:v>
                </c:pt>
                <c:pt idx="21">
                  <c:v>1531.66</c:v>
                </c:pt>
                <c:pt idx="22">
                  <c:v>1748.27</c:v>
                </c:pt>
                <c:pt idx="23">
                  <c:v>1782.17</c:v>
                </c:pt>
                <c:pt idx="24">
                  <c:v>1902.28</c:v>
                </c:pt>
                <c:pt idx="25">
                  <c:v>2384.0700000000002</c:v>
                </c:pt>
                <c:pt idx="26">
                  <c:v>2597.5300000000002</c:v>
                </c:pt>
                <c:pt idx="27">
                  <c:v>2814.17</c:v>
                </c:pt>
              </c:numCache>
            </c:numRef>
          </c:val>
          <c:extLst>
            <c:ext xmlns:c16="http://schemas.microsoft.com/office/drawing/2014/chart" uri="{C3380CC4-5D6E-409C-BE32-E72D297353CC}">
              <c16:uniqueId val="{0000000C-361B-4489-B7D0-12F9242403B7}"/>
            </c:ext>
          </c:extLst>
        </c:ser>
        <c:dLbls>
          <c:showLegendKey val="0"/>
          <c:showVal val="0"/>
          <c:showCatName val="0"/>
          <c:showSerName val="0"/>
          <c:showPercent val="0"/>
          <c:showBubbleSize val="0"/>
        </c:dLbls>
        <c:gapWidth val="182"/>
        <c:axId val="876653215"/>
        <c:axId val="876650303"/>
      </c:barChart>
      <c:catAx>
        <c:axId val="87665321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76650303"/>
        <c:crosses val="autoZero"/>
        <c:auto val="1"/>
        <c:lblAlgn val="ctr"/>
        <c:lblOffset val="100"/>
        <c:noMultiLvlLbl val="0"/>
      </c:catAx>
      <c:valAx>
        <c:axId val="876650303"/>
        <c:scaling>
          <c:orientation val="minMax"/>
          <c:max val="3000"/>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 </a:t>
                </a:r>
              </a:p>
            </c:rich>
          </c:tx>
          <c:layout>
            <c:manualLayout>
              <c:xMode val="edge"/>
              <c:yMode val="edge"/>
              <c:x val="0.47844986589791028"/>
              <c:y val="0.95448395404608199"/>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876653215"/>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solidFill>
              <a:srgbClr val="B44946"/>
            </a:solidFill>
            <a:ln>
              <a:noFill/>
            </a:ln>
            <a:effectLst/>
          </c:spPr>
          <c:invertIfNegative val="0"/>
          <c:dPt>
            <c:idx val="9"/>
            <c:invertIfNegative val="0"/>
            <c:bubble3D val="0"/>
            <c:spPr>
              <a:solidFill>
                <a:srgbClr val="632827"/>
              </a:solidFill>
              <a:ln>
                <a:noFill/>
              </a:ln>
              <a:effectLst/>
            </c:spPr>
            <c:extLst>
              <c:ext xmlns:c16="http://schemas.microsoft.com/office/drawing/2014/chart" uri="{C3380CC4-5D6E-409C-BE32-E72D297353CC}">
                <c16:uniqueId val="{00000001-8A7F-4578-80AC-DF50B9BCBF53}"/>
              </c:ext>
            </c:extLst>
          </c:dPt>
          <c:dPt>
            <c:idx val="14"/>
            <c:invertIfNegative val="0"/>
            <c:bubble3D val="0"/>
            <c:spPr>
              <a:solidFill>
                <a:srgbClr val="B44946"/>
              </a:solidFill>
              <a:ln>
                <a:noFill/>
              </a:ln>
              <a:effectLst/>
            </c:spPr>
            <c:extLst>
              <c:ext xmlns:c16="http://schemas.microsoft.com/office/drawing/2014/chart" uri="{C3380CC4-5D6E-409C-BE32-E72D297353CC}">
                <c16:uniqueId val="{00000003-8A7F-4578-80AC-DF50B9BCBF53}"/>
              </c:ext>
            </c:extLst>
          </c:dPt>
          <c:dPt>
            <c:idx val="15"/>
            <c:invertIfNegative val="0"/>
            <c:bubble3D val="0"/>
            <c:spPr>
              <a:solidFill>
                <a:srgbClr val="632827"/>
              </a:solidFill>
              <a:ln>
                <a:noFill/>
              </a:ln>
              <a:effectLst/>
            </c:spPr>
            <c:extLst>
              <c:ext xmlns:c16="http://schemas.microsoft.com/office/drawing/2014/chart" uri="{C3380CC4-5D6E-409C-BE32-E72D297353CC}">
                <c16:uniqueId val="{00000005-8A7F-4578-80AC-DF50B9BCBF53}"/>
              </c:ext>
            </c:extLst>
          </c:dPt>
          <c:dPt>
            <c:idx val="21"/>
            <c:invertIfNegative val="0"/>
            <c:bubble3D val="0"/>
            <c:spPr>
              <a:solidFill>
                <a:srgbClr val="B44946"/>
              </a:solidFill>
              <a:ln>
                <a:noFill/>
              </a:ln>
              <a:effectLst/>
            </c:spPr>
            <c:extLst>
              <c:ext xmlns:c16="http://schemas.microsoft.com/office/drawing/2014/chart" uri="{C3380CC4-5D6E-409C-BE32-E72D297353CC}">
                <c16:uniqueId val="{00000007-8A7F-4578-80AC-DF50B9BCBF53}"/>
              </c:ext>
            </c:extLst>
          </c:dPt>
          <c:dPt>
            <c:idx val="25"/>
            <c:invertIfNegative val="0"/>
            <c:bubble3D val="0"/>
            <c:spPr>
              <a:solidFill>
                <a:srgbClr val="B44946"/>
              </a:solidFill>
              <a:ln>
                <a:noFill/>
              </a:ln>
              <a:effectLst/>
            </c:spPr>
            <c:extLst>
              <c:ext xmlns:c16="http://schemas.microsoft.com/office/drawing/2014/chart" uri="{C3380CC4-5D6E-409C-BE32-E72D297353CC}">
                <c16:uniqueId val="{00000009-8A7F-4578-80AC-DF50B9BCBF53}"/>
              </c:ext>
            </c:extLst>
          </c:dPt>
          <c:dPt>
            <c:idx val="27"/>
            <c:invertIfNegative val="0"/>
            <c:bubble3D val="0"/>
            <c:spPr>
              <a:solidFill>
                <a:srgbClr val="B44946"/>
              </a:solidFill>
              <a:ln>
                <a:noFill/>
              </a:ln>
              <a:effectLst/>
            </c:spPr>
            <c:extLst>
              <c:ext xmlns:c16="http://schemas.microsoft.com/office/drawing/2014/chart" uri="{C3380CC4-5D6E-409C-BE32-E72D297353CC}">
                <c16:uniqueId val="{0000000B-8A7F-4578-80AC-DF50B9BCBF53}"/>
              </c:ext>
            </c:extLst>
          </c:dPt>
          <c:cat>
            <c:strRef>
              <c:f>'G6.2'!$D$2:$D$29</c:f>
              <c:strCache>
                <c:ptCount val="28"/>
                <c:pt idx="0">
                  <c:v>Nizozemsko</c:v>
                </c:pt>
                <c:pt idx="1">
                  <c:v>Švédsko</c:v>
                </c:pt>
                <c:pt idx="2">
                  <c:v>Německo</c:v>
                </c:pt>
                <c:pt idx="3">
                  <c:v>Finsko</c:v>
                </c:pt>
                <c:pt idx="4">
                  <c:v>Řecko</c:v>
                </c:pt>
                <c:pt idx="5">
                  <c:v>Polsko</c:v>
                </c:pt>
                <c:pt idx="6">
                  <c:v>Dánsko</c:v>
                </c:pt>
                <c:pt idx="7">
                  <c:v>Belgie</c:v>
                </c:pt>
                <c:pt idx="8">
                  <c:v>Estonsko</c:v>
                </c:pt>
                <c:pt idx="9">
                  <c:v>EU27</c:v>
                </c:pt>
                <c:pt idx="10">
                  <c:v>Maďarsko</c:v>
                </c:pt>
                <c:pt idx="11">
                  <c:v>Slovensko</c:v>
                </c:pt>
                <c:pt idx="12">
                  <c:v>Lucembursko</c:v>
                </c:pt>
                <c:pt idx="13">
                  <c:v>Slovinsko</c:v>
                </c:pt>
                <c:pt idx="14">
                  <c:v>Irsko</c:v>
                </c:pt>
                <c:pt idx="15">
                  <c:v>Česko</c:v>
                </c:pt>
                <c:pt idx="16">
                  <c:v>Španělsko</c:v>
                </c:pt>
                <c:pt idx="17">
                  <c:v>Rakousko</c:v>
                </c:pt>
                <c:pt idx="18">
                  <c:v>Itálie</c:v>
                </c:pt>
                <c:pt idx="19">
                  <c:v>Chorvatsko</c:v>
                </c:pt>
                <c:pt idx="20">
                  <c:v>Francie</c:v>
                </c:pt>
                <c:pt idx="21">
                  <c:v>Lotyšsko</c:v>
                </c:pt>
                <c:pt idx="22">
                  <c:v>Portugalsko</c:v>
                </c:pt>
                <c:pt idx="23">
                  <c:v>Litva</c:v>
                </c:pt>
                <c:pt idx="24">
                  <c:v>Rumunsko</c:v>
                </c:pt>
                <c:pt idx="25">
                  <c:v>Bulharsko</c:v>
                </c:pt>
                <c:pt idx="26">
                  <c:v>Malta</c:v>
                </c:pt>
                <c:pt idx="27">
                  <c:v>Kypr</c:v>
                </c:pt>
              </c:strCache>
            </c:strRef>
          </c:cat>
          <c:val>
            <c:numRef>
              <c:f>'G6.2'!$E$2:$E$29</c:f>
              <c:numCache>
                <c:formatCode>#\ ##0.0</c:formatCode>
                <c:ptCount val="28"/>
                <c:pt idx="0">
                  <c:v>0.46</c:v>
                </c:pt>
                <c:pt idx="1">
                  <c:v>0.77</c:v>
                </c:pt>
                <c:pt idx="2">
                  <c:v>0.96</c:v>
                </c:pt>
                <c:pt idx="3">
                  <c:v>1.26</c:v>
                </c:pt>
                <c:pt idx="4">
                  <c:v>1.36</c:v>
                </c:pt>
                <c:pt idx="5">
                  <c:v>1.48</c:v>
                </c:pt>
                <c:pt idx="6">
                  <c:v>2.0099999999999998</c:v>
                </c:pt>
                <c:pt idx="7">
                  <c:v>2.0699999999999998</c:v>
                </c:pt>
                <c:pt idx="8">
                  <c:v>2.09</c:v>
                </c:pt>
                <c:pt idx="9">
                  <c:v>2.11</c:v>
                </c:pt>
                <c:pt idx="10">
                  <c:v>2.16</c:v>
                </c:pt>
                <c:pt idx="11">
                  <c:v>2.21</c:v>
                </c:pt>
                <c:pt idx="12">
                  <c:v>2.31</c:v>
                </c:pt>
                <c:pt idx="13">
                  <c:v>2.3199999999999998</c:v>
                </c:pt>
                <c:pt idx="14">
                  <c:v>2.38</c:v>
                </c:pt>
                <c:pt idx="15">
                  <c:v>2.52</c:v>
                </c:pt>
                <c:pt idx="16">
                  <c:v>2.76</c:v>
                </c:pt>
                <c:pt idx="17">
                  <c:v>2.89</c:v>
                </c:pt>
                <c:pt idx="18">
                  <c:v>3.03</c:v>
                </c:pt>
                <c:pt idx="19">
                  <c:v>3.13</c:v>
                </c:pt>
                <c:pt idx="20">
                  <c:v>3.16</c:v>
                </c:pt>
                <c:pt idx="21">
                  <c:v>3.21</c:v>
                </c:pt>
                <c:pt idx="22">
                  <c:v>3.62</c:v>
                </c:pt>
                <c:pt idx="23">
                  <c:v>3.84</c:v>
                </c:pt>
                <c:pt idx="24">
                  <c:v>3.96</c:v>
                </c:pt>
                <c:pt idx="25">
                  <c:v>4.5199999999999996</c:v>
                </c:pt>
                <c:pt idx="26">
                  <c:v>4.7300000000000004</c:v>
                </c:pt>
                <c:pt idx="27">
                  <c:v>5.12</c:v>
                </c:pt>
              </c:numCache>
            </c:numRef>
          </c:val>
          <c:extLst>
            <c:ext xmlns:c16="http://schemas.microsoft.com/office/drawing/2014/chart" uri="{C3380CC4-5D6E-409C-BE32-E72D297353CC}">
              <c16:uniqueId val="{0000000C-8A7F-4578-80AC-DF50B9BCBF53}"/>
            </c:ext>
          </c:extLst>
        </c:ser>
        <c:dLbls>
          <c:showLegendKey val="0"/>
          <c:showVal val="0"/>
          <c:showCatName val="0"/>
          <c:showSerName val="0"/>
          <c:showPercent val="0"/>
          <c:showBubbleSize val="0"/>
        </c:dLbls>
        <c:gapWidth val="182"/>
        <c:axId val="676317471"/>
        <c:axId val="676319135"/>
      </c:barChart>
      <c:catAx>
        <c:axId val="676317471"/>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76319135"/>
        <c:crosses val="autoZero"/>
        <c:auto val="1"/>
        <c:lblAlgn val="ctr"/>
        <c:lblOffset val="100"/>
        <c:noMultiLvlLbl val="0"/>
      </c:catAx>
      <c:valAx>
        <c:axId val="676319135"/>
        <c:scaling>
          <c:orientation val="minMax"/>
          <c:max val="5.5"/>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r>
                  <a:rPr lang="en-US"/>
                  <a:t>počet případů</a:t>
                </a:r>
              </a:p>
            </c:rich>
          </c:tx>
          <c:layout>
            <c:manualLayout>
              <c:xMode val="edge"/>
              <c:yMode val="edge"/>
              <c:x val="0.50151314314353923"/>
              <c:y val="0.95133824537524359"/>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title>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cs-CZ"/>
          </a:p>
        </c:txPr>
        <c:crossAx val="676317471"/>
        <c:crosses val="autoZero"/>
        <c:crossBetween val="between"/>
        <c:majorUnit val="0.5"/>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6.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7.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9.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0.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7.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0.88556</cdr:x>
      <cdr:y>0.02291</cdr:y>
    </cdr:from>
    <cdr:to>
      <cdr:x>0.96313</cdr:x>
      <cdr:y>0.08484</cdr:y>
    </cdr:to>
    <cdr:sp macro="" textlink="">
      <cdr:nvSpPr>
        <cdr:cNvPr id="2" name="TextovéPole 1"/>
        <cdr:cNvSpPr txBox="1"/>
      </cdr:nvSpPr>
      <cdr:spPr>
        <a:xfrm xmlns:a="http://schemas.openxmlformats.org/drawingml/2006/main">
          <a:off x="5419726" y="118311"/>
          <a:ext cx="474778" cy="31983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cs-CZ" sz="1400" b="1">
              <a:solidFill>
                <a:schemeClr val="bg1"/>
              </a:solidFill>
            </a:rPr>
            <a:t>//</a:t>
          </a:r>
        </a:p>
      </cdr:txBody>
    </cdr:sp>
  </cdr:relSizeAnchor>
  <cdr:relSizeAnchor xmlns:cdr="http://schemas.openxmlformats.org/drawingml/2006/chartDrawing">
    <cdr:from>
      <cdr:x>0.91855</cdr:x>
      <cdr:y>0.07085</cdr:y>
    </cdr:from>
    <cdr:to>
      <cdr:x>0.9694</cdr:x>
      <cdr:y>0.10934</cdr:y>
    </cdr:to>
    <cdr:sp macro="" textlink="">
      <cdr:nvSpPr>
        <cdr:cNvPr id="3" name="TextovéPole 3"/>
        <cdr:cNvSpPr txBox="1"/>
      </cdr:nvSpPr>
      <cdr:spPr>
        <a:xfrm xmlns:a="http://schemas.openxmlformats.org/drawingml/2006/main">
          <a:off x="6194425" y="403225"/>
          <a:ext cx="342900" cy="219075"/>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cs-CZ" sz="1100" b="1">
              <a:solidFill>
                <a:schemeClr val="bg1"/>
              </a:solidFill>
            </a:rPr>
            <a:t>//</a:t>
          </a:r>
        </a:p>
      </cdr:txBody>
    </cdr:sp>
  </cdr:relSizeAnchor>
</c:userShapes>
</file>

<file path=word/drawings/drawing2.xml><?xml version="1.0" encoding="utf-8"?>
<c:userShapes xmlns:c="http://schemas.openxmlformats.org/drawingml/2006/chart">
  <cdr:relSizeAnchor xmlns:cdr="http://schemas.openxmlformats.org/drawingml/2006/chartDrawing">
    <cdr:from>
      <cdr:x>0.53061</cdr:x>
      <cdr:y>0.53167</cdr:y>
    </cdr:from>
    <cdr:to>
      <cdr:x>0.8105</cdr:x>
      <cdr:y>0.75342</cdr:y>
    </cdr:to>
    <cdr:sp macro="" textlink="">
      <cdr:nvSpPr>
        <cdr:cNvPr id="2" name="TextovéPole 1"/>
        <cdr:cNvSpPr txBox="1"/>
      </cdr:nvSpPr>
      <cdr:spPr>
        <a:xfrm xmlns:a="http://schemas.openxmlformats.org/drawingml/2006/main">
          <a:off x="1733550" y="1109041"/>
          <a:ext cx="914400" cy="46258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cs-CZ" sz="1000" b="1">
              <a:latin typeface="Arial" panose="020B0604020202020204" pitchFamily="34" charset="0"/>
              <a:cs typeface="Arial" panose="020B0604020202020204" pitchFamily="34" charset="0"/>
            </a:rPr>
            <a:t>1 869,1 tis.</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662E4E-F421-406F-A3C9-86E14A05C7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Publikace bar CZ_lide a spolecnost_2017-08-14.dotx</Template>
  <TotalTime>0</TotalTime>
  <Pages>60</Pages>
  <Words>21658</Words>
  <Characters>127789</Characters>
  <Application>Microsoft Office Word</Application>
  <DocSecurity>0</DocSecurity>
  <Lines>1064</Lines>
  <Paragraphs>298</Paragraphs>
  <ScaleCrop>false</ScaleCrop>
  <HeadingPairs>
    <vt:vector size="6" baseType="variant">
      <vt:variant>
        <vt:lpstr>Název</vt:lpstr>
      </vt:variant>
      <vt:variant>
        <vt:i4>1</vt:i4>
      </vt:variant>
      <vt:variant>
        <vt:lpstr>Title</vt:lpstr>
      </vt:variant>
      <vt:variant>
        <vt:i4>1</vt:i4>
      </vt:variant>
      <vt:variant>
        <vt:lpstr>Headings</vt:lpstr>
      </vt:variant>
      <vt:variant>
        <vt:i4>8</vt:i4>
      </vt:variant>
    </vt:vector>
  </HeadingPairs>
  <TitlesOfParts>
    <vt:vector size="10" baseType="lpstr">
      <vt:lpstr/>
      <vt:lpstr/>
      <vt:lpstr>Styl: Nadpis 1</vt:lpstr>
      <vt:lpstr>    Styl: Nadpis 2</vt:lpstr>
      <vt:lpstr>        Styl: Nadpis 3</vt:lpstr>
      <vt:lpstr>        Styl: Nadpis 3</vt:lpstr>
      <vt:lpstr>    Styl: Nadpis 2</vt:lpstr>
      <vt:lpstr>        Styl: Nadpis 3</vt:lpstr>
      <vt:lpstr>    Styl: Nadpis 2</vt:lpstr>
      <vt:lpstr>        Styl: Nadpis 3</vt:lpstr>
    </vt:vector>
  </TitlesOfParts>
  <Manager/>
  <Company>CSU</Company>
  <LinksUpToDate>false</LinksUpToDate>
  <CharactersWithSpaces>149149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hykysova23070</dc:creator>
  <cp:keywords/>
  <dc:description/>
  <cp:lastModifiedBy>Hykyšová Alena</cp:lastModifiedBy>
  <cp:revision>2</cp:revision>
  <cp:lastPrinted>2022-05-26T14:42:00Z</cp:lastPrinted>
  <dcterms:created xsi:type="dcterms:W3CDTF">2023-12-11T11:59:00Z</dcterms:created>
  <dcterms:modified xsi:type="dcterms:W3CDTF">2023-12-11T11:59:00Z</dcterms:modified>
  <cp:category/>
</cp:coreProperties>
</file>