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13" w:rsidRPr="00B112AC" w:rsidRDefault="001D2C38" w:rsidP="00C85B69">
      <w:pPr>
        <w:pStyle w:val="Nadpis1"/>
        <w:spacing w:after="120"/>
        <w:ind w:right="-1"/>
        <w:rPr>
          <w:sz w:val="30"/>
          <w:szCs w:val="30"/>
        </w:rPr>
      </w:pPr>
      <w:bookmarkStart w:id="0" w:name="_Toc444112495"/>
      <w:r>
        <w:rPr>
          <w:rFonts w:cs="Arial"/>
          <w:sz w:val="30"/>
          <w:szCs w:val="30"/>
        </w:rPr>
        <w:t>10</w:t>
      </w:r>
      <w:r w:rsidR="00251B13">
        <w:rPr>
          <w:rFonts w:cs="Arial"/>
          <w:sz w:val="30"/>
          <w:szCs w:val="30"/>
        </w:rPr>
        <w:t xml:space="preserve">. </w:t>
      </w:r>
      <w:r>
        <w:rPr>
          <w:rFonts w:cs="Arial"/>
          <w:sz w:val="30"/>
          <w:szCs w:val="30"/>
        </w:rPr>
        <w:t>Využívání možností p</w:t>
      </w:r>
      <w:r w:rsidR="00AE535B">
        <w:rPr>
          <w:rFonts w:cs="Arial"/>
          <w:sz w:val="30"/>
          <w:szCs w:val="30"/>
        </w:rPr>
        <w:t>ráce na dálku</w:t>
      </w:r>
    </w:p>
    <w:bookmarkEnd w:id="0"/>
    <w:p w:rsidR="00593D4A" w:rsidRPr="00AA5A03" w:rsidRDefault="00593D4A" w:rsidP="007B3341">
      <w:pPr>
        <w:jc w:val="both"/>
        <w:rPr>
          <w:rFonts w:cs="Arial"/>
          <w:i/>
        </w:rPr>
      </w:pPr>
      <w:r w:rsidRPr="00AA5A03">
        <w:rPr>
          <w:rFonts w:cs="Arial"/>
          <w:i/>
        </w:rPr>
        <w:t xml:space="preserve">Pandemie onemocnění covid-19 přinesla řadu změn a trendů do života celé naší společnosti. Nová situace naprosto změnila postoj mnoha firem k vykonávání práce v kanceláři. V době pandemie umožňovaly zaměstnancům pracovat z domova skoro všechny velké podniky v Česku. Protože zdaleka ne ve všech profesích pracovat na dálku lze, byla reálně na </w:t>
      </w:r>
      <w:proofErr w:type="spellStart"/>
      <w:r w:rsidRPr="00AA5A03">
        <w:rPr>
          <w:rFonts w:cs="Arial"/>
          <w:i/>
        </w:rPr>
        <w:t>home</w:t>
      </w:r>
      <w:proofErr w:type="spellEnd"/>
      <w:r w:rsidRPr="00AA5A03">
        <w:rPr>
          <w:rFonts w:cs="Arial"/>
          <w:i/>
        </w:rPr>
        <w:t xml:space="preserve"> </w:t>
      </w:r>
      <w:proofErr w:type="spellStart"/>
      <w:r w:rsidRPr="00AA5A03">
        <w:rPr>
          <w:rFonts w:cs="Arial"/>
          <w:i/>
        </w:rPr>
        <w:t>office</w:t>
      </w:r>
      <w:proofErr w:type="spellEnd"/>
      <w:r w:rsidRPr="00AA5A03">
        <w:rPr>
          <w:rFonts w:cs="Arial"/>
          <w:i/>
        </w:rPr>
        <w:t xml:space="preserve"> pouze pětina zaměstnanců velkých podniků. Aby mohly podniky zajistit zaměstnancům možnost plnohodnotně pracovat na dálku, musely</w:t>
      </w:r>
      <w:r w:rsidR="009D013B">
        <w:rPr>
          <w:rFonts w:cs="Arial"/>
          <w:i/>
        </w:rPr>
        <w:t xml:space="preserve"> mnohdy</w:t>
      </w:r>
      <w:r w:rsidRPr="00AA5A03">
        <w:rPr>
          <w:rFonts w:cs="Arial"/>
          <w:i/>
        </w:rPr>
        <w:t xml:space="preserve"> zavést nebo rozšířit </w:t>
      </w:r>
      <w:r w:rsidR="009D013B">
        <w:rPr>
          <w:rFonts w:cs="Arial"/>
          <w:i/>
        </w:rPr>
        <w:t xml:space="preserve">možnost </w:t>
      </w:r>
      <w:r w:rsidRPr="00AA5A03">
        <w:rPr>
          <w:rFonts w:cs="Arial"/>
          <w:i/>
        </w:rPr>
        <w:t xml:space="preserve">využití vzdáleného přístupu do firemní sítě. Nutné rovněž bylo ve větší míře uplatňovat nástroje pro spolupráci, jako jsou </w:t>
      </w:r>
      <w:proofErr w:type="spellStart"/>
      <w:r w:rsidRPr="00AA5A03">
        <w:rPr>
          <w:rFonts w:cs="Arial"/>
          <w:i/>
        </w:rPr>
        <w:t>videohovory</w:t>
      </w:r>
      <w:proofErr w:type="spellEnd"/>
      <w:r w:rsidRPr="00AA5A03">
        <w:rPr>
          <w:rFonts w:cs="Arial"/>
          <w:i/>
        </w:rPr>
        <w:t xml:space="preserve"> nebo možnost sdílení pracovních souborů online.</w:t>
      </w:r>
    </w:p>
    <w:p w:rsidR="00251B13" w:rsidRPr="00B112AC" w:rsidRDefault="00251B13" w:rsidP="00C85B69">
      <w:pPr>
        <w:pStyle w:val="Nadpis2"/>
        <w:spacing w:before="240" w:after="120" w:line="240" w:lineRule="auto"/>
        <w:ind w:right="-1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7E6EA3" w:rsidRDefault="007E6EA3" w:rsidP="007E6EA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7E6EA3">
        <w:rPr>
          <w:rFonts w:cs="Arial"/>
          <w:szCs w:val="20"/>
        </w:rPr>
        <w:t xml:space="preserve">Již v době před pandemií umožňovalo zaměstnancům </w:t>
      </w:r>
      <w:r w:rsidRPr="007E6EA3">
        <w:rPr>
          <w:rFonts w:cs="Arial"/>
          <w:b/>
          <w:szCs w:val="20"/>
        </w:rPr>
        <w:t>pracovat alespoň někdy z domova</w:t>
      </w:r>
      <w:r w:rsidRPr="007E6EA3">
        <w:rPr>
          <w:rFonts w:cs="Arial"/>
          <w:szCs w:val="20"/>
        </w:rPr>
        <w:t xml:space="preserve"> </w:t>
      </w:r>
      <w:r w:rsidRPr="007E6EA3">
        <w:rPr>
          <w:rFonts w:cs="Arial"/>
          <w:b/>
          <w:szCs w:val="20"/>
        </w:rPr>
        <w:t>54 % podniků</w:t>
      </w:r>
      <w:r w:rsidRPr="007E6EA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 10 a více zaměstnanci </w:t>
      </w:r>
      <w:r w:rsidRPr="007E6EA3">
        <w:rPr>
          <w:rFonts w:cs="Arial"/>
          <w:szCs w:val="20"/>
        </w:rPr>
        <w:t xml:space="preserve">v ČR. </w:t>
      </w:r>
      <w:r w:rsidR="009D013B">
        <w:rPr>
          <w:rFonts w:cs="Arial"/>
          <w:szCs w:val="20"/>
        </w:rPr>
        <w:t>Možnost</w:t>
      </w:r>
      <w:r w:rsidRPr="007E6EA3">
        <w:rPr>
          <w:rFonts w:cs="Arial"/>
          <w:szCs w:val="20"/>
        </w:rPr>
        <w:t xml:space="preserve"> </w:t>
      </w:r>
      <w:proofErr w:type="spellStart"/>
      <w:r w:rsidRPr="007E6EA3">
        <w:rPr>
          <w:rFonts w:cs="Arial"/>
          <w:szCs w:val="20"/>
        </w:rPr>
        <w:t>home</w:t>
      </w:r>
      <w:proofErr w:type="spellEnd"/>
      <w:r w:rsidRPr="007E6EA3">
        <w:rPr>
          <w:rFonts w:cs="Arial"/>
          <w:szCs w:val="20"/>
        </w:rPr>
        <w:t xml:space="preserve"> </w:t>
      </w:r>
      <w:proofErr w:type="spellStart"/>
      <w:r w:rsidRPr="007E6EA3">
        <w:rPr>
          <w:rFonts w:cs="Arial"/>
          <w:szCs w:val="20"/>
        </w:rPr>
        <w:t>office</w:t>
      </w:r>
      <w:proofErr w:type="spellEnd"/>
      <w:r w:rsidRPr="007E6EA3">
        <w:rPr>
          <w:rFonts w:cs="Arial"/>
          <w:szCs w:val="20"/>
        </w:rPr>
        <w:t xml:space="preserve"> se významně liší v závislosti na velikosti společnosti. Zatímco malých firem byla polovina</w:t>
      </w:r>
      <w:r>
        <w:rPr>
          <w:rFonts w:cs="Arial"/>
          <w:szCs w:val="20"/>
        </w:rPr>
        <w:t xml:space="preserve"> (48 %)</w:t>
      </w:r>
      <w:r w:rsidRPr="007E6EA3">
        <w:rPr>
          <w:rFonts w:cs="Arial"/>
          <w:szCs w:val="20"/>
        </w:rPr>
        <w:t>, středních tři čtvrtiny</w:t>
      </w:r>
      <w:r>
        <w:rPr>
          <w:rFonts w:cs="Arial"/>
          <w:szCs w:val="20"/>
        </w:rPr>
        <w:t xml:space="preserve"> (74 %)</w:t>
      </w:r>
      <w:r w:rsidRPr="007E6EA3">
        <w:rPr>
          <w:rFonts w:cs="Arial"/>
          <w:szCs w:val="20"/>
        </w:rPr>
        <w:t>, tak velkých podniků umožňovalo zaměstnancům pracovat z domova devět z</w:t>
      </w:r>
      <w:r>
        <w:rPr>
          <w:rFonts w:cs="Arial"/>
          <w:szCs w:val="20"/>
        </w:rPr>
        <w:t> </w:t>
      </w:r>
      <w:r w:rsidRPr="007E6EA3">
        <w:rPr>
          <w:rFonts w:cs="Arial"/>
          <w:szCs w:val="20"/>
        </w:rPr>
        <w:t>deseti</w:t>
      </w:r>
      <w:r>
        <w:rPr>
          <w:rFonts w:cs="Arial"/>
          <w:szCs w:val="20"/>
        </w:rPr>
        <w:t xml:space="preserve"> (91 %)</w:t>
      </w:r>
      <w:r w:rsidRPr="007E6EA3">
        <w:rPr>
          <w:rFonts w:cs="Arial"/>
          <w:szCs w:val="20"/>
        </w:rPr>
        <w:t xml:space="preserve">. </w:t>
      </w:r>
    </w:p>
    <w:p w:rsidR="007E6EA3" w:rsidRPr="007E6EA3" w:rsidRDefault="007E6EA3" w:rsidP="007E6EA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7E6EA3">
        <w:rPr>
          <w:rFonts w:cs="Arial"/>
          <w:szCs w:val="20"/>
        </w:rPr>
        <w:t xml:space="preserve">Významné rozdíly nacházíme v závislosti na odvětví převažující ekonomické činnosti. Nejčastěji nechávaly své zaměstnance na </w:t>
      </w:r>
      <w:proofErr w:type="spellStart"/>
      <w:r w:rsidRPr="007E6EA3">
        <w:rPr>
          <w:rFonts w:cs="Arial"/>
          <w:szCs w:val="20"/>
        </w:rPr>
        <w:t>home</w:t>
      </w:r>
      <w:proofErr w:type="spellEnd"/>
      <w:r w:rsidRPr="007E6EA3">
        <w:rPr>
          <w:rFonts w:cs="Arial"/>
          <w:szCs w:val="20"/>
        </w:rPr>
        <w:t xml:space="preserve"> </w:t>
      </w:r>
      <w:proofErr w:type="spellStart"/>
      <w:r w:rsidRPr="007E6EA3">
        <w:rPr>
          <w:rFonts w:cs="Arial"/>
          <w:szCs w:val="20"/>
        </w:rPr>
        <w:t>office</w:t>
      </w:r>
      <w:proofErr w:type="spellEnd"/>
      <w:r w:rsidRPr="007E6EA3">
        <w:rPr>
          <w:rFonts w:cs="Arial"/>
          <w:szCs w:val="20"/>
        </w:rPr>
        <w:t xml:space="preserve"> pracovat firmy z </w:t>
      </w:r>
      <w:r w:rsidRPr="007E6EA3">
        <w:rPr>
          <w:rFonts w:cs="Arial"/>
          <w:b/>
          <w:szCs w:val="20"/>
        </w:rPr>
        <w:t>oboru informačních technologií</w:t>
      </w:r>
      <w:r w:rsidRPr="007E6EA3">
        <w:rPr>
          <w:rFonts w:cs="Arial"/>
          <w:szCs w:val="20"/>
        </w:rPr>
        <w:t xml:space="preserve">. Následoval </w:t>
      </w:r>
      <w:r w:rsidRPr="007E6EA3">
        <w:rPr>
          <w:rFonts w:cs="Arial"/>
          <w:b/>
          <w:szCs w:val="20"/>
        </w:rPr>
        <w:t>audiovizuální sektor</w:t>
      </w:r>
      <w:r w:rsidRPr="007E6EA3">
        <w:rPr>
          <w:rFonts w:cs="Arial"/>
          <w:szCs w:val="20"/>
        </w:rPr>
        <w:t xml:space="preserve"> (tedy televizní a rozhlasové vysílání, vydavatelské činnosti) a </w:t>
      </w:r>
      <w:r w:rsidRPr="007E6EA3">
        <w:rPr>
          <w:rFonts w:cs="Arial"/>
          <w:b/>
          <w:szCs w:val="20"/>
        </w:rPr>
        <w:t>cestovní agentury a kanceláře</w:t>
      </w:r>
      <w:r w:rsidRPr="007E6EA3">
        <w:rPr>
          <w:rFonts w:cs="Arial"/>
          <w:szCs w:val="20"/>
        </w:rPr>
        <w:t xml:space="preserve">. </w:t>
      </w:r>
      <w:r w:rsidR="007B3341">
        <w:rPr>
          <w:rFonts w:cs="Arial"/>
          <w:szCs w:val="20"/>
        </w:rPr>
        <w:t>D</w:t>
      </w:r>
      <w:r w:rsidRPr="007E6EA3">
        <w:rPr>
          <w:rFonts w:cs="Arial"/>
          <w:szCs w:val="20"/>
        </w:rPr>
        <w:t xml:space="preserve">o režimu </w:t>
      </w:r>
      <w:proofErr w:type="spellStart"/>
      <w:r w:rsidRPr="007E6EA3">
        <w:rPr>
          <w:rFonts w:cs="Arial"/>
          <w:szCs w:val="20"/>
        </w:rPr>
        <w:t>home</w:t>
      </w:r>
      <w:proofErr w:type="spellEnd"/>
      <w:r w:rsidRPr="007E6EA3">
        <w:rPr>
          <w:rFonts w:cs="Arial"/>
          <w:szCs w:val="20"/>
        </w:rPr>
        <w:t xml:space="preserve"> </w:t>
      </w:r>
      <w:proofErr w:type="spellStart"/>
      <w:r w:rsidRPr="007E6EA3">
        <w:rPr>
          <w:rFonts w:cs="Arial"/>
          <w:szCs w:val="20"/>
        </w:rPr>
        <w:t>office</w:t>
      </w:r>
      <w:proofErr w:type="spellEnd"/>
      <w:r w:rsidRPr="007E6EA3">
        <w:rPr>
          <w:rFonts w:cs="Arial"/>
          <w:szCs w:val="20"/>
        </w:rPr>
        <w:t xml:space="preserve"> byla převedena i </w:t>
      </w:r>
      <w:r w:rsidRPr="007E6EA3">
        <w:rPr>
          <w:rFonts w:cs="Arial"/>
          <w:b/>
          <w:szCs w:val="20"/>
        </w:rPr>
        <w:t>část administrativních prací ve výrobě</w:t>
      </w:r>
      <w:r w:rsidRPr="007E6EA3">
        <w:rPr>
          <w:rFonts w:cs="Arial"/>
          <w:szCs w:val="20"/>
        </w:rPr>
        <w:t>. Naopak nejméně častá byla práce z</w:t>
      </w:r>
      <w:r>
        <w:rPr>
          <w:rFonts w:cs="Arial"/>
          <w:szCs w:val="20"/>
        </w:rPr>
        <w:t> </w:t>
      </w:r>
      <w:r w:rsidRPr="007E6EA3">
        <w:rPr>
          <w:rFonts w:cs="Arial"/>
          <w:szCs w:val="20"/>
        </w:rPr>
        <w:t>domova ve stravování a pohostinství, v maloobchodě, v ubytování, ve stavebnictví nebo v dopravě a</w:t>
      </w:r>
      <w:r>
        <w:rPr>
          <w:rFonts w:cs="Arial"/>
          <w:szCs w:val="20"/>
        </w:rPr>
        <w:t> </w:t>
      </w:r>
      <w:r w:rsidRPr="007E6EA3">
        <w:rPr>
          <w:rFonts w:cs="Arial"/>
          <w:szCs w:val="20"/>
        </w:rPr>
        <w:t xml:space="preserve">skladování, tedy převážně u profesí, které vykonávat z domova ani nelze.   </w:t>
      </w:r>
    </w:p>
    <w:p w:rsidR="007E6EA3" w:rsidRPr="007E6EA3" w:rsidRDefault="007E6EA3" w:rsidP="007E6EA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7E6EA3">
        <w:rPr>
          <w:rFonts w:cs="Arial"/>
          <w:b/>
          <w:szCs w:val="20"/>
          <w:shd w:val="clear" w:color="auto" w:fill="FCFCFC"/>
        </w:rPr>
        <w:t xml:space="preserve">V období pandemie </w:t>
      </w:r>
      <w:proofErr w:type="spellStart"/>
      <w:r w:rsidRPr="007E6EA3">
        <w:rPr>
          <w:rFonts w:cs="Arial"/>
          <w:b/>
          <w:szCs w:val="20"/>
          <w:shd w:val="clear" w:color="auto" w:fill="FCFCFC"/>
        </w:rPr>
        <w:t>koronaviru</w:t>
      </w:r>
      <w:proofErr w:type="spellEnd"/>
      <w:r w:rsidRPr="007E6EA3">
        <w:rPr>
          <w:rFonts w:cs="Arial"/>
          <w:szCs w:val="20"/>
          <w:shd w:val="clear" w:color="auto" w:fill="FCFCFC"/>
        </w:rPr>
        <w:t xml:space="preserve"> umožňoval svým </w:t>
      </w:r>
      <w:r w:rsidRPr="007E6EA3">
        <w:rPr>
          <w:rFonts w:cs="Arial"/>
          <w:b/>
          <w:szCs w:val="20"/>
          <w:shd w:val="clear" w:color="auto" w:fill="FCFCFC"/>
        </w:rPr>
        <w:t>zaměstnancům pracovat z domova</w:t>
      </w:r>
      <w:r w:rsidRPr="007E6EA3">
        <w:rPr>
          <w:rFonts w:cs="Arial"/>
          <w:szCs w:val="20"/>
          <w:shd w:val="clear" w:color="auto" w:fill="FCFCFC"/>
        </w:rPr>
        <w:t xml:space="preserve"> ještě vyšší podíl firem, konkrétně 60%. I v tomto případě se </w:t>
      </w:r>
      <w:r w:rsidR="003A043B">
        <w:rPr>
          <w:rFonts w:cs="Arial"/>
          <w:szCs w:val="20"/>
          <w:shd w:val="clear" w:color="auto" w:fill="FCFCFC"/>
        </w:rPr>
        <w:t>možnost</w:t>
      </w:r>
      <w:r w:rsidRPr="007E6EA3">
        <w:rPr>
          <w:rFonts w:cs="Arial"/>
          <w:szCs w:val="20"/>
        </w:rPr>
        <w:t xml:space="preserve"> </w:t>
      </w:r>
      <w:proofErr w:type="spellStart"/>
      <w:r w:rsidRPr="007E6EA3">
        <w:rPr>
          <w:rFonts w:cs="Arial"/>
          <w:szCs w:val="20"/>
        </w:rPr>
        <w:t>home</w:t>
      </w:r>
      <w:proofErr w:type="spellEnd"/>
      <w:r w:rsidRPr="007E6EA3">
        <w:rPr>
          <w:rFonts w:cs="Arial"/>
          <w:szCs w:val="20"/>
        </w:rPr>
        <w:t xml:space="preserve"> </w:t>
      </w:r>
      <w:proofErr w:type="spellStart"/>
      <w:r w:rsidRPr="007E6EA3">
        <w:rPr>
          <w:rFonts w:cs="Arial"/>
          <w:szCs w:val="20"/>
        </w:rPr>
        <w:t>office</w:t>
      </w:r>
      <w:proofErr w:type="spellEnd"/>
      <w:r w:rsidRPr="007E6EA3">
        <w:rPr>
          <w:rFonts w:cs="Arial"/>
          <w:szCs w:val="20"/>
        </w:rPr>
        <w:t xml:space="preserve"> významně liší v závislosti na velikosti společností. </w:t>
      </w:r>
      <w:proofErr w:type="spellStart"/>
      <w:r w:rsidRPr="007E6EA3">
        <w:rPr>
          <w:rFonts w:cs="Arial"/>
          <w:szCs w:val="20"/>
        </w:rPr>
        <w:t>Home</w:t>
      </w:r>
      <w:proofErr w:type="spellEnd"/>
      <w:r w:rsidRPr="007E6EA3">
        <w:rPr>
          <w:rFonts w:cs="Arial"/>
          <w:szCs w:val="20"/>
        </w:rPr>
        <w:t xml:space="preserve"> </w:t>
      </w:r>
      <w:proofErr w:type="spellStart"/>
      <w:r w:rsidRPr="007E6EA3">
        <w:rPr>
          <w:rFonts w:cs="Arial"/>
          <w:szCs w:val="20"/>
        </w:rPr>
        <w:t>office</w:t>
      </w:r>
      <w:proofErr w:type="spellEnd"/>
      <w:r w:rsidRPr="007E6EA3">
        <w:rPr>
          <w:rFonts w:cs="Arial"/>
          <w:szCs w:val="20"/>
        </w:rPr>
        <w:t xml:space="preserve"> v době nouzových stavů a vládních restrikcí umožňovalo 96 % velkých podniků s více než 250 zaměstnanci</w:t>
      </w:r>
      <w:r w:rsidR="007B3341">
        <w:rPr>
          <w:rFonts w:cs="Arial"/>
          <w:szCs w:val="20"/>
        </w:rPr>
        <w:t>,</w:t>
      </w:r>
      <w:r w:rsidRPr="007E6EA3">
        <w:rPr>
          <w:rFonts w:cs="Arial"/>
          <w:szCs w:val="20"/>
        </w:rPr>
        <w:t xml:space="preserve"> 84 % středně velkých podniků</w:t>
      </w:r>
      <w:r w:rsidR="007B3341">
        <w:rPr>
          <w:rFonts w:cs="Arial"/>
          <w:szCs w:val="20"/>
        </w:rPr>
        <w:t xml:space="preserve"> a 53 % malých firem s 10 až 49 zaměstnanci.</w:t>
      </w:r>
      <w:r w:rsidRPr="007E6EA3">
        <w:rPr>
          <w:rFonts w:cs="Arial"/>
          <w:szCs w:val="20"/>
        </w:rPr>
        <w:t xml:space="preserve"> Z hlediska odvětví je pořadí neměnné, za zmínku stojí</w:t>
      </w:r>
      <w:r>
        <w:rPr>
          <w:rFonts w:cs="Arial"/>
          <w:szCs w:val="20"/>
        </w:rPr>
        <w:t xml:space="preserve"> ještě</w:t>
      </w:r>
      <w:r w:rsidRPr="007E6EA3">
        <w:rPr>
          <w:rFonts w:cs="Arial"/>
          <w:szCs w:val="20"/>
        </w:rPr>
        <w:t xml:space="preserve"> obor telekomunikační činnosti, kde možnost pracovat z domova nabízelo v době </w:t>
      </w:r>
      <w:proofErr w:type="spellStart"/>
      <w:r w:rsidRPr="007E6EA3">
        <w:rPr>
          <w:rFonts w:cs="Arial"/>
          <w:szCs w:val="20"/>
        </w:rPr>
        <w:t>koronavirových</w:t>
      </w:r>
      <w:proofErr w:type="spellEnd"/>
      <w:r w:rsidRPr="007E6EA3">
        <w:rPr>
          <w:rFonts w:cs="Arial"/>
          <w:szCs w:val="20"/>
        </w:rPr>
        <w:t xml:space="preserve"> restrikcí téměř 90 % subjektů. Obdobně platí, že i v době pandemie covid-19 je nejméně častá možnost </w:t>
      </w:r>
      <w:proofErr w:type="spellStart"/>
      <w:r w:rsidRPr="007E6EA3">
        <w:rPr>
          <w:rFonts w:cs="Arial"/>
          <w:szCs w:val="20"/>
        </w:rPr>
        <w:t>home</w:t>
      </w:r>
      <w:proofErr w:type="spellEnd"/>
      <w:r w:rsidRPr="007E6EA3">
        <w:rPr>
          <w:rFonts w:cs="Arial"/>
          <w:szCs w:val="20"/>
        </w:rPr>
        <w:t xml:space="preserve"> </w:t>
      </w:r>
      <w:proofErr w:type="spellStart"/>
      <w:r w:rsidRPr="007E6EA3">
        <w:rPr>
          <w:rFonts w:cs="Arial"/>
          <w:szCs w:val="20"/>
        </w:rPr>
        <w:t>office</w:t>
      </w:r>
      <w:proofErr w:type="spellEnd"/>
      <w:r w:rsidRPr="007E6EA3">
        <w:rPr>
          <w:rFonts w:cs="Arial"/>
          <w:szCs w:val="20"/>
        </w:rPr>
        <w:t xml:space="preserve"> pro zaměstnance podniků ve stravování a pohostinství, maloobchodě a ubytování.</w:t>
      </w:r>
    </w:p>
    <w:p w:rsidR="007E6EA3" w:rsidRPr="00D610B4" w:rsidRDefault="007E6EA3" w:rsidP="007E6EA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pacing w:val="-2"/>
          <w:szCs w:val="20"/>
        </w:rPr>
      </w:pPr>
      <w:bookmarkStart w:id="1" w:name="_GoBack"/>
      <w:r w:rsidRPr="00D610B4">
        <w:rPr>
          <w:rFonts w:cs="Arial"/>
          <w:spacing w:val="-2"/>
          <w:szCs w:val="20"/>
          <w:shd w:val="clear" w:color="auto" w:fill="FCFCFC"/>
        </w:rPr>
        <w:t xml:space="preserve">Jedna věc je, kolik podniků práci z domova svým zaměstnancům umožňuje, věc druhá je, kolik zaměstnanců může skutečně práci z domova vykonávat. </w:t>
      </w:r>
      <w:r w:rsidR="003A043B" w:rsidRPr="00D610B4">
        <w:rPr>
          <w:rFonts w:cs="Arial"/>
          <w:spacing w:val="-2"/>
          <w:szCs w:val="20"/>
          <w:shd w:val="clear" w:color="auto" w:fill="FCFCFC"/>
        </w:rPr>
        <w:t>V ob</w:t>
      </w:r>
      <w:r w:rsidR="007B3341" w:rsidRPr="00D610B4">
        <w:rPr>
          <w:rFonts w:cs="Arial"/>
          <w:spacing w:val="-2"/>
          <w:szCs w:val="20"/>
          <w:shd w:val="clear" w:color="auto" w:fill="FCFCFC"/>
        </w:rPr>
        <w:t>dobí pandemie</w:t>
      </w:r>
      <w:r w:rsidRPr="00D610B4">
        <w:rPr>
          <w:rFonts w:cs="Arial"/>
          <w:spacing w:val="-2"/>
          <w:szCs w:val="20"/>
          <w:shd w:val="clear" w:color="auto" w:fill="FCFCFC"/>
        </w:rPr>
        <w:t xml:space="preserve"> </w:t>
      </w:r>
      <w:r w:rsidRPr="00D610B4">
        <w:rPr>
          <w:rFonts w:cs="Arial"/>
          <w:b/>
          <w:spacing w:val="-2"/>
          <w:szCs w:val="20"/>
          <w:shd w:val="clear" w:color="auto" w:fill="FCFCFC"/>
        </w:rPr>
        <w:t>pracovalo z domova 12</w:t>
      </w:r>
      <w:r w:rsidR="007B3341" w:rsidRPr="00D610B4">
        <w:rPr>
          <w:rFonts w:cs="Arial"/>
          <w:b/>
          <w:spacing w:val="-2"/>
          <w:szCs w:val="20"/>
          <w:shd w:val="clear" w:color="auto" w:fill="FCFCFC"/>
        </w:rPr>
        <w:t> </w:t>
      </w:r>
      <w:r w:rsidRPr="00D610B4">
        <w:rPr>
          <w:rFonts w:cs="Arial"/>
          <w:b/>
          <w:spacing w:val="-2"/>
          <w:szCs w:val="20"/>
          <w:shd w:val="clear" w:color="auto" w:fill="FCFCFC"/>
        </w:rPr>
        <w:t>% zaměstnanců podniků</w:t>
      </w:r>
      <w:r w:rsidRPr="00D610B4">
        <w:rPr>
          <w:rFonts w:cs="Arial"/>
          <w:spacing w:val="-2"/>
          <w:szCs w:val="20"/>
          <w:shd w:val="clear" w:color="auto" w:fill="FCFCFC"/>
        </w:rPr>
        <w:t xml:space="preserve"> s 10 a více zaměstnanci. Nejvíce zaměstnanců na </w:t>
      </w:r>
      <w:proofErr w:type="spellStart"/>
      <w:r w:rsidRPr="00D610B4">
        <w:rPr>
          <w:rFonts w:cs="Arial"/>
          <w:spacing w:val="-2"/>
          <w:szCs w:val="20"/>
          <w:shd w:val="clear" w:color="auto" w:fill="FCFCFC"/>
        </w:rPr>
        <w:t>home</w:t>
      </w:r>
      <w:proofErr w:type="spellEnd"/>
      <w:r w:rsidRPr="00D610B4">
        <w:rPr>
          <w:rFonts w:cs="Arial"/>
          <w:spacing w:val="-2"/>
          <w:szCs w:val="20"/>
          <w:shd w:val="clear" w:color="auto" w:fill="FCFCFC"/>
        </w:rPr>
        <w:t xml:space="preserve"> </w:t>
      </w:r>
      <w:proofErr w:type="spellStart"/>
      <w:r w:rsidRPr="00D610B4">
        <w:rPr>
          <w:rFonts w:cs="Arial"/>
          <w:spacing w:val="-2"/>
          <w:szCs w:val="20"/>
          <w:shd w:val="clear" w:color="auto" w:fill="FCFCFC"/>
        </w:rPr>
        <w:t>office</w:t>
      </w:r>
      <w:proofErr w:type="spellEnd"/>
      <w:r w:rsidRPr="00D610B4">
        <w:rPr>
          <w:rFonts w:cs="Arial"/>
          <w:spacing w:val="-2"/>
          <w:szCs w:val="20"/>
          <w:shd w:val="clear" w:color="auto" w:fill="FCFCFC"/>
        </w:rPr>
        <w:t xml:space="preserve"> bylo v době pandemie </w:t>
      </w:r>
      <w:r w:rsidRPr="00D610B4">
        <w:rPr>
          <w:rFonts w:cs="Arial"/>
          <w:b/>
          <w:spacing w:val="-2"/>
          <w:szCs w:val="20"/>
          <w:shd w:val="clear" w:color="auto" w:fill="FCFCFC"/>
        </w:rPr>
        <w:t>ve velkých podnicích s 250 a více zaměstnanci</w:t>
      </w:r>
      <w:r w:rsidRPr="00D610B4">
        <w:rPr>
          <w:rFonts w:cs="Arial"/>
          <w:spacing w:val="-2"/>
          <w:szCs w:val="20"/>
          <w:shd w:val="clear" w:color="auto" w:fill="FCFCFC"/>
        </w:rPr>
        <w:t xml:space="preserve"> (21 %). Práci na dálku využívali podle údajů ČSÚ nejvíce zaměstnanci v </w:t>
      </w:r>
      <w:r w:rsidRPr="00D610B4">
        <w:rPr>
          <w:rFonts w:cs="Arial"/>
          <w:b/>
          <w:spacing w:val="-2"/>
          <w:szCs w:val="20"/>
          <w:shd w:val="clear" w:color="auto" w:fill="FCFCFC"/>
        </w:rPr>
        <w:t>odvětví telekomunikační činnosti</w:t>
      </w:r>
      <w:r w:rsidRPr="00D610B4">
        <w:rPr>
          <w:rFonts w:cs="Arial"/>
          <w:spacing w:val="-2"/>
          <w:szCs w:val="20"/>
          <w:shd w:val="clear" w:color="auto" w:fill="FCFCFC"/>
        </w:rPr>
        <w:t xml:space="preserve"> (69 % ze všech zaměstnanců v tomto odvětví), dále pak </w:t>
      </w:r>
      <w:r w:rsidRPr="00D610B4">
        <w:rPr>
          <w:rFonts w:cs="Arial"/>
          <w:b/>
          <w:spacing w:val="-2"/>
          <w:szCs w:val="20"/>
          <w:shd w:val="clear" w:color="auto" w:fill="FCFCFC"/>
        </w:rPr>
        <w:t>zaměstnanci z mediálního sektoru</w:t>
      </w:r>
      <w:r w:rsidRPr="00D610B4">
        <w:rPr>
          <w:rFonts w:cs="Arial"/>
          <w:spacing w:val="-2"/>
          <w:szCs w:val="20"/>
          <w:shd w:val="clear" w:color="auto" w:fill="FCFCFC"/>
        </w:rPr>
        <w:t xml:space="preserve"> </w:t>
      </w:r>
      <w:r w:rsidRPr="00D610B4">
        <w:rPr>
          <w:rFonts w:cs="Arial"/>
          <w:spacing w:val="-2"/>
          <w:szCs w:val="20"/>
        </w:rPr>
        <w:t xml:space="preserve">(59 %), nebo zaměstnanci </w:t>
      </w:r>
      <w:r w:rsidRPr="00D610B4">
        <w:rPr>
          <w:rFonts w:cs="Arial"/>
          <w:b/>
          <w:spacing w:val="-2"/>
          <w:szCs w:val="20"/>
        </w:rPr>
        <w:t>z oboru IT</w:t>
      </w:r>
      <w:r w:rsidRPr="00D610B4">
        <w:rPr>
          <w:rFonts w:cs="Arial"/>
          <w:spacing w:val="-2"/>
          <w:szCs w:val="20"/>
        </w:rPr>
        <w:t xml:space="preserve"> (53 %). Nejméně zaměstnanců, kteří pracovali z domova, je </w:t>
      </w:r>
      <w:r w:rsidR="00465230" w:rsidRPr="00D610B4">
        <w:rPr>
          <w:rFonts w:cs="Arial"/>
          <w:spacing w:val="-2"/>
          <w:szCs w:val="20"/>
        </w:rPr>
        <w:t>podle předpokladů v</w:t>
      </w:r>
      <w:r w:rsidRPr="00D610B4">
        <w:rPr>
          <w:rFonts w:cs="Arial"/>
          <w:spacing w:val="-2"/>
          <w:szCs w:val="20"/>
        </w:rPr>
        <w:t xml:space="preserve"> odvětví stravování a pohostinství (2 %), dále pak </w:t>
      </w:r>
      <w:r w:rsidR="00465230" w:rsidRPr="00D610B4">
        <w:rPr>
          <w:rFonts w:cs="Arial"/>
          <w:spacing w:val="-2"/>
          <w:szCs w:val="20"/>
        </w:rPr>
        <w:t>v</w:t>
      </w:r>
      <w:r w:rsidRPr="00D610B4">
        <w:rPr>
          <w:rFonts w:cs="Arial"/>
          <w:spacing w:val="-2"/>
          <w:szCs w:val="20"/>
        </w:rPr>
        <w:t xml:space="preserve"> textilní</w:t>
      </w:r>
      <w:r w:rsidR="00465230" w:rsidRPr="00D610B4">
        <w:rPr>
          <w:rFonts w:cs="Arial"/>
          <w:spacing w:val="-2"/>
          <w:szCs w:val="20"/>
        </w:rPr>
        <w:t>m</w:t>
      </w:r>
      <w:r w:rsidRPr="00D610B4">
        <w:rPr>
          <w:rFonts w:cs="Arial"/>
          <w:spacing w:val="-2"/>
          <w:szCs w:val="20"/>
        </w:rPr>
        <w:t>, kožedělné</w:t>
      </w:r>
      <w:r w:rsidR="00465230" w:rsidRPr="00D610B4">
        <w:rPr>
          <w:rFonts w:cs="Arial"/>
          <w:spacing w:val="-2"/>
          <w:szCs w:val="20"/>
        </w:rPr>
        <w:t>m</w:t>
      </w:r>
      <w:r w:rsidRPr="00D610B4">
        <w:rPr>
          <w:rFonts w:cs="Arial"/>
          <w:spacing w:val="-2"/>
          <w:szCs w:val="20"/>
        </w:rPr>
        <w:t xml:space="preserve"> a obuvnick</w:t>
      </w:r>
      <w:r w:rsidR="00465230" w:rsidRPr="00D610B4">
        <w:rPr>
          <w:rFonts w:cs="Arial"/>
          <w:spacing w:val="-2"/>
          <w:szCs w:val="20"/>
        </w:rPr>
        <w:t>ém</w:t>
      </w:r>
      <w:r w:rsidRPr="00D610B4">
        <w:rPr>
          <w:rFonts w:cs="Arial"/>
          <w:spacing w:val="-2"/>
          <w:szCs w:val="20"/>
        </w:rPr>
        <w:t xml:space="preserve"> průmyslu (3 %) nebo </w:t>
      </w:r>
      <w:r w:rsidR="00465230" w:rsidRPr="00D610B4">
        <w:rPr>
          <w:rFonts w:cs="Arial"/>
          <w:spacing w:val="-2"/>
          <w:szCs w:val="20"/>
        </w:rPr>
        <w:t>v</w:t>
      </w:r>
      <w:r w:rsidRPr="00D610B4">
        <w:rPr>
          <w:rFonts w:cs="Arial"/>
          <w:spacing w:val="-2"/>
          <w:szCs w:val="20"/>
        </w:rPr>
        <w:t> ubytování (5 %).</w:t>
      </w:r>
      <w:r w:rsidR="00465230" w:rsidRPr="00D610B4">
        <w:rPr>
          <w:rFonts w:cs="Arial"/>
          <w:spacing w:val="-2"/>
          <w:szCs w:val="20"/>
        </w:rPr>
        <w:t xml:space="preserve"> Další informace o zaměstnancích používajících v práci počítače a jiné ICT naleznete v kapitole č. 12 této publikace.</w:t>
      </w:r>
    </w:p>
    <w:bookmarkEnd w:id="1"/>
    <w:p w:rsidR="007E6EA3" w:rsidRPr="007E6EA3" w:rsidRDefault="007E6EA3" w:rsidP="007E6EA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7E6EA3">
        <w:rPr>
          <w:rFonts w:cs="Arial"/>
          <w:szCs w:val="20"/>
        </w:rPr>
        <w:t xml:space="preserve">Aby bylo možné pracovat s firemními aplikacemi nebo daty, umožňuje řada firem svým zaměstnancům </w:t>
      </w:r>
      <w:r w:rsidRPr="00AA5A03">
        <w:rPr>
          <w:rFonts w:cs="Arial"/>
          <w:b/>
          <w:szCs w:val="20"/>
        </w:rPr>
        <w:t>vzdálený přístup přes internet</w:t>
      </w:r>
      <w:r w:rsidRPr="007E6EA3">
        <w:rPr>
          <w:rFonts w:cs="Arial"/>
          <w:szCs w:val="20"/>
        </w:rPr>
        <w:t xml:space="preserve">. Mohou se tak prakticky odkudkoli přes internet nebo např. přes zabezpečenou VPN síť </w:t>
      </w:r>
      <w:r w:rsidRPr="00AA5A03">
        <w:rPr>
          <w:rFonts w:cs="Arial"/>
          <w:b/>
          <w:szCs w:val="20"/>
        </w:rPr>
        <w:t>dostat ke svému pracovnímu e-mailu, ale i k dokumentům či pracovním souborům</w:t>
      </w:r>
      <w:r w:rsidRPr="007E6EA3">
        <w:rPr>
          <w:rFonts w:cs="Arial"/>
          <w:szCs w:val="20"/>
        </w:rPr>
        <w:t xml:space="preserve"> a v neposlední řadě i </w:t>
      </w:r>
      <w:r w:rsidRPr="00AA5A03">
        <w:rPr>
          <w:rFonts w:cs="Arial"/>
          <w:b/>
          <w:szCs w:val="20"/>
        </w:rPr>
        <w:t>k aplikacím firmy nebo informačním systémům</w:t>
      </w:r>
      <w:r w:rsidRPr="007E6EA3">
        <w:rPr>
          <w:rFonts w:cs="Arial"/>
          <w:szCs w:val="20"/>
        </w:rPr>
        <w:t xml:space="preserve">. </w:t>
      </w:r>
    </w:p>
    <w:p w:rsidR="00AA5A03" w:rsidRDefault="00AA5A03" w:rsidP="00AA5A0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AA5A03">
        <w:rPr>
          <w:rFonts w:cs="Arial"/>
          <w:szCs w:val="20"/>
        </w:rPr>
        <w:t xml:space="preserve">Umožnit zaměstnancům vzdálený přístup přes internet k jejich pracovnímu e-mailu je nejobvyklejší možností, které podniky v ČR </w:t>
      </w:r>
      <w:r w:rsidR="003A043B">
        <w:rPr>
          <w:rFonts w:cs="Arial"/>
          <w:szCs w:val="20"/>
        </w:rPr>
        <w:t>svým zaměstnancům nabízejí</w:t>
      </w:r>
      <w:r w:rsidRPr="00AA5A03">
        <w:rPr>
          <w:rFonts w:cs="Arial"/>
          <w:szCs w:val="20"/>
        </w:rPr>
        <w:t>. Vzdálený přístup na e-mail nabízí dlouhodobě většina podniků. V roce 2021 to bylo 70 % podniků v ČR, v roce 201</w:t>
      </w:r>
      <w:r w:rsidR="007B3341">
        <w:rPr>
          <w:rFonts w:cs="Arial"/>
          <w:szCs w:val="20"/>
        </w:rPr>
        <w:t>6</w:t>
      </w:r>
      <w:r w:rsidRPr="00AA5A03">
        <w:rPr>
          <w:rFonts w:cs="Arial"/>
          <w:szCs w:val="20"/>
        </w:rPr>
        <w:t xml:space="preserve"> jich bylo 64 % a před 10 lety 52 % podniků. </w:t>
      </w:r>
    </w:p>
    <w:p w:rsidR="007B3341" w:rsidRDefault="00AA5A03" w:rsidP="00AA5A0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AA5A03">
        <w:rPr>
          <w:rFonts w:cs="Arial"/>
          <w:szCs w:val="20"/>
        </w:rPr>
        <w:t xml:space="preserve">Téměř dvě třetiny firem dále zaměstnancům umožňují, např. přístup z domova k datům, které mají uložené na pracovních discích ve firemních počítačích přes VPN síť. 62 % podniků pak umožňuje zaměstnancům dostat se díky VPN i do aplikací nebo informačních systémů, tedy např. na intranet, do účetnictví či do objednávkového systému firmy. </w:t>
      </w:r>
    </w:p>
    <w:p w:rsidR="00AA5A03" w:rsidRDefault="00AA5A03" w:rsidP="00AA5A0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AA5A03">
        <w:rPr>
          <w:rFonts w:cs="Arial"/>
          <w:szCs w:val="20"/>
        </w:rPr>
        <w:t xml:space="preserve">Možnosti vzdáleného přístupu se velmi významně liší podle velikosti firmy. Velké podniky s více než 250 zaměstnanci nabízejí vzdálený přístup téměř všechny, středně velké firmy z více než 80 %, ale u malých </w:t>
      </w:r>
      <w:r w:rsidRPr="00AA5A03">
        <w:rPr>
          <w:rFonts w:cs="Arial"/>
          <w:szCs w:val="20"/>
        </w:rPr>
        <w:lastRenderedPageBreak/>
        <w:t>firem do 50 zaměstnanců jsou zatím možnosti vzdáleného přístupu pro zaměstnance mnohem méně časté</w:t>
      </w:r>
      <w:r w:rsidR="007B3341">
        <w:rPr>
          <w:rFonts w:cs="Arial"/>
          <w:szCs w:val="20"/>
        </w:rPr>
        <w:t xml:space="preserve"> (56 % firem umožňuje vzdálený přístup k dokumentům nebo k aplikacím, 65 % k pracovnímu e-mailu)</w:t>
      </w:r>
      <w:r w:rsidRPr="00AA5A03">
        <w:rPr>
          <w:rFonts w:cs="Arial"/>
          <w:szCs w:val="20"/>
        </w:rPr>
        <w:t xml:space="preserve">.  </w:t>
      </w:r>
    </w:p>
    <w:p w:rsidR="00AA5A03" w:rsidRPr="00AA5A03" w:rsidRDefault="00AA5A03" w:rsidP="00AA5A0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AA5A03">
        <w:rPr>
          <w:rFonts w:cs="Arial"/>
          <w:szCs w:val="20"/>
        </w:rPr>
        <w:t xml:space="preserve">Doba pandemie </w:t>
      </w:r>
      <w:proofErr w:type="spellStart"/>
      <w:r w:rsidRPr="00AA5A03">
        <w:rPr>
          <w:rFonts w:cs="Arial"/>
          <w:szCs w:val="20"/>
        </w:rPr>
        <w:t>koronaviru</w:t>
      </w:r>
      <w:proofErr w:type="spellEnd"/>
      <w:r w:rsidRPr="00AA5A03">
        <w:rPr>
          <w:rFonts w:cs="Arial"/>
          <w:szCs w:val="20"/>
        </w:rPr>
        <w:t xml:space="preserve"> nám ukázala, že </w:t>
      </w:r>
      <w:r w:rsidRPr="00AA5A03">
        <w:rPr>
          <w:rFonts w:cs="Arial"/>
          <w:b/>
          <w:szCs w:val="20"/>
        </w:rPr>
        <w:t>schůzky se dají pořádat online</w:t>
      </w:r>
      <w:r w:rsidRPr="00AA5A03">
        <w:rPr>
          <w:rFonts w:cs="Arial"/>
          <w:szCs w:val="20"/>
        </w:rPr>
        <w:t xml:space="preserve"> bez ohledu na vzdálenost nebo výjimečné situace. Videokonferenční nebo obecně </w:t>
      </w:r>
      <w:r w:rsidRPr="00AA5A03">
        <w:rPr>
          <w:rFonts w:cs="Arial"/>
          <w:b/>
          <w:szCs w:val="20"/>
        </w:rPr>
        <w:t>komunikační platformy</w:t>
      </w:r>
      <w:r w:rsidRPr="00AA5A03">
        <w:rPr>
          <w:rFonts w:cs="Arial"/>
          <w:szCs w:val="20"/>
        </w:rPr>
        <w:t xml:space="preserve"> (např. Skype, MS </w:t>
      </w:r>
      <w:proofErr w:type="spellStart"/>
      <w:r w:rsidRPr="00AA5A03">
        <w:rPr>
          <w:rFonts w:cs="Arial"/>
          <w:szCs w:val="20"/>
        </w:rPr>
        <w:t>Teams</w:t>
      </w:r>
      <w:proofErr w:type="spellEnd"/>
      <w:r w:rsidRPr="00AA5A03">
        <w:rPr>
          <w:rFonts w:cs="Arial"/>
          <w:szCs w:val="20"/>
        </w:rPr>
        <w:t xml:space="preserve">, Google </w:t>
      </w:r>
      <w:proofErr w:type="spellStart"/>
      <w:r w:rsidRPr="00AA5A03">
        <w:rPr>
          <w:rFonts w:cs="Arial"/>
          <w:szCs w:val="20"/>
        </w:rPr>
        <w:t>Meet</w:t>
      </w:r>
      <w:proofErr w:type="spellEnd"/>
      <w:r w:rsidRPr="00AA5A03">
        <w:rPr>
          <w:rFonts w:cs="Arial"/>
          <w:szCs w:val="20"/>
        </w:rPr>
        <w:t>, Zoom) se stávají ve firemním prostředí nezbytné, a to nejen pro</w:t>
      </w:r>
      <w:r w:rsidR="003A043B">
        <w:rPr>
          <w:rFonts w:cs="Arial"/>
          <w:szCs w:val="20"/>
        </w:rPr>
        <w:t xml:space="preserve"> interní</w:t>
      </w:r>
      <w:r w:rsidRPr="00AA5A03">
        <w:rPr>
          <w:rFonts w:cs="Arial"/>
          <w:szCs w:val="20"/>
        </w:rPr>
        <w:t xml:space="preserve"> komunikaci mezi kolegy z jedné firmy, ale </w:t>
      </w:r>
      <w:r w:rsidR="003A043B">
        <w:rPr>
          <w:rFonts w:cs="Arial"/>
          <w:szCs w:val="20"/>
        </w:rPr>
        <w:t>také</w:t>
      </w:r>
      <w:r w:rsidRPr="00AA5A03">
        <w:rPr>
          <w:rFonts w:cs="Arial"/>
          <w:szCs w:val="20"/>
        </w:rPr>
        <w:t xml:space="preserve"> pro komunikaci s nejrůznějšími firemními partnery či klienty. </w:t>
      </w:r>
    </w:p>
    <w:p w:rsidR="00AA5A03" w:rsidRPr="00AA5A03" w:rsidRDefault="00AA5A03" w:rsidP="00AA5A03">
      <w:pPr>
        <w:pStyle w:val="Odstavecseseznamem"/>
        <w:numPr>
          <w:ilvl w:val="0"/>
          <w:numId w:val="14"/>
        </w:numPr>
        <w:spacing w:after="60" w:line="276" w:lineRule="auto"/>
        <w:ind w:left="357" w:hanging="357"/>
        <w:jc w:val="both"/>
        <w:rPr>
          <w:rFonts w:cs="Arial"/>
          <w:szCs w:val="20"/>
        </w:rPr>
      </w:pPr>
      <w:r w:rsidRPr="00AA5A03">
        <w:rPr>
          <w:rFonts w:cs="Arial"/>
          <w:szCs w:val="20"/>
        </w:rPr>
        <w:t>Online komunikační platformy využila v roce 2021 polovina podniků v Česku. Celkový údaj ale značně ovlivňuje velký počet malých firem v Česku, které komunikační platformy využívají relativně málo (42 %). Středně velkých firem využívají online platformy téměř tři čtvrtiny (73 %) a velké podniky je používají téměř všechny (95 %). Nejnovější data ukazují, že firmy komunikují online o něco častěji směrem navenek, tedy např. se svými obchodními partnery</w:t>
      </w:r>
      <w:r w:rsidR="001761F2">
        <w:rPr>
          <w:rFonts w:cs="Arial"/>
          <w:szCs w:val="20"/>
        </w:rPr>
        <w:t xml:space="preserve"> (44 %)</w:t>
      </w:r>
      <w:r w:rsidRPr="00AA5A03">
        <w:rPr>
          <w:rFonts w:cs="Arial"/>
          <w:szCs w:val="20"/>
        </w:rPr>
        <w:t>. Komunikaci přes platformy např. ve formě online porad s kolegy využívalo</w:t>
      </w:r>
      <w:r w:rsidR="001761F2">
        <w:rPr>
          <w:rFonts w:cs="Arial"/>
          <w:szCs w:val="20"/>
        </w:rPr>
        <w:t xml:space="preserve"> v průměru 40 % podniků, nejčastěji ty velké (</w:t>
      </w:r>
      <w:r w:rsidRPr="00AA5A03">
        <w:rPr>
          <w:rFonts w:cs="Arial"/>
          <w:szCs w:val="20"/>
        </w:rPr>
        <w:t>89 %</w:t>
      </w:r>
      <w:r w:rsidR="001761F2">
        <w:rPr>
          <w:rFonts w:cs="Arial"/>
          <w:szCs w:val="20"/>
        </w:rPr>
        <w:t>). Využívalo je dále</w:t>
      </w:r>
      <w:r w:rsidRPr="00AA5A03">
        <w:rPr>
          <w:rFonts w:cs="Arial"/>
          <w:szCs w:val="20"/>
        </w:rPr>
        <w:t xml:space="preserve"> 62 % středně velkých firem a třetina</w:t>
      </w:r>
      <w:r w:rsidR="007B3341">
        <w:rPr>
          <w:rFonts w:cs="Arial"/>
          <w:szCs w:val="20"/>
        </w:rPr>
        <w:t xml:space="preserve"> (34 %)</w:t>
      </w:r>
      <w:r w:rsidRPr="00AA5A03">
        <w:rPr>
          <w:rFonts w:cs="Arial"/>
          <w:szCs w:val="20"/>
        </w:rPr>
        <w:t xml:space="preserve"> malých firem.   </w:t>
      </w:r>
    </w:p>
    <w:p w:rsidR="00AA5A03" w:rsidRPr="00AA5A03" w:rsidRDefault="002F0534" w:rsidP="00AA5A0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Téměř p</w:t>
      </w:r>
      <w:r w:rsidR="00AA5A03" w:rsidRPr="00AA5A03">
        <w:rPr>
          <w:rFonts w:cs="Arial"/>
          <w:szCs w:val="20"/>
        </w:rPr>
        <w:t xml:space="preserve">ětina podniků s 10 a více zaměstnanci uvedla, že online </w:t>
      </w:r>
      <w:r w:rsidR="00AA5A03" w:rsidRPr="00AA5A03">
        <w:rPr>
          <w:rFonts w:cs="Arial"/>
          <w:b/>
          <w:szCs w:val="20"/>
        </w:rPr>
        <w:t>komunikační platformy začala využívat až v roce 2020 v souvislosti s pandemií covid-19</w:t>
      </w:r>
      <w:r w:rsidR="00AA5A03" w:rsidRPr="00AA5A03">
        <w:rPr>
          <w:rFonts w:cs="Arial"/>
          <w:szCs w:val="20"/>
        </w:rPr>
        <w:t xml:space="preserve">. Bylo to konkrétně 17 % malých firem, třetina středně velkých subjektů a 40 % velkých podniků s více než 250 zaměstnanci. Pandemie </w:t>
      </w:r>
      <w:proofErr w:type="spellStart"/>
      <w:r w:rsidR="00AA5A03" w:rsidRPr="00AA5A03">
        <w:rPr>
          <w:rFonts w:cs="Arial"/>
          <w:szCs w:val="20"/>
        </w:rPr>
        <w:t>koronaviru</w:t>
      </w:r>
      <w:proofErr w:type="spellEnd"/>
      <w:r w:rsidR="00AA5A03" w:rsidRPr="00AA5A03">
        <w:rPr>
          <w:rFonts w:cs="Arial"/>
          <w:szCs w:val="20"/>
        </w:rPr>
        <w:t xml:space="preserve"> donutila začít pořádat online schůzky </w:t>
      </w:r>
      <w:r w:rsidR="00AA5A03" w:rsidRPr="00AA5A03">
        <w:rPr>
          <w:rFonts w:cs="Arial"/>
          <w:b/>
          <w:szCs w:val="20"/>
        </w:rPr>
        <w:t>nejčastěji podniky působící v oboru profesní, vědecké a technické činnosti</w:t>
      </w:r>
      <w:r w:rsidR="00AA5A03" w:rsidRPr="00AA5A03">
        <w:rPr>
          <w:rFonts w:cs="Arial"/>
          <w:szCs w:val="20"/>
        </w:rPr>
        <w:t>, kam spadají např. činnosti právníků, účetních, architektů, veterinárních lékařů nebo výzkum a vývoj či subjekty reklamy a průzkumu trhu. Subjektů vykovávajících výzkum a vývoj (NACE 72), které začaly využívat online komunikační platformy až v souvislosti s covid-19, bylo relativně nejvíce (54</w:t>
      </w:r>
      <w:r>
        <w:rPr>
          <w:rFonts w:cs="Arial"/>
          <w:szCs w:val="20"/>
        </w:rPr>
        <w:t> </w:t>
      </w:r>
      <w:r w:rsidR="00AA5A03" w:rsidRPr="00AA5A03">
        <w:rPr>
          <w:rFonts w:cs="Arial"/>
          <w:szCs w:val="20"/>
        </w:rPr>
        <w:t>%), následovala polovina subjektů z odvětví tvorba programů a vysílání (NACE 60).</w:t>
      </w:r>
    </w:p>
    <w:p w:rsidR="00AA5A03" w:rsidRPr="00AA5A03" w:rsidRDefault="00AA5A03" w:rsidP="00AA5A03">
      <w:pPr>
        <w:pStyle w:val="Odstavecseseznamem"/>
        <w:spacing w:after="60" w:line="276" w:lineRule="auto"/>
        <w:ind w:left="357"/>
        <w:jc w:val="both"/>
        <w:rPr>
          <w:rFonts w:cs="Arial"/>
          <w:szCs w:val="20"/>
        </w:rPr>
      </w:pPr>
    </w:p>
    <w:p w:rsidR="007B5BB8" w:rsidRDefault="009930EF" w:rsidP="00156D71">
      <w:pPr>
        <w:spacing w:after="120" w:line="240" w:lineRule="auto"/>
        <w:rPr>
          <w:rFonts w:cs="Arial"/>
          <w:b/>
        </w:rPr>
      </w:pPr>
      <w:r w:rsidRPr="0022756F">
        <w:rPr>
          <w:rFonts w:cs="Arial"/>
          <w:b/>
        </w:rPr>
        <w:t xml:space="preserve">Tab. </w:t>
      </w:r>
      <w:r w:rsidR="001D2C38">
        <w:rPr>
          <w:rFonts w:cs="Arial"/>
          <w:b/>
        </w:rPr>
        <w:t>10</w:t>
      </w:r>
      <w:r w:rsidRPr="0022756F">
        <w:rPr>
          <w:rFonts w:cs="Arial"/>
          <w:b/>
        </w:rPr>
        <w:t xml:space="preserve">.1:  </w:t>
      </w:r>
      <w:r>
        <w:rPr>
          <w:rFonts w:cs="Arial"/>
          <w:b/>
        </w:rPr>
        <w:t xml:space="preserve">Podniky s 10 a více zaměstnanci v ČR </w:t>
      </w:r>
      <w:r w:rsidR="0090339A" w:rsidRPr="0090339A">
        <w:rPr>
          <w:rFonts w:cs="Arial"/>
          <w:b/>
        </w:rPr>
        <w:t>využívající možností práce na dálku</w:t>
      </w:r>
      <w:r w:rsidRPr="0022756F">
        <w:rPr>
          <w:rFonts w:cs="Arial"/>
          <w:b/>
        </w:rPr>
        <w:t xml:space="preserve"> </w:t>
      </w:r>
      <w:r>
        <w:rPr>
          <w:rFonts w:cs="Arial"/>
          <w:b/>
        </w:rPr>
        <w:t>v roce</w:t>
      </w:r>
      <w:r w:rsidRPr="0022756F">
        <w:rPr>
          <w:rFonts w:cs="Arial"/>
          <w:b/>
        </w:rPr>
        <w:t xml:space="preserve"> 20</w:t>
      </w:r>
      <w:r>
        <w:rPr>
          <w:rFonts w:cs="Arial"/>
          <w:b/>
        </w:rPr>
        <w:t>21</w:t>
      </w:r>
    </w:p>
    <w:tbl>
      <w:tblPr>
        <w:tblW w:w="9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25"/>
        <w:gridCol w:w="1225"/>
        <w:gridCol w:w="1039"/>
        <w:gridCol w:w="988"/>
        <w:gridCol w:w="1065"/>
        <w:gridCol w:w="1021"/>
      </w:tblGrid>
      <w:tr w:rsidR="007D4AE7" w:rsidRPr="007D4AE7" w:rsidTr="007D4AE7">
        <w:trPr>
          <w:trHeight w:val="453"/>
        </w:trPr>
        <w:tc>
          <w:tcPr>
            <w:tcW w:w="3119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D4AE7" w:rsidRPr="007D4AE7" w:rsidRDefault="007D4AE7" w:rsidP="007D4AE7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80808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4AE7">
              <w:rPr>
                <w:rFonts w:cs="Arial"/>
                <w:sz w:val="16"/>
                <w:szCs w:val="16"/>
              </w:rPr>
              <w:t>Podniky, které umožňují svým zaměstnancům alespoň někdy pracovat z domova</w:t>
            </w:r>
          </w:p>
        </w:tc>
        <w:tc>
          <w:tcPr>
            <w:tcW w:w="1225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80808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4AE7">
              <w:rPr>
                <w:rFonts w:cs="Arial"/>
                <w:sz w:val="16"/>
                <w:szCs w:val="16"/>
              </w:rPr>
              <w:t>Podniky, které umožňovaly svým zaměstnancům pracovat z domova v období pandemie covid-19</w:t>
            </w:r>
          </w:p>
        </w:tc>
        <w:tc>
          <w:tcPr>
            <w:tcW w:w="1039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80808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4AE7">
              <w:rPr>
                <w:rFonts w:cs="Arial"/>
                <w:sz w:val="16"/>
                <w:szCs w:val="16"/>
              </w:rPr>
              <w:t xml:space="preserve">Podniky využívající online komunikační platformy </w:t>
            </w:r>
          </w:p>
        </w:tc>
        <w:tc>
          <w:tcPr>
            <w:tcW w:w="3074" w:type="dxa"/>
            <w:gridSpan w:val="3"/>
            <w:tcBorders>
              <w:top w:val="single" w:sz="8" w:space="0" w:color="969696"/>
              <w:left w:val="nil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4AE7">
              <w:rPr>
                <w:rFonts w:cs="Arial"/>
                <w:sz w:val="16"/>
                <w:szCs w:val="16"/>
              </w:rPr>
              <w:t>Podniky umožňující svým zaměstnancům vzdálený přístup přes internet k:</w:t>
            </w:r>
          </w:p>
        </w:tc>
      </w:tr>
      <w:tr w:rsidR="007D4AE7" w:rsidRPr="007D4AE7" w:rsidTr="007D4AE7">
        <w:trPr>
          <w:trHeight w:val="1575"/>
        </w:trPr>
        <w:tc>
          <w:tcPr>
            <w:tcW w:w="3119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808080"/>
              <w:right w:val="single" w:sz="4" w:space="0" w:color="969696"/>
            </w:tcBorders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808080"/>
              <w:right w:val="single" w:sz="4" w:space="0" w:color="969696"/>
            </w:tcBorders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808080"/>
              <w:right w:val="single" w:sz="4" w:space="0" w:color="969696"/>
            </w:tcBorders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80808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4AE7">
              <w:rPr>
                <w:rFonts w:cs="Arial"/>
                <w:sz w:val="16"/>
                <w:szCs w:val="16"/>
              </w:rPr>
              <w:t>pracovnímu e-mailu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80808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4AE7">
              <w:rPr>
                <w:rFonts w:cs="Arial"/>
                <w:sz w:val="16"/>
                <w:szCs w:val="16"/>
              </w:rPr>
              <w:t>firemním dokumentům či souborům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4AE7">
              <w:rPr>
                <w:rFonts w:cs="Arial"/>
                <w:sz w:val="16"/>
                <w:szCs w:val="16"/>
              </w:rPr>
              <w:t xml:space="preserve">firemním aplikacím </w:t>
            </w:r>
            <w:r w:rsidRPr="007D4AE7">
              <w:rPr>
                <w:rFonts w:cs="Arial"/>
                <w:sz w:val="16"/>
                <w:szCs w:val="16"/>
              </w:rPr>
              <w:br/>
              <w:t xml:space="preserve">a informačním systémům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>Podniky celkem (10+)</w:t>
            </w:r>
          </w:p>
        </w:tc>
        <w:tc>
          <w:tcPr>
            <w:tcW w:w="1225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54,2 </w:t>
            </w:r>
          </w:p>
        </w:tc>
        <w:tc>
          <w:tcPr>
            <w:tcW w:w="122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60,1 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49,7 </w:t>
            </w:r>
          </w:p>
        </w:tc>
        <w:tc>
          <w:tcPr>
            <w:tcW w:w="988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70,2 </w:t>
            </w:r>
          </w:p>
        </w:tc>
        <w:tc>
          <w:tcPr>
            <w:tcW w:w="106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62,8 </w:t>
            </w:r>
          </w:p>
        </w:tc>
        <w:tc>
          <w:tcPr>
            <w:tcW w:w="102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62,0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>Velikost podniku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10–49 zaměstnanců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48,1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53,2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42,4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64,8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56,3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55,7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50–249 zaměstnanců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73,9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83,5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72,6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88,5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84,5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82,4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250 a více zaměstnanců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90,9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96,3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94,5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97,6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97,4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97,0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b/>
                <w:bCs/>
                <w:color w:val="000000"/>
                <w:sz w:val="16"/>
                <w:szCs w:val="16"/>
              </w:rPr>
              <w:t>Odvětví (ekonomická činnost)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Zpracovatelský průmysl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53,6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61,2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51,8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72,6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65,3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62,9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Výroba a rozvod energie, plynu, tepla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64,4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71,7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47,1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77,0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62,8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65,4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Stavebnictví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44,4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52,4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27,7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61,6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58,1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48,7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Obchod a opravy motorových vozidel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60,2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67,2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58,0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78,6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75,5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73,6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Velkoobchod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73,4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80,1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64,2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84,7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76,3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80,0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Maloobchod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33,9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35,1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37,9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57,7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47,5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55,4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Doprava a skladování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45,6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50,4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39,8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57,2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46,4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47,8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Ubytování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44,0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49,9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44,6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69,6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62,1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63,2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Stravování a pohostinství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17,9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22,9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21,5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40,1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25,7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33,4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Činnosti cestovních agentur a kanceláří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82,5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87,6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81,5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91,5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77,0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89,6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Audiovizuální činnosti; vydavatelství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88,4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90,8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81,3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95,2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94,0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90,8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Telekomunikační činnosti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79,4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89,3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79,7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94,4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93,4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90,8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Činnosti v oblasti IT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97,4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96,9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98,1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98,9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98,5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96,4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Činnosti v oblasti nemovitostí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56,4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59,9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52,0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71,4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65,2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67,7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Profesní, vědecké a technické činnosti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74,7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79,6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76,4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85,1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81,5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75,4 </w:t>
            </w:r>
          </w:p>
        </w:tc>
      </w:tr>
      <w:tr w:rsidR="007D4AE7" w:rsidRPr="007D4AE7" w:rsidTr="007D4AE7">
        <w:trPr>
          <w:trHeight w:val="210"/>
        </w:trPr>
        <w:tc>
          <w:tcPr>
            <w:tcW w:w="31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 Ostatní </w:t>
            </w:r>
            <w:proofErr w:type="spellStart"/>
            <w:r w:rsidRPr="007D4AE7">
              <w:rPr>
                <w:rFonts w:cs="Arial"/>
                <w:color w:val="000000"/>
                <w:sz w:val="16"/>
                <w:szCs w:val="16"/>
              </w:rPr>
              <w:t>administrat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 a podpůrné činnosti</w:t>
            </w:r>
          </w:p>
        </w:tc>
        <w:tc>
          <w:tcPr>
            <w:tcW w:w="122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53,2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57,5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40,3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63,8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55,6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D4AE7" w:rsidRPr="007D4AE7" w:rsidRDefault="007D4AE7" w:rsidP="007D4AE7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D4AE7">
              <w:rPr>
                <w:rFonts w:cs="Arial"/>
                <w:color w:val="000000"/>
                <w:sz w:val="16"/>
                <w:szCs w:val="16"/>
              </w:rPr>
              <w:t xml:space="preserve">53,2 </w:t>
            </w:r>
          </w:p>
        </w:tc>
      </w:tr>
    </w:tbl>
    <w:p w:rsidR="007B5BB8" w:rsidRDefault="00156D71" w:rsidP="00156D71">
      <w:pPr>
        <w:spacing w:before="120" w:after="120"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</w:t>
      </w:r>
      <w:r w:rsidRPr="00804120">
        <w:rPr>
          <w:rFonts w:cs="Arial"/>
          <w:i/>
          <w:sz w:val="18"/>
          <w:szCs w:val="18"/>
        </w:rPr>
        <w:t xml:space="preserve">odíl na celkovém počtu </w:t>
      </w:r>
      <w:r>
        <w:rPr>
          <w:rFonts w:cs="Arial"/>
          <w:i/>
          <w:sz w:val="18"/>
          <w:szCs w:val="18"/>
        </w:rPr>
        <w:t>podniků</w:t>
      </w:r>
      <w:r w:rsidRPr="00586602">
        <w:rPr>
          <w:rFonts w:cs="Arial"/>
          <w:i/>
          <w:sz w:val="18"/>
          <w:szCs w:val="18"/>
        </w:rPr>
        <w:t xml:space="preserve"> s 10 a více zaměstnanci</w:t>
      </w:r>
      <w:r w:rsidRPr="00804120">
        <w:rPr>
          <w:rFonts w:cs="Arial"/>
          <w:i/>
          <w:sz w:val="18"/>
          <w:szCs w:val="18"/>
        </w:rPr>
        <w:t xml:space="preserve"> v dané velikostní a odvětvové skupině (v %)</w:t>
      </w:r>
    </w:p>
    <w:p w:rsidR="00156D71" w:rsidRDefault="00156D71" w:rsidP="00156D71">
      <w:pPr>
        <w:spacing w:before="120" w:after="120" w:line="240" w:lineRule="auto"/>
        <w:rPr>
          <w:rFonts w:cs="Arial"/>
          <w:i/>
          <w:sz w:val="18"/>
          <w:szCs w:val="18"/>
        </w:rPr>
      </w:pPr>
    </w:p>
    <w:p w:rsidR="00156D71" w:rsidRPr="00E334D1" w:rsidRDefault="00156D71" w:rsidP="000D7B4A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cs="Arial"/>
          <w:sz w:val="18"/>
          <w:szCs w:val="18"/>
        </w:rPr>
      </w:pPr>
      <w:r w:rsidRPr="00E334D1">
        <w:rPr>
          <w:rFonts w:cs="Arial"/>
          <w:sz w:val="18"/>
          <w:szCs w:val="18"/>
        </w:rPr>
        <w:t>Zdroj: Český statistický úřad, 20</w:t>
      </w:r>
      <w:r>
        <w:rPr>
          <w:rFonts w:cs="Arial"/>
          <w:sz w:val="18"/>
          <w:szCs w:val="18"/>
        </w:rPr>
        <w:t>21</w:t>
      </w:r>
    </w:p>
    <w:p w:rsidR="008258F4" w:rsidRPr="008258F4" w:rsidRDefault="008258F4" w:rsidP="00EC42E3">
      <w:pPr>
        <w:autoSpaceDE w:val="0"/>
        <w:autoSpaceDN w:val="0"/>
        <w:adjustRightInd w:val="0"/>
        <w:spacing w:before="240" w:after="0" w:line="240" w:lineRule="auto"/>
        <w:ind w:right="142"/>
        <w:rPr>
          <w:rFonts w:cs="Arial"/>
          <w:b/>
        </w:rPr>
      </w:pPr>
      <w:r w:rsidRPr="008258F4">
        <w:rPr>
          <w:rFonts w:cs="Arial"/>
          <w:b/>
        </w:rPr>
        <w:lastRenderedPageBreak/>
        <w:t xml:space="preserve">Graf </w:t>
      </w:r>
      <w:r w:rsidR="001D2C38">
        <w:rPr>
          <w:rFonts w:cs="Arial"/>
          <w:b/>
        </w:rPr>
        <w:t>10</w:t>
      </w:r>
      <w:r w:rsidRPr="008258F4">
        <w:rPr>
          <w:rFonts w:cs="Arial"/>
          <w:b/>
        </w:rPr>
        <w:t>.</w:t>
      </w:r>
      <w:r>
        <w:rPr>
          <w:rFonts w:cs="Arial"/>
          <w:b/>
        </w:rPr>
        <w:t>1</w:t>
      </w:r>
      <w:r w:rsidRPr="008258F4">
        <w:rPr>
          <w:rFonts w:cs="Arial"/>
          <w:b/>
        </w:rPr>
        <w:t xml:space="preserve">: </w:t>
      </w:r>
      <w:r w:rsidRPr="007D4AE7">
        <w:rPr>
          <w:rFonts w:cs="Arial"/>
          <w:b/>
        </w:rPr>
        <w:t>Podniky</w:t>
      </w:r>
      <w:r w:rsidRPr="008258F4">
        <w:rPr>
          <w:rFonts w:cs="Arial"/>
          <w:b/>
        </w:rPr>
        <w:t xml:space="preserve"> s 10 a více zaměstnanci v ČR</w:t>
      </w:r>
      <w:r w:rsidRPr="007D4AE7">
        <w:rPr>
          <w:rFonts w:cs="Arial"/>
          <w:b/>
        </w:rPr>
        <w:t xml:space="preserve"> umožňující </w:t>
      </w:r>
      <w:r w:rsidRPr="008258F4">
        <w:rPr>
          <w:rFonts w:cs="Arial"/>
          <w:b/>
        </w:rPr>
        <w:t>zaměstnanc</w:t>
      </w:r>
      <w:r w:rsidRPr="007D4AE7">
        <w:rPr>
          <w:rFonts w:cs="Arial"/>
          <w:b/>
        </w:rPr>
        <w:t>ům</w:t>
      </w:r>
      <w:r w:rsidRPr="008258F4">
        <w:rPr>
          <w:rFonts w:cs="Arial"/>
          <w:b/>
        </w:rPr>
        <w:t xml:space="preserve"> pracovat z domova:</w:t>
      </w:r>
    </w:p>
    <w:p w:rsidR="008258F4" w:rsidRDefault="008258F4" w:rsidP="008258F4">
      <w:pPr>
        <w:autoSpaceDE w:val="0"/>
        <w:autoSpaceDN w:val="0"/>
        <w:adjustRightInd w:val="0"/>
        <w:spacing w:before="240" w:after="0" w:line="240" w:lineRule="auto"/>
        <w:ind w:right="-1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30EA4133">
            <wp:extent cx="6172200" cy="2100461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280" cy="210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8F4" w:rsidRPr="00156D71" w:rsidRDefault="008258F4" w:rsidP="008258F4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>podíl na celkovém počtu podniků s 10 a více zaměstnanci v dané velikostní skupině</w:t>
      </w:r>
      <w:r>
        <w:rPr>
          <w:rFonts w:cs="Arial"/>
          <w:i/>
          <w:sz w:val="18"/>
          <w:szCs w:val="18"/>
        </w:rPr>
        <w:t xml:space="preserve"> </w:t>
      </w:r>
    </w:p>
    <w:p w:rsidR="00EC42E3" w:rsidRDefault="00747F53" w:rsidP="00EC42E3">
      <w:pPr>
        <w:autoSpaceDE w:val="0"/>
        <w:autoSpaceDN w:val="0"/>
        <w:adjustRightInd w:val="0"/>
        <w:spacing w:before="240" w:after="0" w:line="240" w:lineRule="auto"/>
        <w:ind w:right="142"/>
        <w:rPr>
          <w:rFonts w:cs="Arial"/>
          <w:b/>
        </w:rPr>
      </w:pPr>
      <w:r>
        <w:rPr>
          <w:rFonts w:cs="Arial"/>
          <w:b/>
        </w:rPr>
        <w:t xml:space="preserve">Graf </w:t>
      </w:r>
      <w:r w:rsidR="001D2C38">
        <w:rPr>
          <w:rFonts w:cs="Arial"/>
          <w:b/>
        </w:rPr>
        <w:t>10</w:t>
      </w:r>
      <w:r w:rsidRPr="000B070C">
        <w:rPr>
          <w:rFonts w:cs="Arial"/>
          <w:b/>
        </w:rPr>
        <w:t>.</w:t>
      </w:r>
      <w:r w:rsidR="008258F4">
        <w:rPr>
          <w:rFonts w:cs="Arial"/>
          <w:b/>
        </w:rPr>
        <w:t>2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EC42E3">
        <w:rPr>
          <w:rFonts w:cs="Arial"/>
          <w:b/>
        </w:rPr>
        <w:t>Zaměstnanci podniků s 10 a více zaměstnanci v ČR,</w:t>
      </w:r>
      <w:r w:rsidR="00EC42E3" w:rsidRPr="00EC42E3">
        <w:t xml:space="preserve"> </w:t>
      </w:r>
      <w:r w:rsidR="00EC42E3" w:rsidRPr="00EC42E3">
        <w:rPr>
          <w:rFonts w:cs="Arial"/>
          <w:b/>
        </w:rPr>
        <w:t>kteří mohli pracovat z domova v</w:t>
      </w:r>
      <w:r w:rsidR="00EC42E3">
        <w:rPr>
          <w:rFonts w:cs="Arial"/>
          <w:b/>
        </w:rPr>
        <w:t> </w:t>
      </w:r>
      <w:r w:rsidR="00EC42E3" w:rsidRPr="00EC42E3">
        <w:rPr>
          <w:rFonts w:cs="Arial"/>
          <w:b/>
        </w:rPr>
        <w:t>období pandemie covid-19</w:t>
      </w:r>
      <w:r w:rsidR="002F0534">
        <w:rPr>
          <w:rFonts w:cs="Arial"/>
          <w:b/>
        </w:rPr>
        <w:t xml:space="preserve"> </w:t>
      </w:r>
      <w:r w:rsidR="00EC42E3">
        <w:rPr>
          <w:rFonts w:cs="Arial"/>
          <w:b/>
        </w:rPr>
        <w:t>– top 5 odvětví v roce 2021</w:t>
      </w:r>
    </w:p>
    <w:p w:rsidR="00EC42E3" w:rsidRDefault="00517F72" w:rsidP="00517F72">
      <w:pPr>
        <w:autoSpaceDE w:val="0"/>
        <w:autoSpaceDN w:val="0"/>
        <w:adjustRightInd w:val="0"/>
        <w:spacing w:before="240" w:after="0" w:line="240" w:lineRule="auto"/>
        <w:ind w:right="-1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444DE54E">
            <wp:extent cx="6086475" cy="173882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49" cy="17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2E3" w:rsidRDefault="00EC42E3" w:rsidP="00EC42E3">
      <w:pPr>
        <w:autoSpaceDE w:val="0"/>
        <w:autoSpaceDN w:val="0"/>
        <w:adjustRightInd w:val="0"/>
        <w:spacing w:before="60" w:after="0" w:line="240" w:lineRule="auto"/>
        <w:ind w:right="142"/>
        <w:jc w:val="both"/>
        <w:rPr>
          <w:rFonts w:cs="Arial"/>
          <w:i/>
          <w:sz w:val="18"/>
          <w:szCs w:val="18"/>
        </w:rPr>
      </w:pPr>
      <w:r w:rsidRPr="00B411F6">
        <w:rPr>
          <w:rFonts w:cs="Arial"/>
          <w:i/>
          <w:sz w:val="18"/>
          <w:szCs w:val="18"/>
        </w:rPr>
        <w:t xml:space="preserve">podíl na celkovém počtu </w:t>
      </w:r>
      <w:r w:rsidRPr="000A2528">
        <w:rPr>
          <w:rFonts w:cs="Arial"/>
          <w:i/>
          <w:sz w:val="18"/>
          <w:szCs w:val="18"/>
          <w:u w:val="single"/>
        </w:rPr>
        <w:t>zaměstnanců</w:t>
      </w:r>
      <w:r>
        <w:rPr>
          <w:rFonts w:cs="Arial"/>
          <w:i/>
          <w:sz w:val="18"/>
          <w:szCs w:val="18"/>
        </w:rPr>
        <w:t xml:space="preserve"> pracujících </w:t>
      </w:r>
      <w:r w:rsidRPr="00B411F6">
        <w:rPr>
          <w:rFonts w:cs="Arial"/>
          <w:i/>
          <w:sz w:val="18"/>
          <w:szCs w:val="18"/>
        </w:rPr>
        <w:t>v</w:t>
      </w:r>
      <w:r>
        <w:rPr>
          <w:rFonts w:cs="Arial"/>
          <w:i/>
          <w:sz w:val="18"/>
          <w:szCs w:val="18"/>
        </w:rPr>
        <w:t xml:space="preserve"> podnicích</w:t>
      </w:r>
      <w:r w:rsidRPr="0075349D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s </w:t>
      </w:r>
      <w:r w:rsidRPr="00DB697D">
        <w:rPr>
          <w:rFonts w:cs="Arial"/>
          <w:i/>
          <w:sz w:val="18"/>
          <w:szCs w:val="18"/>
        </w:rPr>
        <w:t>10 a více zaměstnanci</w:t>
      </w:r>
      <w:r>
        <w:rPr>
          <w:rFonts w:cs="Arial"/>
          <w:i/>
          <w:sz w:val="18"/>
          <w:szCs w:val="18"/>
        </w:rPr>
        <w:t xml:space="preserve"> v dané odvětvové skupině</w:t>
      </w:r>
    </w:p>
    <w:p w:rsidR="00747F53" w:rsidRDefault="00747F53" w:rsidP="000D7B4A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</w:p>
    <w:p w:rsidR="00D43B5B" w:rsidRPr="001D2C38" w:rsidRDefault="00D43B5B" w:rsidP="00EC42E3">
      <w:pPr>
        <w:autoSpaceDE w:val="0"/>
        <w:autoSpaceDN w:val="0"/>
        <w:adjustRightInd w:val="0"/>
        <w:spacing w:before="60" w:after="120" w:line="240" w:lineRule="auto"/>
        <w:ind w:right="-142"/>
        <w:jc w:val="both"/>
        <w:rPr>
          <w:rFonts w:cs="Arial"/>
          <w:b/>
        </w:rPr>
      </w:pPr>
      <w:r w:rsidRPr="001D2C38">
        <w:rPr>
          <w:rFonts w:cs="Arial"/>
          <w:b/>
        </w:rPr>
        <w:t xml:space="preserve">Graf </w:t>
      </w:r>
      <w:r w:rsidR="001D2C38" w:rsidRPr="001D2C38">
        <w:rPr>
          <w:rFonts w:cs="Arial"/>
          <w:b/>
        </w:rPr>
        <w:t>10.</w:t>
      </w:r>
      <w:r w:rsidR="008258F4" w:rsidRPr="001D2C38">
        <w:rPr>
          <w:rFonts w:cs="Arial"/>
          <w:b/>
        </w:rPr>
        <w:t>3</w:t>
      </w:r>
      <w:r w:rsidRPr="001D2C38">
        <w:rPr>
          <w:rFonts w:cs="Arial"/>
          <w:b/>
        </w:rPr>
        <w:t xml:space="preserve">: </w:t>
      </w:r>
      <w:r w:rsidR="00EC42E3" w:rsidRPr="001D2C38">
        <w:rPr>
          <w:rFonts w:cs="Arial"/>
          <w:b/>
        </w:rPr>
        <w:t>Podniky s 10 a více zaměstnanci v ČR umožňující zaměstnancům v</w:t>
      </w:r>
      <w:r w:rsidR="001D2C38">
        <w:rPr>
          <w:rFonts w:cs="Arial"/>
          <w:b/>
        </w:rPr>
        <w:t> </w:t>
      </w:r>
      <w:r w:rsidR="00EC42E3" w:rsidRPr="001D2C38">
        <w:rPr>
          <w:rFonts w:cs="Arial"/>
          <w:b/>
        </w:rPr>
        <w:t>r</w:t>
      </w:r>
      <w:r w:rsidR="001D2C38">
        <w:rPr>
          <w:rFonts w:cs="Arial"/>
          <w:b/>
        </w:rPr>
        <w:t xml:space="preserve">oce </w:t>
      </w:r>
      <w:r w:rsidR="00EC42E3" w:rsidRPr="001D2C38">
        <w:rPr>
          <w:rFonts w:cs="Arial"/>
          <w:b/>
        </w:rPr>
        <w:t>2021 vzdálený přístup přes internet:</w:t>
      </w:r>
    </w:p>
    <w:p w:rsidR="00747F53" w:rsidRDefault="00EC42E3" w:rsidP="00D7397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noProof/>
          <w:sz w:val="18"/>
          <w:szCs w:val="18"/>
        </w:rPr>
        <w:drawing>
          <wp:inline distT="0" distB="0" distL="0" distR="0" wp14:anchorId="40E9A3CE">
            <wp:extent cx="6431915" cy="2188845"/>
            <wp:effectExtent l="0" t="0" r="6985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C4A" w:rsidRPr="00156D71" w:rsidRDefault="00A71C4A" w:rsidP="00A71C4A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>podíl na celkovém počtu podniků s 10 a více zaměstnanci v dané velikostní skupině</w:t>
      </w:r>
      <w:r>
        <w:rPr>
          <w:rFonts w:cs="Arial"/>
          <w:i/>
          <w:sz w:val="18"/>
          <w:szCs w:val="18"/>
        </w:rPr>
        <w:t xml:space="preserve"> </w:t>
      </w:r>
    </w:p>
    <w:p w:rsidR="002F0534" w:rsidRDefault="002F0534" w:rsidP="002F0534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cs="Arial"/>
          <w:sz w:val="18"/>
          <w:szCs w:val="18"/>
        </w:rPr>
      </w:pPr>
    </w:p>
    <w:p w:rsidR="002F0534" w:rsidRPr="00E334D1" w:rsidRDefault="002F0534" w:rsidP="002F0534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cs="Arial"/>
          <w:sz w:val="18"/>
          <w:szCs w:val="18"/>
        </w:rPr>
      </w:pPr>
      <w:r w:rsidRPr="00E334D1">
        <w:rPr>
          <w:rFonts w:cs="Arial"/>
          <w:sz w:val="18"/>
          <w:szCs w:val="18"/>
        </w:rPr>
        <w:t>Zdroj: Český statistický úřad, 20</w:t>
      </w:r>
      <w:r>
        <w:rPr>
          <w:rFonts w:cs="Arial"/>
          <w:sz w:val="18"/>
          <w:szCs w:val="18"/>
        </w:rPr>
        <w:t>21</w:t>
      </w:r>
    </w:p>
    <w:p w:rsidR="008258F4" w:rsidRDefault="008258F4">
      <w:pPr>
        <w:spacing w:after="0" w:line="240" w:lineRule="auto"/>
        <w:rPr>
          <w:rFonts w:cs="Arial"/>
          <w:b/>
          <w:spacing w:val="-6"/>
        </w:rPr>
      </w:pPr>
    </w:p>
    <w:p w:rsidR="002F0534" w:rsidRDefault="002F0534">
      <w:pPr>
        <w:spacing w:after="0" w:line="240" w:lineRule="auto"/>
        <w:rPr>
          <w:rFonts w:cs="Arial"/>
          <w:b/>
          <w:spacing w:val="-6"/>
        </w:rPr>
      </w:pPr>
      <w:r>
        <w:rPr>
          <w:rFonts w:cs="Arial"/>
          <w:b/>
          <w:spacing w:val="-6"/>
        </w:rPr>
        <w:br w:type="page"/>
      </w:r>
    </w:p>
    <w:p w:rsidR="00394351" w:rsidRPr="00EC42E3" w:rsidRDefault="00394351" w:rsidP="00394351">
      <w:pPr>
        <w:autoSpaceDE w:val="0"/>
        <w:autoSpaceDN w:val="0"/>
        <w:adjustRightInd w:val="0"/>
        <w:spacing w:after="0"/>
        <w:ind w:right="-142"/>
        <w:rPr>
          <w:rFonts w:cs="Arial"/>
          <w:b/>
          <w:spacing w:val="-6"/>
        </w:rPr>
      </w:pPr>
      <w:r w:rsidRPr="00EC42E3">
        <w:rPr>
          <w:rFonts w:cs="Arial"/>
          <w:b/>
          <w:spacing w:val="-6"/>
        </w:rPr>
        <w:lastRenderedPageBreak/>
        <w:t xml:space="preserve">Graf </w:t>
      </w:r>
      <w:r w:rsidR="001D2C38">
        <w:rPr>
          <w:rFonts w:cs="Arial"/>
          <w:b/>
          <w:spacing w:val="-6"/>
        </w:rPr>
        <w:t>10</w:t>
      </w:r>
      <w:r w:rsidRPr="00EC42E3">
        <w:rPr>
          <w:rFonts w:cs="Arial"/>
          <w:b/>
          <w:spacing w:val="-6"/>
        </w:rPr>
        <w:t>.</w:t>
      </w:r>
      <w:r w:rsidR="008258F4">
        <w:rPr>
          <w:rFonts w:cs="Arial"/>
          <w:b/>
          <w:spacing w:val="-6"/>
        </w:rPr>
        <w:t>4</w:t>
      </w:r>
      <w:r w:rsidRPr="00EC42E3">
        <w:rPr>
          <w:rFonts w:cs="Arial"/>
          <w:b/>
          <w:spacing w:val="-6"/>
        </w:rPr>
        <w:t xml:space="preserve">: </w:t>
      </w:r>
      <w:r w:rsidR="00EC42E3" w:rsidRPr="007D4AE7">
        <w:rPr>
          <w:rFonts w:cs="Arial"/>
          <w:b/>
          <w:spacing w:val="-6"/>
        </w:rPr>
        <w:t>Podniky</w:t>
      </w:r>
      <w:r w:rsidR="00EC42E3" w:rsidRPr="00EC42E3">
        <w:rPr>
          <w:rFonts w:cs="Arial"/>
          <w:b/>
          <w:spacing w:val="-6"/>
        </w:rPr>
        <w:t xml:space="preserve"> s 10 a více zaměstnanci v ČR</w:t>
      </w:r>
      <w:r w:rsidR="00EC42E3" w:rsidRPr="007D4AE7">
        <w:rPr>
          <w:rFonts w:cs="Arial"/>
          <w:b/>
          <w:spacing w:val="-6"/>
        </w:rPr>
        <w:t xml:space="preserve"> umožňující </w:t>
      </w:r>
      <w:r w:rsidR="00EC42E3" w:rsidRPr="00EC42E3">
        <w:rPr>
          <w:rFonts w:cs="Arial"/>
          <w:b/>
          <w:spacing w:val="-6"/>
        </w:rPr>
        <w:t>zaměstnanc</w:t>
      </w:r>
      <w:r w:rsidR="00EC42E3" w:rsidRPr="007D4AE7">
        <w:rPr>
          <w:rFonts w:cs="Arial"/>
          <w:b/>
          <w:spacing w:val="-6"/>
        </w:rPr>
        <w:t>ům vzdálený přístup přes internet k:</w:t>
      </w:r>
    </w:p>
    <w:p w:rsidR="00394351" w:rsidRDefault="00EC42E3" w:rsidP="00D7397E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 wp14:anchorId="5C15F8E0">
            <wp:extent cx="5834380" cy="2109470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C51" w:rsidRDefault="00BE6C51" w:rsidP="00BE6C51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 xml:space="preserve">podíl na celkovém počtu podniků s 10 a více zaměstnanci </w:t>
      </w:r>
      <w:r>
        <w:rPr>
          <w:rFonts w:cs="Arial"/>
          <w:i/>
          <w:sz w:val="18"/>
          <w:szCs w:val="18"/>
        </w:rPr>
        <w:t>v daném roce</w:t>
      </w:r>
    </w:p>
    <w:p w:rsidR="008258F4" w:rsidRPr="00156D71" w:rsidRDefault="008258F4" w:rsidP="00BE6C51">
      <w:pPr>
        <w:spacing w:before="120" w:after="120" w:line="240" w:lineRule="auto"/>
        <w:rPr>
          <w:rFonts w:cs="Arial"/>
          <w:i/>
          <w:sz w:val="18"/>
          <w:szCs w:val="18"/>
        </w:rPr>
      </w:pPr>
    </w:p>
    <w:p w:rsidR="008258F4" w:rsidRDefault="008258F4" w:rsidP="008258F4">
      <w:pPr>
        <w:autoSpaceDE w:val="0"/>
        <w:autoSpaceDN w:val="0"/>
        <w:adjustRightInd w:val="0"/>
        <w:spacing w:after="0"/>
        <w:ind w:right="-1"/>
        <w:rPr>
          <w:rFonts w:cs="Arial"/>
          <w:sz w:val="18"/>
          <w:szCs w:val="18"/>
        </w:rPr>
      </w:pPr>
      <w:r w:rsidRPr="00EC42E3">
        <w:rPr>
          <w:rFonts w:cs="Arial"/>
          <w:b/>
          <w:spacing w:val="-6"/>
        </w:rPr>
        <w:t xml:space="preserve">Graf </w:t>
      </w:r>
      <w:r w:rsidR="001D2C38">
        <w:rPr>
          <w:rFonts w:cs="Arial"/>
          <w:b/>
          <w:spacing w:val="-6"/>
        </w:rPr>
        <w:t>10</w:t>
      </w:r>
      <w:r w:rsidRPr="00EC42E3">
        <w:rPr>
          <w:rFonts w:cs="Arial"/>
          <w:b/>
          <w:spacing w:val="-6"/>
        </w:rPr>
        <w:t>.</w:t>
      </w:r>
      <w:r>
        <w:rPr>
          <w:rFonts w:cs="Arial"/>
          <w:b/>
          <w:spacing w:val="-6"/>
        </w:rPr>
        <w:t>5</w:t>
      </w:r>
      <w:r w:rsidRPr="00EC42E3">
        <w:rPr>
          <w:rFonts w:cs="Arial"/>
          <w:b/>
          <w:spacing w:val="-6"/>
        </w:rPr>
        <w:t xml:space="preserve">: </w:t>
      </w:r>
      <w:r w:rsidRPr="007D4AE7">
        <w:rPr>
          <w:rFonts w:cs="Arial"/>
          <w:b/>
          <w:spacing w:val="-6"/>
        </w:rPr>
        <w:t>Podniky</w:t>
      </w:r>
      <w:r w:rsidRPr="00EC42E3">
        <w:rPr>
          <w:rFonts w:cs="Arial"/>
          <w:b/>
          <w:spacing w:val="-6"/>
        </w:rPr>
        <w:t xml:space="preserve"> s 10 a více zaměstnanci v ČR</w:t>
      </w:r>
      <w:r w:rsidRPr="007D4AE7">
        <w:rPr>
          <w:rFonts w:cs="Arial"/>
          <w:b/>
          <w:spacing w:val="-6"/>
        </w:rPr>
        <w:t xml:space="preserve"> </w:t>
      </w:r>
      <w:r>
        <w:rPr>
          <w:rFonts w:cs="Arial"/>
          <w:b/>
          <w:spacing w:val="-6"/>
        </w:rPr>
        <w:t>využívající online komunikační platformy v roce 2021</w:t>
      </w:r>
    </w:p>
    <w:p w:rsidR="008258F4" w:rsidRDefault="008258F4" w:rsidP="008258F4">
      <w:pPr>
        <w:autoSpaceDE w:val="0"/>
        <w:autoSpaceDN w:val="0"/>
        <w:adjustRightInd w:val="0"/>
        <w:spacing w:after="0"/>
        <w:ind w:right="-1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 wp14:anchorId="095D4514" wp14:editId="5A2FC2C4">
            <wp:extent cx="6105525" cy="207777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631" cy="2084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8F4" w:rsidRPr="00156D71" w:rsidRDefault="008258F4" w:rsidP="008258F4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>podíl na celkovém počtu podniků s 10 a více zaměstnanci v dané velikostní skupině</w:t>
      </w:r>
      <w:r>
        <w:rPr>
          <w:rFonts w:cs="Arial"/>
          <w:i/>
          <w:sz w:val="18"/>
          <w:szCs w:val="18"/>
        </w:rPr>
        <w:t xml:space="preserve"> </w:t>
      </w:r>
    </w:p>
    <w:p w:rsidR="008258F4" w:rsidRDefault="008258F4" w:rsidP="008258F4">
      <w:pPr>
        <w:autoSpaceDE w:val="0"/>
        <w:autoSpaceDN w:val="0"/>
        <w:adjustRightInd w:val="0"/>
        <w:spacing w:before="240" w:after="0" w:line="240" w:lineRule="auto"/>
        <w:ind w:right="142"/>
        <w:rPr>
          <w:rFonts w:cs="Arial"/>
          <w:b/>
        </w:rPr>
      </w:pPr>
      <w:r>
        <w:rPr>
          <w:rFonts w:cs="Arial"/>
          <w:b/>
        </w:rPr>
        <w:t xml:space="preserve">Graf </w:t>
      </w:r>
      <w:r w:rsidR="001D2C38">
        <w:rPr>
          <w:rFonts w:cs="Arial"/>
          <w:b/>
        </w:rPr>
        <w:t>10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6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Podniky s 10 a více zaměstnanci v ČR,</w:t>
      </w:r>
      <w:r w:rsidRPr="00EC42E3">
        <w:t xml:space="preserve"> </w:t>
      </w:r>
      <w:r w:rsidRPr="00EC42E3">
        <w:rPr>
          <w:rFonts w:cs="Arial"/>
          <w:b/>
        </w:rPr>
        <w:t>kte</w:t>
      </w:r>
      <w:r>
        <w:rPr>
          <w:rFonts w:cs="Arial"/>
          <w:b/>
        </w:rPr>
        <w:t>ré</w:t>
      </w:r>
      <w:r w:rsidRPr="00EC42E3">
        <w:rPr>
          <w:rFonts w:cs="Arial"/>
          <w:b/>
        </w:rPr>
        <w:t xml:space="preserve"> </w:t>
      </w:r>
      <w:r>
        <w:rPr>
          <w:rFonts w:cs="Arial"/>
          <w:b/>
        </w:rPr>
        <w:t>začaly využívat online komunikační platformy v roce 2020</w:t>
      </w:r>
      <w:r w:rsidRPr="00EC42E3">
        <w:rPr>
          <w:rFonts w:cs="Arial"/>
          <w:b/>
        </w:rPr>
        <w:t xml:space="preserve"> v</w:t>
      </w:r>
      <w:r>
        <w:rPr>
          <w:rFonts w:cs="Arial"/>
          <w:b/>
        </w:rPr>
        <w:t> souvislosti s</w:t>
      </w:r>
      <w:r w:rsidRPr="00EC42E3">
        <w:rPr>
          <w:rFonts w:cs="Arial"/>
          <w:b/>
        </w:rPr>
        <w:t xml:space="preserve"> pandemi</w:t>
      </w:r>
      <w:r>
        <w:rPr>
          <w:rFonts w:cs="Arial"/>
          <w:b/>
        </w:rPr>
        <w:t>í</w:t>
      </w:r>
      <w:r w:rsidRPr="00EC42E3">
        <w:rPr>
          <w:rFonts w:cs="Arial"/>
          <w:b/>
        </w:rPr>
        <w:t xml:space="preserve"> </w:t>
      </w:r>
      <w:proofErr w:type="gramStart"/>
      <w:r w:rsidRPr="00EC42E3">
        <w:rPr>
          <w:rFonts w:cs="Arial"/>
          <w:b/>
        </w:rPr>
        <w:t>covid-19</w:t>
      </w:r>
      <w:proofErr w:type="gramEnd"/>
      <w:r>
        <w:rPr>
          <w:rFonts w:cs="Arial"/>
          <w:b/>
        </w:rPr>
        <w:t xml:space="preserve">– </w:t>
      </w:r>
      <w:proofErr w:type="gramStart"/>
      <w:r>
        <w:rPr>
          <w:rFonts w:cs="Arial"/>
          <w:b/>
        </w:rPr>
        <w:t>top</w:t>
      </w:r>
      <w:proofErr w:type="gramEnd"/>
      <w:r>
        <w:rPr>
          <w:rFonts w:cs="Arial"/>
          <w:b/>
        </w:rPr>
        <w:t xml:space="preserve"> 5 odvětví </w:t>
      </w:r>
    </w:p>
    <w:p w:rsidR="008258F4" w:rsidRDefault="007B3341" w:rsidP="008258F4">
      <w:pPr>
        <w:autoSpaceDE w:val="0"/>
        <w:autoSpaceDN w:val="0"/>
        <w:adjustRightInd w:val="0"/>
        <w:spacing w:before="240" w:after="0" w:line="240" w:lineRule="auto"/>
        <w:ind w:right="-1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6883390B">
            <wp:extent cx="6212205" cy="27495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8F4" w:rsidRDefault="008258F4" w:rsidP="008258F4">
      <w:pPr>
        <w:autoSpaceDE w:val="0"/>
        <w:autoSpaceDN w:val="0"/>
        <w:adjustRightInd w:val="0"/>
        <w:spacing w:before="60" w:after="0" w:line="240" w:lineRule="auto"/>
        <w:ind w:right="142"/>
        <w:jc w:val="both"/>
        <w:rPr>
          <w:rFonts w:cs="Arial"/>
          <w:i/>
          <w:sz w:val="18"/>
          <w:szCs w:val="18"/>
        </w:rPr>
      </w:pPr>
      <w:r w:rsidRPr="00B411F6">
        <w:rPr>
          <w:rFonts w:cs="Arial"/>
          <w:i/>
          <w:sz w:val="18"/>
          <w:szCs w:val="18"/>
        </w:rPr>
        <w:t xml:space="preserve">podíl na celkovém počtu </w:t>
      </w:r>
      <w:r>
        <w:rPr>
          <w:rFonts w:cs="Arial"/>
          <w:i/>
          <w:sz w:val="18"/>
          <w:szCs w:val="18"/>
        </w:rPr>
        <w:t>podniků</w:t>
      </w:r>
      <w:r w:rsidRPr="0075349D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s </w:t>
      </w:r>
      <w:r w:rsidRPr="00DB697D">
        <w:rPr>
          <w:rFonts w:cs="Arial"/>
          <w:i/>
          <w:sz w:val="18"/>
          <w:szCs w:val="18"/>
        </w:rPr>
        <w:t>10 a více zaměstnanci</w:t>
      </w:r>
      <w:r>
        <w:rPr>
          <w:rFonts w:cs="Arial"/>
          <w:i/>
          <w:sz w:val="18"/>
          <w:szCs w:val="18"/>
        </w:rPr>
        <w:t xml:space="preserve"> v dané odvětvové skupině</w:t>
      </w:r>
    </w:p>
    <w:p w:rsidR="008258F4" w:rsidRPr="00E334D1" w:rsidRDefault="00747F53" w:rsidP="007B3341">
      <w:pPr>
        <w:autoSpaceDE w:val="0"/>
        <w:autoSpaceDN w:val="0"/>
        <w:adjustRightInd w:val="0"/>
        <w:spacing w:before="120" w:after="0" w:line="240" w:lineRule="auto"/>
        <w:jc w:val="right"/>
        <w:rPr>
          <w:rFonts w:cs="Arial"/>
          <w:sz w:val="18"/>
          <w:szCs w:val="18"/>
        </w:rPr>
      </w:pPr>
      <w:r w:rsidRPr="00E334D1">
        <w:rPr>
          <w:rFonts w:cs="Arial"/>
          <w:sz w:val="18"/>
          <w:szCs w:val="18"/>
        </w:rPr>
        <w:t>Zdroj: Český statistický úřad, 20</w:t>
      </w:r>
      <w:r>
        <w:rPr>
          <w:rFonts w:cs="Arial"/>
          <w:sz w:val="18"/>
          <w:szCs w:val="18"/>
        </w:rPr>
        <w:t>21</w:t>
      </w:r>
    </w:p>
    <w:sectPr w:rsidR="008258F4" w:rsidRPr="00E334D1" w:rsidSect="006F5416">
      <w:footerReference w:type="defaul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14" w:rsidRDefault="00837D14" w:rsidP="00E71A58">
      <w:r>
        <w:separator/>
      </w:r>
    </w:p>
  </w:endnote>
  <w:endnote w:type="continuationSeparator" w:id="0">
    <w:p w:rsidR="00837D14" w:rsidRDefault="00837D1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D71" w:rsidRPr="00932443" w:rsidRDefault="00156D71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14" w:rsidRDefault="00837D14" w:rsidP="00E71A58">
      <w:r>
        <w:separator/>
      </w:r>
    </w:p>
  </w:footnote>
  <w:footnote w:type="continuationSeparator" w:id="0">
    <w:p w:rsidR="00837D14" w:rsidRDefault="00837D14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F720E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EC"/>
    <w:rsid w:val="0000209D"/>
    <w:rsid w:val="00004D5A"/>
    <w:rsid w:val="000056D5"/>
    <w:rsid w:val="0000767A"/>
    <w:rsid w:val="00010702"/>
    <w:rsid w:val="000234D6"/>
    <w:rsid w:val="00023D29"/>
    <w:rsid w:val="00026363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4570"/>
    <w:rsid w:val="000C6AFD"/>
    <w:rsid w:val="000D5637"/>
    <w:rsid w:val="000D7B4A"/>
    <w:rsid w:val="000E6FBD"/>
    <w:rsid w:val="00100F5C"/>
    <w:rsid w:val="00104C4C"/>
    <w:rsid w:val="0012192F"/>
    <w:rsid w:val="00125D69"/>
    <w:rsid w:val="001405FA"/>
    <w:rsid w:val="001425C3"/>
    <w:rsid w:val="00156D71"/>
    <w:rsid w:val="00156E2E"/>
    <w:rsid w:val="0016256B"/>
    <w:rsid w:val="00163793"/>
    <w:rsid w:val="00164DA1"/>
    <w:rsid w:val="001706D6"/>
    <w:rsid w:val="001714F2"/>
    <w:rsid w:val="001761F2"/>
    <w:rsid w:val="00184B08"/>
    <w:rsid w:val="00185010"/>
    <w:rsid w:val="001A552F"/>
    <w:rsid w:val="001B2CA9"/>
    <w:rsid w:val="001B3110"/>
    <w:rsid w:val="001B4729"/>
    <w:rsid w:val="001B6C09"/>
    <w:rsid w:val="001C05CD"/>
    <w:rsid w:val="001D2C38"/>
    <w:rsid w:val="001D68B2"/>
    <w:rsid w:val="001F4597"/>
    <w:rsid w:val="00206405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2BEC"/>
    <w:rsid w:val="002436BA"/>
    <w:rsid w:val="00244A15"/>
    <w:rsid w:val="00247319"/>
    <w:rsid w:val="0024799E"/>
    <w:rsid w:val="00251B13"/>
    <w:rsid w:val="00253C0F"/>
    <w:rsid w:val="00271465"/>
    <w:rsid w:val="00285412"/>
    <w:rsid w:val="00287C71"/>
    <w:rsid w:val="002A16D4"/>
    <w:rsid w:val="002A230C"/>
    <w:rsid w:val="002B2785"/>
    <w:rsid w:val="002C0075"/>
    <w:rsid w:val="002C43BD"/>
    <w:rsid w:val="002D0E59"/>
    <w:rsid w:val="002D5FD4"/>
    <w:rsid w:val="002D786C"/>
    <w:rsid w:val="002E02A1"/>
    <w:rsid w:val="002E4E4C"/>
    <w:rsid w:val="002F0534"/>
    <w:rsid w:val="00304771"/>
    <w:rsid w:val="003052D4"/>
    <w:rsid w:val="00306C5B"/>
    <w:rsid w:val="003171A0"/>
    <w:rsid w:val="00320135"/>
    <w:rsid w:val="003209D6"/>
    <w:rsid w:val="00321924"/>
    <w:rsid w:val="003250F9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94351"/>
    <w:rsid w:val="003A043B"/>
    <w:rsid w:val="003A2B4D"/>
    <w:rsid w:val="003A478C"/>
    <w:rsid w:val="003A5525"/>
    <w:rsid w:val="003A6B38"/>
    <w:rsid w:val="003B5A32"/>
    <w:rsid w:val="003C3490"/>
    <w:rsid w:val="003D19CA"/>
    <w:rsid w:val="003D6920"/>
    <w:rsid w:val="003D7360"/>
    <w:rsid w:val="003E4C91"/>
    <w:rsid w:val="003F313C"/>
    <w:rsid w:val="003F4B2C"/>
    <w:rsid w:val="003F551C"/>
    <w:rsid w:val="003F7D23"/>
    <w:rsid w:val="004029DA"/>
    <w:rsid w:val="00407C13"/>
    <w:rsid w:val="00410638"/>
    <w:rsid w:val="00432A58"/>
    <w:rsid w:val="00434617"/>
    <w:rsid w:val="00434DEA"/>
    <w:rsid w:val="00440900"/>
    <w:rsid w:val="004441A0"/>
    <w:rsid w:val="00460FB3"/>
    <w:rsid w:val="00465230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7F9"/>
    <w:rsid w:val="004C384C"/>
    <w:rsid w:val="004C3867"/>
    <w:rsid w:val="004C4CD0"/>
    <w:rsid w:val="004C70DC"/>
    <w:rsid w:val="004D0211"/>
    <w:rsid w:val="004D0794"/>
    <w:rsid w:val="004F06F5"/>
    <w:rsid w:val="004F33A0"/>
    <w:rsid w:val="005108C0"/>
    <w:rsid w:val="00511679"/>
    <w:rsid w:val="00511873"/>
    <w:rsid w:val="00512A2F"/>
    <w:rsid w:val="00513B7E"/>
    <w:rsid w:val="00515C74"/>
    <w:rsid w:val="00517F72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2B1F"/>
    <w:rsid w:val="00583FFD"/>
    <w:rsid w:val="00590CB3"/>
    <w:rsid w:val="005911BE"/>
    <w:rsid w:val="00593152"/>
    <w:rsid w:val="00593D4A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106B"/>
    <w:rsid w:val="005E7C78"/>
    <w:rsid w:val="005F3EB1"/>
    <w:rsid w:val="005F5469"/>
    <w:rsid w:val="00604307"/>
    <w:rsid w:val="0060487F"/>
    <w:rsid w:val="00604EAD"/>
    <w:rsid w:val="006104FB"/>
    <w:rsid w:val="006114D5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115E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5F7"/>
    <w:rsid w:val="006E279A"/>
    <w:rsid w:val="006E313B"/>
    <w:rsid w:val="006F5416"/>
    <w:rsid w:val="00703765"/>
    <w:rsid w:val="00706AD4"/>
    <w:rsid w:val="007140BE"/>
    <w:rsid w:val="007174A6"/>
    <w:rsid w:val="007211F5"/>
    <w:rsid w:val="00725BB5"/>
    <w:rsid w:val="00730AE8"/>
    <w:rsid w:val="00741493"/>
    <w:rsid w:val="00747F5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3341"/>
    <w:rsid w:val="007B5BB8"/>
    <w:rsid w:val="007B6689"/>
    <w:rsid w:val="007D148C"/>
    <w:rsid w:val="007D40DF"/>
    <w:rsid w:val="007D4AE7"/>
    <w:rsid w:val="007E6EA3"/>
    <w:rsid w:val="007E7E61"/>
    <w:rsid w:val="007F0845"/>
    <w:rsid w:val="00807C82"/>
    <w:rsid w:val="00816905"/>
    <w:rsid w:val="00821FF6"/>
    <w:rsid w:val="008258F4"/>
    <w:rsid w:val="00825C4D"/>
    <w:rsid w:val="0083143E"/>
    <w:rsid w:val="00831CDE"/>
    <w:rsid w:val="00834304"/>
    <w:rsid w:val="00834FAA"/>
    <w:rsid w:val="00836086"/>
    <w:rsid w:val="00837D14"/>
    <w:rsid w:val="0084708F"/>
    <w:rsid w:val="008477C8"/>
    <w:rsid w:val="0085114D"/>
    <w:rsid w:val="00852217"/>
    <w:rsid w:val="00855408"/>
    <w:rsid w:val="00856D65"/>
    <w:rsid w:val="00861B41"/>
    <w:rsid w:val="00863434"/>
    <w:rsid w:val="00865330"/>
    <w:rsid w:val="00865E4C"/>
    <w:rsid w:val="008701E4"/>
    <w:rsid w:val="00875A32"/>
    <w:rsid w:val="00876086"/>
    <w:rsid w:val="00884525"/>
    <w:rsid w:val="008873D4"/>
    <w:rsid w:val="00893E85"/>
    <w:rsid w:val="00894031"/>
    <w:rsid w:val="008A2B59"/>
    <w:rsid w:val="008B7C02"/>
    <w:rsid w:val="008B7D2B"/>
    <w:rsid w:val="008C0049"/>
    <w:rsid w:val="008C0E88"/>
    <w:rsid w:val="008D1E6A"/>
    <w:rsid w:val="008D2A16"/>
    <w:rsid w:val="008D333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339A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50485"/>
    <w:rsid w:val="00974923"/>
    <w:rsid w:val="00980D3D"/>
    <w:rsid w:val="00987A30"/>
    <w:rsid w:val="00992CF3"/>
    <w:rsid w:val="009930EF"/>
    <w:rsid w:val="009968D6"/>
    <w:rsid w:val="009A1CAB"/>
    <w:rsid w:val="009A60D1"/>
    <w:rsid w:val="009B6FD3"/>
    <w:rsid w:val="009C1750"/>
    <w:rsid w:val="009C2C73"/>
    <w:rsid w:val="009C2E29"/>
    <w:rsid w:val="009C554B"/>
    <w:rsid w:val="009C719E"/>
    <w:rsid w:val="009D013B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270E"/>
    <w:rsid w:val="00A46DE0"/>
    <w:rsid w:val="00A50D73"/>
    <w:rsid w:val="00A52CAD"/>
    <w:rsid w:val="00A53FC7"/>
    <w:rsid w:val="00A62CE1"/>
    <w:rsid w:val="00A6741E"/>
    <w:rsid w:val="00A71C4A"/>
    <w:rsid w:val="00A75E40"/>
    <w:rsid w:val="00A77C9D"/>
    <w:rsid w:val="00A77D1D"/>
    <w:rsid w:val="00A857C0"/>
    <w:rsid w:val="00AA2659"/>
    <w:rsid w:val="00AA2996"/>
    <w:rsid w:val="00AA52BF"/>
    <w:rsid w:val="00AA559A"/>
    <w:rsid w:val="00AA5A03"/>
    <w:rsid w:val="00AB2AF1"/>
    <w:rsid w:val="00AC038A"/>
    <w:rsid w:val="00AC4E8F"/>
    <w:rsid w:val="00AD306C"/>
    <w:rsid w:val="00AE09B3"/>
    <w:rsid w:val="00AE1A83"/>
    <w:rsid w:val="00AE535B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4064"/>
    <w:rsid w:val="00B76D1E"/>
    <w:rsid w:val="00B80EC6"/>
    <w:rsid w:val="00B92D1D"/>
    <w:rsid w:val="00B938C5"/>
    <w:rsid w:val="00B95940"/>
    <w:rsid w:val="00BB46F3"/>
    <w:rsid w:val="00BB4CB1"/>
    <w:rsid w:val="00BB4F98"/>
    <w:rsid w:val="00BB5A60"/>
    <w:rsid w:val="00BC7154"/>
    <w:rsid w:val="00BD366B"/>
    <w:rsid w:val="00BD6D50"/>
    <w:rsid w:val="00BE18B9"/>
    <w:rsid w:val="00BE2495"/>
    <w:rsid w:val="00BE40B4"/>
    <w:rsid w:val="00BE6C51"/>
    <w:rsid w:val="00BF1578"/>
    <w:rsid w:val="00BF3A84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5B69"/>
    <w:rsid w:val="00C90CF4"/>
    <w:rsid w:val="00C92EB6"/>
    <w:rsid w:val="00C93389"/>
    <w:rsid w:val="00CA321C"/>
    <w:rsid w:val="00CB4930"/>
    <w:rsid w:val="00CC2E7D"/>
    <w:rsid w:val="00CD10A5"/>
    <w:rsid w:val="00CD2076"/>
    <w:rsid w:val="00CE670B"/>
    <w:rsid w:val="00CF51EC"/>
    <w:rsid w:val="00CF73AE"/>
    <w:rsid w:val="00D040DD"/>
    <w:rsid w:val="00D101AA"/>
    <w:rsid w:val="00D13986"/>
    <w:rsid w:val="00D201BC"/>
    <w:rsid w:val="00D235B7"/>
    <w:rsid w:val="00D25F28"/>
    <w:rsid w:val="00D27973"/>
    <w:rsid w:val="00D43B5B"/>
    <w:rsid w:val="00D50F46"/>
    <w:rsid w:val="00D610B4"/>
    <w:rsid w:val="00D66223"/>
    <w:rsid w:val="00D7397E"/>
    <w:rsid w:val="00D74601"/>
    <w:rsid w:val="00D8084C"/>
    <w:rsid w:val="00D837A0"/>
    <w:rsid w:val="00DA7C0C"/>
    <w:rsid w:val="00DB2EC8"/>
    <w:rsid w:val="00DC5B3B"/>
    <w:rsid w:val="00DD129F"/>
    <w:rsid w:val="00DF355B"/>
    <w:rsid w:val="00DF42FF"/>
    <w:rsid w:val="00E01C0E"/>
    <w:rsid w:val="00E03F9A"/>
    <w:rsid w:val="00E04694"/>
    <w:rsid w:val="00E12B1E"/>
    <w:rsid w:val="00E17262"/>
    <w:rsid w:val="00E253A2"/>
    <w:rsid w:val="00E3309D"/>
    <w:rsid w:val="00E41920"/>
    <w:rsid w:val="00E50156"/>
    <w:rsid w:val="00E53470"/>
    <w:rsid w:val="00E539F6"/>
    <w:rsid w:val="00E6519D"/>
    <w:rsid w:val="00E67696"/>
    <w:rsid w:val="00E71A58"/>
    <w:rsid w:val="00E72A2C"/>
    <w:rsid w:val="00E72A7A"/>
    <w:rsid w:val="00E75C94"/>
    <w:rsid w:val="00E93820"/>
    <w:rsid w:val="00EA0C68"/>
    <w:rsid w:val="00EA32BC"/>
    <w:rsid w:val="00EB4511"/>
    <w:rsid w:val="00EC03D7"/>
    <w:rsid w:val="00EC42E3"/>
    <w:rsid w:val="00ED62C6"/>
    <w:rsid w:val="00ED64C1"/>
    <w:rsid w:val="00EE2D36"/>
    <w:rsid w:val="00EE3446"/>
    <w:rsid w:val="00EE3E78"/>
    <w:rsid w:val="00EE4B1B"/>
    <w:rsid w:val="00EF150D"/>
    <w:rsid w:val="00EF1F5A"/>
    <w:rsid w:val="00EF302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1EDAC2C"/>
  <w15:docId w15:val="{9E7901D0-1F8B-418D-808C-2DB6BD0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251B13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51B13"/>
    <w:rPr>
      <w:rFonts w:ascii="Times New Roman" w:eastAsia="Times New Roman" w:hAnsi="Times New Roman"/>
      <w:sz w:val="22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1B13"/>
    <w:pPr>
      <w:spacing w:after="200" w:line="276" w:lineRule="auto"/>
    </w:pPr>
    <w:rPr>
      <w:rFonts w:ascii="Times New Roman" w:eastAsia="Calibri" w:hAnsi="Times New Roman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1B13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51B13"/>
    <w:rPr>
      <w:vertAlign w:val="superscript"/>
    </w:rPr>
  </w:style>
  <w:style w:type="paragraph" w:styleId="Odstavecseseznamem">
    <w:name w:val="List Paragraph"/>
    <w:basedOn w:val="Normln"/>
    <w:uiPriority w:val="34"/>
    <w:rsid w:val="0002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sova4073\Downloads\Publikace%20bar%20CZ_veda%20I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F125-7287-45E3-A5F4-F7F68FBB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253</TotalTime>
  <Pages>4</Pages>
  <Words>1432</Words>
  <Characters>8449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9862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Burešová</dc:creator>
  <cp:keywords/>
  <dc:description/>
  <cp:lastModifiedBy>Burešová Kamila</cp:lastModifiedBy>
  <cp:revision>14</cp:revision>
  <cp:lastPrinted>2014-07-17T14:07:00Z</cp:lastPrinted>
  <dcterms:created xsi:type="dcterms:W3CDTF">2021-12-14T14:07:00Z</dcterms:created>
  <dcterms:modified xsi:type="dcterms:W3CDTF">2022-01-04T14:27:00Z</dcterms:modified>
  <cp:category/>
</cp:coreProperties>
</file>