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CB09D5" w:rsidRDefault="00576A3E" w:rsidP="00D94859">
      <w:pPr>
        <w:pStyle w:val="Styl1"/>
        <w:rPr>
          <w:rFonts w:cs="Arial"/>
          <w:sz w:val="20"/>
          <w:lang w:val="en-GB"/>
        </w:rPr>
      </w:pPr>
    </w:p>
    <w:p w:rsidR="00576A3E" w:rsidRPr="00CB09D5" w:rsidRDefault="003815F4" w:rsidP="00D94859">
      <w:pPr>
        <w:spacing w:line="240" w:lineRule="auto"/>
        <w:rPr>
          <w:rFonts w:cs="Arial"/>
          <w:lang w:val="en-GB" w:eastAsia="ar-SA"/>
        </w:rPr>
      </w:pPr>
      <w:r w:rsidRPr="003815F4">
        <w:rPr>
          <w:noProof/>
          <w:lang w:val="en-GB"/>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FY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w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DWgYVi3&#10;AgAArwUAAA4AAAAAAAAAAAAAAAAALgIAAGRycy9lMm9Eb2MueG1sUEsBAi0AFAAGAAgAAAAhAAdl&#10;cHfhAAAADgEAAA8AAAAAAAAAAAAAAAAAEQUAAGRycy9kb3ducmV2LnhtbFBLBQYAAAAABAAEAPMA&#10;AAAfBgAAAAA=&#10;" filled="f" stroked="f">
            <v:textbox inset="0,0,0,0">
              <w:txbxContent>
                <w:p w:rsidR="000A7C02" w:rsidRPr="001648D6" w:rsidRDefault="000A7C02" w:rsidP="001F6CC0">
                  <w:pPr>
                    <w:rPr>
                      <w:lang w:val="en-GB"/>
                    </w:rPr>
                  </w:pPr>
                  <w:r w:rsidRPr="001648D6">
                    <w:rPr>
                      <w:lang w:val="en-GB"/>
                    </w:rPr>
                    <w:t>Czech Statistical Office, Prague, 201</w:t>
                  </w:r>
                  <w:r>
                    <w:rPr>
                      <w:lang w:val="en-GB"/>
                    </w:rPr>
                    <w:t>7</w:t>
                  </w:r>
                </w:p>
                <w:p w:rsidR="000A7C02" w:rsidRPr="005251DD" w:rsidRDefault="000A7C02" w:rsidP="004F191F"/>
              </w:txbxContent>
            </v:textbox>
            <w10:wrap anchorx="page" anchory="page"/>
            <w10:anchorlock/>
          </v:shape>
        </w:pict>
      </w:r>
      <w:r w:rsidRPr="003815F4">
        <w:rPr>
          <w:noProof/>
          <w:lang w:val="en-GB"/>
        </w:rPr>
        <w:pict>
          <v:shape id="_x0000_s1027" type="#_x0000_t202" style="position:absolute;margin-left:134.65pt;margin-top:612.45pt;width:403.9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" filled="f" stroked="f">
            <v:textbox inset="0,0,0,0">
              <w:txbxContent>
                <w:p w:rsidR="000A7C02" w:rsidRPr="006C5577" w:rsidRDefault="000A7C02" w:rsidP="004F2A73">
                  <w:pPr>
                    <w:pStyle w:val="TL-Identifikace-dole"/>
                  </w:pPr>
                  <w:r w:rsidRPr="005C4244">
                    <w:rPr>
                      <w:lang w:val="en-GB"/>
                    </w:rPr>
                    <w:t>Prepared by:</w:t>
                  </w:r>
                  <w:r w:rsidRPr="006C5577">
                    <w:t xml:space="preserve"> </w:t>
                  </w:r>
                  <w:r w:rsidRPr="005C4244">
                    <w:rPr>
                      <w:lang w:val="en-GB"/>
                    </w:rPr>
                    <w:t>Office of the President of the CZSO, Compendious Analyses Unit</w:t>
                  </w:r>
                </w:p>
                <w:p w:rsidR="000A7C02" w:rsidRPr="006C5577" w:rsidRDefault="000A7C02" w:rsidP="004F191F">
                  <w:pPr>
                    <w:pStyle w:val="TL-Identifikace-dole"/>
                  </w:pPr>
                  <w:r>
                    <w:rPr>
                      <w:lang w:val="en-GB"/>
                    </w:rPr>
                    <w:t>Director</w:t>
                  </w:r>
                  <w:r w:rsidRPr="005C4244">
                    <w:rPr>
                      <w:lang w:val="en-GB"/>
                    </w:rPr>
                    <w:t>:</w:t>
                  </w:r>
                  <w:r>
                    <w:rPr>
                      <w:lang w:val="en-GB"/>
                    </w:rPr>
                    <w:t xml:space="preserve"> </w:t>
                  </w:r>
                  <w:r>
                    <w:t>Egor Sidorov, Ph.D.</w:t>
                  </w:r>
                </w:p>
                <w:p w:rsidR="000A7C02" w:rsidRPr="009F63D2" w:rsidRDefault="000A7C02" w:rsidP="004F191F">
                  <w:pPr>
                    <w:pStyle w:val="TL-Identifikace-dole"/>
                    <w:rPr>
                      <w:rFonts w:cs="Arial"/>
                    </w:rPr>
                  </w:pPr>
                  <w:r>
                    <w:rPr>
                      <w:lang w:val="en-GB"/>
                    </w:rPr>
                    <w:t>Authors of P</w:t>
                  </w:r>
                  <w:r w:rsidRPr="005C4244">
                    <w:rPr>
                      <w:lang w:val="en-GB"/>
                    </w:rPr>
                    <w:t>ublication</w:t>
                  </w:r>
                  <w:r>
                    <w:t>: Bc. Jiří Kamenický, Mgr. Bc. Karolína Súkupová</w:t>
                  </w:r>
                </w:p>
                <w:p w:rsidR="000A7C02" w:rsidRDefault="000A7C02" w:rsidP="004F191F">
                  <w:pPr>
                    <w:pStyle w:val="TL-Identifikace-dole"/>
                  </w:pPr>
                  <w:r w:rsidRPr="00BC4B2D">
                    <w:t>Contact person: Bc</w:t>
                  </w:r>
                  <w:r>
                    <w:t xml:space="preserve">. Jiří Kamenický, e-mail: </w:t>
                  </w:r>
                  <w:hyperlink r:id="rId9" w:history="1">
                    <w:r w:rsidRPr="00F34FB3">
                      <w:rPr>
                        <w:rStyle w:val="Hypertextovodkaz"/>
                      </w:rPr>
                      <w:t>jiri.kamenicky@czso.cz</w:t>
                    </w:r>
                  </w:hyperlink>
                  <w:r>
                    <w:t>,  phone: 274 052 741</w:t>
                  </w:r>
                </w:p>
                <w:p w:rsidR="000A7C02" w:rsidRDefault="000A7C02" w:rsidP="004F191F">
                  <w:pPr>
                    <w:pStyle w:val="TL-Identifikace-dole"/>
                  </w:pPr>
                  <w:r>
                    <w:t xml:space="preserve"> </w:t>
                  </w:r>
                </w:p>
                <w:p w:rsidR="000A7C02" w:rsidRDefault="000A7C02" w:rsidP="004F191F">
                  <w:pPr>
                    <w:pStyle w:val="TL-Identifikace-dole"/>
                  </w:pPr>
                  <w:r>
                    <w:t xml:space="preserve">                            e-mail</w:t>
                  </w:r>
                  <w:r w:rsidRPr="006C5577">
                    <w:t>:</w:t>
                  </w:r>
                  <w:r>
                    <w:t xml:space="preserve"> </w:t>
                  </w:r>
                  <w:hyperlink r:id="rId10" w:history="1">
                    <w:r w:rsidRPr="004640D1">
                      <w:rPr>
                        <w:rStyle w:val="Hypertextovodkaz"/>
                      </w:rPr>
                      <w:t>jiri.kamenicky@czso.cz</w:t>
                    </w:r>
                  </w:hyperlink>
                  <w:r>
                    <w:t>, tel: 274 052 741</w:t>
                  </w:r>
                </w:p>
              </w:txbxContent>
            </v:textbox>
            <w10:wrap anchorx="page" anchory="page"/>
            <w10:anchorlock/>
          </v:shape>
        </w:pict>
      </w:r>
      <w:r w:rsidRPr="003815F4">
        <w:rPr>
          <w:noProof/>
          <w:lang w:val="en-GB"/>
        </w:rPr>
        <w:pict>
          <v:shape id="Text Box 25" o:spid="_x0000_s102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" filled="f" stroked="f">
            <v:textbox inset="0,0,0,0">
              <w:txbxContent>
                <w:p w:rsidR="000A7C02" w:rsidRPr="00D31445" w:rsidRDefault="000A7C02" w:rsidP="004F191F">
                  <w:pPr>
                    <w:pStyle w:val="TL-identifikace-sted"/>
                  </w:pPr>
                  <w:r w:rsidRPr="005C4244">
                    <w:rPr>
                      <w:lang w:val="en-GB"/>
                    </w:rPr>
                    <w:t>Summary data on the Czech Republic</w:t>
                  </w:r>
                  <w:r>
                    <w:t xml:space="preserve"> </w:t>
                  </w:r>
                </w:p>
                <w:p w:rsidR="000A7C02" w:rsidRPr="00473E94" w:rsidRDefault="000A7C02" w:rsidP="004F191F">
                  <w:pPr>
                    <w:pStyle w:val="TL-identifikace-sted"/>
                    <w:rPr>
                      <w:color w:val="000000"/>
                    </w:rPr>
                  </w:pPr>
                  <w:proofErr w:type="spellStart"/>
                  <w:r>
                    <w:rPr>
                      <w:color w:val="000000"/>
                    </w:rPr>
                    <w:t>Prague</w:t>
                  </w:r>
                  <w:proofErr w:type="spellEnd"/>
                  <w:r>
                    <w:rPr>
                      <w:color w:val="000000"/>
                    </w:rPr>
                    <w:t>, 24</w:t>
                  </w:r>
                  <w:r w:rsidRPr="00103B42">
                    <w:rPr>
                      <w:color w:val="000000"/>
                      <w:vertAlign w:val="superscript"/>
                    </w:rPr>
                    <w:t>nd</w:t>
                  </w:r>
                  <w:r>
                    <w:rPr>
                      <w:color w:val="000000"/>
                    </w:rPr>
                    <w:t xml:space="preserve"> </w:t>
                  </w:r>
                  <w:proofErr w:type="spellStart"/>
                  <w:r>
                    <w:rPr>
                      <w:color w:val="000000"/>
                    </w:rPr>
                    <w:t>April</w:t>
                  </w:r>
                  <w:proofErr w:type="spellEnd"/>
                  <w:r>
                    <w:rPr>
                      <w:color w:val="000000"/>
                    </w:rPr>
                    <w:t xml:space="preserve"> 2017</w:t>
                  </w:r>
                </w:p>
                <w:p w:rsidR="000A7C02" w:rsidRPr="002E73F2" w:rsidRDefault="000A7C02" w:rsidP="004F191F">
                  <w:pPr>
                    <w:pStyle w:val="TL-identifikace-sted"/>
                  </w:pPr>
                  <w:r>
                    <w:rPr>
                      <w:lang w:val="en-GB"/>
                    </w:rPr>
                    <w:t>Publication code</w:t>
                  </w:r>
                  <w:r>
                    <w:t>: 320194-16</w:t>
                  </w:r>
                </w:p>
                <w:p w:rsidR="000A7C02" w:rsidRPr="004117CE" w:rsidRDefault="000A7C02" w:rsidP="004F191F">
                  <w:pPr>
                    <w:spacing w:after="200"/>
                    <w:rPr>
                      <w:color w:val="0D0D0D"/>
                      <w:sz w:val="24"/>
                    </w:rPr>
                  </w:pPr>
                  <w:r>
                    <w:rPr>
                      <w:sz w:val="24"/>
                      <w:lang w:val="en-GB"/>
                    </w:rPr>
                    <w:t xml:space="preserve">Reference No.: </w:t>
                  </w:r>
                  <w:r>
                    <w:rPr>
                      <w:color w:val="0D0D0D"/>
                      <w:sz w:val="24"/>
                    </w:rPr>
                    <w:t>993/2017-01</w:t>
                  </w:r>
                </w:p>
                <w:p w:rsidR="000A7C02" w:rsidRPr="00D31445" w:rsidRDefault="000A7C02" w:rsidP="004F191F">
                  <w:pPr>
                    <w:spacing w:after="200"/>
                    <w:rPr>
                      <w:sz w:val="24"/>
                    </w:rPr>
                  </w:pPr>
                  <w:r w:rsidRPr="007B517F">
                    <w:rPr>
                      <w:sz w:val="24"/>
                      <w:lang w:val="en-GB"/>
                    </w:rPr>
                    <w:t>Yearly publication number</w:t>
                  </w:r>
                  <w:r>
                    <w:rPr>
                      <w:sz w:val="24"/>
                      <w:lang w:val="en-GB"/>
                    </w:rPr>
                    <w:t xml:space="preserve">: </w:t>
                  </w:r>
                  <w:r>
                    <w:rPr>
                      <w:sz w:val="24"/>
                    </w:rPr>
                    <w:t>2</w:t>
                  </w:r>
                </w:p>
              </w:txbxContent>
            </v:textbox>
            <w10:wrap anchorx="page" anchory="page"/>
            <w10:anchorlock/>
          </v:shape>
        </w:pict>
      </w:r>
      <w:r w:rsidRPr="003815F4">
        <w:rPr>
          <w:noProof/>
          <w:lang w:val="en-GB"/>
        </w:rPr>
        <w:pict>
          <v:shape id="_x0000_s1029"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Pwug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" filled="f" stroked="f">
            <v:textbox style="mso-fit-shape-to-text:t" inset="0,0,0,0">
              <w:txbxContent>
                <w:p w:rsidR="000A7C02" w:rsidRPr="009B04D0" w:rsidRDefault="000A7C02" w:rsidP="004F191F">
                  <w:pPr>
                    <w:pStyle w:val="Podtitul"/>
                  </w:pPr>
                  <w:r>
                    <w:rPr>
                      <w:sz w:val="56"/>
                      <w:szCs w:val="56"/>
                    </w:rPr>
                    <w:t>THE CZECH ECONOMY DEVELOPMENT IN 2016</w:t>
                  </w:r>
                </w:p>
              </w:txbxContent>
            </v:textbox>
            <w10:wrap anchorx="page" anchory="page"/>
            <w10:anchorlock/>
          </v:shape>
        </w:pict>
      </w:r>
      <w:r w:rsidRPr="003815F4">
        <w:rPr>
          <w:noProof/>
          <w:lang w:val="en-GB"/>
        </w:rPr>
        <w:pict>
          <v:group id="Group 24" o:spid="_x0000_s1037"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5bpicAAI7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">
            <o:lock v:ext="edit" aspectratio="t"/>
            <v:rect id="Rectangle 9" o:spid="_x0000_s1040" style="position:absolute;left:1215;top:901;width:676;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" fillcolor="#0071bc" stroked="f">
              <o:lock v:ext="edit" aspectratio="t"/>
            </v:rect>
            <v:rect id="Rectangle 10" o:spid="_x0000_s1039" style="position:absolute;left:567;top:1131;width:1324;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" fillcolor="#0071bc" stroked="f">
              <o:lock v:ext="edit" aspectratio="t"/>
            </v:rect>
            <v:rect id="Rectangle 11" o:spid="_x0000_s1038" style="position:absolute;left:1288;top:1361;width:603;height: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Pr="00CB09D5" w:rsidRDefault="00576A3E" w:rsidP="00D94859">
      <w:pPr>
        <w:pStyle w:val="Styl1"/>
        <w:rPr>
          <w:rFonts w:cs="Arial"/>
          <w:sz w:val="20"/>
          <w:lang w:val="en-GB"/>
        </w:rPr>
      </w:pPr>
    </w:p>
    <w:p w:rsidR="00576A3E" w:rsidRPr="00CB09D5" w:rsidRDefault="00576A3E" w:rsidP="00D94859">
      <w:pPr>
        <w:pStyle w:val="Styl1"/>
        <w:rPr>
          <w:rFonts w:cs="Arial"/>
          <w:sz w:val="20"/>
          <w:lang w:val="en-GB"/>
        </w:rPr>
      </w:pPr>
    </w:p>
    <w:p w:rsidR="00576A3E" w:rsidRPr="00CB09D5" w:rsidRDefault="00576A3E" w:rsidP="00D94859">
      <w:pPr>
        <w:pStyle w:val="Styl1"/>
        <w:rPr>
          <w:rFonts w:cs="Arial"/>
          <w:sz w:val="20"/>
          <w:lang w:val="en-GB"/>
        </w:rPr>
      </w:pPr>
    </w:p>
    <w:p w:rsidR="00576A3E" w:rsidRPr="00CB09D5" w:rsidRDefault="00576A3E" w:rsidP="00D94859">
      <w:pPr>
        <w:autoSpaceDE w:val="0"/>
        <w:autoSpaceDN w:val="0"/>
        <w:adjustRightInd w:val="0"/>
        <w:spacing w:line="240" w:lineRule="auto"/>
        <w:jc w:val="both"/>
        <w:rPr>
          <w:rFonts w:cs="Arial"/>
          <w:lang w:val="en-GB"/>
        </w:rPr>
      </w:pPr>
    </w:p>
    <w:p w:rsidR="00576A3E" w:rsidRPr="00CB09D5" w:rsidRDefault="003815F4" w:rsidP="00D94859">
      <w:pPr>
        <w:autoSpaceDE w:val="0"/>
        <w:autoSpaceDN w:val="0"/>
        <w:adjustRightInd w:val="0"/>
        <w:spacing w:line="240" w:lineRule="auto"/>
        <w:jc w:val="both"/>
        <w:rPr>
          <w:rFonts w:cs="Arial"/>
          <w:lang w:val="en-GB" w:eastAsia="ar-SA"/>
        </w:rPr>
      </w:pPr>
      <w:r w:rsidRPr="003815F4">
        <w:rPr>
          <w:noProof/>
          <w:lang w:val="en-GB"/>
        </w:rPr>
        <w:pict>
          <v:line id="Přímá spojnice 33" o:spid="_x0000_s1036" style="position:absolute;left:0;text-align:left;z-index:251656704;visibility:visible;mso-wrap-distance-top:-6e-5mm;mso-wrap-distance-bottom:-6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sidRPr="00CB09D5">
        <w:rPr>
          <w:rFonts w:cs="Arial"/>
          <w:lang w:val="en-GB"/>
        </w:rPr>
        <w:br w:type="page"/>
      </w:r>
      <w:bookmarkStart w:id="0" w:name="_GoBack"/>
      <w:bookmarkEnd w:id="0"/>
    </w:p>
    <w:p w:rsidR="00576A3E" w:rsidRPr="00CB09D5" w:rsidRDefault="00576A3E" w:rsidP="00D94859">
      <w:pPr>
        <w:pStyle w:val="Styl1"/>
        <w:rPr>
          <w:rFonts w:cs="Arial"/>
          <w:sz w:val="20"/>
          <w:lang w:val="en-GB"/>
        </w:rPr>
      </w:pPr>
    </w:p>
    <w:p w:rsidR="00576A3E" w:rsidRPr="00CB09D5" w:rsidRDefault="00576A3E" w:rsidP="00D94859">
      <w:pPr>
        <w:pStyle w:val="Styl1"/>
        <w:rPr>
          <w:rFonts w:cs="Arial"/>
          <w:sz w:val="20"/>
          <w:lang w:val="en-GB"/>
        </w:rPr>
      </w:pPr>
    </w:p>
    <w:p w:rsidR="00576A3E" w:rsidRPr="00CB09D5" w:rsidRDefault="00576A3E" w:rsidP="00D94859">
      <w:pPr>
        <w:spacing w:line="240" w:lineRule="auto"/>
        <w:rPr>
          <w:rFonts w:cs="Arial"/>
          <w:lang w:val="en-GB" w:eastAsia="ar-SA"/>
        </w:rPr>
      </w:pPr>
    </w:p>
    <w:p w:rsidR="00576A3E" w:rsidRPr="00CB09D5" w:rsidRDefault="00576A3E" w:rsidP="00D94859">
      <w:pPr>
        <w:pStyle w:val="Styl1"/>
        <w:rPr>
          <w:rFonts w:cs="Arial"/>
          <w:sz w:val="20"/>
          <w:lang w:val="en-GB"/>
        </w:rPr>
      </w:pPr>
    </w:p>
    <w:p w:rsidR="00576A3E" w:rsidRPr="00CB09D5" w:rsidRDefault="003815F4" w:rsidP="00D94859">
      <w:pPr>
        <w:pStyle w:val="Styl1"/>
        <w:rPr>
          <w:rFonts w:cs="Arial"/>
          <w:color w:val="7DB41E"/>
          <w:sz w:val="20"/>
          <w:szCs w:val="20"/>
          <w:lang w:val="en-GB"/>
        </w:rPr>
      </w:pPr>
      <w:r w:rsidRPr="003815F4">
        <w:rPr>
          <w:noProof/>
          <w:lang w:val="en-GB" w:eastAsia="cs-CZ"/>
        </w:rPr>
        <w:pict>
          <v:shape id="_x0000_s1035"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P4vA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" filled="f" stroked="f">
            <v:textbox inset="0,0,0,0">
              <w:txbxContent>
                <w:p w:rsidR="000A7C02" w:rsidRPr="00D14EA6" w:rsidRDefault="000A7C02" w:rsidP="0089107B">
                  <w:pPr>
                    <w:pStyle w:val="TL-Kontakty"/>
                    <w:rPr>
                      <w:lang w:val="en-GB"/>
                    </w:rPr>
                  </w:pPr>
                  <w:r w:rsidRPr="00D14EA6">
                    <w:rPr>
                      <w:caps w:val="0"/>
                      <w:lang w:val="en-GB"/>
                    </w:rPr>
                    <w:t>CONTACTS IN THE HEADQUARTERS</w:t>
                  </w:r>
                </w:p>
                <w:p w:rsidR="000A7C02" w:rsidRPr="00EA4153" w:rsidRDefault="000A7C02" w:rsidP="00BD366B">
                  <w:pPr>
                    <w:spacing w:after="80" w:line="240" w:lineRule="auto"/>
                    <w:rPr>
                      <w:b/>
                      <w:color w:val="0071BC"/>
                    </w:rPr>
                  </w:pPr>
                  <w:r w:rsidRPr="00D14EA6">
                    <w:rPr>
                      <w:b/>
                      <w:color w:val="0071BC"/>
                      <w:lang w:val="en-GB"/>
                    </w:rPr>
                    <w:t xml:space="preserve">Czech Statistical Office </w:t>
                  </w:r>
                  <w:r>
                    <w:rPr>
                      <w:b/>
                      <w:color w:val="0071BC"/>
                    </w:rPr>
                    <w:t xml:space="preserve">| </w:t>
                  </w:r>
                  <w:r>
                    <w:t xml:space="preserve">Na padesátém 81, 100 82 Praha 10 | ph.: 274 051 111 | </w:t>
                  </w:r>
                  <w:r w:rsidRPr="00841D9F">
                    <w:rPr>
                      <w:b/>
                      <w:bCs/>
                    </w:rPr>
                    <w:t>www.czso.cz</w:t>
                  </w:r>
                </w:p>
                <w:p w:rsidR="000A7C02" w:rsidRPr="00B27293" w:rsidRDefault="000A7C02" w:rsidP="00BD366B">
                  <w:pPr>
                    <w:spacing w:after="80" w:line="240" w:lineRule="auto"/>
                  </w:pPr>
                  <w:r w:rsidRPr="009B4830">
                    <w:rPr>
                      <w:b/>
                      <w:lang w:val="fr-FR"/>
                    </w:rPr>
                    <w:t>Information Services</w:t>
                  </w:r>
                  <w:r w:rsidRPr="00EA4153">
                    <w:t xml:space="preserve"> |</w:t>
                  </w:r>
                  <w:r>
                    <w:rPr>
                      <w:b/>
                    </w:rPr>
                    <w:t xml:space="preserve"> </w:t>
                  </w:r>
                  <w:r w:rsidRPr="00B153F4">
                    <w:t>ph.:</w:t>
                  </w:r>
                  <w:r>
                    <w:t xml:space="preserve"> 274 052 304, 274 052 451 | e-mail: infoservis@czso.cz</w:t>
                  </w:r>
                </w:p>
                <w:p w:rsidR="000A7C02" w:rsidRPr="00EA4153" w:rsidRDefault="000A7C02" w:rsidP="00BD366B">
                  <w:pPr>
                    <w:spacing w:after="80" w:line="240" w:lineRule="auto"/>
                    <w:rPr>
                      <w:b/>
                    </w:rPr>
                  </w:pPr>
                  <w:r w:rsidRPr="00D14EA6">
                    <w:rPr>
                      <w:b/>
                      <w:lang w:val="en-GB"/>
                    </w:rPr>
                    <w:t>CZSO Publications Shop</w:t>
                  </w:r>
                  <w:r w:rsidRPr="00D14EA6">
                    <w:rPr>
                      <w:lang w:val="en-GB"/>
                    </w:rPr>
                    <w:t xml:space="preserve"> </w:t>
                  </w:r>
                  <w:r>
                    <w:t>| ph.: 274 052 361 | e-mail: prodejna@czso.cz</w:t>
                  </w:r>
                </w:p>
                <w:p w:rsidR="000A7C02" w:rsidRPr="00EA4153" w:rsidRDefault="000A7C02" w:rsidP="00BD366B">
                  <w:pPr>
                    <w:spacing w:after="80" w:line="240" w:lineRule="auto"/>
                    <w:rPr>
                      <w:b/>
                    </w:rPr>
                  </w:pPr>
                  <w:r w:rsidRPr="00D14EA6">
                    <w:rPr>
                      <w:b/>
                      <w:lang w:val="en-GB"/>
                    </w:rPr>
                    <w:t>European data (ESDS), international comparison</w:t>
                  </w:r>
                  <w:r w:rsidRPr="00D14EA6">
                    <w:rPr>
                      <w:lang w:val="en-GB"/>
                    </w:rPr>
                    <w:t xml:space="preserve"> </w:t>
                  </w:r>
                  <w:r>
                    <w:t>| ph.: 274 052 347, 274 052 757 | e-mail: esds@czso.cz</w:t>
                  </w:r>
                </w:p>
                <w:p w:rsidR="000A7C02" w:rsidRPr="00EA4153" w:rsidRDefault="000A7C02" w:rsidP="00BD366B">
                  <w:pPr>
                    <w:spacing w:after="80" w:line="240" w:lineRule="auto"/>
                    <w:rPr>
                      <w:b/>
                    </w:rPr>
                  </w:pPr>
                  <w:r w:rsidRPr="00D14EA6">
                    <w:rPr>
                      <w:b/>
                      <w:lang w:val="en-GB"/>
                    </w:rPr>
                    <w:t>Central Statistical Library</w:t>
                  </w:r>
                  <w:r w:rsidRPr="00D14EA6">
                    <w:rPr>
                      <w:lang w:val="en-GB"/>
                    </w:rPr>
                    <w:t xml:space="preserve"> </w:t>
                  </w:r>
                  <w:r>
                    <w:t>| ph.: 274 052 361 | e-mail: knihovna@czso.cz</w:t>
                  </w:r>
                </w:p>
                <w:p w:rsidR="000A7C02" w:rsidRDefault="000A7C02" w:rsidP="00BD366B">
                  <w:pPr>
                    <w:spacing w:line="240" w:lineRule="auto"/>
                  </w:pPr>
                </w:p>
                <w:p w:rsidR="000A7C02" w:rsidRPr="00D14EA6" w:rsidRDefault="000A7C02" w:rsidP="00EF563D">
                  <w:pPr>
                    <w:pStyle w:val="TL-Kontakty"/>
                    <w:rPr>
                      <w:lang w:val="en-GB"/>
                    </w:rPr>
                  </w:pPr>
                  <w:r w:rsidRPr="00D14EA6">
                    <w:rPr>
                      <w:lang w:val="en-GB"/>
                    </w:rPr>
                    <w:t>INFORMATION SERVICES IN THE REGIONS</w:t>
                  </w:r>
                </w:p>
                <w:p w:rsidR="000A7C02" w:rsidRDefault="000A7C02" w:rsidP="00BD366B">
                  <w:pPr>
                    <w:spacing w:line="240" w:lineRule="auto"/>
                  </w:pPr>
                  <w:r w:rsidRPr="00D14EA6">
                    <w:rPr>
                      <w:b/>
                      <w:color w:val="0071BC"/>
                      <w:lang w:val="en-GB"/>
                    </w:rPr>
                    <w:t>Capital city Prague</w:t>
                  </w:r>
                  <w:r w:rsidRPr="00D14EA6">
                    <w:rPr>
                      <w:lang w:val="en-GB"/>
                    </w:rPr>
                    <w:t xml:space="preserve"> </w:t>
                  </w:r>
                  <w:r>
                    <w:t>| Na padesátém 81, 100 82 Praha 10 | ph.: 274 052 673, 274 054 223</w:t>
                  </w:r>
                </w:p>
                <w:p w:rsidR="000A7C02" w:rsidRPr="00100014" w:rsidRDefault="000A7C02" w:rsidP="00BD366B">
                  <w:pPr>
                    <w:spacing w:line="240" w:lineRule="auto"/>
                    <w:rPr>
                      <w:b/>
                    </w:rPr>
                  </w:pPr>
                  <w:r>
                    <w:t xml:space="preserve">e-mail: infoservispraha@czso.cz | </w:t>
                  </w:r>
                  <w:r w:rsidRPr="00100014">
                    <w:rPr>
                      <w:b/>
                    </w:rPr>
                    <w:t>www.praha.czso.cz</w:t>
                  </w:r>
                </w:p>
                <w:p w:rsidR="000A7C02" w:rsidRDefault="000A7C02" w:rsidP="00BD366B">
                  <w:pPr>
                    <w:spacing w:line="240" w:lineRule="auto"/>
                  </w:pPr>
                </w:p>
                <w:p w:rsidR="000A7C02" w:rsidRPr="00B27293" w:rsidRDefault="000A7C02" w:rsidP="00BD366B">
                  <w:pPr>
                    <w:spacing w:line="240" w:lineRule="auto"/>
                    <w:rPr>
                      <w:b/>
                      <w:color w:val="0071BC"/>
                    </w:rPr>
                  </w:pPr>
                  <w:r w:rsidRPr="00264AF7">
                    <w:rPr>
                      <w:b/>
                      <w:color w:val="0071BC"/>
                      <w:lang w:val="it-IT"/>
                    </w:rPr>
                    <w:t>Central Bohemia</w:t>
                  </w:r>
                  <w:r w:rsidRPr="00264AF7">
                    <w:rPr>
                      <w:lang w:val="it-IT"/>
                    </w:rPr>
                    <w:t xml:space="preserve"> </w:t>
                  </w:r>
                  <w:r>
                    <w:t>| Na padesátém 81, 100 82 Praha 10</w:t>
                  </w:r>
                  <w:r w:rsidRPr="00B27293">
                    <w:t xml:space="preserve"> |</w:t>
                  </w:r>
                  <w:r w:rsidRPr="00B27293">
                    <w:rPr>
                      <w:b/>
                    </w:rPr>
                    <w:t xml:space="preserve"> </w:t>
                  </w:r>
                  <w:r w:rsidRPr="00EF563D">
                    <w:t>ph.:</w:t>
                  </w:r>
                  <w:r>
                    <w:t xml:space="preserve"> 274 054 175</w:t>
                  </w:r>
                </w:p>
                <w:p w:rsidR="000A7C02" w:rsidRPr="00B27293" w:rsidRDefault="000A7C02" w:rsidP="00BD366B">
                  <w:pPr>
                    <w:spacing w:line="240" w:lineRule="auto"/>
                  </w:pPr>
                  <w:r>
                    <w:t xml:space="preserve">e-mail: infoservisstc@czso.cz | </w:t>
                  </w:r>
                  <w:r w:rsidRPr="00100014">
                    <w:rPr>
                      <w:b/>
                    </w:rPr>
                    <w:t>www.stredocesky.czso.cz</w:t>
                  </w:r>
                </w:p>
                <w:p w:rsidR="000A7C02" w:rsidRDefault="000A7C02" w:rsidP="00BD366B">
                  <w:pPr>
                    <w:spacing w:line="240" w:lineRule="auto"/>
                  </w:pPr>
                </w:p>
                <w:p w:rsidR="000A7C02" w:rsidRPr="00B27293" w:rsidRDefault="000A7C02" w:rsidP="00BD366B">
                  <w:pPr>
                    <w:spacing w:line="240" w:lineRule="auto"/>
                    <w:rPr>
                      <w:b/>
                      <w:color w:val="0071BC"/>
                    </w:rPr>
                  </w:pPr>
                  <w:r w:rsidRPr="00100014">
                    <w:rPr>
                      <w:b/>
                      <w:color w:val="0071BC"/>
                    </w:rPr>
                    <w:t>České Budějovice</w:t>
                  </w:r>
                  <w:r>
                    <w:t xml:space="preserve"> | Žižkova 1, 370 77 České Budějovice | ph.: 386 718 440</w:t>
                  </w:r>
                </w:p>
                <w:p w:rsidR="000A7C02" w:rsidRPr="00B27293" w:rsidRDefault="000A7C02" w:rsidP="00BD366B">
                  <w:pPr>
                    <w:spacing w:line="240" w:lineRule="auto"/>
                  </w:pPr>
                  <w:r>
                    <w:t xml:space="preserve">e-mail: infoserviscb@czso.cz | </w:t>
                  </w:r>
                  <w:r w:rsidRPr="00100014">
                    <w:rPr>
                      <w:b/>
                    </w:rPr>
                    <w:t>www.cbudejovice.czso.cz</w:t>
                  </w:r>
                </w:p>
                <w:p w:rsidR="000A7C02" w:rsidRDefault="000A7C02" w:rsidP="00BD366B">
                  <w:pPr>
                    <w:spacing w:line="240" w:lineRule="auto"/>
                  </w:pPr>
                </w:p>
                <w:p w:rsidR="000A7C02" w:rsidRPr="00B27293" w:rsidRDefault="000A7C02" w:rsidP="00BD366B">
                  <w:pPr>
                    <w:spacing w:line="240" w:lineRule="auto"/>
                    <w:rPr>
                      <w:b/>
                      <w:color w:val="0071BC"/>
                    </w:rPr>
                  </w:pPr>
                  <w:r w:rsidRPr="0071229A">
                    <w:rPr>
                      <w:b/>
                      <w:color w:val="0071BC"/>
                    </w:rPr>
                    <w:t>Plzeň</w:t>
                  </w:r>
                  <w:r>
                    <w:t xml:space="preserve"> | Slovanská alej 36, 326 64 Plzeň | ph.: 377 612 108, 377 612 249</w:t>
                  </w:r>
                </w:p>
                <w:p w:rsidR="000A7C02" w:rsidRPr="00B27293" w:rsidRDefault="000A7C02" w:rsidP="00BD366B">
                  <w:pPr>
                    <w:spacing w:line="240" w:lineRule="auto"/>
                  </w:pPr>
                  <w:r>
                    <w:t xml:space="preserve">e-mail: infoservisplzen@czso.cz | </w:t>
                  </w:r>
                  <w:r w:rsidRPr="0071229A">
                    <w:rPr>
                      <w:b/>
                    </w:rPr>
                    <w:t>www.plzen.czso.cz</w:t>
                  </w:r>
                </w:p>
                <w:p w:rsidR="000A7C02" w:rsidRDefault="000A7C02" w:rsidP="00BD366B">
                  <w:pPr>
                    <w:spacing w:line="240" w:lineRule="auto"/>
                  </w:pPr>
                </w:p>
                <w:p w:rsidR="000A7C02" w:rsidRPr="00B27293" w:rsidRDefault="000A7C02" w:rsidP="00BD366B">
                  <w:pPr>
                    <w:spacing w:line="240" w:lineRule="auto"/>
                    <w:rPr>
                      <w:b/>
                      <w:color w:val="0071BC"/>
                    </w:rPr>
                  </w:pPr>
                  <w:r w:rsidRPr="0071229A">
                    <w:rPr>
                      <w:b/>
                      <w:color w:val="0071BC"/>
                    </w:rPr>
                    <w:t>Karlovy Vary</w:t>
                  </w:r>
                  <w:r>
                    <w:t xml:space="preserve"> | Závodní 360/94, 360 06 Karlovy Vary | ph.: 353 114 529, 353 114 525</w:t>
                  </w:r>
                </w:p>
                <w:p w:rsidR="000A7C02" w:rsidRDefault="000A7C02" w:rsidP="00BD366B">
                  <w:pPr>
                    <w:spacing w:line="240" w:lineRule="auto"/>
                    <w:rPr>
                      <w:b/>
                    </w:rPr>
                  </w:pPr>
                  <w:r>
                    <w:t xml:space="preserve">e-mail: infoserviskv@czso.cz | </w:t>
                  </w:r>
                  <w:r>
                    <w:rPr>
                      <w:b/>
                    </w:rPr>
                    <w:t>www.kvary.czso.cz</w:t>
                  </w:r>
                </w:p>
                <w:p w:rsidR="000A7C02" w:rsidRDefault="000A7C02" w:rsidP="00BD366B">
                  <w:pPr>
                    <w:spacing w:line="240" w:lineRule="auto"/>
                  </w:pPr>
                </w:p>
                <w:p w:rsidR="000A7C02" w:rsidRPr="00B27293" w:rsidRDefault="000A7C02"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ph</w:t>
                  </w:r>
                  <w:r w:rsidRPr="0071229A">
                    <w:rPr>
                      <w:bCs/>
                    </w:rPr>
                    <w:t>.: 472 706 176, 472 706 121</w:t>
                  </w:r>
                </w:p>
                <w:p w:rsidR="000A7C02" w:rsidRPr="00B27293" w:rsidRDefault="000A7C02" w:rsidP="00BD366B">
                  <w:pPr>
                    <w:spacing w:line="240" w:lineRule="auto"/>
                    <w:rPr>
                      <w:bCs/>
                    </w:rPr>
                  </w:pPr>
                  <w:r w:rsidRPr="0071229A">
                    <w:rPr>
                      <w:bCs/>
                    </w:rPr>
                    <w:t>e-mail: infoservisul@czso.cz</w:t>
                  </w:r>
                  <w:r>
                    <w:t xml:space="preserve"> | </w:t>
                  </w:r>
                  <w:r w:rsidRPr="0071229A">
                    <w:rPr>
                      <w:b/>
                      <w:bCs/>
                    </w:rPr>
                    <w:t>www.ustinadlabem.czso.cz</w:t>
                  </w:r>
                </w:p>
                <w:p w:rsidR="000A7C02" w:rsidRPr="0071229A" w:rsidRDefault="000A7C02" w:rsidP="00BD366B">
                  <w:pPr>
                    <w:spacing w:line="240" w:lineRule="auto"/>
                    <w:rPr>
                      <w:bCs/>
                    </w:rPr>
                  </w:pPr>
                </w:p>
                <w:p w:rsidR="000A7C02" w:rsidRPr="00B27293" w:rsidRDefault="000A7C02"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ph</w:t>
                  </w:r>
                  <w:r w:rsidRPr="0071229A">
                    <w:rPr>
                      <w:bCs/>
                    </w:rPr>
                    <w:t>.: 485 238 811</w:t>
                  </w:r>
                </w:p>
                <w:p w:rsidR="000A7C02" w:rsidRPr="00B27293" w:rsidRDefault="000A7C02" w:rsidP="00BD366B">
                  <w:pPr>
                    <w:spacing w:line="240" w:lineRule="auto"/>
                    <w:rPr>
                      <w:bCs/>
                    </w:rPr>
                  </w:pPr>
                  <w:r w:rsidRPr="0071229A">
                    <w:rPr>
                      <w:bCs/>
                    </w:rPr>
                    <w:t>e-mail: infoservislbc@czso.cz</w:t>
                  </w:r>
                  <w:r>
                    <w:t xml:space="preserve"> | </w:t>
                  </w:r>
                  <w:r w:rsidRPr="0071229A">
                    <w:rPr>
                      <w:b/>
                      <w:bCs/>
                    </w:rPr>
                    <w:t>www.liberec.czso.cz</w:t>
                  </w:r>
                </w:p>
                <w:p w:rsidR="000A7C02" w:rsidRPr="0071229A" w:rsidRDefault="000A7C02" w:rsidP="00BD366B">
                  <w:pPr>
                    <w:spacing w:line="240" w:lineRule="auto"/>
                    <w:rPr>
                      <w:bCs/>
                    </w:rPr>
                  </w:pPr>
                </w:p>
                <w:p w:rsidR="000A7C02" w:rsidRPr="00B27293" w:rsidRDefault="000A7C02"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ph</w:t>
                  </w:r>
                  <w:r w:rsidRPr="0071229A">
                    <w:rPr>
                      <w:bCs/>
                    </w:rPr>
                    <w:t>.: 495 762 322, 495 762 317</w:t>
                  </w:r>
                </w:p>
                <w:p w:rsidR="000A7C02" w:rsidRPr="00B27293" w:rsidRDefault="000A7C02" w:rsidP="00BD366B">
                  <w:pPr>
                    <w:spacing w:line="240" w:lineRule="auto"/>
                    <w:rPr>
                      <w:bCs/>
                    </w:rPr>
                  </w:pPr>
                  <w:r w:rsidRPr="0071229A">
                    <w:rPr>
                      <w:bCs/>
                    </w:rPr>
                    <w:t>e-mail: infoservishk@czso.cz</w:t>
                  </w:r>
                  <w:r>
                    <w:t xml:space="preserve"> | </w:t>
                  </w:r>
                  <w:r w:rsidRPr="0071229A">
                    <w:rPr>
                      <w:b/>
                      <w:bCs/>
                    </w:rPr>
                    <w:t>www.hradeckralove.czso.cz</w:t>
                  </w:r>
                </w:p>
                <w:p w:rsidR="000A7C02" w:rsidRPr="0071229A" w:rsidRDefault="000A7C02" w:rsidP="00BD366B">
                  <w:pPr>
                    <w:spacing w:line="240" w:lineRule="auto"/>
                    <w:rPr>
                      <w:bCs/>
                    </w:rPr>
                  </w:pPr>
                </w:p>
                <w:p w:rsidR="000A7C02" w:rsidRPr="00B27293" w:rsidRDefault="000A7C02"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ph</w:t>
                  </w:r>
                  <w:r w:rsidRPr="0071229A">
                    <w:rPr>
                      <w:bCs/>
                    </w:rPr>
                    <w:t>.: 466 743 480, 466 743 418</w:t>
                  </w:r>
                </w:p>
                <w:p w:rsidR="000A7C02" w:rsidRPr="00B27293" w:rsidRDefault="000A7C02" w:rsidP="00BD366B">
                  <w:pPr>
                    <w:spacing w:line="240" w:lineRule="auto"/>
                    <w:rPr>
                      <w:bCs/>
                    </w:rPr>
                  </w:pPr>
                  <w:r w:rsidRPr="0071229A">
                    <w:rPr>
                      <w:bCs/>
                    </w:rPr>
                    <w:t>e-mail: infoservispa@czso.cz</w:t>
                  </w:r>
                  <w:r>
                    <w:t xml:space="preserve"> | </w:t>
                  </w:r>
                  <w:r w:rsidRPr="0071229A">
                    <w:rPr>
                      <w:b/>
                      <w:bCs/>
                    </w:rPr>
                    <w:t>www.pardubice.czso.cz</w:t>
                  </w:r>
                </w:p>
                <w:p w:rsidR="000A7C02" w:rsidRPr="0071229A" w:rsidRDefault="000A7C02" w:rsidP="00BD366B">
                  <w:pPr>
                    <w:spacing w:line="240" w:lineRule="auto"/>
                    <w:rPr>
                      <w:bCs/>
                    </w:rPr>
                  </w:pPr>
                </w:p>
                <w:p w:rsidR="000A7C02" w:rsidRPr="00B27293" w:rsidRDefault="000A7C02"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ph</w:t>
                  </w:r>
                  <w:r w:rsidRPr="0071229A">
                    <w:rPr>
                      <w:bCs/>
                    </w:rPr>
                    <w:t>.: 567 109 062, 567 109 080</w:t>
                  </w:r>
                </w:p>
                <w:p w:rsidR="000A7C02" w:rsidRPr="00B27293" w:rsidRDefault="000A7C02" w:rsidP="00BD366B">
                  <w:pPr>
                    <w:spacing w:line="240" w:lineRule="auto"/>
                    <w:rPr>
                      <w:bCs/>
                    </w:rPr>
                  </w:pPr>
                  <w:r w:rsidRPr="0071229A">
                    <w:rPr>
                      <w:bCs/>
                    </w:rPr>
                    <w:t>e-mail: infoservisvys@czso.cz</w:t>
                  </w:r>
                  <w:r>
                    <w:t xml:space="preserve"> | </w:t>
                  </w:r>
                  <w:r w:rsidRPr="0071229A">
                    <w:rPr>
                      <w:b/>
                      <w:bCs/>
                    </w:rPr>
                    <w:t>www.jihlava.czso.cz</w:t>
                  </w:r>
                </w:p>
                <w:p w:rsidR="000A7C02" w:rsidRPr="0071229A" w:rsidRDefault="000A7C02" w:rsidP="00BD366B">
                  <w:pPr>
                    <w:spacing w:line="240" w:lineRule="auto"/>
                    <w:rPr>
                      <w:bCs/>
                    </w:rPr>
                  </w:pPr>
                </w:p>
                <w:p w:rsidR="000A7C02" w:rsidRPr="00B27293" w:rsidRDefault="000A7C02" w:rsidP="00BD366B">
                  <w:pPr>
                    <w:spacing w:line="240" w:lineRule="auto"/>
                    <w:rPr>
                      <w:b/>
                      <w:bCs/>
                    </w:rPr>
                  </w:pPr>
                  <w:r w:rsidRPr="0071229A">
                    <w:rPr>
                      <w:b/>
                      <w:bCs/>
                      <w:color w:val="0071BC"/>
                    </w:rPr>
                    <w:t>Brno</w:t>
                  </w:r>
                  <w:r>
                    <w:t xml:space="preserve"> | </w:t>
                  </w:r>
                  <w:r w:rsidRPr="0071229A">
                    <w:rPr>
                      <w:bCs/>
                    </w:rPr>
                    <w:t>Jezuitská 2, 601 59 Brno</w:t>
                  </w:r>
                  <w:r>
                    <w:t xml:space="preserve"> | ph</w:t>
                  </w:r>
                  <w:r w:rsidRPr="0071229A">
                    <w:rPr>
                      <w:bCs/>
                    </w:rPr>
                    <w:t>.: 542 528 115, 542 528 105</w:t>
                  </w:r>
                </w:p>
                <w:p w:rsidR="000A7C02" w:rsidRPr="00B27293" w:rsidRDefault="000A7C02" w:rsidP="00BD366B">
                  <w:pPr>
                    <w:spacing w:line="240" w:lineRule="auto"/>
                    <w:rPr>
                      <w:bCs/>
                    </w:rPr>
                  </w:pPr>
                  <w:r w:rsidRPr="0071229A">
                    <w:rPr>
                      <w:bCs/>
                    </w:rPr>
                    <w:t>e-mail: infoservisbrno@czso.cz</w:t>
                  </w:r>
                  <w:r>
                    <w:t xml:space="preserve"> | </w:t>
                  </w:r>
                  <w:r w:rsidRPr="0071229A">
                    <w:rPr>
                      <w:b/>
                      <w:bCs/>
                    </w:rPr>
                    <w:t>www.brno.czso.cz</w:t>
                  </w:r>
                </w:p>
                <w:p w:rsidR="000A7C02" w:rsidRPr="0071229A" w:rsidRDefault="000A7C02" w:rsidP="00BD366B">
                  <w:pPr>
                    <w:spacing w:line="240" w:lineRule="auto"/>
                    <w:rPr>
                      <w:bCs/>
                    </w:rPr>
                  </w:pPr>
                </w:p>
                <w:p w:rsidR="000A7C02" w:rsidRPr="00B27293" w:rsidRDefault="000A7C02" w:rsidP="00BD366B">
                  <w:pPr>
                    <w:spacing w:line="240" w:lineRule="auto"/>
                    <w:rPr>
                      <w:b/>
                      <w:bCs/>
                    </w:rPr>
                  </w:pPr>
                  <w:r w:rsidRPr="0071229A">
                    <w:rPr>
                      <w:b/>
                      <w:bCs/>
                      <w:color w:val="0071BC"/>
                    </w:rPr>
                    <w:t>Olomouc</w:t>
                  </w:r>
                  <w:r>
                    <w:t xml:space="preserve"> | </w:t>
                  </w:r>
                  <w:r w:rsidRPr="0071229A">
                    <w:rPr>
                      <w:bCs/>
                    </w:rPr>
                    <w:t>Jeremenkova 1142/42, 772 11 Olomouc</w:t>
                  </w:r>
                  <w:r>
                    <w:t xml:space="preserve"> | ph</w:t>
                  </w:r>
                  <w:r w:rsidRPr="0071229A">
                    <w:rPr>
                      <w:bCs/>
                    </w:rPr>
                    <w:t>.: 585 731 516, 585 731 509</w:t>
                  </w:r>
                </w:p>
                <w:p w:rsidR="000A7C02" w:rsidRPr="00B27293" w:rsidRDefault="000A7C02" w:rsidP="00BD366B">
                  <w:pPr>
                    <w:spacing w:line="240" w:lineRule="auto"/>
                    <w:rPr>
                      <w:bCs/>
                    </w:rPr>
                  </w:pPr>
                  <w:r w:rsidRPr="0071229A">
                    <w:rPr>
                      <w:bCs/>
                    </w:rPr>
                    <w:t>e-mail: infoservisolom@czso.cz</w:t>
                  </w:r>
                  <w:r>
                    <w:t xml:space="preserve"> | </w:t>
                  </w:r>
                  <w:r w:rsidRPr="0071229A">
                    <w:rPr>
                      <w:b/>
                      <w:bCs/>
                    </w:rPr>
                    <w:t>www.olomouc.czso.cz</w:t>
                  </w:r>
                </w:p>
                <w:p w:rsidR="000A7C02" w:rsidRPr="0071229A" w:rsidRDefault="000A7C02" w:rsidP="00BD366B">
                  <w:pPr>
                    <w:spacing w:line="240" w:lineRule="auto"/>
                    <w:rPr>
                      <w:bCs/>
                    </w:rPr>
                  </w:pPr>
                </w:p>
                <w:p w:rsidR="000A7C02" w:rsidRPr="00B27293" w:rsidRDefault="000A7C02" w:rsidP="00BD366B">
                  <w:pPr>
                    <w:spacing w:line="240" w:lineRule="auto"/>
                    <w:rPr>
                      <w:b/>
                      <w:bCs/>
                    </w:rPr>
                  </w:pPr>
                  <w:r w:rsidRPr="0071229A">
                    <w:rPr>
                      <w:b/>
                      <w:bCs/>
                      <w:color w:val="0071BC"/>
                    </w:rPr>
                    <w:t>Ostrava</w:t>
                  </w:r>
                  <w:r>
                    <w:t xml:space="preserve"> | </w:t>
                  </w:r>
                  <w:r w:rsidRPr="0071229A">
                    <w:rPr>
                      <w:bCs/>
                    </w:rPr>
                    <w:t>Repinova 17, 702 03 Ostrava</w:t>
                  </w:r>
                  <w:r>
                    <w:t xml:space="preserve"> | ph</w:t>
                  </w:r>
                  <w:r w:rsidRPr="0071229A">
                    <w:rPr>
                      <w:bCs/>
                    </w:rPr>
                    <w:t>.: 595 131 230, 595 131 232</w:t>
                  </w:r>
                </w:p>
                <w:p w:rsidR="000A7C02" w:rsidRPr="00B27293" w:rsidRDefault="000A7C02" w:rsidP="00BD366B">
                  <w:pPr>
                    <w:spacing w:line="240" w:lineRule="auto"/>
                    <w:rPr>
                      <w:bCs/>
                    </w:rPr>
                  </w:pPr>
                  <w:r w:rsidRPr="0071229A">
                    <w:rPr>
                      <w:bCs/>
                    </w:rPr>
                    <w:t>e-mail: infoservis_ov@czso.cz</w:t>
                  </w:r>
                  <w:r>
                    <w:t xml:space="preserve"> | </w:t>
                  </w:r>
                  <w:r w:rsidRPr="0071229A">
                    <w:rPr>
                      <w:b/>
                      <w:bCs/>
                    </w:rPr>
                    <w:t>www.ostrava.czso.cz</w:t>
                  </w:r>
                </w:p>
                <w:p w:rsidR="000A7C02" w:rsidRPr="0071229A" w:rsidRDefault="000A7C02" w:rsidP="00BD366B">
                  <w:pPr>
                    <w:spacing w:line="240" w:lineRule="auto"/>
                    <w:rPr>
                      <w:bCs/>
                    </w:rPr>
                  </w:pPr>
                </w:p>
                <w:p w:rsidR="000A7C02" w:rsidRPr="0071229A" w:rsidRDefault="000A7C02" w:rsidP="00BD366B">
                  <w:pPr>
                    <w:spacing w:line="240" w:lineRule="auto"/>
                    <w:rPr>
                      <w:bCs/>
                    </w:rPr>
                  </w:pPr>
                  <w:r w:rsidRPr="0071229A">
                    <w:rPr>
                      <w:b/>
                      <w:bCs/>
                      <w:color w:val="0071BC"/>
                    </w:rPr>
                    <w:t>Zlín</w:t>
                  </w:r>
                  <w:r>
                    <w:t xml:space="preserve"> | </w:t>
                  </w:r>
                  <w:r w:rsidRPr="0071229A">
                    <w:rPr>
                      <w:bCs/>
                    </w:rPr>
                    <w:t>tř. Tomáše Bati 1565, 761 76 Zlín</w:t>
                  </w:r>
                  <w:r>
                    <w:t xml:space="preserve"> | ph</w:t>
                  </w:r>
                  <w:r w:rsidRPr="0071229A">
                    <w:rPr>
                      <w:bCs/>
                    </w:rPr>
                    <w:t>.: 577 004 931, 577 004 935</w:t>
                  </w:r>
                </w:p>
                <w:p w:rsidR="000A7C02" w:rsidRPr="00B27293" w:rsidRDefault="000A7C02" w:rsidP="00BD366B">
                  <w:pPr>
                    <w:spacing w:line="240" w:lineRule="auto"/>
                    <w:rPr>
                      <w:bCs/>
                    </w:rPr>
                  </w:pPr>
                  <w:r w:rsidRPr="0071229A">
                    <w:rPr>
                      <w:bCs/>
                    </w:rPr>
                    <w:t>e-mail: infoservis-zl@czso.cz</w:t>
                  </w:r>
                  <w:r>
                    <w:t xml:space="preserve"> | </w:t>
                  </w:r>
                  <w:r w:rsidRPr="0071229A">
                    <w:rPr>
                      <w:b/>
                      <w:bCs/>
                    </w:rPr>
                    <w:t>www.zlin.czso.cz</w:t>
                  </w:r>
                </w:p>
                <w:p w:rsidR="000A7C02" w:rsidRPr="00B27293" w:rsidRDefault="000A7C02" w:rsidP="00BD366B">
                  <w:pPr>
                    <w:spacing w:line="240" w:lineRule="auto"/>
                  </w:pPr>
                </w:p>
              </w:txbxContent>
            </v:textbox>
            <w10:wrap anchorx="page" anchory="page"/>
            <w10:anchorlock/>
          </v:shape>
        </w:pict>
      </w:r>
      <w:r w:rsidRPr="003815F4">
        <w:rPr>
          <w:noProof/>
          <w:lang w:val="en-GB" w:eastAsia="cs-CZ"/>
        </w:rPr>
        <w:pict>
          <v:shape id="_x0000_s1034" type="#_x0000_t202" style="position:absolute;margin-left:57pt;margin-top:56.85pt;width:516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" filled="f" stroked="f">
            <v:textbox style="mso-fit-shape-to-text:t" inset="0,0,0,0">
              <w:txbxContent>
                <w:p w:rsidR="000A7C02" w:rsidRPr="00F76E62" w:rsidRDefault="000A7C02" w:rsidP="0089107B">
                  <w:pPr>
                    <w:rPr>
                      <w:b/>
                      <w:bCs/>
                      <w:sz w:val="24"/>
                      <w:lang w:val="en-GB"/>
                    </w:rPr>
                  </w:pPr>
                  <w:r w:rsidRPr="00F76E62">
                    <w:rPr>
                      <w:b/>
                      <w:color w:val="0071BC"/>
                      <w:sz w:val="24"/>
                      <w:lang w:val="en-GB"/>
                    </w:rPr>
                    <w:t xml:space="preserve">Are you interested in the latest data connected with inflation, GDP, population, average wages and much more? You can find them on the CZSO web page: </w:t>
                  </w:r>
                  <w:r w:rsidRPr="00F76E62">
                    <w:rPr>
                      <w:b/>
                      <w:bCs/>
                      <w:sz w:val="24"/>
                      <w:lang w:val="en-GB"/>
                    </w:rPr>
                    <w:t>www.czso.cz</w:t>
                  </w:r>
                  <w:r>
                    <w:rPr>
                      <w:b/>
                      <w:bCs/>
                      <w:sz w:val="24"/>
                      <w:lang w:val="en-GB"/>
                    </w:rPr>
                    <w:t>.</w:t>
                  </w:r>
                </w:p>
                <w:p w:rsidR="000A7C02" w:rsidRPr="004F4353" w:rsidRDefault="000A7C02" w:rsidP="0060487F">
                  <w:pPr>
                    <w:rPr>
                      <w:b/>
                      <w:bCs/>
                      <w:sz w:val="24"/>
                    </w:rPr>
                  </w:pPr>
                </w:p>
              </w:txbxContent>
            </v:textbox>
            <w10:wrap anchorx="page" anchory="page"/>
            <w10:anchorlock/>
          </v:shape>
        </w:pict>
      </w:r>
      <w:r w:rsidRPr="003815F4">
        <w:rPr>
          <w:noProof/>
          <w:lang w:val="en-GB" w:eastAsia="cs-CZ"/>
        </w:rPr>
        <w:pict>
          <v:shape id="_x0000_s1033"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" filled="f" stroked="f">
            <v:textbox inset="0,0,0,0">
              <w:txbxContent>
                <w:p w:rsidR="000A7C02" w:rsidRPr="00841D9F" w:rsidRDefault="000A7C02" w:rsidP="004F06F5"/>
                <w:p w:rsidR="000A7C02" w:rsidRPr="00D14EA6" w:rsidRDefault="000A7C02" w:rsidP="005767FE">
                  <w:pPr>
                    <w:rPr>
                      <w:lang w:val="en-GB"/>
                    </w:rPr>
                  </w:pPr>
                  <w:r w:rsidRPr="00841D9F">
                    <w:t xml:space="preserve">© </w:t>
                  </w:r>
                  <w:r w:rsidRPr="00D14EA6">
                    <w:rPr>
                      <w:lang w:val="en-GB"/>
                    </w:rPr>
                    <w:t>Czech Statistical Office, Prague, 201</w:t>
                  </w:r>
                  <w:r>
                    <w:rPr>
                      <w:lang w:val="en-GB"/>
                    </w:rPr>
                    <w:t>7</w:t>
                  </w:r>
                </w:p>
                <w:p w:rsidR="000A7C02" w:rsidRPr="00AF2852" w:rsidRDefault="000A7C02" w:rsidP="004F06F5"/>
              </w:txbxContent>
            </v:textbox>
            <w10:wrap anchorx="page" anchory="page"/>
            <w10:anchorlock/>
          </v:shape>
        </w:pict>
      </w:r>
    </w:p>
    <w:p w:rsidR="00576A3E" w:rsidRPr="00CB09D5" w:rsidRDefault="00576A3E" w:rsidP="00D94859">
      <w:pPr>
        <w:pStyle w:val="Zkladnodstavec"/>
        <w:spacing w:after="240"/>
        <w:rPr>
          <w:rFonts w:ascii="Arial" w:hAnsi="Arial" w:cs="Arial"/>
          <w:b/>
          <w:color w:val="A5007B"/>
          <w:sz w:val="32"/>
          <w:szCs w:val="32"/>
          <w:lang w:val="en-GB"/>
        </w:rPr>
      </w:pPr>
    </w:p>
    <w:p w:rsidR="00576A3E" w:rsidRPr="00CB09D5" w:rsidRDefault="00576A3E" w:rsidP="00D94859">
      <w:pPr>
        <w:rPr>
          <w:rFonts w:cs="Arial"/>
          <w:b/>
          <w:color w:val="A5007B"/>
          <w:sz w:val="32"/>
          <w:szCs w:val="32"/>
          <w:lang w:val="en-GB"/>
        </w:rPr>
        <w:sectPr w:rsidR="00576A3E" w:rsidRPr="00CB09D5" w:rsidSect="00E83DAB">
          <w:pgSz w:w="11906" w:h="16838" w:code="9"/>
          <w:pgMar w:top="1134" w:right="1134" w:bottom="1418" w:left="1134" w:header="709" w:footer="709" w:gutter="0"/>
          <w:cols w:space="708"/>
          <w:titlePg/>
          <w:docGrid w:linePitch="360"/>
        </w:sectPr>
      </w:pPr>
    </w:p>
    <w:p w:rsidR="00576A3E" w:rsidRPr="00CB09D5" w:rsidRDefault="001536DD" w:rsidP="00D94859">
      <w:pPr>
        <w:pStyle w:val="Nadpis1"/>
        <w:rPr>
          <w:lang w:val="en-GB"/>
        </w:rPr>
      </w:pPr>
      <w:bookmarkStart w:id="1" w:name="_Toc412459447"/>
      <w:bookmarkStart w:id="2" w:name="_Toc469299928"/>
      <w:bookmarkStart w:id="3" w:name="_Toc480800270"/>
      <w:r w:rsidRPr="00CB09D5">
        <w:rPr>
          <w:lang w:val="en-GB"/>
        </w:rPr>
        <w:lastRenderedPageBreak/>
        <w:t>Contents</w:t>
      </w:r>
      <w:bookmarkEnd w:id="1"/>
      <w:bookmarkEnd w:id="2"/>
      <w:bookmarkEnd w:id="3"/>
    </w:p>
    <w:p w:rsidR="00844F58" w:rsidRDefault="003815F4">
      <w:pPr>
        <w:pStyle w:val="Obsah1"/>
        <w:rPr>
          <w:rFonts w:asciiTheme="minorHAnsi" w:eastAsiaTheme="minorEastAsia" w:hAnsiTheme="minorHAnsi" w:cstheme="minorBidi"/>
          <w:b w:val="0"/>
          <w:sz w:val="22"/>
          <w:szCs w:val="22"/>
          <w:lang w:eastAsia="cs-CZ"/>
        </w:rPr>
      </w:pPr>
      <w:r w:rsidRPr="003815F4">
        <w:rPr>
          <w:lang w:val="en-GB"/>
        </w:rPr>
        <w:fldChar w:fldCharType="begin"/>
      </w:r>
      <w:r w:rsidR="00576A3E" w:rsidRPr="00CB09D5">
        <w:rPr>
          <w:lang w:val="en-GB"/>
        </w:rPr>
        <w:instrText xml:space="preserve"> TOC \o "1-3" \h \z \u </w:instrText>
      </w:r>
      <w:r w:rsidRPr="003815F4">
        <w:rPr>
          <w:lang w:val="en-GB"/>
        </w:rPr>
        <w:fldChar w:fldCharType="separate"/>
      </w:r>
      <w:hyperlink w:anchor="_Toc480800270" w:history="1">
        <w:r w:rsidR="00844F58" w:rsidRPr="006310BB">
          <w:rPr>
            <w:rStyle w:val="Hypertextovodkaz"/>
            <w:lang w:val="en-GB"/>
          </w:rPr>
          <w:t>Contents</w:t>
        </w:r>
        <w:r w:rsidR="00844F58">
          <w:rPr>
            <w:webHidden/>
          </w:rPr>
          <w:tab/>
        </w:r>
        <w:r w:rsidR="00844F58">
          <w:rPr>
            <w:webHidden/>
          </w:rPr>
          <w:fldChar w:fldCharType="begin"/>
        </w:r>
        <w:r w:rsidR="00844F58">
          <w:rPr>
            <w:webHidden/>
          </w:rPr>
          <w:instrText xml:space="preserve"> PAGEREF _Toc480800270 \h </w:instrText>
        </w:r>
        <w:r w:rsidR="00844F58">
          <w:rPr>
            <w:webHidden/>
          </w:rPr>
        </w:r>
        <w:r w:rsidR="00844F58">
          <w:rPr>
            <w:webHidden/>
          </w:rPr>
          <w:fldChar w:fldCharType="separate"/>
        </w:r>
        <w:r w:rsidR="00844F58">
          <w:rPr>
            <w:webHidden/>
          </w:rPr>
          <w:t>3</w:t>
        </w:r>
        <w:r w:rsidR="00844F58">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1" w:history="1">
        <w:r w:rsidRPr="006310BB">
          <w:rPr>
            <w:rStyle w:val="Hypertextovodkaz"/>
            <w:lang w:val="en-GB"/>
          </w:rPr>
          <w:t>1.</w:t>
        </w:r>
        <w:r>
          <w:rPr>
            <w:rFonts w:asciiTheme="minorHAnsi" w:eastAsiaTheme="minorEastAsia" w:hAnsiTheme="minorHAnsi" w:cstheme="minorBidi"/>
            <w:b w:val="0"/>
            <w:sz w:val="22"/>
            <w:szCs w:val="22"/>
            <w:lang w:eastAsia="cs-CZ"/>
          </w:rPr>
          <w:tab/>
        </w:r>
        <w:r w:rsidRPr="006310BB">
          <w:rPr>
            <w:rStyle w:val="Hypertextovodkaz"/>
            <w:lang w:val="en-GB"/>
          </w:rPr>
          <w:t>Summary</w:t>
        </w:r>
        <w:r>
          <w:rPr>
            <w:webHidden/>
          </w:rPr>
          <w:tab/>
        </w:r>
        <w:r>
          <w:rPr>
            <w:webHidden/>
          </w:rPr>
          <w:fldChar w:fldCharType="begin"/>
        </w:r>
        <w:r>
          <w:rPr>
            <w:webHidden/>
          </w:rPr>
          <w:instrText xml:space="preserve"> PAGEREF _Toc480800271 \h </w:instrText>
        </w:r>
        <w:r>
          <w:rPr>
            <w:webHidden/>
          </w:rPr>
        </w:r>
        <w:r>
          <w:rPr>
            <w:webHidden/>
          </w:rPr>
          <w:fldChar w:fldCharType="separate"/>
        </w:r>
        <w:r>
          <w:rPr>
            <w:webHidden/>
          </w:rPr>
          <w:t>4</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2" w:history="1">
        <w:r w:rsidRPr="006310BB">
          <w:rPr>
            <w:rStyle w:val="Hypertextovodkaz"/>
            <w:lang w:val="en-GB"/>
          </w:rPr>
          <w:t>2.</w:t>
        </w:r>
        <w:r>
          <w:rPr>
            <w:rFonts w:asciiTheme="minorHAnsi" w:eastAsiaTheme="minorEastAsia" w:hAnsiTheme="minorHAnsi" w:cstheme="minorBidi"/>
            <w:b w:val="0"/>
            <w:sz w:val="22"/>
            <w:szCs w:val="22"/>
            <w:lang w:eastAsia="cs-CZ"/>
          </w:rPr>
          <w:tab/>
        </w:r>
        <w:r w:rsidRPr="006310BB">
          <w:rPr>
            <w:rStyle w:val="Hypertextovodkaz"/>
            <w:lang w:val="en-GB"/>
          </w:rPr>
          <w:t>Overall Economic Performance</w:t>
        </w:r>
        <w:r>
          <w:rPr>
            <w:webHidden/>
          </w:rPr>
          <w:tab/>
        </w:r>
        <w:r>
          <w:rPr>
            <w:webHidden/>
          </w:rPr>
          <w:fldChar w:fldCharType="begin"/>
        </w:r>
        <w:r>
          <w:rPr>
            <w:webHidden/>
          </w:rPr>
          <w:instrText xml:space="preserve"> PAGEREF _Toc480800272 \h </w:instrText>
        </w:r>
        <w:r>
          <w:rPr>
            <w:webHidden/>
          </w:rPr>
        </w:r>
        <w:r>
          <w:rPr>
            <w:webHidden/>
          </w:rPr>
          <w:fldChar w:fldCharType="separate"/>
        </w:r>
        <w:r>
          <w:rPr>
            <w:webHidden/>
          </w:rPr>
          <w:t>5</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3" w:history="1">
        <w:r w:rsidRPr="006310BB">
          <w:rPr>
            <w:rStyle w:val="Hypertextovodkaz"/>
            <w:lang w:val="en-GB"/>
          </w:rPr>
          <w:t>3.</w:t>
        </w:r>
        <w:r>
          <w:rPr>
            <w:rFonts w:asciiTheme="minorHAnsi" w:eastAsiaTheme="minorEastAsia" w:hAnsiTheme="minorHAnsi" w:cstheme="minorBidi"/>
            <w:b w:val="0"/>
            <w:sz w:val="22"/>
            <w:szCs w:val="22"/>
            <w:lang w:eastAsia="cs-CZ"/>
          </w:rPr>
          <w:tab/>
        </w:r>
        <w:r w:rsidRPr="006310BB">
          <w:rPr>
            <w:rStyle w:val="Hypertextovodkaz"/>
            <w:lang w:val="en-GB"/>
          </w:rPr>
          <w:t>Branches Performance</w:t>
        </w:r>
        <w:r>
          <w:rPr>
            <w:webHidden/>
          </w:rPr>
          <w:tab/>
        </w:r>
        <w:r>
          <w:rPr>
            <w:webHidden/>
          </w:rPr>
          <w:fldChar w:fldCharType="begin"/>
        </w:r>
        <w:r>
          <w:rPr>
            <w:webHidden/>
          </w:rPr>
          <w:instrText xml:space="preserve"> PAGEREF _Toc480800273 \h </w:instrText>
        </w:r>
        <w:r>
          <w:rPr>
            <w:webHidden/>
          </w:rPr>
        </w:r>
        <w:r>
          <w:rPr>
            <w:webHidden/>
          </w:rPr>
          <w:fldChar w:fldCharType="separate"/>
        </w:r>
        <w:r>
          <w:rPr>
            <w:webHidden/>
          </w:rPr>
          <w:t>8</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4" w:history="1">
        <w:r w:rsidRPr="006310BB">
          <w:rPr>
            <w:rStyle w:val="Hypertextovodkaz"/>
            <w:lang w:val="en-GB"/>
          </w:rPr>
          <w:t>4.</w:t>
        </w:r>
        <w:r>
          <w:rPr>
            <w:rFonts w:asciiTheme="minorHAnsi" w:eastAsiaTheme="minorEastAsia" w:hAnsiTheme="minorHAnsi" w:cstheme="minorBidi"/>
            <w:b w:val="0"/>
            <w:sz w:val="22"/>
            <w:szCs w:val="22"/>
            <w:lang w:eastAsia="cs-CZ"/>
          </w:rPr>
          <w:tab/>
        </w:r>
        <w:r w:rsidRPr="006310BB">
          <w:rPr>
            <w:rStyle w:val="Hypertextovodkaz"/>
            <w:lang w:val="en-GB"/>
          </w:rPr>
          <w:t>External Economic Relations</w:t>
        </w:r>
        <w:r>
          <w:rPr>
            <w:webHidden/>
          </w:rPr>
          <w:tab/>
        </w:r>
        <w:r>
          <w:rPr>
            <w:webHidden/>
          </w:rPr>
          <w:fldChar w:fldCharType="begin"/>
        </w:r>
        <w:r>
          <w:rPr>
            <w:webHidden/>
          </w:rPr>
          <w:instrText xml:space="preserve"> PAGEREF _Toc480800274 \h </w:instrText>
        </w:r>
        <w:r>
          <w:rPr>
            <w:webHidden/>
          </w:rPr>
        </w:r>
        <w:r>
          <w:rPr>
            <w:webHidden/>
          </w:rPr>
          <w:fldChar w:fldCharType="separate"/>
        </w:r>
        <w:r>
          <w:rPr>
            <w:webHidden/>
          </w:rPr>
          <w:t>13</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5" w:history="1">
        <w:r w:rsidRPr="006310BB">
          <w:rPr>
            <w:rStyle w:val="Hypertextovodkaz"/>
            <w:lang w:val="en-GB"/>
          </w:rPr>
          <w:t xml:space="preserve">5. </w:t>
        </w:r>
        <w:r>
          <w:rPr>
            <w:rStyle w:val="Hypertextovodkaz"/>
            <w:lang w:val="en-GB"/>
          </w:rPr>
          <w:tab/>
        </w:r>
        <w:r w:rsidRPr="006310BB">
          <w:rPr>
            <w:rStyle w:val="Hypertextovodkaz"/>
            <w:lang w:val="en-GB"/>
          </w:rPr>
          <w:t>Prices</w:t>
        </w:r>
        <w:r>
          <w:rPr>
            <w:webHidden/>
          </w:rPr>
          <w:tab/>
        </w:r>
        <w:r>
          <w:rPr>
            <w:webHidden/>
          </w:rPr>
          <w:fldChar w:fldCharType="begin"/>
        </w:r>
        <w:r>
          <w:rPr>
            <w:webHidden/>
          </w:rPr>
          <w:instrText xml:space="preserve"> PAGEREF _Toc480800275 \h </w:instrText>
        </w:r>
        <w:r>
          <w:rPr>
            <w:webHidden/>
          </w:rPr>
        </w:r>
        <w:r>
          <w:rPr>
            <w:webHidden/>
          </w:rPr>
          <w:fldChar w:fldCharType="separate"/>
        </w:r>
        <w:r>
          <w:rPr>
            <w:webHidden/>
          </w:rPr>
          <w:t>15</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6" w:history="1">
        <w:r w:rsidRPr="006310BB">
          <w:rPr>
            <w:rStyle w:val="Hypertextovodkaz"/>
            <w:lang w:val="en-GB"/>
          </w:rPr>
          <w:t>6.</w:t>
        </w:r>
        <w:r>
          <w:rPr>
            <w:rFonts w:asciiTheme="minorHAnsi" w:eastAsiaTheme="minorEastAsia" w:hAnsiTheme="minorHAnsi" w:cstheme="minorBidi"/>
            <w:b w:val="0"/>
            <w:sz w:val="22"/>
            <w:szCs w:val="22"/>
            <w:lang w:eastAsia="cs-CZ"/>
          </w:rPr>
          <w:tab/>
        </w:r>
        <w:r w:rsidRPr="006310BB">
          <w:rPr>
            <w:rStyle w:val="Hypertextovodkaz"/>
            <w:lang w:val="en-GB"/>
          </w:rPr>
          <w:t>Labour Market</w:t>
        </w:r>
        <w:r>
          <w:rPr>
            <w:webHidden/>
          </w:rPr>
          <w:tab/>
        </w:r>
        <w:r>
          <w:rPr>
            <w:webHidden/>
          </w:rPr>
          <w:fldChar w:fldCharType="begin"/>
        </w:r>
        <w:r>
          <w:rPr>
            <w:webHidden/>
          </w:rPr>
          <w:instrText xml:space="preserve"> PAGEREF _Toc480800276 \h </w:instrText>
        </w:r>
        <w:r>
          <w:rPr>
            <w:webHidden/>
          </w:rPr>
        </w:r>
        <w:r>
          <w:rPr>
            <w:webHidden/>
          </w:rPr>
          <w:fldChar w:fldCharType="separate"/>
        </w:r>
        <w:r>
          <w:rPr>
            <w:webHidden/>
          </w:rPr>
          <w:t>19</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7" w:history="1">
        <w:r w:rsidRPr="006310BB">
          <w:rPr>
            <w:rStyle w:val="Hypertextovodkaz"/>
            <w:lang w:val="en-GB"/>
          </w:rPr>
          <w:t>7.</w:t>
        </w:r>
        <w:r>
          <w:rPr>
            <w:rFonts w:asciiTheme="minorHAnsi" w:eastAsiaTheme="minorEastAsia" w:hAnsiTheme="minorHAnsi" w:cstheme="minorBidi"/>
            <w:b w:val="0"/>
            <w:sz w:val="22"/>
            <w:szCs w:val="22"/>
            <w:lang w:eastAsia="cs-CZ"/>
          </w:rPr>
          <w:tab/>
        </w:r>
        <w:r w:rsidRPr="006310BB">
          <w:rPr>
            <w:rStyle w:val="Hypertextovodkaz"/>
            <w:lang w:val="en-GB"/>
          </w:rPr>
          <w:t>Monetary Conditions</w:t>
        </w:r>
        <w:r>
          <w:rPr>
            <w:webHidden/>
          </w:rPr>
          <w:tab/>
        </w:r>
        <w:r>
          <w:rPr>
            <w:webHidden/>
          </w:rPr>
          <w:fldChar w:fldCharType="begin"/>
        </w:r>
        <w:r>
          <w:rPr>
            <w:webHidden/>
          </w:rPr>
          <w:instrText xml:space="preserve"> PAGEREF _Toc480800277 \h </w:instrText>
        </w:r>
        <w:r>
          <w:rPr>
            <w:webHidden/>
          </w:rPr>
        </w:r>
        <w:r>
          <w:rPr>
            <w:webHidden/>
          </w:rPr>
          <w:fldChar w:fldCharType="separate"/>
        </w:r>
        <w:r>
          <w:rPr>
            <w:webHidden/>
          </w:rPr>
          <w:t>21</w:t>
        </w:r>
        <w:r>
          <w:rPr>
            <w:webHidden/>
          </w:rPr>
          <w:fldChar w:fldCharType="end"/>
        </w:r>
      </w:hyperlink>
    </w:p>
    <w:p w:rsidR="00844F58" w:rsidRDefault="00844F58">
      <w:pPr>
        <w:pStyle w:val="Obsah1"/>
        <w:rPr>
          <w:rFonts w:asciiTheme="minorHAnsi" w:eastAsiaTheme="minorEastAsia" w:hAnsiTheme="minorHAnsi" w:cstheme="minorBidi"/>
          <w:b w:val="0"/>
          <w:sz w:val="22"/>
          <w:szCs w:val="22"/>
          <w:lang w:eastAsia="cs-CZ"/>
        </w:rPr>
      </w:pPr>
      <w:hyperlink w:anchor="_Toc480800278" w:history="1">
        <w:r w:rsidRPr="006310BB">
          <w:rPr>
            <w:rStyle w:val="Hypertextovodkaz"/>
            <w:lang w:val="en-GB"/>
          </w:rPr>
          <w:t>8.</w:t>
        </w:r>
        <w:r>
          <w:rPr>
            <w:rFonts w:asciiTheme="minorHAnsi" w:eastAsiaTheme="minorEastAsia" w:hAnsiTheme="minorHAnsi" w:cstheme="minorBidi"/>
            <w:b w:val="0"/>
            <w:sz w:val="22"/>
            <w:szCs w:val="22"/>
            <w:lang w:eastAsia="cs-CZ"/>
          </w:rPr>
          <w:tab/>
        </w:r>
        <w:r w:rsidRPr="006310BB">
          <w:rPr>
            <w:rStyle w:val="Hypertextovodkaz"/>
            <w:lang w:val="en-GB"/>
          </w:rPr>
          <w:t>State Budget</w:t>
        </w:r>
        <w:r>
          <w:rPr>
            <w:webHidden/>
          </w:rPr>
          <w:tab/>
        </w:r>
        <w:r>
          <w:rPr>
            <w:webHidden/>
          </w:rPr>
          <w:fldChar w:fldCharType="begin"/>
        </w:r>
        <w:r>
          <w:rPr>
            <w:webHidden/>
          </w:rPr>
          <w:instrText xml:space="preserve"> PAGEREF _Toc480800278 \h </w:instrText>
        </w:r>
        <w:r>
          <w:rPr>
            <w:webHidden/>
          </w:rPr>
        </w:r>
        <w:r>
          <w:rPr>
            <w:webHidden/>
          </w:rPr>
          <w:fldChar w:fldCharType="separate"/>
        </w:r>
        <w:r>
          <w:rPr>
            <w:webHidden/>
          </w:rPr>
          <w:t>23</w:t>
        </w:r>
        <w:r>
          <w:rPr>
            <w:webHidden/>
          </w:rPr>
          <w:fldChar w:fldCharType="end"/>
        </w:r>
      </w:hyperlink>
    </w:p>
    <w:p w:rsidR="00576A3E" w:rsidRPr="00CB09D5" w:rsidRDefault="003815F4" w:rsidP="00D94859">
      <w:pPr>
        <w:pStyle w:val="Nadpis1"/>
        <w:spacing w:before="200"/>
        <w:rPr>
          <w:rFonts w:cs="Arial"/>
          <w:sz w:val="20"/>
          <w:szCs w:val="20"/>
          <w:lang w:val="en-GB"/>
        </w:rPr>
      </w:pPr>
      <w:r w:rsidRPr="00CB09D5">
        <w:rPr>
          <w:lang w:val="en-GB"/>
        </w:rPr>
        <w:fldChar w:fldCharType="end"/>
      </w:r>
    </w:p>
    <w:p w:rsidR="00576A3E" w:rsidRPr="00CB09D5" w:rsidRDefault="00A508A2" w:rsidP="00D94859">
      <w:pPr>
        <w:rPr>
          <w:rFonts w:cs="Arial"/>
          <w:b/>
          <w:lang w:val="en-GB"/>
        </w:rPr>
      </w:pPr>
      <w:r w:rsidRPr="00CB09D5">
        <w:rPr>
          <w:rFonts w:cs="Arial"/>
          <w:b/>
          <w:lang w:val="en-GB"/>
        </w:rPr>
        <w:t>Chapters prepared</w:t>
      </w:r>
      <w:r w:rsidR="00576A3E" w:rsidRPr="00CB09D5">
        <w:rPr>
          <w:rFonts w:cs="Arial"/>
          <w:b/>
          <w:lang w:val="en-GB"/>
        </w:rPr>
        <w:t>:</w:t>
      </w:r>
    </w:p>
    <w:p w:rsidR="00576A3E" w:rsidRPr="00CB09D5" w:rsidRDefault="00576A3E" w:rsidP="00D94859">
      <w:pPr>
        <w:rPr>
          <w:rFonts w:cs="Arial"/>
          <w:lang w:val="en-GB"/>
        </w:rPr>
      </w:pPr>
    </w:p>
    <w:p w:rsidR="00466AAE" w:rsidRPr="00CB09D5" w:rsidRDefault="00466AAE" w:rsidP="00D94859">
      <w:pPr>
        <w:spacing w:after="120" w:line="276" w:lineRule="auto"/>
        <w:rPr>
          <w:rFonts w:cs="Arial"/>
          <w:lang w:val="en-GB"/>
        </w:rPr>
      </w:pPr>
      <w:proofErr w:type="spellStart"/>
      <w:r w:rsidRPr="00CB09D5">
        <w:rPr>
          <w:rFonts w:cs="Arial"/>
          <w:lang w:val="en-GB"/>
        </w:rPr>
        <w:t>Jiří</w:t>
      </w:r>
      <w:proofErr w:type="spellEnd"/>
      <w:r w:rsidRPr="00CB09D5">
        <w:rPr>
          <w:rFonts w:cs="Arial"/>
          <w:lang w:val="en-GB"/>
        </w:rPr>
        <w:t xml:space="preserve"> </w:t>
      </w:r>
      <w:proofErr w:type="spellStart"/>
      <w:r w:rsidRPr="00CB09D5">
        <w:rPr>
          <w:rFonts w:cs="Arial"/>
          <w:lang w:val="en-GB"/>
        </w:rPr>
        <w:t>Kamenický</w:t>
      </w:r>
      <w:proofErr w:type="spellEnd"/>
      <w:r w:rsidRPr="00CB09D5">
        <w:rPr>
          <w:rFonts w:cs="Arial"/>
          <w:lang w:val="en-GB"/>
        </w:rPr>
        <w:tab/>
      </w:r>
      <w:r w:rsidRPr="00CB09D5">
        <w:rPr>
          <w:rFonts w:cs="Arial"/>
          <w:lang w:val="en-GB"/>
        </w:rPr>
        <w:tab/>
      </w:r>
      <w:r w:rsidR="00A508A2" w:rsidRPr="00CB09D5">
        <w:rPr>
          <w:rFonts w:cs="Arial"/>
          <w:lang w:val="en-GB"/>
        </w:rPr>
        <w:t>Summary</w:t>
      </w:r>
      <w:r w:rsidRPr="00CB09D5">
        <w:rPr>
          <w:rFonts w:cs="Arial"/>
          <w:lang w:val="en-GB"/>
        </w:rPr>
        <w:t xml:space="preserve"> (</w:t>
      </w:r>
      <w:r w:rsidR="00A508A2" w:rsidRPr="00CB09D5">
        <w:rPr>
          <w:rFonts w:cs="Arial"/>
          <w:lang w:val="en-GB"/>
        </w:rPr>
        <w:t>Chap</w:t>
      </w:r>
      <w:r w:rsidRPr="00CB09D5">
        <w:rPr>
          <w:rFonts w:cs="Arial"/>
          <w:lang w:val="en-GB"/>
        </w:rPr>
        <w:t xml:space="preserve">. 1), </w:t>
      </w:r>
      <w:r w:rsidR="00A508A2" w:rsidRPr="00CB09D5">
        <w:rPr>
          <w:rFonts w:cs="Arial"/>
          <w:color w:val="000000"/>
          <w:lang w:val="en-GB"/>
        </w:rPr>
        <w:t>Chap</w:t>
      </w:r>
      <w:r w:rsidRPr="00CB09D5">
        <w:rPr>
          <w:rFonts w:cs="Arial"/>
          <w:color w:val="000000"/>
          <w:lang w:val="en-GB"/>
        </w:rPr>
        <w:t>. 3,</w:t>
      </w:r>
      <w:r w:rsidRPr="00CB09D5">
        <w:rPr>
          <w:rFonts w:cs="Arial"/>
          <w:lang w:val="en-GB"/>
        </w:rPr>
        <w:t xml:space="preserve"> </w:t>
      </w:r>
      <w:r w:rsidR="00A508A2" w:rsidRPr="00CB09D5">
        <w:rPr>
          <w:rFonts w:cs="Arial"/>
          <w:lang w:val="en-GB"/>
        </w:rPr>
        <w:t>Chap</w:t>
      </w:r>
      <w:r w:rsidRPr="00CB09D5">
        <w:rPr>
          <w:rFonts w:cs="Arial"/>
          <w:lang w:val="en-GB"/>
        </w:rPr>
        <w:t xml:space="preserve">. 6, </w:t>
      </w:r>
      <w:r w:rsidR="00A508A2" w:rsidRPr="00CB09D5">
        <w:rPr>
          <w:rFonts w:cs="Arial"/>
          <w:lang w:val="en-GB"/>
        </w:rPr>
        <w:t>Chap</w:t>
      </w:r>
      <w:r w:rsidRPr="00CB09D5">
        <w:rPr>
          <w:rFonts w:cs="Arial"/>
          <w:lang w:val="en-GB"/>
        </w:rPr>
        <w:t>. 8</w:t>
      </w:r>
    </w:p>
    <w:p w:rsidR="00466AAE" w:rsidRPr="00CB09D5" w:rsidRDefault="004A7670" w:rsidP="00D94859">
      <w:pPr>
        <w:spacing w:after="120" w:line="276" w:lineRule="auto"/>
        <w:rPr>
          <w:rFonts w:cs="Arial"/>
          <w:lang w:val="en-GB"/>
        </w:rPr>
      </w:pPr>
      <w:proofErr w:type="spellStart"/>
      <w:r w:rsidRPr="00CB09D5">
        <w:rPr>
          <w:rFonts w:cs="Arial"/>
          <w:lang w:val="en-GB"/>
        </w:rPr>
        <w:t>Karolína</w:t>
      </w:r>
      <w:proofErr w:type="spellEnd"/>
      <w:r w:rsidRPr="00CB09D5">
        <w:rPr>
          <w:rFonts w:cs="Arial"/>
          <w:lang w:val="en-GB"/>
        </w:rPr>
        <w:t xml:space="preserve"> </w:t>
      </w:r>
      <w:proofErr w:type="spellStart"/>
      <w:r w:rsidRPr="00CB09D5">
        <w:rPr>
          <w:rFonts w:cs="Arial"/>
          <w:lang w:val="en-GB"/>
        </w:rPr>
        <w:t>Súkupová</w:t>
      </w:r>
      <w:proofErr w:type="spellEnd"/>
      <w:r w:rsidRPr="00CB09D5">
        <w:rPr>
          <w:rFonts w:cs="Arial"/>
          <w:lang w:val="en-GB"/>
        </w:rPr>
        <w:tab/>
      </w:r>
      <w:r w:rsidR="00466AAE" w:rsidRPr="00CB09D5">
        <w:rPr>
          <w:rFonts w:cs="Arial"/>
          <w:lang w:val="en-GB"/>
        </w:rPr>
        <w:t>S</w:t>
      </w:r>
      <w:r w:rsidR="00A508A2" w:rsidRPr="00CB09D5">
        <w:rPr>
          <w:rFonts w:cs="Arial"/>
          <w:lang w:val="en-GB"/>
        </w:rPr>
        <w:t xml:space="preserve">ummary </w:t>
      </w:r>
      <w:r w:rsidR="00466AAE" w:rsidRPr="00CB09D5">
        <w:rPr>
          <w:rFonts w:cs="Arial"/>
          <w:lang w:val="en-GB"/>
        </w:rPr>
        <w:t>(</w:t>
      </w:r>
      <w:r w:rsidR="00A508A2" w:rsidRPr="00CB09D5">
        <w:rPr>
          <w:rFonts w:cs="Arial"/>
          <w:lang w:val="en-GB"/>
        </w:rPr>
        <w:t>Chap</w:t>
      </w:r>
      <w:r w:rsidR="00466AAE" w:rsidRPr="00CB09D5">
        <w:rPr>
          <w:rFonts w:cs="Arial"/>
          <w:lang w:val="en-GB"/>
        </w:rPr>
        <w:t xml:space="preserve">. 1), </w:t>
      </w:r>
      <w:r w:rsidR="00A508A2" w:rsidRPr="00CB09D5">
        <w:rPr>
          <w:rFonts w:cs="Arial"/>
          <w:lang w:val="en-GB"/>
        </w:rPr>
        <w:t>Chap</w:t>
      </w:r>
      <w:r w:rsidR="00466AAE" w:rsidRPr="00CB09D5">
        <w:rPr>
          <w:rFonts w:cs="Arial"/>
          <w:lang w:val="en-GB"/>
        </w:rPr>
        <w:t>. 2</w:t>
      </w:r>
      <w:r w:rsidRPr="00CB09D5">
        <w:rPr>
          <w:rFonts w:cs="Arial"/>
          <w:lang w:val="en-GB"/>
        </w:rPr>
        <w:t xml:space="preserve">, </w:t>
      </w:r>
      <w:r w:rsidR="00A508A2" w:rsidRPr="00CB09D5">
        <w:rPr>
          <w:rFonts w:cs="Arial"/>
          <w:lang w:val="en-GB"/>
        </w:rPr>
        <w:t>Chap</w:t>
      </w:r>
      <w:r w:rsidRPr="00CB09D5">
        <w:rPr>
          <w:rFonts w:cs="Arial"/>
          <w:lang w:val="en-GB"/>
        </w:rPr>
        <w:t xml:space="preserve">. 4, </w:t>
      </w:r>
      <w:r w:rsidR="00A508A2" w:rsidRPr="00CB09D5">
        <w:rPr>
          <w:rFonts w:cs="Arial"/>
          <w:lang w:val="en-GB"/>
        </w:rPr>
        <w:t>Chap</w:t>
      </w:r>
      <w:r w:rsidRPr="00CB09D5">
        <w:rPr>
          <w:rFonts w:cs="Arial"/>
          <w:lang w:val="en-GB"/>
        </w:rPr>
        <w:t xml:space="preserve">. 5, </w:t>
      </w:r>
      <w:r w:rsidR="00A508A2" w:rsidRPr="00CB09D5">
        <w:rPr>
          <w:rFonts w:cs="Arial"/>
          <w:lang w:val="en-GB"/>
        </w:rPr>
        <w:t>Chap</w:t>
      </w:r>
      <w:r w:rsidRPr="00CB09D5">
        <w:rPr>
          <w:rFonts w:cs="Arial"/>
          <w:lang w:val="en-GB"/>
        </w:rPr>
        <w:t>. 7</w:t>
      </w:r>
    </w:p>
    <w:p w:rsidR="00466AAE" w:rsidRPr="00CB09D5" w:rsidRDefault="00466AA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8A03DE" w:rsidP="00D94859">
      <w:pPr>
        <w:spacing w:after="120" w:line="276" w:lineRule="auto"/>
        <w:rPr>
          <w:rFonts w:cs="Arial"/>
          <w:lang w:val="en-GB"/>
        </w:rPr>
      </w:pPr>
    </w:p>
    <w:p w:rsidR="008A03DE" w:rsidRPr="00CB09D5" w:rsidRDefault="00AA5283" w:rsidP="008A03DE">
      <w:pPr>
        <w:pStyle w:val="Textpoznpodarou"/>
        <w:jc w:val="both"/>
        <w:rPr>
          <w:rFonts w:cs="Arial"/>
          <w:color w:val="000000"/>
          <w:lang w:val="en-GB"/>
        </w:rPr>
      </w:pPr>
      <w:r w:rsidRPr="00CB09D5">
        <w:rPr>
          <w:rFonts w:cs="Arial"/>
          <w:color w:val="000000" w:themeColor="text1"/>
          <w:spacing w:val="-2"/>
          <w:lang w:val="en-GB"/>
        </w:rPr>
        <w:t>Sources of data in the whole analysis</w:t>
      </w:r>
      <w:r w:rsidR="008A03DE" w:rsidRPr="00CB09D5">
        <w:rPr>
          <w:rFonts w:cs="Arial"/>
          <w:color w:val="000000"/>
          <w:lang w:val="en-GB"/>
        </w:rPr>
        <w:t xml:space="preserve">: </w:t>
      </w:r>
      <w:r w:rsidR="003B2F0A" w:rsidRPr="00CB09D5">
        <w:rPr>
          <w:rFonts w:cs="Arial"/>
          <w:color w:val="000000"/>
          <w:lang w:val="en-GB"/>
        </w:rPr>
        <w:t>CZSO</w:t>
      </w:r>
      <w:r w:rsidR="008A03DE" w:rsidRPr="00CB09D5">
        <w:rPr>
          <w:rFonts w:cs="Arial"/>
          <w:color w:val="000000"/>
          <w:lang w:val="en-GB"/>
        </w:rPr>
        <w:t xml:space="preserve">, MF </w:t>
      </w:r>
      <w:r w:rsidR="003B2F0A" w:rsidRPr="00CB09D5">
        <w:rPr>
          <w:rFonts w:cs="Arial"/>
          <w:color w:val="000000"/>
          <w:lang w:val="en-GB"/>
        </w:rPr>
        <w:t>C</w:t>
      </w:r>
      <w:r w:rsidR="008A03DE" w:rsidRPr="00CB09D5">
        <w:rPr>
          <w:rFonts w:cs="Arial"/>
          <w:color w:val="000000"/>
          <w:lang w:val="en-GB"/>
        </w:rPr>
        <w:t xml:space="preserve">R, </w:t>
      </w:r>
      <w:r w:rsidR="003B2F0A" w:rsidRPr="00CB09D5">
        <w:rPr>
          <w:rFonts w:cs="Arial"/>
          <w:color w:val="000000"/>
          <w:lang w:val="en-GB"/>
        </w:rPr>
        <w:t>C</w:t>
      </w:r>
      <w:r w:rsidR="008A03DE" w:rsidRPr="00CB09D5">
        <w:rPr>
          <w:rFonts w:cs="Arial"/>
          <w:color w:val="000000"/>
          <w:lang w:val="en-GB"/>
        </w:rPr>
        <w:t xml:space="preserve">NB, </w:t>
      </w:r>
      <w:r w:rsidRPr="00CB09D5">
        <w:rPr>
          <w:rFonts w:cs="Arial"/>
          <w:color w:val="000000"/>
          <w:lang w:val="en-GB"/>
        </w:rPr>
        <w:t>MLSA</w:t>
      </w:r>
      <w:r w:rsidR="008A03DE" w:rsidRPr="00CB09D5">
        <w:rPr>
          <w:rFonts w:cs="Arial"/>
          <w:color w:val="000000"/>
          <w:lang w:val="en-GB"/>
        </w:rPr>
        <w:t xml:space="preserve">, </w:t>
      </w:r>
      <w:r w:rsidRPr="00CB09D5">
        <w:rPr>
          <w:rFonts w:cs="Arial"/>
          <w:color w:val="000000"/>
          <w:lang w:val="en-GB"/>
        </w:rPr>
        <w:t>CSSA</w:t>
      </w:r>
      <w:r w:rsidR="008A03DE" w:rsidRPr="00CB09D5">
        <w:rPr>
          <w:rFonts w:cs="Arial"/>
          <w:color w:val="000000"/>
          <w:lang w:val="en-GB"/>
        </w:rPr>
        <w:t xml:space="preserve">, </w:t>
      </w:r>
      <w:proofErr w:type="spellStart"/>
      <w:r w:rsidR="008A03DE" w:rsidRPr="00CB09D5">
        <w:rPr>
          <w:rFonts w:cs="Arial"/>
          <w:color w:val="000000"/>
          <w:lang w:val="en-GB"/>
        </w:rPr>
        <w:t>Eurostat</w:t>
      </w:r>
      <w:proofErr w:type="spellEnd"/>
      <w:r w:rsidR="008A03DE" w:rsidRPr="00CB09D5">
        <w:rPr>
          <w:rFonts w:cs="Arial"/>
          <w:color w:val="000000"/>
          <w:lang w:val="en-GB"/>
        </w:rPr>
        <w:t xml:space="preserve">, </w:t>
      </w:r>
      <w:r w:rsidR="003B2F0A" w:rsidRPr="00CB09D5">
        <w:rPr>
          <w:rFonts w:cs="Arial"/>
          <w:color w:val="000000"/>
          <w:lang w:val="en-GB"/>
        </w:rPr>
        <w:t>CZSO calculations</w:t>
      </w:r>
      <w:r w:rsidR="008A03DE" w:rsidRPr="00CB09D5">
        <w:rPr>
          <w:rFonts w:cs="Arial"/>
          <w:color w:val="000000"/>
          <w:lang w:val="en-GB"/>
        </w:rPr>
        <w:t>.</w:t>
      </w:r>
    </w:p>
    <w:p w:rsidR="004A7670" w:rsidRPr="00CB09D5" w:rsidRDefault="00AA5283" w:rsidP="008A03DE">
      <w:pPr>
        <w:pStyle w:val="Textpoznpodarou"/>
        <w:jc w:val="both"/>
        <w:rPr>
          <w:rFonts w:cs="Arial"/>
          <w:color w:val="000000"/>
          <w:lang w:val="en-GB"/>
        </w:rPr>
      </w:pPr>
      <w:r w:rsidRPr="00CB09D5">
        <w:rPr>
          <w:rFonts w:cs="Arial"/>
          <w:color w:val="000000" w:themeColor="text1"/>
          <w:spacing w:val="-2"/>
          <w:lang w:val="en-GB"/>
        </w:rPr>
        <w:t>Latest information provided in this report has been dated the 16</w:t>
      </w:r>
      <w:r w:rsidRPr="00CB09D5">
        <w:rPr>
          <w:rFonts w:cs="Arial"/>
          <w:color w:val="000000" w:themeColor="text1"/>
          <w:spacing w:val="-2"/>
          <w:vertAlign w:val="superscript"/>
          <w:lang w:val="en-GB"/>
        </w:rPr>
        <w:t>th</w:t>
      </w:r>
      <w:r w:rsidRPr="00CB09D5">
        <w:rPr>
          <w:rFonts w:cs="Arial"/>
          <w:color w:val="000000" w:themeColor="text1"/>
          <w:spacing w:val="-2"/>
          <w:lang w:val="en-GB"/>
        </w:rPr>
        <w:t xml:space="preserve"> March 2017. </w:t>
      </w:r>
    </w:p>
    <w:p w:rsidR="00576A3E" w:rsidRPr="00CB09D5" w:rsidRDefault="00576A3E" w:rsidP="00D94859">
      <w:pPr>
        <w:rPr>
          <w:lang w:val="en-GB"/>
        </w:rPr>
        <w:sectPr w:rsidR="00576A3E" w:rsidRPr="00CB09D5" w:rsidSect="00E83DAB">
          <w:headerReference w:type="even" r:id="rId11"/>
          <w:headerReference w:type="default" r:id="rId12"/>
          <w:footerReference w:type="default" r:id="rId13"/>
          <w:pgSz w:w="11906" w:h="16838" w:code="9"/>
          <w:pgMar w:top="1134" w:right="1134" w:bottom="1418" w:left="1134" w:header="680" w:footer="680" w:gutter="0"/>
          <w:cols w:space="708"/>
          <w:docGrid w:linePitch="360"/>
        </w:sectPr>
      </w:pPr>
    </w:p>
    <w:p w:rsidR="00576A3E" w:rsidRPr="00CB09D5" w:rsidRDefault="00576A3E" w:rsidP="00D94859">
      <w:pPr>
        <w:rPr>
          <w:lang w:val="en-GB"/>
        </w:rPr>
      </w:pPr>
    </w:p>
    <w:p w:rsidR="00960769" w:rsidRPr="00CB09D5" w:rsidRDefault="00960769" w:rsidP="009F777A">
      <w:pPr>
        <w:pStyle w:val="Nadpis1"/>
        <w:numPr>
          <w:ilvl w:val="0"/>
          <w:numId w:val="12"/>
        </w:numPr>
        <w:ind w:left="709"/>
        <w:rPr>
          <w:lang w:val="en-GB"/>
        </w:rPr>
      </w:pPr>
      <w:bookmarkStart w:id="4" w:name="_Toc469299929"/>
      <w:bookmarkStart w:id="5" w:name="_Toc480800271"/>
      <w:r w:rsidRPr="00CB09D5">
        <w:rPr>
          <w:lang w:val="en-GB"/>
        </w:rPr>
        <w:lastRenderedPageBreak/>
        <w:t>S</w:t>
      </w:r>
      <w:r w:rsidR="004174FD" w:rsidRPr="00CB09D5">
        <w:rPr>
          <w:lang w:val="en-GB"/>
        </w:rPr>
        <w:t>ummary</w:t>
      </w:r>
      <w:bookmarkEnd w:id="4"/>
      <w:bookmarkEnd w:id="5"/>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The Gross Domestic Product (GDP) increased by 2.3% in 2016. The economic expansion was supported mostly by the growing household final consumption expenditure. Equally, the growth of the positive foreign trade balance surplus, affected by the favourable economic development of the nearest business partners of the CR, played a role. The rate of the economic growth compared to the preceding year slowed down year-on-year. The high comparative basis of the year 2015, when the combination of one-off growth factors not recurring in 2016 manifested, was however the main reason. The investment activity, which featured a negative addition to the GDP growth in 2016 (-0.9 p.p.), was one of these factors. </w:t>
      </w:r>
    </w:p>
    <w:p w:rsidR="003875C2" w:rsidRPr="0051412B" w:rsidRDefault="003875C2" w:rsidP="00E60FCE">
      <w:pPr>
        <w:pStyle w:val="Odstavecseseznamem"/>
        <w:spacing w:line="240" w:lineRule="auto"/>
        <w:ind w:left="426"/>
        <w:jc w:val="both"/>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The gross value added (GVA) rose by 2.1% in 2016. Manufacturing played the most important role in the growth of the GVA, with its significance for the GVA growth deepening. Real estate activities also prospered and especially the </w:t>
      </w:r>
      <w:r w:rsidR="00BB7AF1" w:rsidRPr="0051412B">
        <w:rPr>
          <w:color w:val="0D0D0D"/>
          <w:spacing w:val="-4"/>
          <w:lang w:val="en-GB"/>
        </w:rPr>
        <w:t xml:space="preserve">agriculture, forestry and fishing, which enjoyed a strong GVA growth (by </w:t>
      </w:r>
      <w:r w:rsidR="002E4217" w:rsidRPr="0051412B">
        <w:rPr>
          <w:color w:val="0D0D0D"/>
          <w:spacing w:val="-4"/>
          <w:lang w:val="en-GB"/>
        </w:rPr>
        <w:t>9</w:t>
      </w:r>
      <w:r w:rsidR="00BB7AF1" w:rsidRPr="0051412B">
        <w:rPr>
          <w:color w:val="0D0D0D"/>
          <w:spacing w:val="-4"/>
          <w:lang w:val="en-GB"/>
        </w:rPr>
        <w:t>.</w:t>
      </w:r>
      <w:r w:rsidR="00434C84">
        <w:rPr>
          <w:color w:val="0D0D0D"/>
          <w:spacing w:val="-4"/>
          <w:lang w:val="en-GB"/>
        </w:rPr>
        <w:t xml:space="preserve">5%) due to the contribution of a very good harvest. On the contrary, the performance of construction was slowing down during the </w:t>
      </w:r>
      <w:proofErr w:type="gramStart"/>
      <w:r w:rsidR="00434C84">
        <w:rPr>
          <w:color w:val="0D0D0D"/>
          <w:spacing w:val="-4"/>
          <w:lang w:val="en-GB"/>
        </w:rPr>
        <w:t>year,</w:t>
      </w:r>
      <w:proofErr w:type="gramEnd"/>
      <w:r w:rsidR="00434C84">
        <w:rPr>
          <w:color w:val="0D0D0D"/>
          <w:spacing w:val="-4"/>
          <w:lang w:val="en-GB"/>
        </w:rPr>
        <w:t xml:space="preserve"> its addition to the GVA growth in 2016 was negative in the value of </w:t>
      </w:r>
      <w:r w:rsidRPr="00EB6063">
        <w:rPr>
          <w:rFonts w:cs="Arial"/>
          <w:spacing w:val="-4"/>
          <w:szCs w:val="20"/>
          <w:lang w:val="en-GB"/>
        </w:rPr>
        <w:t xml:space="preserve">-0.3 p.p. </w:t>
      </w:r>
    </w:p>
    <w:p w:rsidR="003875C2" w:rsidRPr="0051412B" w:rsidRDefault="003875C2" w:rsidP="00E60FCE">
      <w:pPr>
        <w:pStyle w:val="Odstavecseseznamem"/>
        <w:spacing w:line="240" w:lineRule="auto"/>
        <w:ind w:left="426"/>
        <w:jc w:val="both"/>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The Czech Republic attained a marked surplus of the current account of balance of payments in 2016, which resulted mostly from the exceptionally high positive balance of trade in goods and services. The value of exports was record high and reached 3312 CZK bn (even despite the slowdown of the export growth in the second half of the year). Strongly rising exports of motor vehicles were mainly behind this result, comprising 27.8% of exports from the CR.</w:t>
      </w:r>
    </w:p>
    <w:p w:rsidR="003875C2" w:rsidRPr="0051412B" w:rsidRDefault="003875C2" w:rsidP="00E60FCE">
      <w:pPr>
        <w:pStyle w:val="Odstavecseseznamem"/>
        <w:spacing w:line="240" w:lineRule="auto"/>
        <w:ind w:left="426"/>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The price development was influenced by a drop of oil prices at the turn of the years 2015 and 2016. This was reflected in the consumer prices, with their growth staying below 0.6% in the first three quarters of the year, as well as the industrial producer prices, which were falling throughout the whole year on a year-on-year basis. The development of the food prices, which were notably decreasing in the first three quarters, was also determining for the consumer prices. The food prices were raised in the final quarter and the growth of consumer prices started nearing 2%. The prices of real estate hiked up markedly. The lack of price affordable dwellings together with the territorial mismatch between the supply and demand left its mark in the acceleration of growth of realised prices of older dwellings, which increased by 14.5% year-on-year in Q4 2016. The fall of prices of imported goods eased up and the period of imported deflationary pressures ended. </w:t>
      </w:r>
    </w:p>
    <w:p w:rsidR="003875C2" w:rsidRPr="0051412B" w:rsidRDefault="003875C2" w:rsidP="00E60FCE">
      <w:pPr>
        <w:pStyle w:val="Odstavecseseznamem"/>
        <w:spacing w:line="240" w:lineRule="auto"/>
        <w:ind w:left="426"/>
        <w:jc w:val="both"/>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Monetary conditions were to a large extent characterized by low interest rates and continuing regime of </w:t>
      </w:r>
      <w:proofErr w:type="spellStart"/>
      <w:r w:rsidRPr="00EB6063">
        <w:rPr>
          <w:rFonts w:cs="Arial"/>
          <w:spacing w:val="-4"/>
          <w:szCs w:val="20"/>
          <w:lang w:val="en-GB"/>
        </w:rPr>
        <w:t>forex</w:t>
      </w:r>
      <w:proofErr w:type="spellEnd"/>
      <w:r w:rsidRPr="00EB6063">
        <w:rPr>
          <w:rFonts w:cs="Arial"/>
          <w:spacing w:val="-4"/>
          <w:szCs w:val="20"/>
          <w:lang w:val="en-GB"/>
        </w:rPr>
        <w:t xml:space="preserve"> interventions in the CR. Interest rates on deposits kept further decreasing during the year 2016. The outflow of funds continued from the term deposits to the benefit of the current accounts. The volume of credit provided to households rose with the view to low interest rates and easy accessibility. The anticipated changes of rules for the provision of mortgagees fastened the increase of volume of these loans towards the end of the year. </w:t>
      </w:r>
    </w:p>
    <w:p w:rsidR="00E60FCE" w:rsidRPr="0051412B" w:rsidRDefault="00E60FCE" w:rsidP="008550EA">
      <w:pPr>
        <w:rPr>
          <w:rFonts w:cs="Arial"/>
          <w:spacing w:val="-4"/>
          <w:sz w:val="12"/>
          <w:szCs w:val="12"/>
          <w:lang w:val="en-GB"/>
        </w:rPr>
      </w:pPr>
    </w:p>
    <w:p w:rsidR="00E60FCE"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The labour market situation kept further improving in 2016. The rate of growth of total employment strengthened already a third year in row, reaching 1.8% last year</w:t>
      </w:r>
      <w:r w:rsidRPr="00EB6063">
        <w:rPr>
          <w:rStyle w:val="Znakapoznpodarou"/>
          <w:spacing w:val="-4"/>
          <w:szCs w:val="20"/>
          <w:lang w:val="en-GB"/>
        </w:rPr>
        <w:footnoteReference w:id="1"/>
      </w:r>
      <w:r w:rsidRPr="00EB6063">
        <w:rPr>
          <w:rFonts w:cs="Arial"/>
          <w:spacing w:val="-4"/>
          <w:szCs w:val="20"/>
          <w:lang w:val="en-GB"/>
        </w:rPr>
        <w:t>. Manufacturing shared in the higher employment by more than 40%</w:t>
      </w:r>
      <w:proofErr w:type="gramStart"/>
      <w:r w:rsidRPr="00EB6063">
        <w:rPr>
          <w:rFonts w:cs="Arial"/>
          <w:spacing w:val="-4"/>
          <w:szCs w:val="20"/>
          <w:lang w:val="en-GB"/>
        </w:rPr>
        <w:t>,</w:t>
      </w:r>
      <w:proofErr w:type="gramEnd"/>
      <w:r w:rsidRPr="00EB6063">
        <w:rPr>
          <w:rFonts w:cs="Arial"/>
          <w:spacing w:val="-4"/>
          <w:szCs w:val="20"/>
          <w:lang w:val="en-GB"/>
        </w:rPr>
        <w:t xml:space="preserve"> however services were also advancing during the year. Record 5.32 mil persons were employed by the end of the last year. The proportion of businesses, which considered the lack of labour force as an important barrier to growth however also increased. General unemployment rate kept falling throughout the whole year </w:t>
      </w:r>
      <w:r w:rsidR="00FD55BA" w:rsidRPr="0051412B">
        <w:rPr>
          <w:rFonts w:cs="Arial"/>
          <w:color w:val="0D0D0D"/>
          <w:spacing w:val="-4"/>
          <w:szCs w:val="20"/>
          <w:lang w:val="en-GB"/>
        </w:rPr>
        <w:t>a</w:t>
      </w:r>
      <w:r w:rsidR="00AD2C0A" w:rsidRPr="0051412B">
        <w:rPr>
          <w:rFonts w:cs="Arial"/>
          <w:color w:val="0D0D0D"/>
          <w:spacing w:val="-4"/>
          <w:szCs w:val="20"/>
          <w:lang w:val="en-GB"/>
        </w:rPr>
        <w:t>nd it arrived at 3.6</w:t>
      </w:r>
      <w:r w:rsidR="00E43F01" w:rsidRPr="0051412B">
        <w:rPr>
          <w:rFonts w:cs="Arial"/>
          <w:color w:val="0D0D0D"/>
          <w:spacing w:val="-4"/>
          <w:szCs w:val="20"/>
          <w:lang w:val="en-GB"/>
        </w:rPr>
        <w:t xml:space="preserve">% in December 2016. The supply of </w:t>
      </w:r>
      <w:r w:rsidR="00490BD8" w:rsidRPr="0051412B">
        <w:rPr>
          <w:rFonts w:cs="Arial"/>
          <w:color w:val="0D0D0D"/>
          <w:spacing w:val="-4"/>
          <w:szCs w:val="20"/>
          <w:lang w:val="en-GB"/>
        </w:rPr>
        <w:t>vacancies</w:t>
      </w:r>
      <w:r w:rsidRPr="00EB6063">
        <w:rPr>
          <w:rFonts w:cs="Arial"/>
          <w:color w:val="0D0D0D"/>
          <w:spacing w:val="-4"/>
          <w:szCs w:val="20"/>
          <w:lang w:val="en-GB"/>
        </w:rPr>
        <w:t xml:space="preserve"> kept further expanding, professionals and qualified manual workers </w:t>
      </w:r>
      <w:r w:rsidRPr="00EB6063">
        <w:rPr>
          <w:rFonts w:cs="Arial"/>
          <w:bCs/>
          <w:iCs/>
          <w:color w:val="0D0D0D"/>
          <w:spacing w:val="-4"/>
          <w:szCs w:val="20"/>
          <w:lang w:val="en-GB"/>
        </w:rPr>
        <w:t>found employment the best. Favourable financial situation of businesses as well as the rising obstacles when searching for new employees pressed the nominal wages up. These grew by 4.2% last year, the most since the year 2008. Increase of the minimal wage together with the strengthening of earnings in the branches with the predominance of state were projected into 6.0% growth of the wage median in Q4 2016 and contributed thus to the lowering of the wage differentiation of employees. The real average wages grew despite strengthening inflation towards the end of the year by 3.5% for the whole year, i.e. by the highest rate of growth since 2007.</w:t>
      </w:r>
    </w:p>
    <w:p w:rsidR="00F94681" w:rsidRPr="0051412B" w:rsidRDefault="00F94681" w:rsidP="00F94681">
      <w:pPr>
        <w:spacing w:line="240" w:lineRule="auto"/>
        <w:contextualSpacing/>
        <w:jc w:val="both"/>
        <w:rPr>
          <w:rFonts w:cs="Arial"/>
          <w:spacing w:val="-4"/>
          <w:sz w:val="12"/>
          <w:szCs w:val="12"/>
          <w:lang w:val="en-GB"/>
        </w:rPr>
      </w:pPr>
    </w:p>
    <w:p w:rsidR="00FD55BA" w:rsidRPr="0051412B" w:rsidRDefault="00EB6063" w:rsidP="00FD55BA">
      <w:pPr>
        <w:pStyle w:val="Bezmezer"/>
        <w:numPr>
          <w:ilvl w:val="0"/>
          <w:numId w:val="18"/>
        </w:numPr>
        <w:ind w:left="425" w:hanging="357"/>
        <w:rPr>
          <w:rFonts w:cs="Arial"/>
          <w:spacing w:val="-4"/>
          <w:szCs w:val="20"/>
          <w:lang w:val="en-GB"/>
        </w:rPr>
      </w:pPr>
      <w:r w:rsidRPr="00EB6063">
        <w:rPr>
          <w:rFonts w:cs="Arial"/>
          <w:spacing w:val="-4"/>
          <w:szCs w:val="20"/>
          <w:lang w:val="en-GB"/>
        </w:rPr>
        <w:t xml:space="preserve">State budget (SB) </w:t>
      </w:r>
      <w:r w:rsidR="0051412B">
        <w:rPr>
          <w:rFonts w:cs="Arial"/>
          <w:spacing w:val="-4"/>
          <w:szCs w:val="20"/>
          <w:lang w:val="en-GB"/>
        </w:rPr>
        <w:t>reached</w:t>
      </w:r>
      <w:r w:rsidRPr="00EB6063">
        <w:rPr>
          <w:rFonts w:cs="Arial"/>
          <w:spacing w:val="-4"/>
          <w:szCs w:val="20"/>
          <w:lang w:val="en-GB"/>
        </w:rPr>
        <w:t xml:space="preserve"> a positive balance of 61.8 CZK bn. The budget surplus was last achieved in the period of years 1</w:t>
      </w:r>
      <w:r w:rsidR="00C01B84" w:rsidRPr="0051412B">
        <w:rPr>
          <w:rFonts w:cs="Arial"/>
          <w:color w:val="0D0D0D"/>
          <w:spacing w:val="-4"/>
          <w:lang w:val="en-GB"/>
        </w:rPr>
        <w:t>993</w:t>
      </w:r>
      <w:r w:rsidR="00C01B84" w:rsidRPr="0051412B">
        <w:rPr>
          <w:rFonts w:cs="Arial"/>
          <w:color w:val="0D0D0D" w:themeColor="text1" w:themeTint="F2"/>
          <w:spacing w:val="-4"/>
          <w:lang w:val="en-GB"/>
        </w:rPr>
        <w:t>–</w:t>
      </w:r>
      <w:r w:rsidR="00E60FCE" w:rsidRPr="0051412B">
        <w:rPr>
          <w:rFonts w:cs="Arial"/>
          <w:color w:val="0D0D0D"/>
          <w:spacing w:val="-4"/>
          <w:lang w:val="en-GB"/>
        </w:rPr>
        <w:t>1995</w:t>
      </w:r>
      <w:r w:rsidR="00A7727E" w:rsidRPr="0051412B">
        <w:rPr>
          <w:rFonts w:cs="Arial"/>
          <w:color w:val="0D0D0D"/>
          <w:spacing w:val="-4"/>
          <w:lang w:val="en-GB"/>
        </w:rPr>
        <w:t xml:space="preserve">. </w:t>
      </w:r>
      <w:r w:rsidRPr="00EB6063">
        <w:rPr>
          <w:rFonts w:cs="Arial"/>
          <w:color w:val="0D0D0D"/>
          <w:spacing w:val="-4"/>
          <w:lang w:val="en-GB"/>
        </w:rPr>
        <w:t xml:space="preserve">Both last year’s SB income and expenditure were markedly influenced </w:t>
      </w:r>
      <w:r w:rsidRPr="00EB6063">
        <w:rPr>
          <w:rFonts w:cs="Arial"/>
          <w:spacing w:val="-4"/>
          <w:szCs w:val="20"/>
          <w:lang w:val="en-GB"/>
        </w:rPr>
        <w:t xml:space="preserve">by irregularities in the drawing on funds from the EU budget. Expenditure of the SB on investment slumped by 52% year-on-year (by one quarter compared to the year 2014) and their share in the total budget expenditure dropped below 7%. The stable growth of the economy was mirrored in the higher collection especially of direct taxes, but also in the pension account deficit, which fell by nearly one half year-on-year. The state debt shrank by 3.6% for the last year (to </w:t>
      </w:r>
      <w:r w:rsidR="008F2097" w:rsidRPr="0051412B">
        <w:rPr>
          <w:rFonts w:cs="Arial"/>
          <w:color w:val="0D0D0D"/>
          <w:spacing w:val="-4"/>
          <w:lang w:val="en-GB"/>
        </w:rPr>
        <w:t>1613</w:t>
      </w:r>
      <w:r w:rsidR="00DC6AA2" w:rsidRPr="0051412B">
        <w:rPr>
          <w:rFonts w:cs="Arial"/>
          <w:color w:val="0D0D0D"/>
          <w:spacing w:val="-4"/>
          <w:lang w:val="en-GB"/>
        </w:rPr>
        <w:t>.</w:t>
      </w:r>
      <w:r w:rsidR="008F2097" w:rsidRPr="0051412B">
        <w:rPr>
          <w:rFonts w:cs="Arial"/>
          <w:color w:val="0D0D0D"/>
          <w:spacing w:val="-4"/>
          <w:lang w:val="en-GB"/>
        </w:rPr>
        <w:t xml:space="preserve">4 </w:t>
      </w:r>
      <w:r w:rsidR="00C4216C" w:rsidRPr="0051412B">
        <w:rPr>
          <w:rFonts w:cs="Arial"/>
          <w:color w:val="0D0D0D"/>
          <w:spacing w:val="-4"/>
          <w:lang w:val="en-GB"/>
        </w:rPr>
        <w:t>CZK bn</w:t>
      </w:r>
      <w:r w:rsidR="0051412B">
        <w:rPr>
          <w:rFonts w:cs="Arial"/>
          <w:color w:val="0D0D0D"/>
          <w:spacing w:val="-4"/>
          <w:lang w:val="en-GB"/>
        </w:rPr>
        <w:t>).</w:t>
      </w:r>
      <w:r w:rsidR="00DC6AA2" w:rsidRPr="0051412B">
        <w:rPr>
          <w:rFonts w:cs="Arial"/>
          <w:color w:val="0D0D0D"/>
          <w:spacing w:val="-4"/>
          <w:lang w:val="en-GB"/>
        </w:rPr>
        <w:t xml:space="preserve"> </w:t>
      </w:r>
    </w:p>
    <w:p w:rsidR="00B767DF" w:rsidRPr="0051412B" w:rsidRDefault="00B767DF" w:rsidP="00B767DF">
      <w:pPr>
        <w:pStyle w:val="Odstavecseseznamem"/>
        <w:rPr>
          <w:rFonts w:cs="Arial"/>
          <w:sz w:val="6"/>
          <w:szCs w:val="6"/>
          <w:lang w:val="en-GB"/>
        </w:rPr>
      </w:pPr>
    </w:p>
    <w:p w:rsidR="00220838" w:rsidRPr="00CB09D5" w:rsidRDefault="00220838" w:rsidP="00220838">
      <w:pPr>
        <w:pStyle w:val="Odstavecseseznamem"/>
        <w:ind w:left="0"/>
        <w:rPr>
          <w:sz w:val="2"/>
          <w:lang w:val="en-GB"/>
        </w:rPr>
      </w:pPr>
    </w:p>
    <w:p w:rsidR="00960769" w:rsidRPr="00CB09D5" w:rsidRDefault="00381479" w:rsidP="009F777A">
      <w:pPr>
        <w:pStyle w:val="Nadpis1"/>
        <w:numPr>
          <w:ilvl w:val="0"/>
          <w:numId w:val="12"/>
        </w:numPr>
        <w:ind w:left="709"/>
        <w:jc w:val="both"/>
        <w:rPr>
          <w:lang w:val="en-GB"/>
        </w:rPr>
      </w:pPr>
      <w:bookmarkStart w:id="6" w:name="_Toc469299930"/>
      <w:bookmarkStart w:id="7" w:name="_Toc480800272"/>
      <w:r w:rsidRPr="00CB09D5">
        <w:rPr>
          <w:lang w:val="en-GB"/>
        </w:rPr>
        <w:lastRenderedPageBreak/>
        <w:t>Overall Economic Performance</w:t>
      </w:r>
      <w:bookmarkEnd w:id="6"/>
      <w:bookmarkEnd w:id="7"/>
    </w:p>
    <w:tbl>
      <w:tblPr>
        <w:tblW w:w="5000" w:type="pct"/>
        <w:tblInd w:w="108" w:type="dxa"/>
        <w:tblLayout w:type="fixed"/>
        <w:tblLook w:val="00A0"/>
      </w:tblPr>
      <w:tblGrid>
        <w:gridCol w:w="987"/>
        <w:gridCol w:w="1129"/>
        <w:gridCol w:w="280"/>
        <w:gridCol w:w="2529"/>
        <w:gridCol w:w="887"/>
        <w:gridCol w:w="4042"/>
      </w:tblGrid>
      <w:tr w:rsidR="003875C2" w:rsidRPr="00CB09D5" w:rsidTr="00EF6DDD">
        <w:tc>
          <w:tcPr>
            <w:tcW w:w="1074" w:type="pct"/>
            <w:gridSpan w:val="2"/>
          </w:tcPr>
          <w:p w:rsidR="003875C2" w:rsidRPr="00CB09D5" w:rsidRDefault="001536DD" w:rsidP="00A9497A">
            <w:pPr>
              <w:spacing w:line="240" w:lineRule="auto"/>
              <w:rPr>
                <w:sz w:val="16"/>
                <w:szCs w:val="16"/>
                <w:highlight w:val="yellow"/>
                <w:lang w:val="en-GB"/>
              </w:rPr>
            </w:pPr>
            <w:r w:rsidRPr="00CB09D5">
              <w:rPr>
                <w:rFonts w:cs="Arial"/>
                <w:sz w:val="16"/>
                <w:szCs w:val="16"/>
                <w:lang w:val="en-GB"/>
              </w:rPr>
              <w:t>Gross Do</w:t>
            </w:r>
            <w:r w:rsidR="00094D55" w:rsidRPr="00CB09D5">
              <w:rPr>
                <w:rFonts w:cs="Arial"/>
                <w:sz w:val="16"/>
                <w:szCs w:val="16"/>
                <w:lang w:val="en-GB"/>
              </w:rPr>
              <w:t>mestic Product increased by 2.3</w:t>
            </w:r>
            <w:r w:rsidRPr="00CB09D5">
              <w:rPr>
                <w:rFonts w:cs="Arial"/>
                <w:sz w:val="16"/>
                <w:szCs w:val="16"/>
                <w:lang w:val="en-GB"/>
              </w:rPr>
              <w:t xml:space="preserve">% in </w:t>
            </w:r>
            <w:r w:rsidR="003875C2" w:rsidRPr="00CB09D5">
              <w:rPr>
                <w:rFonts w:cs="Arial"/>
                <w:sz w:val="16"/>
                <w:szCs w:val="16"/>
                <w:lang w:val="en-GB"/>
              </w:rPr>
              <w:t>2016</w:t>
            </w:r>
            <w:r w:rsidRPr="00CB09D5">
              <w:rPr>
                <w:rFonts w:cs="Arial"/>
                <w:sz w:val="16"/>
                <w:szCs w:val="16"/>
                <w:lang w:val="en-GB"/>
              </w:rPr>
              <w:t>. The growth slowed down compared to</w:t>
            </w:r>
            <w:r w:rsidR="004966D7" w:rsidRPr="00CB09D5">
              <w:rPr>
                <w:rFonts w:cs="Arial"/>
                <w:sz w:val="16"/>
                <w:szCs w:val="16"/>
                <w:lang w:val="en-GB"/>
              </w:rPr>
              <w:t xml:space="preserve"> the</w:t>
            </w:r>
            <w:r w:rsidRPr="00CB09D5">
              <w:rPr>
                <w:rFonts w:cs="Arial"/>
                <w:sz w:val="16"/>
                <w:szCs w:val="16"/>
                <w:lang w:val="en-GB"/>
              </w:rPr>
              <w:t xml:space="preserve"> year 2015, mostly due to the year-on-year fall of the investment a</w:t>
            </w:r>
            <w:r w:rsidR="000B1F3D" w:rsidRPr="00CB09D5">
              <w:rPr>
                <w:rFonts w:cs="Arial"/>
                <w:sz w:val="16"/>
                <w:szCs w:val="16"/>
                <w:lang w:val="en-GB"/>
              </w:rPr>
              <w:t>c</w:t>
            </w:r>
            <w:r w:rsidRPr="00CB09D5">
              <w:rPr>
                <w:rFonts w:cs="Arial"/>
                <w:sz w:val="16"/>
                <w:szCs w:val="16"/>
                <w:lang w:val="en-GB"/>
              </w:rPr>
              <w:t xml:space="preserve">tivity. </w:t>
            </w:r>
          </w:p>
        </w:tc>
        <w:tc>
          <w:tcPr>
            <w:tcW w:w="142" w:type="pct"/>
          </w:tcPr>
          <w:p w:rsidR="003875C2" w:rsidRPr="00CB09D5" w:rsidRDefault="003875C2" w:rsidP="00D94859">
            <w:pPr>
              <w:pStyle w:val="Textpoznpodarou"/>
              <w:jc w:val="both"/>
              <w:rPr>
                <w:lang w:val="en-GB"/>
              </w:rPr>
            </w:pPr>
          </w:p>
        </w:tc>
        <w:tc>
          <w:tcPr>
            <w:tcW w:w="3784" w:type="pct"/>
            <w:gridSpan w:val="3"/>
          </w:tcPr>
          <w:p w:rsidR="003875C2" w:rsidRPr="0051412B" w:rsidRDefault="001536DD" w:rsidP="00A9497A">
            <w:pPr>
              <w:pStyle w:val="Textpoznpodarou"/>
              <w:jc w:val="both"/>
              <w:rPr>
                <w:rFonts w:cs="Arial"/>
                <w:lang w:val="en-GB"/>
              </w:rPr>
            </w:pPr>
            <w:r w:rsidRPr="0051412B">
              <w:rPr>
                <w:rFonts w:cs="Arial"/>
                <w:lang w:val="en-GB"/>
              </w:rPr>
              <w:t xml:space="preserve">The Gross Domestic Product </w:t>
            </w:r>
            <w:r w:rsidR="003875C2" w:rsidRPr="0051412B">
              <w:rPr>
                <w:rFonts w:cs="Arial"/>
                <w:lang w:val="en-GB"/>
              </w:rPr>
              <w:t>(</w:t>
            </w:r>
            <w:r w:rsidRPr="0051412B">
              <w:rPr>
                <w:rFonts w:cs="Arial"/>
                <w:lang w:val="en-GB"/>
              </w:rPr>
              <w:t>GDP</w:t>
            </w:r>
            <w:r w:rsidR="003875C2" w:rsidRPr="0051412B">
              <w:rPr>
                <w:rFonts w:cs="Arial"/>
                <w:lang w:val="en-GB"/>
              </w:rPr>
              <w:t xml:space="preserve">) </w:t>
            </w:r>
            <w:r w:rsidR="00094D55" w:rsidRPr="0051412B">
              <w:rPr>
                <w:rFonts w:cs="Arial"/>
                <w:lang w:val="en-GB"/>
              </w:rPr>
              <w:t>increased by 2.3</w:t>
            </w:r>
            <w:r w:rsidRPr="0051412B">
              <w:rPr>
                <w:rFonts w:cs="Arial"/>
                <w:lang w:val="en-GB"/>
              </w:rPr>
              <w:t xml:space="preserve">% in </w:t>
            </w:r>
            <w:r w:rsidR="00EB6063" w:rsidRPr="00EB6063">
              <w:rPr>
                <w:rFonts w:cs="Arial"/>
                <w:lang w:val="en-GB"/>
              </w:rPr>
              <w:t>2016</w:t>
            </w:r>
            <w:r w:rsidR="00434C84">
              <w:rPr>
                <w:rStyle w:val="Znakapoznpodarou"/>
                <w:rFonts w:cs="Arial"/>
                <w:lang w:val="en-GB"/>
              </w:rPr>
              <w:footnoteReference w:id="2"/>
            </w:r>
            <w:r w:rsidR="00EB6063" w:rsidRPr="00EB6063">
              <w:rPr>
                <w:rFonts w:cs="Arial"/>
                <w:lang w:val="en-GB"/>
              </w:rPr>
              <w:t xml:space="preserve">. The Czech economy enlarged by a halved pace in 2016 in comparison to the year 2015, when the significant growth was supported by an extraordinary combination of factors, which did not recur in the year 2016. Moderation of the growth dynamics started already in the final quarter of 2015 and the year-on-year additions recorded further fall (3.0%, 2.6%, </w:t>
            </w:r>
            <w:proofErr w:type="gramStart"/>
            <w:r w:rsidR="00EB6063" w:rsidRPr="00EB6063">
              <w:rPr>
                <w:rFonts w:cs="Arial"/>
                <w:lang w:val="en-GB"/>
              </w:rPr>
              <w:t>1.8</w:t>
            </w:r>
            <w:proofErr w:type="gramEnd"/>
            <w:r w:rsidR="00EB6063" w:rsidRPr="00EB6063">
              <w:rPr>
                <w:rFonts w:cs="Arial"/>
                <w:lang w:val="en-GB"/>
              </w:rPr>
              <w:t xml:space="preserve">%). The year-on-year growth went up somewhat to 1.9% at the end of the year. The year-on-year growth of the gross value added (GVA) corresponded to the GDP and it was decreasing during the year (2.7%, 2.6%, 1.6% and 1.6% in the individual quarters). In total, the GVA rose by 2.1%. The domestic demand (final consumption expenditure of households), whose significance was strengthening for throughout the whole year as well as the growing surplus of the foreign trade balance, which held key meaning for the economic growth especially in the first half of 2016, supported the GDP growth. On the contrary, the investment activity, which stood behind the exceptional results of the year 2015, was subdued the whole last year. A number of indicators signalled a favourable development of the economy.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082637" w:rsidP="00A9497A">
            <w:pPr>
              <w:spacing w:line="240" w:lineRule="auto"/>
              <w:rPr>
                <w:rFonts w:cs="Arial"/>
                <w:sz w:val="16"/>
                <w:szCs w:val="16"/>
                <w:lang w:val="en-GB"/>
              </w:rPr>
            </w:pPr>
            <w:r w:rsidRPr="00CB09D5">
              <w:rPr>
                <w:rFonts w:cs="Arial"/>
                <w:sz w:val="16"/>
                <w:szCs w:val="16"/>
                <w:lang w:val="en-GB"/>
              </w:rPr>
              <w:t>Quarter-on-quarter growth of</w:t>
            </w:r>
            <w:r w:rsidR="009030F3" w:rsidRPr="00CB09D5">
              <w:rPr>
                <w:rFonts w:cs="Arial"/>
                <w:sz w:val="16"/>
                <w:szCs w:val="16"/>
                <w:lang w:val="en-GB"/>
              </w:rPr>
              <w:t xml:space="preserve"> the</w:t>
            </w:r>
            <w:r w:rsidRPr="00CB09D5">
              <w:rPr>
                <w:rFonts w:cs="Arial"/>
                <w:sz w:val="16"/>
                <w:szCs w:val="16"/>
                <w:lang w:val="en-GB"/>
              </w:rPr>
              <w:t xml:space="preserve"> GDP was strongest in Q2. </w:t>
            </w:r>
            <w:r w:rsidR="003875C2" w:rsidRPr="00CB09D5">
              <w:rPr>
                <w:rFonts w:cs="Arial"/>
                <w:sz w:val="16"/>
                <w:szCs w:val="16"/>
                <w:lang w:val="en-GB"/>
              </w:rPr>
              <w:t>E</w:t>
            </w:r>
            <w:r w:rsidR="00835606" w:rsidRPr="00CB09D5">
              <w:rPr>
                <w:rFonts w:cs="Arial"/>
                <w:sz w:val="16"/>
                <w:szCs w:val="16"/>
                <w:lang w:val="en-GB"/>
              </w:rPr>
              <w:t>conomic growth was supported by exceptionally favourable results in both industry and foreign trade</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lang w:val="en-GB"/>
              </w:rPr>
            </w:pPr>
          </w:p>
        </w:tc>
        <w:tc>
          <w:tcPr>
            <w:tcW w:w="3784" w:type="pct"/>
            <w:gridSpan w:val="3"/>
          </w:tcPr>
          <w:p w:rsidR="003875C2" w:rsidRPr="0051412B" w:rsidRDefault="00EB6063" w:rsidP="00A9497A">
            <w:pPr>
              <w:pStyle w:val="Textpoznpodarou"/>
              <w:jc w:val="both"/>
              <w:rPr>
                <w:sz w:val="16"/>
                <w:lang w:val="en-GB"/>
              </w:rPr>
            </w:pPr>
            <w:r w:rsidRPr="00EB6063">
              <w:rPr>
                <w:lang w:val="en-GB"/>
              </w:rPr>
              <w:t xml:space="preserve">The quarter-on-quarter dynamics of the GDP growth lagged behind the two preceding years. The quarter-on-quarter additions to the GDP arrived at 0.4% and 0.9%. Notable slowdown manifested in Q3 (0.2%). The growth gained pace to 0.4% at the end of the year. The quarter-on-quarter additions to the GVA amounted to 0.4%, 0.7%, 0.2% and 0.3% in individual quarters.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7F12B6" w:rsidP="00A9497A">
            <w:pPr>
              <w:spacing w:line="240" w:lineRule="auto"/>
              <w:rPr>
                <w:rFonts w:cs="Arial"/>
                <w:sz w:val="16"/>
                <w:szCs w:val="16"/>
                <w:lang w:val="en-GB"/>
              </w:rPr>
            </w:pPr>
            <w:r w:rsidRPr="00CB09D5">
              <w:rPr>
                <w:rFonts w:cs="Arial"/>
                <w:sz w:val="16"/>
                <w:szCs w:val="16"/>
                <w:lang w:val="en-GB"/>
              </w:rPr>
              <w:t>Year-on-year pace of the Czech economic growth aligned with the EU average i</w:t>
            </w:r>
            <w:r w:rsidR="00802259" w:rsidRPr="00CB09D5">
              <w:rPr>
                <w:rFonts w:cs="Arial"/>
                <w:sz w:val="16"/>
                <w:szCs w:val="16"/>
                <w:lang w:val="en-GB"/>
              </w:rPr>
              <w:t>n the second half of the year. The y</w:t>
            </w:r>
            <w:r w:rsidRPr="00CB09D5">
              <w:rPr>
                <w:rFonts w:cs="Arial"/>
                <w:sz w:val="16"/>
                <w:szCs w:val="16"/>
                <w:lang w:val="en-GB"/>
              </w:rPr>
              <w:t xml:space="preserve">ear 2016 was successful for most European countries. </w:t>
            </w:r>
            <w:r w:rsidR="003875C2" w:rsidRPr="00CB09D5">
              <w:rPr>
                <w:rFonts w:cs="Arial"/>
                <w:sz w:val="16"/>
                <w:szCs w:val="16"/>
                <w:lang w:val="en-GB"/>
              </w:rPr>
              <w:t>S</w:t>
            </w:r>
            <w:r w:rsidRPr="00CB09D5">
              <w:rPr>
                <w:rFonts w:cs="Arial"/>
                <w:sz w:val="16"/>
                <w:szCs w:val="16"/>
                <w:lang w:val="en-GB"/>
              </w:rPr>
              <w:t xml:space="preserve">trong growth continued in Slovakia, the German economy expanded by a stable rate of growth. </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lang w:val="en-GB"/>
              </w:rPr>
            </w:pPr>
          </w:p>
        </w:tc>
        <w:tc>
          <w:tcPr>
            <w:tcW w:w="3784" w:type="pct"/>
            <w:gridSpan w:val="3"/>
          </w:tcPr>
          <w:p w:rsidR="003875C2" w:rsidRPr="0051412B" w:rsidRDefault="003C486D" w:rsidP="00A9497A">
            <w:pPr>
              <w:pStyle w:val="Textpoznpodarou"/>
              <w:jc w:val="both"/>
              <w:rPr>
                <w:rFonts w:cs="Arial"/>
                <w:sz w:val="18"/>
                <w:szCs w:val="18"/>
                <w:lang w:val="en-GB"/>
              </w:rPr>
            </w:pPr>
            <w:r w:rsidRPr="0051412B">
              <w:rPr>
                <w:rFonts w:cs="Arial"/>
                <w:lang w:val="en-GB"/>
              </w:rPr>
              <w:t xml:space="preserve">Year-on-year rate of growth of the economic growth in the Czech Republic moved closer from above to the growth in the EU and they were equal in the second half of the year. </w:t>
            </w:r>
            <w:r w:rsidR="004E230C" w:rsidRPr="0051412B">
              <w:rPr>
                <w:rFonts w:cs="Arial"/>
                <w:lang w:val="en-GB"/>
              </w:rPr>
              <w:t>Growth of the EU economy quarter-on-quarter flu</w:t>
            </w:r>
            <w:r w:rsidR="008B051B" w:rsidRPr="0051412B">
              <w:rPr>
                <w:rFonts w:cs="Arial"/>
                <w:lang w:val="en-GB"/>
              </w:rPr>
              <w:t>ctuates quite stably around 0.5</w:t>
            </w:r>
            <w:r w:rsidR="00EB6063" w:rsidRPr="00EB6063">
              <w:rPr>
                <w:rFonts w:cs="Arial"/>
                <w:lang w:val="en-GB"/>
              </w:rPr>
              <w:t>% in the last three years and the Czech Republic (except for Q2) did not overtake it in 2016. The year 2016 was from the view of the economic development favourable for most of the European countries</w:t>
            </w:r>
            <w:r w:rsidR="00434C84">
              <w:rPr>
                <w:rStyle w:val="Znakapoznpodarou"/>
                <w:rFonts w:cs="Arial"/>
                <w:lang w:val="en-GB"/>
              </w:rPr>
              <w:footnoteReference w:id="3"/>
            </w:r>
            <w:r w:rsidR="00EB6063" w:rsidRPr="00EB6063">
              <w:rPr>
                <w:rFonts w:cs="Arial"/>
                <w:lang w:val="en-GB"/>
              </w:rPr>
              <w:t xml:space="preserve">. The GDP fell only in Greece year-on-year; other economies experienced at least a mild year-on-year growth. The largest GDP growth was recorded in Romania (4.8%) in 2016, followed by Spain (3.3%). Neighbours of the Czech Republic and </w:t>
            </w:r>
            <w:proofErr w:type="gramStart"/>
            <w:r w:rsidR="00EB6063" w:rsidRPr="00EB6063">
              <w:rPr>
                <w:rFonts w:cs="Arial"/>
                <w:lang w:val="en-GB"/>
              </w:rPr>
              <w:t>its</w:t>
            </w:r>
            <w:proofErr w:type="gramEnd"/>
            <w:r w:rsidR="00EB6063" w:rsidRPr="00EB6063">
              <w:rPr>
                <w:rFonts w:cs="Arial"/>
                <w:lang w:val="en-GB"/>
              </w:rPr>
              <w:t xml:space="preserve"> nearest economic partners also prospered. The German economy expanded by 1.8% year-on-year, the Austrian GDP rose by 1.5%. The year-on-year growth decreased its pace somewhat in Slovakia during the year, still the Slovak economy expanded by 3.3% for the year 2016 and ranked among the fastest growing in the EU. The growth of the Polish economy accelerated in the last quarter and increased by 2.9% for the whole year.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073461" w:rsidP="00A9497A">
            <w:pPr>
              <w:spacing w:line="240" w:lineRule="auto"/>
              <w:rPr>
                <w:rFonts w:cs="Arial"/>
                <w:sz w:val="16"/>
                <w:szCs w:val="16"/>
                <w:lang w:val="en-GB"/>
              </w:rPr>
            </w:pPr>
            <w:r w:rsidRPr="00CB09D5">
              <w:rPr>
                <w:rFonts w:cs="Arial"/>
                <w:sz w:val="16"/>
                <w:szCs w:val="16"/>
                <w:lang w:val="en-GB"/>
              </w:rPr>
              <w:t>Growth of the final consumption expenditure of households shared significantly in the GDP growth in 2</w:t>
            </w:r>
            <w:r w:rsidR="003875C2" w:rsidRPr="00CB09D5">
              <w:rPr>
                <w:rFonts w:cs="Arial"/>
                <w:sz w:val="16"/>
                <w:szCs w:val="16"/>
                <w:lang w:val="en-GB"/>
              </w:rPr>
              <w:t xml:space="preserve">016. </w:t>
            </w:r>
            <w:r w:rsidR="005C591E" w:rsidRPr="00CB09D5">
              <w:rPr>
                <w:rFonts w:cs="Arial"/>
                <w:sz w:val="16"/>
                <w:szCs w:val="16"/>
                <w:lang w:val="en-GB"/>
              </w:rPr>
              <w:t xml:space="preserve">Growth of the trade balance surplus also manifested </w:t>
            </w:r>
            <w:r w:rsidR="00DA41E0" w:rsidRPr="00CB09D5">
              <w:rPr>
                <w:rFonts w:cs="Arial"/>
                <w:sz w:val="16"/>
                <w:szCs w:val="16"/>
                <w:lang w:val="en-GB"/>
              </w:rPr>
              <w:t>notably</w:t>
            </w:r>
            <w:r w:rsidR="005C591E" w:rsidRPr="00CB09D5">
              <w:rPr>
                <w:rFonts w:cs="Arial"/>
                <w:sz w:val="16"/>
                <w:szCs w:val="16"/>
                <w:lang w:val="en-GB"/>
              </w:rPr>
              <w:t xml:space="preserve">. Gross fixed capital formation lagged behind </w:t>
            </w:r>
            <w:r w:rsidR="00802D68" w:rsidRPr="00CB09D5">
              <w:rPr>
                <w:rFonts w:cs="Arial"/>
                <w:sz w:val="16"/>
                <w:szCs w:val="16"/>
                <w:lang w:val="en-GB"/>
              </w:rPr>
              <w:t xml:space="preserve">the </w:t>
            </w:r>
            <w:r w:rsidR="005C591E" w:rsidRPr="00CB09D5">
              <w:rPr>
                <w:rFonts w:cs="Arial"/>
                <w:sz w:val="16"/>
                <w:szCs w:val="16"/>
                <w:lang w:val="en-GB"/>
              </w:rPr>
              <w:t xml:space="preserve">year 2015.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1E29AF" w:rsidRPr="0051412B" w:rsidRDefault="003C7B97" w:rsidP="001E29AF">
            <w:pPr>
              <w:pStyle w:val="Textpoznpodarou"/>
              <w:jc w:val="both"/>
              <w:rPr>
                <w:rFonts w:cs="Arial"/>
                <w:sz w:val="18"/>
                <w:szCs w:val="18"/>
                <w:lang w:val="en-GB"/>
              </w:rPr>
            </w:pPr>
            <w:r w:rsidRPr="0051412B">
              <w:rPr>
                <w:rFonts w:cs="Arial"/>
                <w:lang w:val="en-GB"/>
              </w:rPr>
              <w:t xml:space="preserve">The year-on-year </w:t>
            </w:r>
            <w:r w:rsidR="00643145" w:rsidRPr="0051412B">
              <w:rPr>
                <w:rFonts w:cs="Arial"/>
                <w:vanish/>
                <w:lang w:val="en-GB"/>
              </w:rPr>
              <w:t xml:space="preserve">GDP growth was driven by the final consumption expenditure of households through the whole last year. Their contribution to the total GDP growth amounted to +1.1 p. p. and their importance grew in the course of the year. </w:t>
            </w:r>
            <w:r w:rsidR="00EB6063" w:rsidRPr="00EB6063">
              <w:rPr>
                <w:rFonts w:cs="Arial"/>
                <w:lang w:val="en-GB"/>
              </w:rPr>
              <w:t>GDP growth was driven by the final consumption expenditure of households through the whole last year. Their contribution to the total GDP</w:t>
            </w:r>
            <w:r w:rsidR="00434C84">
              <w:rPr>
                <w:rStyle w:val="Znakapoznpodarou"/>
                <w:rFonts w:cs="Arial"/>
                <w:lang w:val="en-GB"/>
              </w:rPr>
              <w:footnoteReference w:id="4"/>
            </w:r>
            <w:r w:rsidR="00EB6063" w:rsidRPr="00EB6063">
              <w:rPr>
                <w:rFonts w:cs="Arial"/>
                <w:lang w:val="en-GB"/>
              </w:rPr>
              <w:t xml:space="preserve"> growth amounted to +1.1 p.p. and their importance grew in the course of the year. It attained +0.9 p.p. and +1.0 p.p. in the first half of the year and it strengthened to +1.3 p.p. and +1.4 p.p. in Q3 and Q4. On the contrary, the contribution of final consumption expenditure of government institutions, which reached +0.4 p.p. and +0.5 p.p., in the first two quarters weakened to +0.2 in the third quarter and it was zero in the final quarter. The export and import balance contributed more strongly and substantially to the GDP growth than in the preceding year </w:t>
            </w:r>
            <w:proofErr w:type="gramStart"/>
            <w:r w:rsidR="00EB6063" w:rsidRPr="00EB6063">
              <w:rPr>
                <w:rFonts w:cs="Arial"/>
                <w:lang w:val="en-GB"/>
              </w:rPr>
              <w:t>(in total +1.2 p.p.)</w:t>
            </w:r>
            <w:proofErr w:type="gramEnd"/>
            <w:r w:rsidR="00EB6063" w:rsidRPr="00EB6063">
              <w:rPr>
                <w:rFonts w:cs="Arial"/>
                <w:lang w:val="en-GB"/>
              </w:rPr>
              <w:t>. Its addition even exceeded the above-mentioned household consumption in the first half of the year, when it reached +1.2 p.p. and </w:t>
            </w:r>
            <w:proofErr w:type="gramStart"/>
            <w:r w:rsidR="00EB6063" w:rsidRPr="00EB6063">
              <w:rPr>
                <w:rFonts w:cs="Arial"/>
                <w:lang w:val="en-GB"/>
              </w:rPr>
              <w:t>+2.0 p.p</w:t>
            </w:r>
            <w:proofErr w:type="gramEnd"/>
            <w:r w:rsidR="00EB6063" w:rsidRPr="00EB6063">
              <w:rPr>
                <w:rFonts w:cs="Arial"/>
                <w:lang w:val="en-GB"/>
              </w:rPr>
              <w:t xml:space="preserve">. It lowered to +0.5 p.p. in the third quarter, which was from the view of the foreign trade results less successful and increased to +0.9 p.p. at the end of the year.  The positive </w:t>
            </w:r>
            <w:r w:rsidR="00EB6063" w:rsidRPr="00EB6063">
              <w:rPr>
                <w:rFonts w:cs="Arial"/>
                <w:lang w:val="en-GB"/>
              </w:rPr>
              <w:lastRenderedPageBreak/>
              <w:t>addition of changes in inventories to the growth strengthened especially in the second half of the year (+0.9 p.p. and +1.0 p.p. in Q3 and Q4). The contribution of the already mentioned investment activity represented by gross fixed capital formation was negative (in total -</w:t>
            </w:r>
            <w:proofErr w:type="gramStart"/>
            <w:r w:rsidR="00EB6063" w:rsidRPr="00EB6063">
              <w:rPr>
                <w:rFonts w:cs="Arial"/>
                <w:lang w:val="en-GB"/>
              </w:rPr>
              <w:t>0.9 p.p</w:t>
            </w:r>
            <w:proofErr w:type="gramEnd"/>
            <w:r w:rsidR="00EB6063" w:rsidRPr="00EB6063">
              <w:rPr>
                <w:rFonts w:cs="Arial"/>
                <w:lang w:val="en-GB"/>
              </w:rPr>
              <w:t>.).</w:t>
            </w:r>
          </w:p>
          <w:p w:rsidR="003875C2" w:rsidRPr="0051412B" w:rsidRDefault="00EB6063" w:rsidP="001E29AF">
            <w:pPr>
              <w:pStyle w:val="Textpoznpodarou"/>
              <w:jc w:val="both"/>
              <w:rPr>
                <w:rFonts w:cs="Arial"/>
                <w:sz w:val="14"/>
                <w:szCs w:val="14"/>
                <w:highlight w:val="yellow"/>
                <w:lang w:val="en-GB"/>
              </w:rPr>
            </w:pPr>
            <w:r w:rsidRPr="00EB6063">
              <w:rPr>
                <w:rFonts w:cs="Arial"/>
                <w:lang w:val="en-GB"/>
              </w:rPr>
              <w:t xml:space="preserve"> </w:t>
            </w:r>
          </w:p>
        </w:tc>
      </w:tr>
      <w:tr w:rsidR="003875C2" w:rsidRPr="00CB09D5" w:rsidTr="00EF6DDD">
        <w:tc>
          <w:tcPr>
            <w:tcW w:w="1074" w:type="pct"/>
            <w:gridSpan w:val="2"/>
          </w:tcPr>
          <w:p w:rsidR="003875C2" w:rsidRPr="00CB09D5" w:rsidRDefault="00191461" w:rsidP="00A9497A">
            <w:pPr>
              <w:spacing w:line="240" w:lineRule="auto"/>
              <w:rPr>
                <w:rFonts w:cs="Arial"/>
                <w:sz w:val="16"/>
                <w:szCs w:val="16"/>
                <w:lang w:val="en-GB"/>
              </w:rPr>
            </w:pPr>
            <w:r w:rsidRPr="00CB09D5">
              <w:rPr>
                <w:rFonts w:cs="Arial"/>
                <w:sz w:val="16"/>
                <w:szCs w:val="16"/>
                <w:lang w:val="en-GB"/>
              </w:rPr>
              <w:lastRenderedPageBreak/>
              <w:t xml:space="preserve">Households acquired durable assets in a larger extent in </w:t>
            </w:r>
            <w:r w:rsidR="003875C2" w:rsidRPr="00CB09D5">
              <w:rPr>
                <w:rFonts w:cs="Arial"/>
                <w:sz w:val="16"/>
                <w:szCs w:val="16"/>
                <w:lang w:val="en-GB"/>
              </w:rPr>
              <w:t>2016.</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191461" w:rsidP="00A9497A">
            <w:pPr>
              <w:pStyle w:val="Textpoznpodarou"/>
              <w:jc w:val="both"/>
              <w:rPr>
                <w:rFonts w:cs="Arial"/>
                <w:sz w:val="18"/>
                <w:szCs w:val="18"/>
                <w:lang w:val="en-GB"/>
              </w:rPr>
            </w:pPr>
            <w:r w:rsidRPr="0051412B">
              <w:rPr>
                <w:rFonts w:cs="Arial"/>
                <w:lang w:val="en-GB"/>
              </w:rPr>
              <w:t>Growth of th</w:t>
            </w:r>
            <w:r w:rsidR="008B051B" w:rsidRPr="0051412B">
              <w:rPr>
                <w:rFonts w:cs="Arial"/>
                <w:lang w:val="en-GB"/>
              </w:rPr>
              <w:t>e household consumption was 2.9</w:t>
            </w:r>
            <w:r w:rsidRPr="0051412B">
              <w:rPr>
                <w:rFonts w:cs="Arial"/>
                <w:lang w:val="en-GB"/>
              </w:rPr>
              <w:t>% in 2016 and was driven mainly by the large inc</w:t>
            </w:r>
            <w:r w:rsidR="00EB6063" w:rsidRPr="00EB6063">
              <w:rPr>
                <w:rFonts w:cs="Arial"/>
                <w:lang w:val="en-GB"/>
              </w:rPr>
              <w:t>rease in the category of durable goods (6.2%). The year-on-year growth of expenditure on consumption of these goods slowed down to 3.4% in the final quarter of the year, but it was replaced by a relatively strong year-on-year rise for semi-durable goods (8.4%). In the last quarter of 2016, the growth of expenditure on non-durable goods also accelerated to 3.1%. Expenditure on services grew more notably compared to the preceding years (total year-on-year growth of 2.5%).</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D7128B" w:rsidP="00A9497A">
            <w:pPr>
              <w:spacing w:line="240" w:lineRule="auto"/>
              <w:rPr>
                <w:rFonts w:cs="Arial"/>
                <w:sz w:val="16"/>
                <w:szCs w:val="16"/>
                <w:lang w:val="en-GB"/>
              </w:rPr>
            </w:pPr>
            <w:r w:rsidRPr="00CB09D5">
              <w:rPr>
                <w:rFonts w:cs="Arial"/>
                <w:sz w:val="16"/>
                <w:szCs w:val="16"/>
                <w:lang w:val="en-GB"/>
              </w:rPr>
              <w:t xml:space="preserve">Favourable economic situation led to the enlarged volume of paid </w:t>
            </w:r>
            <w:proofErr w:type="gramStart"/>
            <w:r w:rsidRPr="00CB09D5">
              <w:rPr>
                <w:rFonts w:cs="Arial"/>
                <w:sz w:val="16"/>
                <w:szCs w:val="16"/>
                <w:lang w:val="en-GB"/>
              </w:rPr>
              <w:t>wages,</w:t>
            </w:r>
            <w:proofErr w:type="gramEnd"/>
            <w:r w:rsidRPr="00CB09D5">
              <w:rPr>
                <w:rFonts w:cs="Arial"/>
                <w:sz w:val="16"/>
                <w:szCs w:val="16"/>
                <w:lang w:val="en-GB"/>
              </w:rPr>
              <w:t xml:space="preserve"> however the real wage grow</w:t>
            </w:r>
            <w:r w:rsidR="00191461" w:rsidRPr="00CB09D5">
              <w:rPr>
                <w:rFonts w:cs="Arial"/>
                <w:sz w:val="16"/>
                <w:szCs w:val="16"/>
                <w:lang w:val="en-GB"/>
              </w:rPr>
              <w:t>th</w:t>
            </w:r>
            <w:r w:rsidRPr="00CB09D5">
              <w:rPr>
                <w:rFonts w:cs="Arial"/>
                <w:sz w:val="16"/>
                <w:szCs w:val="16"/>
                <w:lang w:val="en-GB"/>
              </w:rPr>
              <w:t xml:space="preserve"> subdued towards the end of the year</w:t>
            </w:r>
            <w:r w:rsidR="003875C2" w:rsidRPr="00CB09D5">
              <w:rPr>
                <w:rFonts w:cs="Arial"/>
                <w:sz w:val="16"/>
                <w:szCs w:val="16"/>
                <w:lang w:val="en-GB"/>
              </w:rPr>
              <w:t>.</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EB6063" w:rsidP="00A9497A">
            <w:pPr>
              <w:pStyle w:val="Textpoznpodarou"/>
              <w:jc w:val="both"/>
              <w:rPr>
                <w:sz w:val="18"/>
                <w:highlight w:val="yellow"/>
                <w:lang w:val="en-GB"/>
              </w:rPr>
            </w:pPr>
            <w:r w:rsidRPr="00EB6063">
              <w:rPr>
                <w:lang w:val="en-GB"/>
              </w:rPr>
              <w:t>The growth of consumption was supported by the positive expectations of consumers as well as the growth of earnings. The increase of the volume of paid out wages fastened compared to the year 2015 and attained 5.5%. The growth was stronger in the first three quarters of the year (6.0%, 5.4% and 5.7%) and it mildly eased up to 5.0% in the final quarter. The increase of the price level manifested especially at the end of the year and the volume of paid out wages declined in the real terms (5.9%, 5.4%, 4.8% and 3.6% in individual quarters</w:t>
            </w:r>
            <w:r w:rsidRPr="00EB6063">
              <w:rPr>
                <w:rFonts w:cs="Arial"/>
                <w:lang w:val="en-GB"/>
              </w:rPr>
              <w:t>)</w:t>
            </w:r>
            <w:r w:rsidRPr="00EB6063">
              <w:rPr>
                <w:rStyle w:val="Znakapoznpodarou"/>
                <w:rFonts w:cs="Arial"/>
                <w:lang w:val="en-GB"/>
              </w:rPr>
              <w:footnoteReference w:id="5"/>
            </w:r>
            <w:r w:rsidRPr="00EB6063">
              <w:rPr>
                <w:rFonts w:cs="Arial"/>
                <w:lang w:val="en-GB"/>
              </w:rPr>
              <w:t>. The continuous increase of the minimal wages</w:t>
            </w:r>
            <w:r w:rsidRPr="00EB6063">
              <w:rPr>
                <w:lang w:val="en-GB"/>
              </w:rPr>
              <w:t xml:space="preserve">, which is apparent mostly by rise of 6.2% in branch trade, transportation, accommodation and restaurants, was partially projected into the growth of the volume of paid out salaries and wages. The volume of paid out wages significantly rose also in manufacturing (6.6%). Compared to the previous year, the dynamics fastened in branch information and communication activities (7.6%) or professional, scientific, technical and administrative activities (6.5%), partially also due to the rise of employment. The volume of paid out wages grew less than in the previous year in real estate activities (3.2%). The volume of paid out wages grew by 2.1% accompanied by a simultaneous fall of employment of 0.8% in construction, which experiences a long-term downturn. </w:t>
            </w:r>
            <w:r w:rsidRPr="00EB6063">
              <w:rPr>
                <w:highlight w:val="yellow"/>
                <w:lang w:val="en-GB"/>
              </w:rPr>
              <w:t xml:space="preserve">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810A42" w:rsidP="00A9497A">
            <w:pPr>
              <w:spacing w:line="240" w:lineRule="auto"/>
              <w:rPr>
                <w:rFonts w:cs="Arial"/>
                <w:sz w:val="16"/>
                <w:szCs w:val="16"/>
                <w:lang w:val="en-GB"/>
              </w:rPr>
            </w:pPr>
            <w:r w:rsidRPr="00CB09D5">
              <w:rPr>
                <w:rFonts w:cs="Arial"/>
                <w:sz w:val="16"/>
                <w:szCs w:val="16"/>
                <w:lang w:val="en-GB"/>
              </w:rPr>
              <w:t>Year-on-year growth of g</w:t>
            </w:r>
            <w:r w:rsidR="00596AC6" w:rsidRPr="00CB09D5">
              <w:rPr>
                <w:rFonts w:cs="Arial"/>
                <w:sz w:val="16"/>
                <w:szCs w:val="16"/>
                <w:lang w:val="en-GB"/>
              </w:rPr>
              <w:t>overnment</w:t>
            </w:r>
            <w:r w:rsidRPr="00CB09D5">
              <w:rPr>
                <w:rFonts w:cs="Arial"/>
                <w:sz w:val="16"/>
                <w:szCs w:val="16"/>
                <w:lang w:val="en-GB"/>
              </w:rPr>
              <w:t xml:space="preserve"> final consumption expenditure slowed down during the year</w:t>
            </w:r>
            <w:r w:rsidR="00B74B99" w:rsidRPr="00CB09D5">
              <w:rPr>
                <w:rFonts w:cs="Arial"/>
                <w:sz w:val="16"/>
                <w:szCs w:val="16"/>
                <w:lang w:val="en-GB"/>
              </w:rPr>
              <w:t>.</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5867AE" w:rsidP="00A9497A">
            <w:pPr>
              <w:pStyle w:val="Textpoznpodarou"/>
              <w:jc w:val="both"/>
              <w:rPr>
                <w:rFonts w:cs="Arial"/>
                <w:lang w:val="en-GB"/>
              </w:rPr>
            </w:pPr>
            <w:r w:rsidRPr="0051412B">
              <w:rPr>
                <w:rFonts w:cs="Arial"/>
                <w:lang w:val="en-GB"/>
              </w:rPr>
              <w:t xml:space="preserve">Total year-on-year growth of consumption expenditure of government institutions </w:t>
            </w:r>
            <w:r w:rsidR="00E42CB0" w:rsidRPr="0051412B">
              <w:rPr>
                <w:rFonts w:cs="Arial"/>
                <w:lang w:val="en-GB"/>
              </w:rPr>
              <w:t>am</w:t>
            </w:r>
            <w:r w:rsidR="009E22F0" w:rsidRPr="0051412B">
              <w:rPr>
                <w:rFonts w:cs="Arial"/>
                <w:lang w:val="en-GB"/>
              </w:rPr>
              <w:t>o</w:t>
            </w:r>
            <w:r w:rsidR="00EB6063" w:rsidRPr="00EB6063">
              <w:rPr>
                <w:rFonts w:cs="Arial"/>
                <w:lang w:val="en-GB"/>
              </w:rPr>
              <w:t xml:space="preserve">unted to 1.5%, which was by 0.5 p.p. less compared to the year 2015. The growth was concentrated especially into the first two quarters, when it reached 2.3% and 2.7%. Such high rate of growth was not sustained in the second half of the year. The year-on-year increase arrived at 1.0% in Q3 and the value of final consumption expenditure of government institutions did not differ from the level of the same period of the previous year in the final quarter.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387507" w:rsidP="00A9497A">
            <w:pPr>
              <w:spacing w:line="240" w:lineRule="auto"/>
              <w:rPr>
                <w:rFonts w:cs="Arial"/>
                <w:sz w:val="16"/>
                <w:szCs w:val="16"/>
                <w:lang w:val="en-GB"/>
              </w:rPr>
            </w:pPr>
            <w:r w:rsidRPr="00CB09D5">
              <w:rPr>
                <w:rFonts w:cs="Arial"/>
                <w:sz w:val="16"/>
                <w:szCs w:val="16"/>
                <w:lang w:val="en-GB"/>
              </w:rPr>
              <w:t xml:space="preserve">Expenditure on gross fixed capital formation decreased year-on-year. It was caused mainly by the </w:t>
            </w:r>
            <w:r w:rsidR="00AE7C46" w:rsidRPr="00CB09D5">
              <w:rPr>
                <w:rFonts w:cs="Arial"/>
                <w:sz w:val="16"/>
                <w:szCs w:val="16"/>
                <w:lang w:val="en-GB"/>
              </w:rPr>
              <w:t>slump of investment into other</w:t>
            </w:r>
            <w:r w:rsidR="00C4216C" w:rsidRPr="00CB09D5">
              <w:rPr>
                <w:rFonts w:cs="Arial"/>
                <w:sz w:val="16"/>
                <w:szCs w:val="16"/>
                <w:lang w:val="en-GB"/>
              </w:rPr>
              <w:t xml:space="preserve"> buildings and structures.</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3C0122" w:rsidP="00A9497A">
            <w:pPr>
              <w:pStyle w:val="Textpoznpodarou"/>
              <w:jc w:val="both"/>
              <w:rPr>
                <w:rFonts w:cs="Arial"/>
                <w:sz w:val="18"/>
                <w:szCs w:val="18"/>
                <w:lang w:val="en-GB"/>
              </w:rPr>
            </w:pPr>
            <w:r w:rsidRPr="0051412B">
              <w:rPr>
                <w:rFonts w:cs="Arial"/>
                <w:lang w:val="en-GB"/>
              </w:rPr>
              <w:t>Expenditu</w:t>
            </w:r>
            <w:r w:rsidR="0063252F" w:rsidRPr="0051412B">
              <w:rPr>
                <w:rFonts w:cs="Arial"/>
                <w:lang w:val="en-GB"/>
              </w:rPr>
              <w:t>r</w:t>
            </w:r>
            <w:r w:rsidRPr="0051412B">
              <w:rPr>
                <w:rFonts w:cs="Arial"/>
                <w:lang w:val="en-GB"/>
              </w:rPr>
              <w:t>e on gross fixed capital formation, which represent</w:t>
            </w:r>
            <w:r w:rsidR="00EB6063" w:rsidRPr="00EB6063">
              <w:rPr>
                <w:rFonts w:cs="Arial"/>
                <w:lang w:val="en-GB"/>
              </w:rPr>
              <w:t xml:space="preserve">s the investment activity in the economy, fell by 3.6% in 2016. This decrease is the result of combination of finalisation of drawing on the European funds in the year 2015 and a slow pace of preparation as well as realization of projects for the subsequent programme period. The investment activity was rising still by 1.8% in Q1 year-on-year, but a decline occurred in the three following quarters, which deepened down to -5.0% in Q4. Year-on-year slump was caused especially by the cut of investment into other buildings and structures by 13.4%. This category includes large infrastructure projects often financed by the help of subsidies (investment rose markedly in this area in the previous year). Investments into the ICT, machinery and equipment and weapon systems, which recorded year-on-year decrease of 5.4%, had a similar development.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FD594D" w:rsidP="001F6A2E">
            <w:pPr>
              <w:spacing w:line="240" w:lineRule="auto"/>
              <w:rPr>
                <w:rFonts w:cs="Arial"/>
                <w:sz w:val="16"/>
                <w:szCs w:val="16"/>
                <w:lang w:val="en-GB"/>
              </w:rPr>
            </w:pPr>
            <w:r w:rsidRPr="00CB09D5">
              <w:rPr>
                <w:rFonts w:cs="Arial"/>
                <w:sz w:val="16"/>
                <w:szCs w:val="16"/>
                <w:lang w:val="en-GB"/>
              </w:rPr>
              <w:t>Investment into</w:t>
            </w:r>
            <w:r w:rsidR="00E17F8F" w:rsidRPr="00CB09D5">
              <w:rPr>
                <w:rFonts w:cs="Arial"/>
                <w:sz w:val="16"/>
                <w:szCs w:val="16"/>
                <w:lang w:val="en-GB"/>
              </w:rPr>
              <w:t xml:space="preserve"> </w:t>
            </w:r>
            <w:r w:rsidR="002E5958" w:rsidRPr="00CB09D5">
              <w:rPr>
                <w:rFonts w:cs="Arial"/>
                <w:sz w:val="16"/>
                <w:szCs w:val="16"/>
                <w:lang w:val="en-GB"/>
              </w:rPr>
              <w:t>transport equipment</w:t>
            </w:r>
            <w:r w:rsidR="00E17F8F" w:rsidRPr="00CB09D5">
              <w:rPr>
                <w:rFonts w:cs="Arial"/>
                <w:sz w:val="16"/>
                <w:szCs w:val="16"/>
                <w:lang w:val="en-GB"/>
              </w:rPr>
              <w:t xml:space="preserve"> </w:t>
            </w:r>
            <w:r w:rsidR="003875C2" w:rsidRPr="00CB09D5">
              <w:rPr>
                <w:rFonts w:cs="Arial"/>
                <w:sz w:val="16"/>
                <w:szCs w:val="16"/>
                <w:lang w:val="en-GB"/>
              </w:rPr>
              <w:t>a</w:t>
            </w:r>
            <w:r w:rsidRPr="00CB09D5">
              <w:rPr>
                <w:rFonts w:cs="Arial"/>
                <w:sz w:val="16"/>
                <w:szCs w:val="16"/>
                <w:lang w:val="en-GB"/>
              </w:rPr>
              <w:t xml:space="preserve">nd projects of </w:t>
            </w:r>
            <w:r w:rsidR="001F6A2E" w:rsidRPr="00CB09D5">
              <w:rPr>
                <w:rFonts w:cs="Arial"/>
                <w:sz w:val="16"/>
                <w:szCs w:val="16"/>
                <w:lang w:val="en-GB"/>
              </w:rPr>
              <w:t xml:space="preserve">intellectual </w:t>
            </w:r>
            <w:r w:rsidRPr="00CB09D5">
              <w:rPr>
                <w:rFonts w:cs="Arial"/>
                <w:sz w:val="16"/>
                <w:szCs w:val="16"/>
                <w:lang w:val="en-GB"/>
              </w:rPr>
              <w:t>property increased.</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FD594D" w:rsidP="00A9497A">
            <w:pPr>
              <w:pStyle w:val="Textpoznpodarou"/>
              <w:jc w:val="both"/>
              <w:rPr>
                <w:rFonts w:cs="Arial"/>
                <w:sz w:val="18"/>
                <w:szCs w:val="18"/>
                <w:lang w:val="en-GB"/>
              </w:rPr>
            </w:pPr>
            <w:r w:rsidRPr="0051412B">
              <w:rPr>
                <w:rFonts w:cs="Arial"/>
                <w:lang w:val="en-GB"/>
              </w:rPr>
              <w:t xml:space="preserve">Aforementioned investment categories present more than one half of the gross fixed capital formation volume, </w:t>
            </w:r>
            <w:r w:rsidR="001C78A2" w:rsidRPr="0051412B">
              <w:rPr>
                <w:rFonts w:cs="Arial"/>
                <w:lang w:val="en-GB"/>
              </w:rPr>
              <w:t xml:space="preserve">that is why even the strong growth of investment into </w:t>
            </w:r>
            <w:r w:rsidR="00EB6063" w:rsidRPr="00EB6063">
              <w:rPr>
                <w:rFonts w:cs="Arial"/>
                <w:lang w:val="en-GB"/>
              </w:rPr>
              <w:t>transport equipment, which followed in the year 2015 and attained 7.2%, did not offset their decrease. Investment into the projects of intellectual property markedly increased (8.1% in 2016, 4.0% in 2015). Investment into dwellings weakened compared to the previous year (2.5% in 2016, 8.4% in 2015).</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AA0243" w:rsidP="00AA0243">
            <w:pPr>
              <w:spacing w:line="240" w:lineRule="auto"/>
              <w:rPr>
                <w:rFonts w:cs="Arial"/>
                <w:sz w:val="16"/>
                <w:szCs w:val="16"/>
                <w:lang w:val="en-GB"/>
              </w:rPr>
            </w:pPr>
            <w:r w:rsidRPr="00CB09D5">
              <w:rPr>
                <w:rFonts w:cs="Arial"/>
                <w:sz w:val="16"/>
                <w:szCs w:val="16"/>
                <w:lang w:val="en-GB"/>
              </w:rPr>
              <w:lastRenderedPageBreak/>
              <w:t>Foreign trade balance was positive in 2</w:t>
            </w:r>
            <w:r w:rsidR="003875C2" w:rsidRPr="00CB09D5">
              <w:rPr>
                <w:rFonts w:cs="Arial"/>
                <w:sz w:val="16"/>
                <w:szCs w:val="16"/>
                <w:lang w:val="en-GB"/>
              </w:rPr>
              <w:t>016</w:t>
            </w:r>
            <w:r w:rsidRPr="00CB09D5">
              <w:rPr>
                <w:rFonts w:cs="Arial"/>
                <w:sz w:val="16"/>
                <w:szCs w:val="16"/>
                <w:lang w:val="en-GB"/>
              </w:rPr>
              <w:t xml:space="preserve"> and exceeded the preceding year by </w:t>
            </w:r>
            <w:r w:rsidR="003875C2" w:rsidRPr="00CB09D5">
              <w:rPr>
                <w:rFonts w:cs="Arial"/>
                <w:sz w:val="16"/>
                <w:szCs w:val="16"/>
                <w:lang w:val="en-GB"/>
              </w:rPr>
              <w:t>67</w:t>
            </w:r>
            <w:r w:rsidRPr="00CB09D5">
              <w:rPr>
                <w:rFonts w:cs="Arial"/>
                <w:sz w:val="16"/>
                <w:szCs w:val="16"/>
                <w:lang w:val="en-GB"/>
              </w:rPr>
              <w:t>.</w:t>
            </w:r>
            <w:r w:rsidR="003875C2" w:rsidRPr="00CB09D5">
              <w:rPr>
                <w:rFonts w:cs="Arial"/>
                <w:sz w:val="16"/>
                <w:szCs w:val="16"/>
                <w:lang w:val="en-GB"/>
              </w:rPr>
              <w:t>4</w:t>
            </w:r>
            <w:r w:rsidRPr="00CB09D5">
              <w:rPr>
                <w:rFonts w:cs="Arial"/>
                <w:sz w:val="16"/>
                <w:szCs w:val="16"/>
                <w:lang w:val="en-GB"/>
              </w:rPr>
              <w:t xml:space="preserve"> bn</w:t>
            </w:r>
            <w:r w:rsidR="003875C2" w:rsidRPr="00CB09D5">
              <w:rPr>
                <w:rFonts w:cs="Arial"/>
                <w:sz w:val="16"/>
                <w:szCs w:val="16"/>
                <w:lang w:val="en-GB"/>
              </w:rPr>
              <w:t>.</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AA0243" w:rsidP="00A9497A">
            <w:pPr>
              <w:pStyle w:val="Textpoznpodarou"/>
              <w:jc w:val="both"/>
              <w:rPr>
                <w:rFonts w:cs="Arial"/>
                <w:sz w:val="18"/>
                <w:szCs w:val="18"/>
                <w:lang w:val="en-GB"/>
              </w:rPr>
            </w:pPr>
            <w:r w:rsidRPr="0051412B">
              <w:rPr>
                <w:rFonts w:cs="Arial"/>
                <w:lang w:val="en-GB"/>
              </w:rPr>
              <w:t xml:space="preserve">Surplus of the foreign trade with goods and surplus balance (in current prices) arrived at </w:t>
            </w:r>
            <w:r w:rsidR="003875C2" w:rsidRPr="0051412B">
              <w:rPr>
                <w:rFonts w:cs="Arial"/>
                <w:lang w:val="en-GB"/>
              </w:rPr>
              <w:t>347</w:t>
            </w:r>
            <w:r w:rsidRPr="0051412B">
              <w:rPr>
                <w:rFonts w:cs="Arial"/>
                <w:lang w:val="en-GB"/>
              </w:rPr>
              <w:t>.</w:t>
            </w:r>
            <w:r w:rsidR="00EB6063" w:rsidRPr="00EB6063">
              <w:rPr>
                <w:rFonts w:cs="Arial"/>
                <w:lang w:val="en-GB"/>
              </w:rPr>
              <w:t xml:space="preserve">2 CZK bn in 2016, resulting in excess over the year 2015 of 67.4 bn. Positive balance of the trade with goods reached 248 CZK bn (year-on-year increase by 43 bn) and 99.3 CZK bn for services (increase of 24.3 bn). The terms of trade had a value of 100.9 for the year 2016. They were positive in the first three quarters of the </w:t>
            </w:r>
            <w:proofErr w:type="gramStart"/>
            <w:r w:rsidR="00EB6063" w:rsidRPr="00EB6063">
              <w:rPr>
                <w:rFonts w:cs="Arial"/>
                <w:lang w:val="en-GB"/>
              </w:rPr>
              <w:t>year,</w:t>
            </w:r>
            <w:proofErr w:type="gramEnd"/>
            <w:r w:rsidR="00EB6063" w:rsidRPr="00EB6063">
              <w:rPr>
                <w:rFonts w:cs="Arial"/>
                <w:lang w:val="en-GB"/>
              </w:rPr>
              <w:t xml:space="preserve"> however they fell into negative values (99.8) in the last quarter for the first time since Q2 2015.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3119B7" w:rsidP="00E63EC6">
            <w:pPr>
              <w:spacing w:line="240" w:lineRule="auto"/>
              <w:rPr>
                <w:rFonts w:cs="Arial"/>
                <w:sz w:val="16"/>
                <w:szCs w:val="16"/>
                <w:lang w:val="en-GB"/>
              </w:rPr>
            </w:pPr>
            <w:r w:rsidRPr="00CB09D5">
              <w:rPr>
                <w:rFonts w:cs="Arial"/>
                <w:sz w:val="16"/>
                <w:szCs w:val="16"/>
                <w:lang w:val="en-GB"/>
              </w:rPr>
              <w:t>Profits from terms of trade were decreasing during the year</w:t>
            </w:r>
            <w:r w:rsidR="003875C2" w:rsidRPr="00CB09D5">
              <w:rPr>
                <w:rFonts w:cs="Arial"/>
                <w:sz w:val="16"/>
                <w:szCs w:val="16"/>
                <w:lang w:val="en-GB"/>
              </w:rPr>
              <w:t>.</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443646" w:rsidP="00A9497A">
            <w:pPr>
              <w:pStyle w:val="Textpoznpodarou"/>
              <w:jc w:val="both"/>
              <w:rPr>
                <w:sz w:val="18"/>
                <w:szCs w:val="18"/>
                <w:lang w:val="en-GB"/>
              </w:rPr>
            </w:pPr>
            <w:r w:rsidRPr="0051412B">
              <w:rPr>
                <w:lang w:val="en-GB"/>
              </w:rPr>
              <w:t xml:space="preserve">Real gross domestic income </w:t>
            </w:r>
            <w:r w:rsidR="003875C2" w:rsidRPr="0051412B">
              <w:rPr>
                <w:lang w:val="en-GB"/>
              </w:rPr>
              <w:t>(</w:t>
            </w:r>
            <w:r w:rsidRPr="0051412B">
              <w:rPr>
                <w:lang w:val="en-GB"/>
              </w:rPr>
              <w:t>RGDI</w:t>
            </w:r>
            <w:r w:rsidR="003875C2" w:rsidRPr="0051412B">
              <w:rPr>
                <w:lang w:val="en-GB"/>
              </w:rPr>
              <w:t xml:space="preserve">), </w:t>
            </w:r>
            <w:r w:rsidRPr="0051412B">
              <w:rPr>
                <w:lang w:val="en-GB"/>
              </w:rPr>
              <w:t xml:space="preserve">which in contrast to the GDP reflects the additional profits or losses from the development of prices in the foreign trade, respectively the profits or losses from </w:t>
            </w:r>
            <w:r w:rsidR="00EB6063" w:rsidRPr="00EB6063">
              <w:rPr>
                <w:lang w:val="en-GB"/>
              </w:rPr>
              <w:t xml:space="preserve">the terms of trade, rose by 3.1% in 2016 (before adjustment for seasonal and calendar effects). The RGDI exceeded the GDP growth during the first three quarters, however its dynamics weakened and it lagged by 0.6 p.p. behind the GDP growth in Q4. Profit from the terms of trade was shrinking during the year and a mild loss occurred in the last quarter. </w:t>
            </w:r>
          </w:p>
          <w:p w:rsidR="003875C2" w:rsidRPr="0051412B" w:rsidRDefault="00EB6063" w:rsidP="00A9497A">
            <w:pPr>
              <w:pStyle w:val="Textpoznpodarou"/>
              <w:jc w:val="both"/>
              <w:rPr>
                <w:rFonts w:cs="Arial"/>
                <w:sz w:val="14"/>
                <w:szCs w:val="14"/>
                <w:highlight w:val="yellow"/>
                <w:lang w:val="en-GB"/>
              </w:rPr>
            </w:pPr>
            <w:r w:rsidRPr="00EB6063">
              <w:rPr>
                <w:lang w:val="en-GB"/>
              </w:rPr>
              <w:t xml:space="preserve">  </w:t>
            </w:r>
          </w:p>
        </w:tc>
      </w:tr>
      <w:tr w:rsidR="003875C2" w:rsidRPr="00CB09D5" w:rsidTr="00EF6DDD">
        <w:tc>
          <w:tcPr>
            <w:tcW w:w="1074" w:type="pct"/>
            <w:gridSpan w:val="2"/>
          </w:tcPr>
          <w:p w:rsidR="003875C2" w:rsidRPr="00CB09D5" w:rsidRDefault="00791D4B" w:rsidP="00A9497A">
            <w:pPr>
              <w:spacing w:line="240" w:lineRule="auto"/>
              <w:rPr>
                <w:rFonts w:cs="Arial"/>
                <w:sz w:val="16"/>
                <w:szCs w:val="16"/>
                <w:lang w:val="en-GB"/>
              </w:rPr>
            </w:pPr>
            <w:r w:rsidRPr="00CB09D5">
              <w:rPr>
                <w:rFonts w:cs="Arial"/>
                <w:sz w:val="16"/>
                <w:szCs w:val="16"/>
                <w:lang w:val="en-GB"/>
              </w:rPr>
              <w:t xml:space="preserve">Manufacturing contributed to the overall GVA growth by more than half and it is thus the most significant source of growth.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373689" w:rsidP="00A9497A">
            <w:pPr>
              <w:pStyle w:val="Textpoznpodarou"/>
              <w:jc w:val="both"/>
              <w:rPr>
                <w:rFonts w:cs="Arial"/>
                <w:sz w:val="18"/>
                <w:szCs w:val="18"/>
                <w:lang w:val="en-GB"/>
              </w:rPr>
            </w:pPr>
            <w:r w:rsidRPr="0051412B">
              <w:rPr>
                <w:rFonts w:cs="Arial"/>
                <w:lang w:val="en-GB"/>
              </w:rPr>
              <w:t xml:space="preserve">Manufacturing shared the most on the GDP growth in </w:t>
            </w:r>
            <w:r w:rsidR="0032279C" w:rsidRPr="0051412B">
              <w:rPr>
                <w:rFonts w:cs="Arial"/>
                <w:lang w:val="en-GB"/>
              </w:rPr>
              <w:t xml:space="preserve">the </w:t>
            </w:r>
            <w:r w:rsidRPr="0051412B">
              <w:rPr>
                <w:rFonts w:cs="Arial"/>
                <w:lang w:val="en-GB"/>
              </w:rPr>
              <w:t xml:space="preserve">year </w:t>
            </w:r>
            <w:r w:rsidR="003875C2" w:rsidRPr="0051412B">
              <w:rPr>
                <w:rFonts w:cs="Arial"/>
                <w:lang w:val="en-GB"/>
              </w:rPr>
              <w:t>2016</w:t>
            </w:r>
            <w:r w:rsidR="00EB6063" w:rsidRPr="00EB6063">
              <w:rPr>
                <w:rFonts w:cs="Arial"/>
                <w:lang w:val="en-GB"/>
              </w:rPr>
              <w:t xml:space="preserve">. Even though its gross value added did not increase as much as in the two previous years (4.8%, it was 8.2% in 2015), its additions to the total GVA growth was +1.3 p.p., that is more than one half (similarly to 2015). Manufacturing contributed to the GVA evenly in all quarters of the year. Real estate activities was another branch that grew more markedly (increase by 3.2%), growing slower compared to 2015, nevertheless its additions to the GVA arrived at +0.3 p.p. and it was also stable throughout the year.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8C46D8" w:rsidP="007468BC">
            <w:pPr>
              <w:spacing w:line="240" w:lineRule="auto"/>
              <w:rPr>
                <w:rFonts w:cs="Arial"/>
                <w:sz w:val="16"/>
                <w:szCs w:val="16"/>
                <w:lang w:val="en-GB"/>
              </w:rPr>
            </w:pPr>
            <w:r w:rsidRPr="00CB09D5">
              <w:rPr>
                <w:rFonts w:cs="Arial"/>
                <w:sz w:val="16"/>
                <w:szCs w:val="16"/>
                <w:lang w:val="en-GB"/>
              </w:rPr>
              <w:t xml:space="preserve">The contribution of branch trade, transportation, accommodation and food service reduced year-on-year. </w:t>
            </w:r>
            <w:r w:rsidR="00AA29BB" w:rsidRPr="00CB09D5">
              <w:rPr>
                <w:rFonts w:cs="Arial"/>
                <w:sz w:val="16"/>
                <w:szCs w:val="16"/>
                <w:lang w:val="en-GB"/>
              </w:rPr>
              <w:t xml:space="preserve">The </w:t>
            </w:r>
            <w:r w:rsidRPr="00CB09D5">
              <w:rPr>
                <w:rFonts w:cs="Arial"/>
                <w:sz w:val="16"/>
                <w:szCs w:val="16"/>
                <w:lang w:val="en-GB"/>
              </w:rPr>
              <w:t>GVA fell not</w:t>
            </w:r>
            <w:r w:rsidR="007468BC" w:rsidRPr="00CB09D5">
              <w:rPr>
                <w:rFonts w:cs="Arial"/>
                <w:sz w:val="16"/>
                <w:szCs w:val="16"/>
                <w:lang w:val="en-GB"/>
              </w:rPr>
              <w:t>a</w:t>
            </w:r>
            <w:r w:rsidRPr="00CB09D5">
              <w:rPr>
                <w:rFonts w:cs="Arial"/>
                <w:sz w:val="16"/>
                <w:szCs w:val="16"/>
                <w:lang w:val="en-GB"/>
              </w:rPr>
              <w:t xml:space="preserve">bly in construction.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8A6103" w:rsidP="00A9497A">
            <w:pPr>
              <w:pStyle w:val="Textpoznpodarou"/>
              <w:jc w:val="both"/>
              <w:rPr>
                <w:rFonts w:cs="Arial"/>
                <w:sz w:val="18"/>
                <w:szCs w:val="18"/>
                <w:lang w:val="en-GB"/>
              </w:rPr>
            </w:pPr>
            <w:r w:rsidRPr="0051412B">
              <w:rPr>
                <w:rFonts w:cs="Arial"/>
                <w:lang w:val="en-GB"/>
              </w:rPr>
              <w:t xml:space="preserve">The growth slowed down in branch trade, </w:t>
            </w:r>
            <w:r w:rsidR="009632E3" w:rsidRPr="0051412B">
              <w:rPr>
                <w:rFonts w:cs="Arial"/>
                <w:lang w:val="en-GB"/>
              </w:rPr>
              <w:t>t</w:t>
            </w:r>
            <w:r w:rsidRPr="0051412B">
              <w:rPr>
                <w:rFonts w:cs="Arial"/>
                <w:lang w:val="en-GB"/>
              </w:rPr>
              <w:t>ransportation, accommodation and food service during the year 20</w:t>
            </w:r>
            <w:r w:rsidR="003875C2" w:rsidRPr="0051412B">
              <w:rPr>
                <w:rFonts w:cs="Arial"/>
                <w:lang w:val="en-GB"/>
              </w:rPr>
              <w:t>16</w:t>
            </w:r>
            <w:r w:rsidR="00EB6063" w:rsidRPr="00EB6063">
              <w:rPr>
                <w:rFonts w:cs="Arial"/>
                <w:lang w:val="en-GB"/>
              </w:rPr>
              <w:t xml:space="preserve">, its contribution to the GVA was +0.7 p.p. in 2015. The mentioned branch still added +0.5 p.p. in Q1 2016, but the additions subsequently shrank to -0.1 p.p. at the end of the year. The total contribution was +0.2 p.p. in 2016. Another branches, which did not sustain the growth from the previous year are information and communication and professional, scientific, technical and administrative activities. Both branches contributed to the GVA increase similarly only by 0.1 p.p. in 2016. The year 2016 was not successful for construction, whose GVA fell by 5.8%. The negative impact on the total growth of the GVA on the part of this branch deepened during the year and it arrived in total </w:t>
            </w:r>
            <w:proofErr w:type="gramStart"/>
            <w:r w:rsidR="00EB6063" w:rsidRPr="00EB6063">
              <w:rPr>
                <w:rFonts w:cs="Arial"/>
                <w:lang w:val="en-GB"/>
              </w:rPr>
              <w:t>at -0.3 p.p</w:t>
            </w:r>
            <w:proofErr w:type="gramEnd"/>
            <w:r w:rsidR="00EB6063" w:rsidRPr="00EB6063">
              <w:rPr>
                <w:rFonts w:cs="Arial"/>
                <w:lang w:val="en-GB"/>
              </w:rPr>
              <w:t xml:space="preserve">. </w:t>
            </w:r>
          </w:p>
          <w:p w:rsidR="003875C2" w:rsidRPr="0051412B" w:rsidRDefault="003875C2" w:rsidP="00A9497A">
            <w:pPr>
              <w:pStyle w:val="Textpoznpodarou"/>
              <w:jc w:val="both"/>
              <w:rPr>
                <w:rFonts w:cs="Arial"/>
                <w:sz w:val="18"/>
                <w:szCs w:val="18"/>
                <w:highlight w:val="yellow"/>
                <w:lang w:val="en-GB"/>
              </w:rPr>
            </w:pPr>
          </w:p>
        </w:tc>
      </w:tr>
      <w:tr w:rsidR="00701382" w:rsidRPr="00CB09D5" w:rsidTr="00EF6DDD">
        <w:tc>
          <w:tcPr>
            <w:tcW w:w="501" w:type="pct"/>
          </w:tcPr>
          <w:p w:rsidR="00701382" w:rsidRPr="00CB09D5" w:rsidRDefault="00596AC6" w:rsidP="00BE2C15">
            <w:pPr>
              <w:pStyle w:val="Textpoznpodarou"/>
              <w:rPr>
                <w:rFonts w:cs="Arial"/>
                <w:lang w:val="en-GB" w:eastAsia="en-US"/>
              </w:rPr>
            </w:pPr>
            <w:r w:rsidRPr="00CB09D5">
              <w:rPr>
                <w:rFonts w:cs="Arial"/>
                <w:lang w:val="en-GB" w:eastAsia="en-US"/>
              </w:rPr>
              <w:t xml:space="preserve">Chart </w:t>
            </w:r>
          </w:p>
          <w:p w:rsidR="00701382" w:rsidRPr="00CB09D5" w:rsidRDefault="00701382" w:rsidP="00BE2C15">
            <w:pPr>
              <w:pStyle w:val="Textpoznpodarou"/>
              <w:rPr>
                <w:rFonts w:cs="Arial"/>
                <w:lang w:val="en-GB" w:eastAsia="en-US"/>
              </w:rPr>
            </w:pPr>
            <w:r w:rsidRPr="00CB09D5">
              <w:rPr>
                <w:rFonts w:cs="Arial"/>
                <w:lang w:val="en-GB" w:eastAsia="en-US"/>
              </w:rPr>
              <w:t>1</w:t>
            </w:r>
          </w:p>
        </w:tc>
        <w:tc>
          <w:tcPr>
            <w:tcW w:w="1998" w:type="pct"/>
            <w:gridSpan w:val="3"/>
          </w:tcPr>
          <w:p w:rsidR="00701382" w:rsidRPr="00CB09D5" w:rsidRDefault="001468CC" w:rsidP="00AD4FEF">
            <w:pPr>
              <w:pStyle w:val="Textpoznpodarou"/>
              <w:jc w:val="both"/>
              <w:rPr>
                <w:rFonts w:cs="Arial"/>
                <w:lang w:val="en-GB" w:eastAsia="en-US"/>
              </w:rPr>
            </w:pPr>
            <w:r w:rsidRPr="00CB09D5">
              <w:rPr>
                <w:rFonts w:cs="Arial"/>
                <w:b/>
                <w:lang w:val="en-GB" w:eastAsia="en-US"/>
              </w:rPr>
              <w:t>GDP</w:t>
            </w:r>
            <w:r w:rsidR="00701382" w:rsidRPr="00CB09D5">
              <w:rPr>
                <w:rFonts w:cs="Arial"/>
                <w:b/>
                <w:lang w:val="en-GB" w:eastAsia="en-US"/>
              </w:rPr>
              <w:t> </w:t>
            </w:r>
            <w:r w:rsidR="00701382" w:rsidRPr="00CB09D5">
              <w:rPr>
                <w:rFonts w:cs="Arial"/>
                <w:lang w:val="en-GB" w:eastAsia="en-US"/>
              </w:rPr>
              <w:t>(</w:t>
            </w:r>
            <w:r w:rsidRPr="00CB09D5">
              <w:rPr>
                <w:rFonts w:cs="Arial"/>
                <w:lang w:val="en-GB" w:eastAsia="en-US"/>
              </w:rPr>
              <w:t xml:space="preserve">constant </w:t>
            </w:r>
            <w:r w:rsidR="00416F9E" w:rsidRPr="00CB09D5">
              <w:rPr>
                <w:rFonts w:cs="Arial"/>
                <w:lang w:val="en-GB" w:eastAsia="en-US"/>
              </w:rPr>
              <w:t>prices</w:t>
            </w:r>
            <w:r w:rsidRPr="00CB09D5">
              <w:rPr>
                <w:rFonts w:cs="Arial"/>
                <w:lang w:val="en-GB" w:eastAsia="en-US"/>
              </w:rPr>
              <w:t xml:space="preserve"> adjusted for seasonal and calendar effects</w:t>
            </w:r>
            <w:r w:rsidR="00701382" w:rsidRPr="00CB09D5">
              <w:rPr>
                <w:rFonts w:cs="Arial"/>
                <w:lang w:val="en-GB" w:eastAsia="en-US"/>
              </w:rPr>
              <w:t xml:space="preserve">, </w:t>
            </w:r>
            <w:r w:rsidRPr="00CB09D5">
              <w:rPr>
                <w:rFonts w:cs="Arial"/>
                <w:lang w:val="en-GB" w:eastAsia="en-US"/>
              </w:rPr>
              <w:t>in</w:t>
            </w:r>
            <w:r w:rsidR="00701382" w:rsidRPr="00CB09D5">
              <w:rPr>
                <w:rFonts w:cs="Arial"/>
                <w:lang w:val="en-GB" w:eastAsia="en-US"/>
              </w:rPr>
              <w:t xml:space="preserve"> %)</w:t>
            </w:r>
          </w:p>
        </w:tc>
        <w:tc>
          <w:tcPr>
            <w:tcW w:w="450" w:type="pct"/>
          </w:tcPr>
          <w:p w:rsidR="00701382" w:rsidRPr="00CB09D5" w:rsidRDefault="001468CC" w:rsidP="001468CC">
            <w:pPr>
              <w:pStyle w:val="Textpoznpodarou"/>
              <w:ind w:left="-71" w:right="-250"/>
              <w:rPr>
                <w:rFonts w:cs="Arial"/>
                <w:lang w:val="en-GB" w:eastAsia="en-US"/>
              </w:rPr>
            </w:pPr>
            <w:r w:rsidRPr="00CB09D5">
              <w:rPr>
                <w:rFonts w:cs="Arial"/>
                <w:lang w:val="en-GB" w:eastAsia="en-US"/>
              </w:rPr>
              <w:t xml:space="preserve">Chart </w:t>
            </w:r>
            <w:r w:rsidR="00701382" w:rsidRPr="00CB09D5">
              <w:rPr>
                <w:rFonts w:cs="Arial"/>
                <w:lang w:val="en-GB" w:eastAsia="en-US"/>
              </w:rPr>
              <w:t>2</w:t>
            </w:r>
          </w:p>
        </w:tc>
        <w:tc>
          <w:tcPr>
            <w:tcW w:w="2051" w:type="pct"/>
          </w:tcPr>
          <w:p w:rsidR="00701382" w:rsidRPr="00CB09D5" w:rsidRDefault="001468CC" w:rsidP="00853421">
            <w:pPr>
              <w:pStyle w:val="Textpoznpodarou"/>
              <w:ind w:right="34"/>
              <w:jc w:val="both"/>
              <w:rPr>
                <w:rFonts w:cs="Arial"/>
                <w:lang w:val="en-GB" w:eastAsia="en-US"/>
              </w:rPr>
            </w:pPr>
            <w:r w:rsidRPr="00CB09D5">
              <w:rPr>
                <w:rFonts w:cs="Arial"/>
                <w:b/>
                <w:lang w:val="en-GB" w:eastAsia="en-US"/>
              </w:rPr>
              <w:t>GDP</w:t>
            </w:r>
            <w:r w:rsidR="00701382" w:rsidRPr="00CB09D5">
              <w:rPr>
                <w:rFonts w:cs="Arial"/>
                <w:b/>
                <w:lang w:val="en-GB" w:eastAsia="en-US"/>
              </w:rPr>
              <w:t xml:space="preserve"> </w:t>
            </w:r>
            <w:r w:rsidR="00853421" w:rsidRPr="00CB09D5">
              <w:rPr>
                <w:rFonts w:cs="Arial"/>
                <w:lang w:val="en-GB" w:eastAsia="en-US"/>
              </w:rPr>
              <w:t xml:space="preserve">(constant prices, adjusted for seasonal and calendar effects, </w:t>
            </w:r>
            <w:r w:rsidR="00701382" w:rsidRPr="00CB09D5">
              <w:rPr>
                <w:rFonts w:cs="Arial"/>
                <w:lang w:val="en-GB" w:eastAsia="en-US"/>
              </w:rPr>
              <w:t xml:space="preserve">y/y </w:t>
            </w:r>
            <w:r w:rsidR="00853421" w:rsidRPr="00CB09D5">
              <w:rPr>
                <w:rFonts w:cs="Arial"/>
                <w:lang w:val="en-GB" w:eastAsia="en-US"/>
              </w:rPr>
              <w:t>in</w:t>
            </w:r>
            <w:r w:rsidR="00701382" w:rsidRPr="00CB09D5">
              <w:rPr>
                <w:rFonts w:cs="Arial"/>
                <w:lang w:val="en-GB" w:eastAsia="en-US"/>
              </w:rPr>
              <w:t xml:space="preserve"> %, </w:t>
            </w:r>
            <w:r w:rsidR="00853421" w:rsidRPr="00CB09D5">
              <w:rPr>
                <w:rFonts w:cs="Arial"/>
                <w:lang w:val="en-GB" w:eastAsia="en-US"/>
              </w:rPr>
              <w:t>right axis</w:t>
            </w:r>
            <w:r w:rsidR="00701382" w:rsidRPr="00CB09D5">
              <w:rPr>
                <w:rFonts w:cs="Arial"/>
                <w:lang w:val="en-GB" w:eastAsia="en-US"/>
              </w:rPr>
              <w:t xml:space="preserve"> </w:t>
            </w:r>
            <w:r w:rsidR="00701382" w:rsidRPr="00CB09D5">
              <w:rPr>
                <w:rFonts w:cs="Arial"/>
                <w:b/>
                <w:lang w:val="en-GB" w:eastAsia="en-US"/>
              </w:rPr>
              <w:t>a</w:t>
            </w:r>
            <w:r w:rsidR="00853421" w:rsidRPr="00CB09D5">
              <w:rPr>
                <w:rFonts w:cs="Arial"/>
                <w:b/>
                <w:lang w:val="en-GB" w:eastAsia="en-US"/>
              </w:rPr>
              <w:t>nd</w:t>
            </w:r>
            <w:r w:rsidR="00701382" w:rsidRPr="00CB09D5">
              <w:rPr>
                <w:rFonts w:cs="Arial"/>
                <w:b/>
                <w:lang w:val="en-GB" w:eastAsia="en-US"/>
              </w:rPr>
              <w:t> </w:t>
            </w:r>
            <w:r w:rsidR="0078337E" w:rsidRPr="00CB09D5">
              <w:rPr>
                <w:rFonts w:cs="Arial"/>
                <w:b/>
                <w:lang w:val="en-GB" w:eastAsia="en-US"/>
              </w:rPr>
              <w:t>confidence indicators</w:t>
            </w:r>
            <w:r w:rsidR="00701382" w:rsidRPr="00CB09D5">
              <w:rPr>
                <w:rFonts w:cs="Arial"/>
                <w:lang w:val="en-GB" w:eastAsia="en-US"/>
              </w:rPr>
              <w:t xml:space="preserve"> (2005=100, le</w:t>
            </w:r>
            <w:r w:rsidR="00853421" w:rsidRPr="00CB09D5">
              <w:rPr>
                <w:rFonts w:cs="Arial"/>
                <w:lang w:val="en-GB" w:eastAsia="en-US"/>
              </w:rPr>
              <w:t>ft axis</w:t>
            </w:r>
            <w:r w:rsidR="00701382" w:rsidRPr="00CB09D5">
              <w:rPr>
                <w:rFonts w:cs="Arial"/>
                <w:lang w:val="en-GB" w:eastAsia="en-US"/>
              </w:rPr>
              <w:t>)</w:t>
            </w:r>
          </w:p>
        </w:tc>
      </w:tr>
      <w:tr w:rsidR="00701382" w:rsidRPr="00CB09D5" w:rsidTr="00EF6DDD">
        <w:tc>
          <w:tcPr>
            <w:tcW w:w="2499" w:type="pct"/>
            <w:gridSpan w:val="4"/>
          </w:tcPr>
          <w:p w:rsidR="00701382" w:rsidRPr="00CB09D5" w:rsidRDefault="0029191C" w:rsidP="00BE2C15">
            <w:pPr>
              <w:pStyle w:val="Textpoznpodarou"/>
              <w:ind w:left="-108"/>
              <w:jc w:val="both"/>
              <w:rPr>
                <w:rFonts w:cs="Arial"/>
                <w:color w:val="FF0000"/>
                <w:lang w:val="en-GB" w:eastAsia="en-US"/>
              </w:rPr>
            </w:pPr>
            <w:r>
              <w:rPr>
                <w:rFonts w:cs="Arial"/>
                <w:noProof/>
                <w:color w:val="FF0000"/>
              </w:rPr>
              <w:drawing>
                <wp:inline distT="0" distB="0" distL="0" distR="0">
                  <wp:extent cx="3089384" cy="2469600"/>
                  <wp:effectExtent l="19050" t="0" r="0" b="0"/>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089384" cy="2469600"/>
                          </a:xfrm>
                          <a:prstGeom prst="rect">
                            <a:avLst/>
                          </a:prstGeom>
                          <a:noFill/>
                          <a:ln w="9525">
                            <a:noFill/>
                            <a:miter lim="800000"/>
                            <a:headEnd/>
                            <a:tailEnd/>
                          </a:ln>
                        </pic:spPr>
                      </pic:pic>
                    </a:graphicData>
                  </a:graphic>
                </wp:inline>
              </w:drawing>
            </w:r>
          </w:p>
        </w:tc>
        <w:tc>
          <w:tcPr>
            <w:tcW w:w="2501" w:type="pct"/>
            <w:gridSpan w:val="2"/>
          </w:tcPr>
          <w:p w:rsidR="00701382" w:rsidRPr="00CB09D5" w:rsidRDefault="0029191C" w:rsidP="00701382">
            <w:pPr>
              <w:pStyle w:val="Textpoznpodarou"/>
              <w:ind w:left="-71"/>
              <w:jc w:val="both"/>
              <w:rPr>
                <w:rFonts w:cs="Arial"/>
                <w:color w:val="FF0000"/>
                <w:sz w:val="6"/>
                <w:szCs w:val="6"/>
                <w:lang w:val="en-GB" w:eastAsia="en-US"/>
              </w:rPr>
            </w:pPr>
            <w:r>
              <w:rPr>
                <w:rFonts w:cs="Arial"/>
                <w:noProof/>
                <w:color w:val="FF0000"/>
                <w:sz w:val="6"/>
                <w:szCs w:val="6"/>
              </w:rPr>
              <w:drawing>
                <wp:inline distT="0" distB="0" distL="0" distR="0">
                  <wp:extent cx="3114862" cy="2469600"/>
                  <wp:effectExtent l="19050" t="0" r="9338"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114862" cy="2469600"/>
                          </a:xfrm>
                          <a:prstGeom prst="rect">
                            <a:avLst/>
                          </a:prstGeom>
                          <a:noFill/>
                          <a:ln w="9525">
                            <a:noFill/>
                            <a:miter lim="800000"/>
                            <a:headEnd/>
                            <a:tailEnd/>
                          </a:ln>
                        </pic:spPr>
                      </pic:pic>
                    </a:graphicData>
                  </a:graphic>
                </wp:inline>
              </w:drawing>
            </w:r>
          </w:p>
        </w:tc>
      </w:tr>
    </w:tbl>
    <w:p w:rsidR="00EB6063" w:rsidRDefault="00EB6063" w:rsidP="00EB6063">
      <w:pPr>
        <w:rPr>
          <w:lang w:val="en-GB"/>
        </w:rPr>
      </w:pPr>
    </w:p>
    <w:p w:rsidR="00416F9E" w:rsidRDefault="00416F9E" w:rsidP="00EB6063">
      <w:pPr>
        <w:rPr>
          <w:lang w:val="en-GB"/>
        </w:rPr>
      </w:pPr>
    </w:p>
    <w:p w:rsidR="00416F9E" w:rsidRDefault="00416F9E" w:rsidP="00EB6063">
      <w:pPr>
        <w:rPr>
          <w:lang w:val="en-GB"/>
        </w:rPr>
      </w:pPr>
    </w:p>
    <w:p w:rsidR="00416F9E" w:rsidRPr="00EB6063" w:rsidRDefault="00416F9E" w:rsidP="00EB6063">
      <w:pPr>
        <w:rPr>
          <w:lang w:val="en-GB"/>
        </w:rPr>
      </w:pPr>
    </w:p>
    <w:p w:rsidR="00EB6063" w:rsidRDefault="00EB6063" w:rsidP="00EB6063">
      <w:pPr>
        <w:pStyle w:val="Nadpis1"/>
        <w:jc w:val="both"/>
        <w:rPr>
          <w:rFonts w:eastAsia="Calibri"/>
          <w:b w:val="0"/>
          <w:bCs w:val="0"/>
          <w:color w:val="auto"/>
          <w:sz w:val="2"/>
          <w:szCs w:val="2"/>
          <w:lang w:val="en-GB"/>
        </w:rPr>
      </w:pPr>
    </w:p>
    <w:tbl>
      <w:tblPr>
        <w:tblW w:w="5000" w:type="pct"/>
        <w:tblInd w:w="108" w:type="dxa"/>
        <w:tblLayout w:type="fixed"/>
        <w:tblLook w:val="00A0"/>
      </w:tblPr>
      <w:tblGrid>
        <w:gridCol w:w="987"/>
        <w:gridCol w:w="3938"/>
        <w:gridCol w:w="887"/>
        <w:gridCol w:w="4042"/>
      </w:tblGrid>
      <w:tr w:rsidR="0051412B" w:rsidRPr="00CB09D5" w:rsidTr="00327200">
        <w:tc>
          <w:tcPr>
            <w:tcW w:w="501" w:type="pct"/>
          </w:tcPr>
          <w:p w:rsidR="0051412B" w:rsidRPr="00CB09D5" w:rsidRDefault="0051412B" w:rsidP="00327200">
            <w:pPr>
              <w:pStyle w:val="Textpoznpodarou"/>
              <w:rPr>
                <w:rFonts w:cs="Arial"/>
                <w:lang w:val="en-GB" w:eastAsia="en-US"/>
              </w:rPr>
            </w:pPr>
            <w:r w:rsidRPr="00CB09D5">
              <w:rPr>
                <w:rFonts w:cs="Arial"/>
                <w:lang w:val="en-GB" w:eastAsia="en-US"/>
              </w:rPr>
              <w:t xml:space="preserve">Chart </w:t>
            </w:r>
          </w:p>
          <w:p w:rsidR="0051412B" w:rsidRPr="00CB09D5" w:rsidRDefault="0051412B" w:rsidP="00327200">
            <w:pPr>
              <w:pStyle w:val="Textpoznpodarou"/>
              <w:rPr>
                <w:rFonts w:cs="Arial"/>
                <w:lang w:val="en-GB" w:eastAsia="en-US"/>
              </w:rPr>
            </w:pPr>
            <w:r w:rsidRPr="00CB09D5">
              <w:rPr>
                <w:rFonts w:cs="Arial"/>
                <w:lang w:val="en-GB" w:eastAsia="en-US"/>
              </w:rPr>
              <w:t>3</w:t>
            </w:r>
          </w:p>
        </w:tc>
        <w:tc>
          <w:tcPr>
            <w:tcW w:w="1998" w:type="pct"/>
          </w:tcPr>
          <w:p w:rsidR="0051412B" w:rsidRPr="009D6A6F" w:rsidRDefault="00EB6063" w:rsidP="00327200">
            <w:pPr>
              <w:pStyle w:val="Textpoznpodarou"/>
              <w:ind w:right="139"/>
              <w:rPr>
                <w:rFonts w:cs="Arial"/>
                <w:lang w:val="en-GB" w:eastAsia="en-US"/>
              </w:rPr>
            </w:pPr>
            <w:r w:rsidRPr="00EB6063">
              <w:rPr>
                <w:b/>
                <w:lang w:val="en-GB" w:eastAsia="en-US"/>
              </w:rPr>
              <w:t>Contributions of expenditure items to GDP change</w:t>
            </w:r>
            <w:r w:rsidRPr="00EB6063">
              <w:rPr>
                <w:rFonts w:cs="Arial"/>
                <w:b/>
                <w:lang w:val="en-GB" w:eastAsia="en-US"/>
              </w:rPr>
              <w:t xml:space="preserve"> *</w:t>
            </w:r>
            <w:r w:rsidRPr="00EB6063">
              <w:rPr>
                <w:rFonts w:cs="Arial"/>
                <w:lang w:val="en-GB" w:eastAsia="en-US"/>
              </w:rPr>
              <w:t xml:space="preserve"> (constant prices, y/y, additions in p.p., GDP in %)</w:t>
            </w:r>
          </w:p>
        </w:tc>
        <w:tc>
          <w:tcPr>
            <w:tcW w:w="450" w:type="pct"/>
          </w:tcPr>
          <w:p w:rsidR="0051412B" w:rsidRPr="009D6A6F" w:rsidRDefault="00EB6063" w:rsidP="00327200">
            <w:pPr>
              <w:pStyle w:val="Textpoznpodarou"/>
              <w:ind w:left="-71" w:right="-108"/>
              <w:rPr>
                <w:rFonts w:cs="Arial"/>
                <w:lang w:val="en-GB" w:eastAsia="en-US"/>
              </w:rPr>
            </w:pPr>
            <w:r w:rsidRPr="00EB6063">
              <w:rPr>
                <w:rFonts w:cs="Arial"/>
                <w:lang w:val="en-GB" w:eastAsia="en-US"/>
              </w:rPr>
              <w:t xml:space="preserve">Chart </w:t>
            </w:r>
          </w:p>
          <w:p w:rsidR="0051412B" w:rsidRPr="009D6A6F" w:rsidRDefault="00EB6063" w:rsidP="00327200">
            <w:pPr>
              <w:pStyle w:val="Textpoznpodarou"/>
              <w:ind w:left="-71" w:right="-108"/>
              <w:rPr>
                <w:rFonts w:cs="Arial"/>
                <w:lang w:val="en-GB" w:eastAsia="en-US"/>
              </w:rPr>
            </w:pPr>
            <w:r w:rsidRPr="00EB6063">
              <w:rPr>
                <w:rFonts w:cs="Arial"/>
                <w:lang w:val="en-GB" w:eastAsia="en-US"/>
              </w:rPr>
              <w:t>4</w:t>
            </w:r>
          </w:p>
        </w:tc>
        <w:tc>
          <w:tcPr>
            <w:tcW w:w="2051" w:type="pct"/>
          </w:tcPr>
          <w:p w:rsidR="0051412B" w:rsidRPr="009D6A6F" w:rsidRDefault="00EB6063" w:rsidP="00327200">
            <w:pPr>
              <w:pStyle w:val="Textpoznpodarou"/>
              <w:rPr>
                <w:rFonts w:cs="Arial"/>
                <w:lang w:val="en-GB" w:eastAsia="en-US"/>
              </w:rPr>
            </w:pPr>
            <w:r w:rsidRPr="00EB6063">
              <w:rPr>
                <w:b/>
                <w:lang w:val="en-GB" w:eastAsia="en-US"/>
              </w:rPr>
              <w:t>Contributions of branches to change in GVA</w:t>
            </w:r>
            <w:r w:rsidRPr="00EB6063">
              <w:rPr>
                <w:lang w:val="en-GB" w:eastAsia="en-US"/>
              </w:rPr>
              <w:t xml:space="preserve"> </w:t>
            </w:r>
            <w:r w:rsidRPr="00EB6063">
              <w:rPr>
                <w:rFonts w:cs="Arial"/>
                <w:lang w:val="en-GB" w:eastAsia="en-US"/>
              </w:rPr>
              <w:t>(constant prices, y/y, additions in p.p., GVA in %)</w:t>
            </w:r>
          </w:p>
        </w:tc>
      </w:tr>
      <w:tr w:rsidR="0051412B" w:rsidRPr="00CB09D5" w:rsidTr="00327200">
        <w:tc>
          <w:tcPr>
            <w:tcW w:w="2499" w:type="pct"/>
            <w:gridSpan w:val="2"/>
          </w:tcPr>
          <w:p w:rsidR="0051412B" w:rsidRPr="00CB09D5" w:rsidRDefault="0029191C" w:rsidP="00327200">
            <w:pPr>
              <w:pStyle w:val="Textpoznpodarou"/>
              <w:ind w:left="-108"/>
              <w:jc w:val="both"/>
              <w:rPr>
                <w:rFonts w:cs="Arial"/>
                <w:color w:val="FF0000"/>
                <w:sz w:val="22"/>
                <w:lang w:val="en-GB" w:eastAsia="en-US"/>
              </w:rPr>
            </w:pPr>
            <w:r>
              <w:rPr>
                <w:rFonts w:cs="Arial"/>
                <w:noProof/>
                <w:color w:val="FF0000"/>
                <w:sz w:val="22"/>
              </w:rPr>
              <w:drawing>
                <wp:inline distT="0" distB="0" distL="0" distR="0">
                  <wp:extent cx="3077502" cy="2469600"/>
                  <wp:effectExtent l="19050" t="0" r="8598" b="0"/>
                  <wp:docPr id="1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077502" cy="2469600"/>
                          </a:xfrm>
                          <a:prstGeom prst="rect">
                            <a:avLst/>
                          </a:prstGeom>
                          <a:noFill/>
                          <a:ln w="9525">
                            <a:noFill/>
                            <a:miter lim="800000"/>
                            <a:headEnd/>
                            <a:tailEnd/>
                          </a:ln>
                        </pic:spPr>
                      </pic:pic>
                    </a:graphicData>
                  </a:graphic>
                </wp:inline>
              </w:drawing>
            </w:r>
          </w:p>
        </w:tc>
        <w:tc>
          <w:tcPr>
            <w:tcW w:w="2501" w:type="pct"/>
            <w:gridSpan w:val="2"/>
          </w:tcPr>
          <w:p w:rsidR="0051412B" w:rsidRPr="00CB09D5" w:rsidRDefault="0029191C" w:rsidP="00327200">
            <w:pPr>
              <w:pStyle w:val="Textpoznpodarou"/>
              <w:ind w:left="-109"/>
              <w:jc w:val="both"/>
              <w:rPr>
                <w:rFonts w:cs="Arial"/>
                <w:color w:val="FF0000"/>
                <w:sz w:val="22"/>
                <w:lang w:val="en-GB" w:eastAsia="en-US"/>
              </w:rPr>
            </w:pPr>
            <w:r>
              <w:rPr>
                <w:rFonts w:cs="Arial"/>
                <w:noProof/>
                <w:color w:val="FF0000"/>
                <w:sz w:val="22"/>
              </w:rPr>
              <w:drawing>
                <wp:inline distT="0" distB="0" distL="0" distR="0">
                  <wp:extent cx="3091852" cy="2469600"/>
                  <wp:effectExtent l="19050" t="0" r="0" b="0"/>
                  <wp:docPr id="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091852" cy="2469600"/>
                          </a:xfrm>
                          <a:prstGeom prst="rect">
                            <a:avLst/>
                          </a:prstGeom>
                          <a:noFill/>
                          <a:ln w="9525">
                            <a:noFill/>
                            <a:miter lim="800000"/>
                            <a:headEnd/>
                            <a:tailEnd/>
                          </a:ln>
                        </pic:spPr>
                      </pic:pic>
                    </a:graphicData>
                  </a:graphic>
                </wp:inline>
              </w:drawing>
            </w:r>
          </w:p>
        </w:tc>
      </w:tr>
      <w:tr w:rsidR="0051412B" w:rsidRPr="00CB09D5" w:rsidTr="00327200">
        <w:tc>
          <w:tcPr>
            <w:tcW w:w="2499" w:type="pct"/>
            <w:gridSpan w:val="2"/>
          </w:tcPr>
          <w:p w:rsidR="0051412B" w:rsidRPr="00CB09D5" w:rsidRDefault="0051412B" w:rsidP="00327200">
            <w:pPr>
              <w:pStyle w:val="Textpoznpodarou"/>
              <w:ind w:left="-108"/>
              <w:jc w:val="both"/>
              <w:rPr>
                <w:rFonts w:cs="Arial"/>
                <w:sz w:val="18"/>
                <w:szCs w:val="18"/>
                <w:lang w:val="en-GB" w:eastAsia="en-US"/>
              </w:rPr>
            </w:pPr>
            <w:r w:rsidRPr="00CB09D5">
              <w:rPr>
                <w:rFonts w:cs="Arial"/>
                <w:sz w:val="18"/>
                <w:szCs w:val="18"/>
                <w:lang w:val="en-GB" w:eastAsia="en-US"/>
              </w:rPr>
              <w:t>*after exclusion of imports for final use</w:t>
            </w:r>
          </w:p>
        </w:tc>
        <w:tc>
          <w:tcPr>
            <w:tcW w:w="2501" w:type="pct"/>
            <w:gridSpan w:val="2"/>
          </w:tcPr>
          <w:p w:rsidR="0051412B" w:rsidRPr="00CB09D5" w:rsidRDefault="0051412B" w:rsidP="00327200">
            <w:pPr>
              <w:pStyle w:val="Textpoznpodarou"/>
              <w:ind w:left="-109"/>
              <w:jc w:val="right"/>
              <w:rPr>
                <w:rFonts w:cs="Arial"/>
                <w:sz w:val="18"/>
                <w:szCs w:val="18"/>
                <w:lang w:val="en-GB" w:eastAsia="en-US"/>
              </w:rPr>
            </w:pPr>
            <w:r w:rsidRPr="00CB09D5">
              <w:rPr>
                <w:rFonts w:cs="Arial"/>
                <w:sz w:val="18"/>
                <w:szCs w:val="18"/>
                <w:lang w:val="en-GB" w:eastAsia="en-US"/>
              </w:rPr>
              <w:t xml:space="preserve">Source: CZSO, </w:t>
            </w:r>
            <w:proofErr w:type="spellStart"/>
            <w:r w:rsidRPr="00CB09D5">
              <w:rPr>
                <w:rFonts w:cs="Arial"/>
                <w:sz w:val="18"/>
                <w:szCs w:val="18"/>
                <w:lang w:val="en-GB" w:eastAsia="en-US"/>
              </w:rPr>
              <w:t>Eurostat</w:t>
            </w:r>
            <w:proofErr w:type="spellEnd"/>
          </w:p>
        </w:tc>
      </w:tr>
    </w:tbl>
    <w:p w:rsidR="00EB6063" w:rsidRPr="00EB6063" w:rsidRDefault="00EB6063" w:rsidP="00EB6063">
      <w:pPr>
        <w:rPr>
          <w:lang w:val="en-GB"/>
        </w:rPr>
      </w:pPr>
    </w:p>
    <w:p w:rsidR="00EB6063" w:rsidRPr="00EB6063" w:rsidRDefault="00EB6063" w:rsidP="00EB6063">
      <w:pPr>
        <w:rPr>
          <w:lang w:val="en-GB"/>
        </w:rPr>
      </w:pPr>
    </w:p>
    <w:p w:rsidR="00EB6063" w:rsidRDefault="00185D70" w:rsidP="00EB6063">
      <w:pPr>
        <w:pStyle w:val="Nadpis1"/>
        <w:numPr>
          <w:ilvl w:val="0"/>
          <w:numId w:val="12"/>
        </w:numPr>
        <w:ind w:left="709"/>
        <w:jc w:val="both"/>
        <w:rPr>
          <w:lang w:val="en-GB"/>
        </w:rPr>
      </w:pPr>
      <w:bookmarkStart w:id="8" w:name="_Toc480800273"/>
      <w:r w:rsidRPr="00CB09D5">
        <w:rPr>
          <w:lang w:val="en-GB"/>
        </w:rPr>
        <w:t>Branches Performance</w:t>
      </w:r>
      <w:bookmarkEnd w:id="8"/>
      <w:r w:rsidR="00AF0B8E" w:rsidRPr="00CB09D5">
        <w:rPr>
          <w:lang w:val="en-GB"/>
        </w:rPr>
        <w:t xml:space="preserve"> </w:t>
      </w:r>
    </w:p>
    <w:tbl>
      <w:tblPr>
        <w:tblW w:w="4946" w:type="pct"/>
        <w:tblInd w:w="107" w:type="dxa"/>
        <w:tblLayout w:type="fixed"/>
        <w:tblLook w:val="00A0"/>
      </w:tblPr>
      <w:tblGrid>
        <w:gridCol w:w="1982"/>
        <w:gridCol w:w="283"/>
        <w:gridCol w:w="7483"/>
      </w:tblGrid>
      <w:tr w:rsidR="00492991" w:rsidRPr="00CB09D5" w:rsidTr="00607119">
        <w:trPr>
          <w:trHeight w:val="145"/>
        </w:trPr>
        <w:tc>
          <w:tcPr>
            <w:tcW w:w="1017" w:type="pct"/>
          </w:tcPr>
          <w:p w:rsidR="00492991" w:rsidRPr="00CB09D5" w:rsidRDefault="00ED229E" w:rsidP="008A03DE">
            <w:pPr>
              <w:spacing w:line="240" w:lineRule="auto"/>
              <w:rPr>
                <w:color w:val="0D0D0D"/>
                <w:spacing w:val="-4"/>
                <w:sz w:val="16"/>
                <w:szCs w:val="16"/>
                <w:lang w:val="en-GB"/>
              </w:rPr>
            </w:pPr>
            <w:r w:rsidRPr="00CB09D5">
              <w:rPr>
                <w:color w:val="0D0D0D"/>
                <w:spacing w:val="-4"/>
                <w:sz w:val="16"/>
                <w:szCs w:val="16"/>
                <w:lang w:val="en-GB"/>
              </w:rPr>
              <w:t xml:space="preserve">Year-on-year GVA growth </w:t>
            </w:r>
            <w:r w:rsidR="0006708D" w:rsidRPr="00CB09D5">
              <w:rPr>
                <w:color w:val="0D0D0D"/>
                <w:spacing w:val="-4"/>
                <w:sz w:val="16"/>
                <w:szCs w:val="16"/>
                <w:lang w:val="en-GB"/>
              </w:rPr>
              <w:t xml:space="preserve">eased its pace </w:t>
            </w:r>
            <w:r w:rsidRPr="00CB09D5">
              <w:rPr>
                <w:color w:val="0D0D0D"/>
                <w:spacing w:val="-4"/>
                <w:sz w:val="16"/>
                <w:szCs w:val="16"/>
                <w:lang w:val="en-GB"/>
              </w:rPr>
              <w:t xml:space="preserve">last year and it was the weakest in </w:t>
            </w:r>
            <w:r w:rsidR="002B3A9C" w:rsidRPr="00CB09D5">
              <w:rPr>
                <w:color w:val="0D0D0D"/>
                <w:spacing w:val="-4"/>
                <w:sz w:val="16"/>
                <w:szCs w:val="16"/>
                <w:lang w:val="en-GB"/>
              </w:rPr>
              <w:t>t</w:t>
            </w:r>
            <w:r w:rsidR="00995FEC" w:rsidRPr="00CB09D5">
              <w:rPr>
                <w:color w:val="0D0D0D"/>
                <w:spacing w:val="-4"/>
                <w:sz w:val="16"/>
                <w:szCs w:val="16"/>
                <w:lang w:val="en-GB"/>
              </w:rPr>
              <w:t>otal for the last three years.</w:t>
            </w:r>
          </w:p>
          <w:p w:rsidR="00492991" w:rsidRPr="00CB09D5" w:rsidRDefault="00492991" w:rsidP="008A03DE">
            <w:pPr>
              <w:spacing w:line="240" w:lineRule="auto"/>
              <w:rPr>
                <w:color w:val="0D0D0D"/>
                <w:spacing w:val="-4"/>
                <w:sz w:val="16"/>
                <w:szCs w:val="16"/>
                <w:lang w:val="en-GB"/>
              </w:rPr>
            </w:pPr>
          </w:p>
          <w:p w:rsidR="00492991" w:rsidRPr="00CB09D5" w:rsidRDefault="00492991" w:rsidP="008A03DE">
            <w:pPr>
              <w:spacing w:line="240" w:lineRule="auto"/>
              <w:rPr>
                <w:color w:val="0D0D0D"/>
                <w:spacing w:val="-4"/>
                <w:sz w:val="16"/>
                <w:szCs w:val="16"/>
                <w:lang w:val="en-GB"/>
              </w:rPr>
            </w:pPr>
          </w:p>
          <w:p w:rsidR="00492991" w:rsidRPr="00CB09D5" w:rsidRDefault="00264000" w:rsidP="008A03DE">
            <w:pPr>
              <w:spacing w:line="240" w:lineRule="auto"/>
              <w:rPr>
                <w:color w:val="0D0D0D"/>
                <w:spacing w:val="-4"/>
                <w:sz w:val="16"/>
                <w:szCs w:val="16"/>
                <w:lang w:val="en-GB"/>
              </w:rPr>
            </w:pPr>
            <w:r w:rsidRPr="00CB09D5">
              <w:rPr>
                <w:color w:val="0D0D0D"/>
                <w:spacing w:val="-4"/>
                <w:sz w:val="16"/>
                <w:szCs w:val="16"/>
                <w:lang w:val="en-GB"/>
              </w:rPr>
              <w:t xml:space="preserve">Slackening of the GVA growth was caused by weaker performance in weight significant groups of service activities </w:t>
            </w:r>
            <w:r w:rsidR="00492991" w:rsidRPr="00CB09D5">
              <w:rPr>
                <w:color w:val="0D0D0D"/>
                <w:spacing w:val="-4"/>
                <w:sz w:val="16"/>
                <w:szCs w:val="16"/>
                <w:lang w:val="en-GB"/>
              </w:rPr>
              <w:t>a</w:t>
            </w:r>
            <w:r w:rsidRPr="00CB09D5">
              <w:rPr>
                <w:color w:val="0D0D0D"/>
                <w:spacing w:val="-4"/>
                <w:sz w:val="16"/>
                <w:szCs w:val="16"/>
                <w:lang w:val="en-GB"/>
              </w:rPr>
              <w:t>nd also the deepening of the adverse development in construction during the last year</w:t>
            </w:r>
            <w:r w:rsidR="00AE6734" w:rsidRPr="00CB09D5">
              <w:rPr>
                <w:color w:val="0D0D0D"/>
                <w:spacing w:val="-4"/>
                <w:sz w:val="16"/>
                <w:szCs w:val="16"/>
                <w:lang w:val="en-GB"/>
              </w:rPr>
              <w:t>.</w:t>
            </w:r>
          </w:p>
          <w:p w:rsidR="00492991" w:rsidRPr="00CB09D5" w:rsidRDefault="00492991" w:rsidP="008A03DE">
            <w:pPr>
              <w:spacing w:line="240" w:lineRule="auto"/>
              <w:rPr>
                <w:color w:val="0D0D0D"/>
                <w:spacing w:val="-4"/>
                <w:sz w:val="16"/>
                <w:szCs w:val="16"/>
                <w:lang w:val="en-GB"/>
              </w:rPr>
            </w:pPr>
          </w:p>
          <w:p w:rsidR="00492991" w:rsidRPr="00CB09D5" w:rsidRDefault="00492991" w:rsidP="008A03DE">
            <w:pPr>
              <w:spacing w:line="240" w:lineRule="auto"/>
              <w:rPr>
                <w:color w:val="0D0D0D"/>
                <w:spacing w:val="-4"/>
                <w:sz w:val="16"/>
                <w:szCs w:val="16"/>
                <w:lang w:val="en-GB"/>
              </w:rPr>
            </w:pPr>
          </w:p>
          <w:p w:rsidR="00492991" w:rsidRPr="00CB09D5" w:rsidRDefault="00492991" w:rsidP="008A03DE">
            <w:pPr>
              <w:spacing w:line="240" w:lineRule="auto"/>
              <w:rPr>
                <w:color w:val="0D0D0D"/>
                <w:spacing w:val="-4"/>
                <w:sz w:val="16"/>
                <w:szCs w:val="16"/>
                <w:lang w:val="en-GB"/>
              </w:rPr>
            </w:pPr>
            <w:r w:rsidRPr="00CB09D5">
              <w:rPr>
                <w:color w:val="0D0D0D"/>
                <w:spacing w:val="-4"/>
                <w:sz w:val="16"/>
                <w:szCs w:val="16"/>
                <w:lang w:val="en-GB"/>
              </w:rPr>
              <w:t>V</w:t>
            </w:r>
            <w:r w:rsidR="00CB76C9" w:rsidRPr="00CB09D5">
              <w:rPr>
                <w:color w:val="0D0D0D"/>
                <w:spacing w:val="-4"/>
                <w:sz w:val="16"/>
                <w:szCs w:val="16"/>
                <w:lang w:val="en-GB"/>
              </w:rPr>
              <w:t xml:space="preserve">ery good harvest led to the highest GVA growth in </w:t>
            </w:r>
            <w:r w:rsidR="0007104B" w:rsidRPr="00CB09D5">
              <w:rPr>
                <w:color w:val="0D0D0D"/>
                <w:spacing w:val="-4"/>
                <w:sz w:val="16"/>
                <w:szCs w:val="16"/>
                <w:lang w:val="en-GB"/>
              </w:rPr>
              <w:t>agriculture</w:t>
            </w:r>
            <w:r w:rsidR="00CB76C9" w:rsidRPr="00CB09D5">
              <w:rPr>
                <w:color w:val="0D0D0D"/>
                <w:spacing w:val="-4"/>
                <w:sz w:val="16"/>
                <w:szCs w:val="16"/>
                <w:lang w:val="en-GB"/>
              </w:rPr>
              <w:t xml:space="preserve">, forestry and fishing since </w:t>
            </w:r>
            <w:r w:rsidRPr="00CB09D5">
              <w:rPr>
                <w:color w:val="0D0D0D"/>
                <w:spacing w:val="-4"/>
                <w:sz w:val="16"/>
                <w:szCs w:val="16"/>
                <w:lang w:val="en-GB"/>
              </w:rPr>
              <w:t xml:space="preserve">2009, </w:t>
            </w:r>
            <w:r w:rsidR="00CB76C9" w:rsidRPr="00CB09D5">
              <w:rPr>
                <w:color w:val="0D0D0D"/>
                <w:spacing w:val="-4"/>
                <w:sz w:val="16"/>
                <w:szCs w:val="16"/>
                <w:lang w:val="en-GB"/>
              </w:rPr>
              <w:t xml:space="preserve">its value added </w:t>
            </w:r>
            <w:r w:rsidR="00964AF4" w:rsidRPr="00CB09D5">
              <w:rPr>
                <w:color w:val="0D0D0D"/>
                <w:spacing w:val="-4"/>
                <w:sz w:val="16"/>
                <w:szCs w:val="16"/>
                <w:lang w:val="en-GB"/>
              </w:rPr>
              <w:t xml:space="preserve">increased by one quarter in the last three years. </w:t>
            </w:r>
          </w:p>
          <w:p w:rsidR="00492991" w:rsidRPr="00CB09D5" w:rsidRDefault="00492991" w:rsidP="008A03DE">
            <w:pPr>
              <w:spacing w:line="240" w:lineRule="auto"/>
              <w:rPr>
                <w:color w:val="0D0D0D"/>
                <w:spacing w:val="-4"/>
                <w:sz w:val="16"/>
                <w:szCs w:val="16"/>
                <w:lang w:val="en-GB"/>
              </w:rPr>
            </w:pPr>
          </w:p>
        </w:tc>
        <w:tc>
          <w:tcPr>
            <w:tcW w:w="145" w:type="pct"/>
          </w:tcPr>
          <w:p w:rsidR="00492991" w:rsidRPr="00CB09D5" w:rsidRDefault="00492991" w:rsidP="008A03DE">
            <w:pPr>
              <w:pStyle w:val="Textpoznpodarou"/>
              <w:jc w:val="both"/>
              <w:rPr>
                <w:color w:val="0D0D0D"/>
                <w:spacing w:val="-4"/>
                <w:lang w:val="en-GB"/>
              </w:rPr>
            </w:pPr>
          </w:p>
        </w:tc>
        <w:tc>
          <w:tcPr>
            <w:tcW w:w="3838" w:type="pct"/>
          </w:tcPr>
          <w:p w:rsidR="00492991" w:rsidRPr="009D6A6F" w:rsidRDefault="00EB6063" w:rsidP="008A03DE">
            <w:pPr>
              <w:pStyle w:val="Textpoznpodarou"/>
              <w:jc w:val="both"/>
              <w:rPr>
                <w:color w:val="0D0D0D"/>
                <w:lang w:val="en-GB"/>
              </w:rPr>
            </w:pPr>
            <w:r w:rsidRPr="00EB6063">
              <w:rPr>
                <w:color w:val="0D0D0D"/>
                <w:lang w:val="en-GB"/>
              </w:rPr>
              <w:t>Performance of all economic branches according to the gross value added (GVA)</w:t>
            </w:r>
            <w:r w:rsidRPr="00EB6063">
              <w:rPr>
                <w:rStyle w:val="Znakapoznpodarou"/>
                <w:color w:val="0D0D0D"/>
                <w:lang w:val="en-GB"/>
              </w:rPr>
              <w:footnoteReference w:id="6"/>
            </w:r>
            <w:r w:rsidRPr="00EB6063">
              <w:rPr>
                <w:color w:val="0D0D0D"/>
                <w:lang w:val="en-GB"/>
              </w:rPr>
              <w:t xml:space="preserve"> was by 2.1% higher compared to 2015. The GVA growth eased its pace due to the influence of a gradual fading away of the extraordinary stimulating factors last year. It was apparent especially in the quarter-on-quarter comparison – gradually in the second half of the year +0.2%, resp. +0.3% (it represented the weakest rates of growth in both cases since Q3 2013, when the Czech economy was slowly recovering from the prolonged recession). Manufacturing managed to hold the key driving role, similarly to most periods of the economic growth. It added 1.3 p.p. to the total last year’s growth of the GVA of 2.1%. Its role was even magnified in the second half of the year, when the notable growth of the GVA in the group significant by weight trade, transportation, accommodation and food service evaporated after 2.5 years. Real estate activities and especially agriculture, forestry and fishing on the contrary fully extended their successful previous years. Very good harvest of all basic agricultural </w:t>
            </w:r>
            <w:proofErr w:type="gramStart"/>
            <w:r w:rsidRPr="00EB6063">
              <w:rPr>
                <w:color w:val="0D0D0D"/>
                <w:lang w:val="en-GB"/>
              </w:rPr>
              <w:t>crop</w:t>
            </w:r>
            <w:proofErr w:type="gramEnd"/>
            <w:r w:rsidRPr="00EB6063">
              <w:rPr>
                <w:color w:val="0D0D0D"/>
                <w:lang w:val="en-GB"/>
              </w:rPr>
              <w:t xml:space="preserve"> (for cereals it was even the third highest in the history of the independent CR) contributed to the strong growth of the GVA (by 9.5%). Lowering of the extraordinary sources of public orders suppressed the performance of construction. The GVA was falling quarter-on-quarter in construction already since Q4 </w:t>
            </w:r>
            <w:r w:rsidRPr="00EB6063">
              <w:rPr>
                <w:lang w:val="en-GB"/>
              </w:rPr>
              <w:t>2015, it declined in total by 11.3% in the five quarters. The uncertain situation over a long term took its toll in the area of employment. Number of hours worked was by 4.0% lower year-on-year in the second half of the last year. Non-manufacturing industrial branches also faced obstacles. Their negative contribution to the year-on-year GVA growth significantly shrank last year (to -0</w:t>
            </w:r>
            <w:proofErr w:type="gramStart"/>
            <w:r w:rsidRPr="00EB6063">
              <w:rPr>
                <w:lang w:val="en-GB"/>
              </w:rPr>
              <w:t>,1</w:t>
            </w:r>
            <w:proofErr w:type="gramEnd"/>
            <w:r w:rsidRPr="00EB6063">
              <w:rPr>
                <w:lang w:val="en-GB"/>
              </w:rPr>
              <w:t xml:space="preserve"> p.p., -0.8 p.p. a year ago), it was even already positive thanks to the development in energy industry in Q4 2016 (for the first time after nine quarters).</w:t>
            </w:r>
          </w:p>
          <w:p w:rsidR="00492991" w:rsidRPr="009D6A6F" w:rsidRDefault="00492991" w:rsidP="008A03DE">
            <w:pPr>
              <w:pStyle w:val="Textpoznpodarou"/>
              <w:jc w:val="both"/>
              <w:rPr>
                <w:color w:val="0D0D0D"/>
                <w:sz w:val="14"/>
                <w:szCs w:val="14"/>
                <w:lang w:val="en-GB"/>
              </w:rPr>
            </w:pPr>
          </w:p>
        </w:tc>
      </w:tr>
      <w:tr w:rsidR="00492991" w:rsidRPr="00CB09D5" w:rsidTr="00607119">
        <w:trPr>
          <w:trHeight w:val="145"/>
        </w:trPr>
        <w:tc>
          <w:tcPr>
            <w:tcW w:w="1017" w:type="pct"/>
            <w:shd w:val="clear" w:color="auto" w:fill="auto"/>
          </w:tcPr>
          <w:p w:rsidR="00492991" w:rsidRPr="00CB09D5" w:rsidRDefault="00655197" w:rsidP="008A03DE">
            <w:pPr>
              <w:spacing w:line="240" w:lineRule="auto"/>
              <w:rPr>
                <w:spacing w:val="-2"/>
                <w:sz w:val="16"/>
                <w:szCs w:val="16"/>
                <w:lang w:val="en-GB"/>
              </w:rPr>
            </w:pPr>
            <w:r w:rsidRPr="00CB09D5">
              <w:rPr>
                <w:spacing w:val="-2"/>
                <w:sz w:val="16"/>
                <w:szCs w:val="16"/>
                <w:lang w:val="en-GB"/>
              </w:rPr>
              <w:t>Year-on-year growth of the industrial production slowed down due to the high comparative basis during</w:t>
            </w:r>
            <w:r w:rsidR="00FD301F" w:rsidRPr="00CB09D5">
              <w:rPr>
                <w:spacing w:val="-2"/>
                <w:sz w:val="16"/>
                <w:szCs w:val="16"/>
                <w:lang w:val="en-GB"/>
              </w:rPr>
              <w:t xml:space="preserve"> the</w:t>
            </w:r>
            <w:r w:rsidRPr="00CB09D5">
              <w:rPr>
                <w:spacing w:val="-2"/>
                <w:sz w:val="16"/>
                <w:szCs w:val="16"/>
                <w:lang w:val="en-GB"/>
              </w:rPr>
              <w:t xml:space="preserve"> year 2016, </w:t>
            </w:r>
            <w:r w:rsidRPr="00CB09D5">
              <w:rPr>
                <w:spacing w:val="-2"/>
                <w:sz w:val="16"/>
                <w:szCs w:val="16"/>
                <w:lang w:val="en-GB"/>
              </w:rPr>
              <w:lastRenderedPageBreak/>
              <w:t>weaker results of key export branches in summer period as well as</w:t>
            </w:r>
            <w:r w:rsidR="00C45BA1" w:rsidRPr="00CB09D5">
              <w:rPr>
                <w:spacing w:val="-2"/>
                <w:sz w:val="16"/>
                <w:szCs w:val="16"/>
                <w:lang w:val="en-GB"/>
              </w:rPr>
              <w:t xml:space="preserve"> unplanned restriction of production capacities of chemical industry and </w:t>
            </w:r>
            <w:proofErr w:type="spellStart"/>
            <w:r w:rsidR="00C45BA1" w:rsidRPr="00CB09D5">
              <w:rPr>
                <w:spacing w:val="-2"/>
                <w:sz w:val="16"/>
                <w:szCs w:val="16"/>
                <w:lang w:val="en-GB"/>
              </w:rPr>
              <w:t>energetics</w:t>
            </w:r>
            <w:proofErr w:type="spellEnd"/>
            <w:r w:rsidR="00C45BA1" w:rsidRPr="00CB09D5">
              <w:rPr>
                <w:spacing w:val="-2"/>
                <w:sz w:val="16"/>
                <w:szCs w:val="16"/>
                <w:lang w:val="en-GB"/>
              </w:rPr>
              <w:t xml:space="preserve"> fo</w:t>
            </w:r>
            <w:r w:rsidR="008850F7" w:rsidRPr="00CB09D5">
              <w:rPr>
                <w:spacing w:val="-2"/>
                <w:sz w:val="16"/>
                <w:szCs w:val="16"/>
                <w:lang w:val="en-GB"/>
              </w:rPr>
              <w:t>r</w:t>
            </w:r>
            <w:r w:rsidR="00C45BA1" w:rsidRPr="00CB09D5">
              <w:rPr>
                <w:spacing w:val="-2"/>
                <w:sz w:val="16"/>
                <w:szCs w:val="16"/>
                <w:lang w:val="en-GB"/>
              </w:rPr>
              <w:t xml:space="preserve"> most of the year</w:t>
            </w:r>
            <w:r w:rsidR="00AE6734" w:rsidRPr="00CB09D5">
              <w:rPr>
                <w:spacing w:val="-2"/>
                <w:sz w:val="16"/>
                <w:szCs w:val="16"/>
                <w:lang w:val="en-GB"/>
              </w:rPr>
              <w:t>.</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More detailed results of the business statistics also confirm the lasting growth tendencies of the main economic branches. Industry performance</w:t>
            </w:r>
            <w:r w:rsidRPr="00EB6063">
              <w:rPr>
                <w:color w:val="000000"/>
                <w:vertAlign w:val="superscript"/>
                <w:lang w:val="en-GB"/>
              </w:rPr>
              <w:footnoteReference w:id="7"/>
            </w:r>
            <w:r w:rsidRPr="00EB6063">
              <w:rPr>
                <w:color w:val="000000"/>
                <w:lang w:val="en-GB"/>
              </w:rPr>
              <w:t xml:space="preserve"> (based on the industrial production index) strengthened by 2.9% in 2016 (resp. 2.3% after adjustment for calendar effects)</w:t>
            </w:r>
            <w:r w:rsidRPr="00EB6063">
              <w:rPr>
                <w:rStyle w:val="Znakapoznpodarou"/>
                <w:color w:val="000000"/>
                <w:lang w:val="en-GB"/>
              </w:rPr>
              <w:footnoteReference w:id="8"/>
            </w:r>
            <w:r w:rsidRPr="00EB6063">
              <w:rPr>
                <w:color w:val="000000"/>
                <w:lang w:val="en-GB"/>
              </w:rPr>
              <w:t xml:space="preserve">. Even though the last year’s pace declined by </w:t>
            </w:r>
            <w:r w:rsidRPr="00EB6063">
              <w:rPr>
                <w:color w:val="000000"/>
                <w:lang w:val="en-GB"/>
              </w:rPr>
              <w:lastRenderedPageBreak/>
              <w:t xml:space="preserve">approximately one half against the years 2014 and 2015, it still exceeded the dynamics of the whole EU </w:t>
            </w:r>
            <w:proofErr w:type="gramStart"/>
            <w:r w:rsidRPr="00EB6063">
              <w:rPr>
                <w:color w:val="000000"/>
                <w:lang w:val="en-GB"/>
              </w:rPr>
              <w:t>(by 0.9 p.p.)</w:t>
            </w:r>
            <w:proofErr w:type="gramEnd"/>
            <w:r w:rsidRPr="00EB6063">
              <w:rPr>
                <w:color w:val="000000"/>
                <w:lang w:val="en-GB"/>
              </w:rPr>
              <w:t xml:space="preserve">. Signals of slowdown in the Czech Republic were apparent already from the lower volume of new orders in the second half of year 2015 (in machinery or manufacturing of electrical appliances), resp. their dive in the chemical industry as a result of serious accidents.  Volume significant </w:t>
            </w:r>
            <w:proofErr w:type="spellStart"/>
            <w:r w:rsidRPr="00EB6063">
              <w:rPr>
                <w:color w:val="000000"/>
                <w:lang w:val="en-GB"/>
              </w:rPr>
              <w:t>energetics</w:t>
            </w:r>
            <w:proofErr w:type="spellEnd"/>
            <w:r w:rsidRPr="00EB6063">
              <w:rPr>
                <w:color w:val="000000"/>
                <w:lang w:val="en-GB"/>
              </w:rPr>
              <w:t xml:space="preserve"> branch (comprising one twelfth of production of the whole industry) also faced cutback in production capacities during majority of the last year. Weaker results in summer months also left its mark on the last year whole industrial production. The production in whole industry declined by nearly 2% in this period and it thus recorded the deepest quarter-on-quarter fall since the end of the year </w:t>
            </w:r>
            <w:r w:rsidRPr="00EB6063">
              <w:rPr>
                <w:lang w:val="en-GB"/>
              </w:rPr>
              <w:t xml:space="preserve">2012 (even by 4% in key export branch – manufacturing of motor vehicles). However, the last quarter of the past year indicated, that it represented only a one-off fluctuation. The restoration of production capacities in power stations as well as chemical industry enabled the industry to fully breathe again. </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shd w:val="clear" w:color="auto" w:fill="auto"/>
          </w:tcPr>
          <w:p w:rsidR="00492991" w:rsidRPr="00CB09D5" w:rsidRDefault="004257F9" w:rsidP="008A03DE">
            <w:pPr>
              <w:spacing w:line="240" w:lineRule="auto"/>
              <w:rPr>
                <w:color w:val="0D0D0D"/>
                <w:spacing w:val="-4"/>
                <w:sz w:val="16"/>
                <w:szCs w:val="16"/>
                <w:lang w:val="en-GB"/>
              </w:rPr>
            </w:pPr>
            <w:r w:rsidRPr="00CB09D5">
              <w:rPr>
                <w:color w:val="0D0D0D"/>
                <w:spacing w:val="-4"/>
                <w:sz w:val="16"/>
                <w:szCs w:val="16"/>
                <w:lang w:val="en-GB"/>
              </w:rPr>
              <w:lastRenderedPageBreak/>
              <w:t xml:space="preserve">The long-term dominant position of the motor vehicle manufacturing within industry was even amplified in </w:t>
            </w:r>
            <w:r w:rsidR="00492991" w:rsidRPr="00CB09D5">
              <w:rPr>
                <w:color w:val="0D0D0D"/>
                <w:spacing w:val="-4"/>
                <w:sz w:val="16"/>
                <w:szCs w:val="16"/>
                <w:lang w:val="en-GB"/>
              </w:rPr>
              <w:t>2016</w:t>
            </w:r>
            <w:r w:rsidR="00AE6734" w:rsidRPr="00CB09D5">
              <w:rPr>
                <w:color w:val="0D0D0D"/>
                <w:spacing w:val="-4"/>
                <w:sz w:val="16"/>
                <w:szCs w:val="16"/>
                <w:lang w:val="en-GB"/>
              </w:rPr>
              <w:t>.</w:t>
            </w:r>
          </w:p>
          <w:p w:rsidR="00492991" w:rsidRPr="00CB09D5" w:rsidRDefault="00492991" w:rsidP="008A03DE">
            <w:pPr>
              <w:spacing w:line="240" w:lineRule="auto"/>
              <w:rPr>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Manufacturing of motor vehicles traditionally pulled the production of the whole industry. Its dominant position was even magnified compared to the preceding period of the years 2014 and 2015, when it contributed 2.0 p.p. to the year-on-year growth last year (together with the nearest subcontractor branches 2.5 p.p.). It is also evidenced by the fact, that it did not reduce its double-digit growths from the previous years as the only industrial branch (its production expanded by 41% in the last three years, growth in the whole industry arrived at 13%). Rising demand on European as well as Asian markets stimulated production, which was also reflected in the repeated conquest of the record of manufactured motor vehicles in the Czech Republic</w:t>
            </w:r>
            <w:r w:rsidRPr="00EB6063">
              <w:rPr>
                <w:rStyle w:val="Znakapoznpodarou"/>
                <w:lang w:val="en-GB"/>
              </w:rPr>
              <w:footnoteReference w:id="9"/>
            </w:r>
            <w:r w:rsidRPr="00EB6063">
              <w:rPr>
                <w:lang w:val="en-GB"/>
              </w:rPr>
              <w:t xml:space="preserve">. Manufacturers of corresponding intermediate products also benefited from this development – especially manufacture of rubber products fared well (however the growth of production was only 0.7% in the manufacture of electrical appliances). Manufacturers of other (mainly rail) transportation equipment also reached similarly modest result last year, the weaker domestic demand stood in the background (compared to the strong year 2015). </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shd w:val="clear" w:color="auto" w:fill="auto"/>
          </w:tcPr>
          <w:p w:rsidR="00492991" w:rsidRPr="00CB09D5" w:rsidRDefault="0075747F" w:rsidP="008A03DE">
            <w:pPr>
              <w:spacing w:line="240" w:lineRule="auto"/>
              <w:rPr>
                <w:color w:val="0D0D0D"/>
                <w:spacing w:val="-4"/>
                <w:sz w:val="16"/>
                <w:szCs w:val="16"/>
                <w:lang w:val="en-GB"/>
              </w:rPr>
            </w:pPr>
            <w:r w:rsidRPr="00CB09D5">
              <w:rPr>
                <w:color w:val="0D0D0D"/>
                <w:spacing w:val="-4"/>
                <w:sz w:val="16"/>
                <w:szCs w:val="16"/>
                <w:lang w:val="en-GB"/>
              </w:rPr>
              <w:t xml:space="preserve">Production growth continued in the weight significant manufacture of metal products as well as machinery, </w:t>
            </w:r>
            <w:r w:rsidR="008A349F" w:rsidRPr="00CB09D5">
              <w:rPr>
                <w:color w:val="0D0D0D"/>
                <w:spacing w:val="-4"/>
                <w:sz w:val="16"/>
                <w:szCs w:val="16"/>
                <w:lang w:val="en-GB"/>
              </w:rPr>
              <w:t xml:space="preserve">manufacturers of computer, electronic and optical products also thrived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Within the other more significant manufacturing activities, the manufacture of metal products recorded an above average growth last year (by 4.5%) and its production overtook the level of the peak year 2007 for the first time</w:t>
            </w:r>
            <w:r w:rsidRPr="00EB6063">
              <w:rPr>
                <w:rStyle w:val="Znakapoznpodarou"/>
                <w:lang w:val="en-GB"/>
              </w:rPr>
              <w:footnoteReference w:id="10"/>
            </w:r>
            <w:r w:rsidRPr="00EB6063">
              <w:rPr>
                <w:lang w:val="en-GB"/>
              </w:rPr>
              <w:t>. Strongly export oriented manufacture of computer, electronic and optical products accelerated its growth as one of the few activities year-on-year (to 5.6% from 2.8% in 2015). In machinery, the higher foreign demand managed to compensate the less favourable development at home and it resulted in higher production (by 1%). Larger diversification of this branch made it more resilient with respect to the fluctuations in demand. The production in machinery thus increased already seventh year in a row and it was by nearly one tenth higher last year compared to the year 2007 (similarly as in the whole industry).</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shd w:val="clear" w:color="auto" w:fill="auto"/>
          </w:tcPr>
          <w:p w:rsidR="00492991" w:rsidRPr="00CB09D5" w:rsidRDefault="008A3047" w:rsidP="008A03DE">
            <w:pPr>
              <w:spacing w:line="240" w:lineRule="auto"/>
              <w:rPr>
                <w:spacing w:val="-4"/>
                <w:sz w:val="16"/>
                <w:szCs w:val="16"/>
                <w:lang w:val="en-GB"/>
              </w:rPr>
            </w:pPr>
            <w:r w:rsidRPr="00CB09D5">
              <w:rPr>
                <w:spacing w:val="-4"/>
                <w:sz w:val="16"/>
                <w:szCs w:val="16"/>
                <w:lang w:val="en-GB"/>
              </w:rPr>
              <w:t xml:space="preserve">Dynamic growth of production continued among the smaller manufacturing activities in furniture industry, </w:t>
            </w:r>
            <w:r w:rsidR="00703B9F" w:rsidRPr="00CB09D5">
              <w:rPr>
                <w:spacing w:val="-4"/>
                <w:sz w:val="16"/>
                <w:szCs w:val="16"/>
                <w:lang w:val="en-GB"/>
              </w:rPr>
              <w:t xml:space="preserve">as well as also a mild recovery in the textile industry.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Among the smaller branches, the furniture industry continued thriving, with the production rising by more than one quarter in the last four years (even though it still lagged behind its latest peak from the year 2007-by 6 %). Both the textile and leather industry recorded slightly higher pace than the whole manufacturing (+3.7%) last year. The clothing industry (subdued in the long term) stagnated after its recovery in 2015 (driven by the higher foreign demand) last year, when the increased domestic demand only compensated for the mild year-on-year decline in the foreign demand, holding higher weight. Printing industry achieved a swift growth also due to the lower comparative basis, being traditionally focussed predominantly on the domestic market.</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tcPr>
          <w:p w:rsidR="00492991" w:rsidRPr="00CB09D5" w:rsidRDefault="005F74B2" w:rsidP="008A03DE">
            <w:pPr>
              <w:spacing w:line="240" w:lineRule="auto"/>
              <w:rPr>
                <w:spacing w:val="-4"/>
                <w:sz w:val="16"/>
                <w:szCs w:val="16"/>
                <w:lang w:val="en-GB"/>
              </w:rPr>
            </w:pPr>
            <w:r w:rsidRPr="00CB09D5">
              <w:rPr>
                <w:spacing w:val="-4"/>
                <w:sz w:val="16"/>
                <w:szCs w:val="16"/>
                <w:lang w:val="en-GB"/>
              </w:rPr>
              <w:t xml:space="preserve">The production was within the more important </w:t>
            </w:r>
            <w:r w:rsidRPr="00CB09D5">
              <w:rPr>
                <w:spacing w:val="-4"/>
                <w:sz w:val="16"/>
                <w:szCs w:val="16"/>
                <w:lang w:val="en-GB"/>
              </w:rPr>
              <w:lastRenderedPageBreak/>
              <w:t xml:space="preserve">manufacturing activities falling only in </w:t>
            </w:r>
            <w:r w:rsidR="00CB0AE1" w:rsidRPr="00CB09D5">
              <w:rPr>
                <w:spacing w:val="-4"/>
                <w:sz w:val="16"/>
                <w:szCs w:val="16"/>
                <w:lang w:val="en-GB"/>
              </w:rPr>
              <w:t>metallurgy</w:t>
            </w:r>
            <w:r w:rsidRPr="00CB09D5">
              <w:rPr>
                <w:spacing w:val="-4"/>
                <w:sz w:val="16"/>
                <w:szCs w:val="16"/>
                <w:lang w:val="en-GB"/>
              </w:rPr>
              <w:t>, chemical industry and manufacturing of food</w:t>
            </w:r>
            <w:r w:rsidR="008339DC">
              <w:rPr>
                <w:spacing w:val="-4"/>
                <w:sz w:val="16"/>
                <w:szCs w:val="16"/>
                <w:lang w:val="en-GB"/>
              </w:rPr>
              <w:t xml:space="preserve"> products</w:t>
            </w:r>
            <w:r w:rsidR="00AE6734" w:rsidRPr="00CB09D5">
              <w:rPr>
                <w:spacing w:val="-4"/>
                <w:sz w:val="16"/>
                <w:szCs w:val="16"/>
                <w:lang w:val="en-GB"/>
              </w:rPr>
              <w:t>.</w:t>
            </w:r>
          </w:p>
          <w:p w:rsidR="00492991" w:rsidRPr="00CB09D5" w:rsidRDefault="00492991" w:rsidP="008A03DE">
            <w:pPr>
              <w:spacing w:line="240" w:lineRule="auto"/>
              <w:rPr>
                <w:spacing w:val="-4"/>
                <w:sz w:val="16"/>
                <w:szCs w:val="16"/>
                <w:lang w:val="en-GB"/>
              </w:rPr>
            </w:pPr>
          </w:p>
          <w:p w:rsidR="00492991" w:rsidRPr="00CB09D5" w:rsidRDefault="00492991" w:rsidP="008A03DE">
            <w:pPr>
              <w:spacing w:line="240" w:lineRule="auto"/>
              <w:rPr>
                <w:spacing w:val="-4"/>
                <w:sz w:val="16"/>
                <w:szCs w:val="16"/>
                <w:lang w:val="en-GB"/>
              </w:rPr>
            </w:pPr>
          </w:p>
          <w:p w:rsidR="00492991" w:rsidRPr="00CB09D5" w:rsidRDefault="00492991" w:rsidP="008A03DE">
            <w:pPr>
              <w:spacing w:line="240" w:lineRule="auto"/>
              <w:rPr>
                <w:spacing w:val="-4"/>
                <w:sz w:val="16"/>
                <w:szCs w:val="16"/>
                <w:lang w:val="en-GB"/>
              </w:rPr>
            </w:pPr>
          </w:p>
          <w:p w:rsidR="00AE6734" w:rsidRPr="00CB09D5" w:rsidRDefault="00AE6734" w:rsidP="008A03DE">
            <w:pPr>
              <w:spacing w:line="240" w:lineRule="auto"/>
              <w:rPr>
                <w:spacing w:val="-4"/>
                <w:sz w:val="16"/>
                <w:szCs w:val="16"/>
                <w:lang w:val="en-GB"/>
              </w:rPr>
            </w:pPr>
          </w:p>
          <w:p w:rsidR="00492991" w:rsidRPr="00CB09D5" w:rsidRDefault="000065B8" w:rsidP="008A03DE">
            <w:pPr>
              <w:spacing w:line="240" w:lineRule="auto"/>
              <w:rPr>
                <w:spacing w:val="-4"/>
                <w:sz w:val="16"/>
                <w:szCs w:val="16"/>
                <w:lang w:val="en-GB"/>
              </w:rPr>
            </w:pPr>
            <w:r w:rsidRPr="00CB09D5">
              <w:rPr>
                <w:spacing w:val="-4"/>
                <w:sz w:val="16"/>
                <w:szCs w:val="16"/>
                <w:lang w:val="en-GB"/>
              </w:rPr>
              <w:t xml:space="preserve">Impact of unplanned </w:t>
            </w:r>
            <w:r w:rsidR="00CB0AE1" w:rsidRPr="00CB09D5">
              <w:rPr>
                <w:spacing w:val="-4"/>
                <w:sz w:val="16"/>
                <w:szCs w:val="16"/>
                <w:lang w:val="en-GB"/>
              </w:rPr>
              <w:t>shutdowns</w:t>
            </w:r>
            <w:r w:rsidRPr="00CB09D5">
              <w:rPr>
                <w:spacing w:val="-4"/>
                <w:sz w:val="16"/>
                <w:szCs w:val="16"/>
                <w:lang w:val="en-GB"/>
              </w:rPr>
              <w:t xml:space="preserve"> on the annual production was deeper in chemical industry than in </w:t>
            </w:r>
            <w:proofErr w:type="spellStart"/>
            <w:r w:rsidRPr="00CB09D5">
              <w:rPr>
                <w:spacing w:val="-4"/>
                <w:sz w:val="16"/>
                <w:szCs w:val="16"/>
                <w:lang w:val="en-GB"/>
              </w:rPr>
              <w:t>energetics</w:t>
            </w:r>
            <w:proofErr w:type="spellEnd"/>
            <w:r w:rsidR="00AE6734" w:rsidRPr="00CB09D5">
              <w:rPr>
                <w:spacing w:val="-4"/>
                <w:sz w:val="16"/>
                <w:szCs w:val="16"/>
                <w:lang w:val="en-GB"/>
              </w:rPr>
              <w:t>.</w:t>
            </w:r>
          </w:p>
          <w:p w:rsidR="00492991" w:rsidRPr="00CB09D5" w:rsidRDefault="00492991" w:rsidP="008A03DE">
            <w:pPr>
              <w:spacing w:line="240" w:lineRule="auto"/>
              <w:rPr>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 xml:space="preserve">The chemical industry put the brakes the most on the growth of the whole industry in 2016, since its performance has been restricted due to accident for more than </w:t>
            </w:r>
            <w:r w:rsidRPr="00EB6063">
              <w:rPr>
                <w:lang w:val="en-GB"/>
              </w:rPr>
              <w:lastRenderedPageBreak/>
              <w:t>one year</w:t>
            </w:r>
            <w:r w:rsidRPr="00EB6063">
              <w:rPr>
                <w:rStyle w:val="Znakapoznpodarou"/>
                <w:lang w:val="en-GB"/>
              </w:rPr>
              <w:footnoteReference w:id="11"/>
            </w:r>
            <w:r w:rsidRPr="00EB6063">
              <w:rPr>
                <w:lang w:val="en-GB"/>
              </w:rPr>
              <w:t>. In spite of a gradual renewal of capacities in the second half of the last year, the year-on-year production was still placed by 7% lower compared to the year 2015</w:t>
            </w:r>
            <w:r w:rsidRPr="00EB6063">
              <w:rPr>
                <w:rStyle w:val="Znakapoznpodarou"/>
                <w:lang w:val="en-GB"/>
              </w:rPr>
              <w:footnoteReference w:id="12"/>
            </w:r>
            <w:r w:rsidRPr="00EB6063">
              <w:rPr>
                <w:lang w:val="en-GB"/>
              </w:rPr>
              <w:t xml:space="preserve">. The unplanned shutdowns in </w:t>
            </w:r>
            <w:proofErr w:type="spellStart"/>
            <w:r w:rsidRPr="00EB6063">
              <w:rPr>
                <w:lang w:val="en-GB"/>
              </w:rPr>
              <w:t>energetics</w:t>
            </w:r>
            <w:proofErr w:type="spellEnd"/>
            <w:r w:rsidRPr="00EB6063">
              <w:rPr>
                <w:lang w:val="en-GB"/>
              </w:rPr>
              <w:t xml:space="preserve"> did not have such a high impact on this industry, since the production rose by 0.5% for the whole year and at the same time it grew for the first time since the year 2010. On the contrary, the external influence (commodities prices on the world markets) were adversely reflected in mining and quarrying, when the guided slow-down of mining (mostly the black coal) showed in the sharp falls of production (by 9% in 2016, by 27% then in the last five years).</w:t>
            </w:r>
            <w:r w:rsidRPr="00EB6063">
              <w:rPr>
                <w:color w:val="000000"/>
                <w:lang w:val="en-GB"/>
              </w:rPr>
              <w:t xml:space="preserve"> The excess of supply of steal on the European markets led to a mild lowering of production in metallurgy and foundry industry (by 0.5%, similarly as in Germany or the whole EU)</w:t>
            </w:r>
            <w:r w:rsidRPr="00EB6063">
              <w:rPr>
                <w:rStyle w:val="Znakapoznpodarou"/>
                <w:color w:val="000000"/>
                <w:lang w:val="en-GB"/>
              </w:rPr>
              <w:footnoteReference w:id="13"/>
            </w:r>
            <w:r w:rsidRPr="00EB6063">
              <w:rPr>
                <w:color w:val="000000"/>
                <w:lang w:val="en-GB"/>
              </w:rPr>
              <w:t xml:space="preserve">. The manufacturing of food products (stable branch, oriented mostly on the domestic market), achieved in the CR the weakest result in the past five years in the last year (-2.5%, +1.0% in Germany, +6.4% in Poland). Lowering of the volume of public orders in the civil engineering construction as well as a weaker intensity of the commenced residential construction had an effect on the production of other non-metal mineral products, where the production following the revival in the years 2014 and 2015 stagnated last year. </w:t>
            </w:r>
          </w:p>
          <w:p w:rsidR="00492991" w:rsidRPr="009D6A6F" w:rsidRDefault="00492991" w:rsidP="008A03DE">
            <w:pPr>
              <w:pStyle w:val="Textpoznpodarou"/>
              <w:jc w:val="both"/>
              <w:rPr>
                <w:sz w:val="13"/>
                <w:szCs w:val="13"/>
                <w:lang w:val="en-GB"/>
              </w:rPr>
            </w:pPr>
          </w:p>
        </w:tc>
      </w:tr>
      <w:tr w:rsidR="00492991" w:rsidRPr="00CB09D5" w:rsidTr="00607119">
        <w:tc>
          <w:tcPr>
            <w:tcW w:w="1017" w:type="pct"/>
          </w:tcPr>
          <w:p w:rsidR="00492991" w:rsidRPr="00CB09D5" w:rsidRDefault="00584150" w:rsidP="008A03DE">
            <w:pPr>
              <w:spacing w:line="240" w:lineRule="auto"/>
              <w:rPr>
                <w:spacing w:val="-4"/>
                <w:sz w:val="16"/>
                <w:szCs w:val="16"/>
                <w:lang w:val="en-GB"/>
              </w:rPr>
            </w:pPr>
            <w:r w:rsidRPr="00CB09D5">
              <w:rPr>
                <w:spacing w:val="-4"/>
                <w:sz w:val="16"/>
                <w:szCs w:val="16"/>
                <w:lang w:val="en-GB"/>
              </w:rPr>
              <w:lastRenderedPageBreak/>
              <w:t xml:space="preserve">The long-term more favourable development of industrial sales from direct exports over domestic sales continued.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 xml:space="preserve">Trends in the industrial production are closely connected to the development of sales. These grew by 1% in nominal terms compared to the year 2015, since the more favourable development of sales from direct exports (+2.7%) managed to offset the mild slump of the domestic sales (-1.3%). The domestic sales however revived in the last quarter of the past year (+2.3%), when they profited from the year-on-year strengthening both in the chemical industry and </w:t>
            </w:r>
            <w:proofErr w:type="spellStart"/>
            <w:r w:rsidRPr="00EB6063">
              <w:rPr>
                <w:lang w:val="en-GB"/>
              </w:rPr>
              <w:t>energetics</w:t>
            </w:r>
            <w:proofErr w:type="spellEnd"/>
            <w:r w:rsidRPr="00EB6063">
              <w:rPr>
                <w:lang w:val="en-GB"/>
              </w:rPr>
              <w:t xml:space="preserve">.  </w:t>
            </w:r>
          </w:p>
          <w:p w:rsidR="00492991" w:rsidRPr="009D6A6F" w:rsidRDefault="00492991" w:rsidP="008A03DE">
            <w:pPr>
              <w:pStyle w:val="Textpoznpodarou"/>
              <w:jc w:val="both"/>
              <w:rPr>
                <w:sz w:val="13"/>
                <w:szCs w:val="13"/>
                <w:lang w:val="en-GB"/>
              </w:rPr>
            </w:pPr>
          </w:p>
        </w:tc>
      </w:tr>
      <w:tr w:rsidR="00492991" w:rsidRPr="00CB09D5" w:rsidTr="00607119">
        <w:tc>
          <w:tcPr>
            <w:tcW w:w="1017" w:type="pct"/>
          </w:tcPr>
          <w:p w:rsidR="00492991" w:rsidRPr="00CB09D5" w:rsidRDefault="005D1966" w:rsidP="008A03DE">
            <w:pPr>
              <w:spacing w:line="240" w:lineRule="auto"/>
              <w:rPr>
                <w:spacing w:val="-4"/>
                <w:sz w:val="16"/>
                <w:szCs w:val="16"/>
                <w:lang w:val="en-GB"/>
              </w:rPr>
            </w:pPr>
            <w:r w:rsidRPr="00CB09D5">
              <w:rPr>
                <w:spacing w:val="-4"/>
                <w:sz w:val="16"/>
                <w:szCs w:val="16"/>
                <w:lang w:val="en-GB"/>
              </w:rPr>
              <w:t xml:space="preserve">Entrepreneur confidence </w:t>
            </w:r>
            <w:r w:rsidR="009F6537" w:rsidRPr="00CB09D5">
              <w:rPr>
                <w:spacing w:val="-4"/>
                <w:sz w:val="16"/>
                <w:szCs w:val="16"/>
                <w:lang w:val="en-GB"/>
              </w:rPr>
              <w:t>strengthened</w:t>
            </w:r>
            <w:r w:rsidRPr="00CB09D5">
              <w:rPr>
                <w:spacing w:val="-4"/>
                <w:sz w:val="16"/>
                <w:szCs w:val="16"/>
                <w:lang w:val="en-GB"/>
              </w:rPr>
              <w:t xml:space="preserve"> in industry at the end of the year and reached the highest values for the last </w:t>
            </w:r>
            <w:r w:rsidR="00492991" w:rsidRPr="00CB09D5">
              <w:rPr>
                <w:spacing w:val="-4"/>
                <w:sz w:val="16"/>
                <w:szCs w:val="16"/>
                <w:lang w:val="en-GB"/>
              </w:rPr>
              <w:t>5</w:t>
            </w:r>
            <w:r w:rsidRPr="00CB09D5">
              <w:rPr>
                <w:spacing w:val="-4"/>
                <w:sz w:val="16"/>
                <w:szCs w:val="16"/>
                <w:lang w:val="en-GB"/>
              </w:rPr>
              <w:t>.</w:t>
            </w:r>
            <w:r w:rsidR="00492991" w:rsidRPr="00CB09D5">
              <w:rPr>
                <w:spacing w:val="-4"/>
                <w:sz w:val="16"/>
                <w:szCs w:val="16"/>
                <w:lang w:val="en-GB"/>
              </w:rPr>
              <w:t xml:space="preserve">5 </w:t>
            </w:r>
            <w:r w:rsidRPr="00CB09D5">
              <w:rPr>
                <w:spacing w:val="-4"/>
                <w:sz w:val="16"/>
                <w:szCs w:val="16"/>
                <w:lang w:val="en-GB"/>
              </w:rPr>
              <w:t>years.</w:t>
            </w:r>
          </w:p>
          <w:p w:rsidR="00492991" w:rsidRPr="00CB09D5" w:rsidRDefault="00492991" w:rsidP="008A03DE">
            <w:pPr>
              <w:spacing w:line="240" w:lineRule="auto"/>
              <w:rPr>
                <w:spacing w:val="-4"/>
                <w:sz w:val="16"/>
                <w:szCs w:val="16"/>
                <w:lang w:val="en-GB"/>
              </w:rPr>
            </w:pPr>
          </w:p>
          <w:p w:rsidR="00492991" w:rsidRPr="00CB09D5" w:rsidRDefault="00492991" w:rsidP="008A03DE">
            <w:pPr>
              <w:spacing w:line="240" w:lineRule="auto"/>
              <w:rPr>
                <w:spacing w:val="-4"/>
                <w:sz w:val="16"/>
                <w:szCs w:val="16"/>
                <w:lang w:val="en-GB"/>
              </w:rPr>
            </w:pPr>
          </w:p>
          <w:p w:rsidR="00492991" w:rsidRPr="00CB09D5" w:rsidRDefault="00CD7A45" w:rsidP="008A03DE">
            <w:pPr>
              <w:spacing w:line="240" w:lineRule="auto"/>
              <w:rPr>
                <w:spacing w:val="-4"/>
                <w:sz w:val="16"/>
                <w:szCs w:val="16"/>
                <w:lang w:val="en-GB"/>
              </w:rPr>
            </w:pPr>
            <w:r w:rsidRPr="00CB09D5">
              <w:rPr>
                <w:spacing w:val="-4"/>
                <w:sz w:val="16"/>
                <w:szCs w:val="16"/>
                <w:lang w:val="en-GB"/>
              </w:rPr>
              <w:t>The ratio of businesses that face a lack of labour force grows already since the beginning of</w:t>
            </w:r>
            <w:r w:rsidR="00224546" w:rsidRPr="00CB09D5">
              <w:rPr>
                <w:spacing w:val="-4"/>
                <w:sz w:val="16"/>
                <w:szCs w:val="16"/>
                <w:lang w:val="en-GB"/>
              </w:rPr>
              <w:t xml:space="preserve"> the</w:t>
            </w:r>
            <w:r w:rsidRPr="00CB09D5">
              <w:rPr>
                <w:spacing w:val="-4"/>
                <w:sz w:val="16"/>
                <w:szCs w:val="16"/>
                <w:lang w:val="en-GB"/>
              </w:rPr>
              <w:t xml:space="preserve"> year </w:t>
            </w:r>
            <w:proofErr w:type="gramStart"/>
            <w:r w:rsidRPr="00CB09D5">
              <w:rPr>
                <w:spacing w:val="-4"/>
                <w:sz w:val="16"/>
                <w:szCs w:val="16"/>
                <w:lang w:val="en-GB"/>
              </w:rPr>
              <w:t>2</w:t>
            </w:r>
            <w:r w:rsidR="00492991" w:rsidRPr="00CB09D5">
              <w:rPr>
                <w:spacing w:val="-4"/>
                <w:sz w:val="16"/>
                <w:szCs w:val="16"/>
                <w:lang w:val="en-GB"/>
              </w:rPr>
              <w:t>015,</w:t>
            </w:r>
            <w:proofErr w:type="gramEnd"/>
            <w:r w:rsidR="00492991" w:rsidRPr="00CB09D5">
              <w:rPr>
                <w:spacing w:val="-4"/>
                <w:sz w:val="16"/>
                <w:szCs w:val="16"/>
                <w:lang w:val="en-GB"/>
              </w:rPr>
              <w:t xml:space="preserve"> </w:t>
            </w:r>
            <w:r w:rsidR="00603BAF" w:rsidRPr="00CB09D5">
              <w:rPr>
                <w:spacing w:val="-4"/>
                <w:sz w:val="16"/>
                <w:szCs w:val="16"/>
                <w:lang w:val="en-GB"/>
              </w:rPr>
              <w:t xml:space="preserve">it accelerated in Q4 and reached the level of </w:t>
            </w:r>
            <w:r w:rsidR="00224546" w:rsidRPr="00CB09D5">
              <w:rPr>
                <w:spacing w:val="-4"/>
                <w:sz w:val="16"/>
                <w:szCs w:val="16"/>
                <w:lang w:val="en-GB"/>
              </w:rPr>
              <w:t xml:space="preserve">the </w:t>
            </w:r>
            <w:r w:rsidR="00603BAF" w:rsidRPr="00CB09D5">
              <w:rPr>
                <w:spacing w:val="-4"/>
                <w:sz w:val="16"/>
                <w:szCs w:val="16"/>
                <w:lang w:val="en-GB"/>
              </w:rPr>
              <w:t xml:space="preserve">peak years </w:t>
            </w:r>
            <w:r w:rsidR="00AE6734" w:rsidRPr="00CB09D5">
              <w:rPr>
                <w:spacing w:val="-4"/>
                <w:sz w:val="16"/>
                <w:szCs w:val="16"/>
                <w:lang w:val="en-GB"/>
              </w:rPr>
              <w:t>2007-2008.</w:t>
            </w:r>
          </w:p>
          <w:p w:rsidR="00492991" w:rsidRPr="00CB09D5" w:rsidRDefault="00492991" w:rsidP="008A03DE">
            <w:pPr>
              <w:spacing w:line="240" w:lineRule="auto"/>
              <w:rPr>
                <w:color w:val="0D0D0D"/>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This year’s trends in the value of new orders</w:t>
            </w:r>
            <w:r w:rsidRPr="00EB6063">
              <w:rPr>
                <w:rStyle w:val="Znakapoznpodarou"/>
                <w:lang w:val="en-GB"/>
              </w:rPr>
              <w:footnoteReference w:id="14"/>
            </w:r>
            <w:r w:rsidRPr="00EB6063">
              <w:rPr>
                <w:lang w:val="en-GB"/>
              </w:rPr>
              <w:t xml:space="preserve"> signal the outlooks of industry. They increased by 5.9% </w:t>
            </w:r>
            <w:proofErr w:type="gramStart"/>
            <w:r w:rsidRPr="00EB6063">
              <w:rPr>
                <w:lang w:val="en-GB"/>
              </w:rPr>
              <w:t>year-on-year</w:t>
            </w:r>
            <w:proofErr w:type="gramEnd"/>
            <w:r w:rsidRPr="00EB6063">
              <w:rPr>
                <w:lang w:val="en-GB"/>
              </w:rPr>
              <w:t xml:space="preserve"> in Q4 2016 – the most in the motor vehicle manufacturing (+11.3%), all main branches however indicated favourable tendencies (apart from the manufacturing of electrical appliances). It is also important to stress, that the domestic orders also mildly grew (+1.7%) apart from the foreign demand (+8.1%). The positive mood of entrepreneurs lasted in industry throughout the whole </w:t>
            </w:r>
            <w:proofErr w:type="gramStart"/>
            <w:r w:rsidRPr="00EB6063">
              <w:rPr>
                <w:lang w:val="en-GB"/>
              </w:rPr>
              <w:t>year,</w:t>
            </w:r>
            <w:proofErr w:type="gramEnd"/>
            <w:r w:rsidRPr="00EB6063">
              <w:rPr>
                <w:lang w:val="en-GB"/>
              </w:rPr>
              <w:t xml:space="preserve"> in addition it even mildly grew at the end of the year. According to the fresh data (from January 2017), 22% of industrial businesses expected the increase of the production activity in the next three months (similarly as a year ago). 19% of businesses planned to increase employment (13% the year ago). Expectations improved significantly in </w:t>
            </w:r>
            <w:proofErr w:type="spellStart"/>
            <w:r w:rsidRPr="00EB6063">
              <w:rPr>
                <w:lang w:val="en-GB"/>
              </w:rPr>
              <w:t>energetics</w:t>
            </w:r>
            <w:proofErr w:type="spellEnd"/>
            <w:r w:rsidRPr="00EB6063">
              <w:rPr>
                <w:lang w:val="en-GB"/>
              </w:rPr>
              <w:t xml:space="preserve">, negative outlooks deepened in the mining industry. The share of businesses, that consider the lack of labour force as a barrier to growth markedly accelerated in the last quarter of the past year (to 29%) and it already achieved 33% at the beginning of 2017. Still, the inadequate demand remains the main barrier to growth (43%), facing for example the food industry. </w:t>
            </w:r>
          </w:p>
          <w:p w:rsidR="00492991" w:rsidRPr="009D6A6F" w:rsidRDefault="00492991" w:rsidP="008A03DE">
            <w:pPr>
              <w:pStyle w:val="Textpoznpodarou"/>
              <w:jc w:val="both"/>
              <w:rPr>
                <w:sz w:val="13"/>
                <w:szCs w:val="13"/>
                <w:lang w:val="en-GB"/>
              </w:rPr>
            </w:pPr>
          </w:p>
        </w:tc>
      </w:tr>
      <w:tr w:rsidR="00492991" w:rsidRPr="00CB09D5" w:rsidTr="00607119">
        <w:tc>
          <w:tcPr>
            <w:tcW w:w="1017" w:type="pct"/>
          </w:tcPr>
          <w:p w:rsidR="00492991" w:rsidRPr="00CB09D5" w:rsidRDefault="00A56DD4" w:rsidP="008A03DE">
            <w:pPr>
              <w:spacing w:line="240" w:lineRule="auto"/>
              <w:rPr>
                <w:color w:val="000000"/>
                <w:spacing w:val="-4"/>
                <w:sz w:val="16"/>
                <w:szCs w:val="16"/>
                <w:lang w:val="en-GB"/>
              </w:rPr>
            </w:pPr>
            <w:r w:rsidRPr="00CB09D5">
              <w:rPr>
                <w:color w:val="000000"/>
                <w:spacing w:val="-4"/>
                <w:sz w:val="16"/>
                <w:szCs w:val="16"/>
                <w:lang w:val="en-GB"/>
              </w:rPr>
              <w:t xml:space="preserve">Civil engineering construction struggled with the impacts of the very uneven drawing of </w:t>
            </w:r>
            <w:r w:rsidR="000C4AC8" w:rsidRPr="00CB09D5">
              <w:rPr>
                <w:color w:val="000000"/>
                <w:spacing w:val="-4"/>
                <w:sz w:val="16"/>
                <w:szCs w:val="16"/>
                <w:lang w:val="en-GB"/>
              </w:rPr>
              <w:t xml:space="preserve">public investment due to the </w:t>
            </w:r>
            <w:r w:rsidR="00801FB7" w:rsidRPr="00CB09D5">
              <w:rPr>
                <w:color w:val="000000"/>
                <w:spacing w:val="-4"/>
                <w:sz w:val="16"/>
                <w:szCs w:val="16"/>
                <w:lang w:val="en-GB"/>
              </w:rPr>
              <w:t>setup</w:t>
            </w:r>
            <w:r w:rsidR="000C4AC8" w:rsidRPr="00CB09D5">
              <w:rPr>
                <w:color w:val="000000"/>
                <w:spacing w:val="-4"/>
                <w:sz w:val="16"/>
                <w:szCs w:val="16"/>
                <w:lang w:val="en-GB"/>
              </w:rPr>
              <w:t xml:space="preserve"> of EU programme periods, lower production of building construction was also affected by the administrative </w:t>
            </w:r>
            <w:r w:rsidR="00BD0D6D" w:rsidRPr="00CB09D5">
              <w:rPr>
                <w:color w:val="000000"/>
                <w:spacing w:val="-4"/>
                <w:sz w:val="16"/>
                <w:szCs w:val="16"/>
                <w:lang w:val="en-GB"/>
              </w:rPr>
              <w:t>demands</w:t>
            </w:r>
            <w:r w:rsidR="00492991" w:rsidRPr="00CB09D5">
              <w:rPr>
                <w:color w:val="000000"/>
                <w:spacing w:val="-4"/>
                <w:sz w:val="16"/>
                <w:szCs w:val="16"/>
                <w:lang w:val="en-GB"/>
              </w:rPr>
              <w:t xml:space="preserve"> </w:t>
            </w:r>
            <w:r w:rsidR="000C4AC8" w:rsidRPr="00CB09D5">
              <w:rPr>
                <w:color w:val="000000"/>
                <w:spacing w:val="-4"/>
                <w:sz w:val="16"/>
                <w:szCs w:val="16"/>
                <w:lang w:val="en-GB"/>
              </w:rPr>
              <w:t xml:space="preserve">of construction </w:t>
            </w:r>
            <w:r w:rsidR="000C4AC8" w:rsidRPr="00CB09D5">
              <w:rPr>
                <w:color w:val="000000"/>
                <w:spacing w:val="-4"/>
                <w:sz w:val="16"/>
                <w:szCs w:val="16"/>
                <w:lang w:val="en-GB"/>
              </w:rPr>
              <w:lastRenderedPageBreak/>
              <w:t xml:space="preserve">proceedings. </w:t>
            </w:r>
          </w:p>
        </w:tc>
        <w:tc>
          <w:tcPr>
            <w:tcW w:w="145" w:type="pct"/>
          </w:tcPr>
          <w:p w:rsidR="00492991" w:rsidRPr="00CB09D5" w:rsidRDefault="00492991" w:rsidP="008A03DE">
            <w:pPr>
              <w:pStyle w:val="Textpoznpodarou"/>
              <w:jc w:val="both"/>
              <w:rPr>
                <w:color w:val="000000"/>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Construction production again returned to deeper declines last year after the growth from the years 2014</w:t>
            </w:r>
            <w:r w:rsidRPr="00EB6063">
              <w:rPr>
                <w:rFonts w:cs="Arial"/>
                <w:color w:val="0D0D0D" w:themeColor="text1" w:themeTint="F2"/>
                <w:lang w:val="en-GB"/>
              </w:rPr>
              <w:t>–</w:t>
            </w:r>
            <w:r w:rsidRPr="00EB6063">
              <w:rPr>
                <w:lang w:val="en-GB"/>
              </w:rPr>
              <w:t>2015. It decreased by 6.1% compared to the year 2015</w:t>
            </w:r>
            <w:r w:rsidRPr="00EB6063">
              <w:rPr>
                <w:rStyle w:val="Znakapoznpodarou"/>
                <w:lang w:val="en-GB"/>
              </w:rPr>
              <w:footnoteReference w:id="15"/>
            </w:r>
            <w:r w:rsidRPr="00EB6063">
              <w:rPr>
                <w:lang w:val="en-GB"/>
              </w:rPr>
              <w:t xml:space="preserve">, even by 16% in civil engineering construction (the deepest fall after the year 2000). Effect of high comparative basis (due to the fastened realisation of public orders for infrastructural projects during 2015) and the slow onset of investment in the new programme period were manifested during the whole year. The construction however already extricated from the declines in the quarter-on-quarter expression in the second half of the year, even though only thanks to the building construction so far. The production in whole construction still lagged </w:t>
            </w:r>
            <w:r w:rsidRPr="00EB6063">
              <w:rPr>
                <w:lang w:val="en-GB"/>
              </w:rPr>
              <w:lastRenderedPageBreak/>
              <w:t xml:space="preserve">behind the peak year 2008 by one fifth last year. On the other hand, it was by 0.6% higher (due the influence of the building construction) in comparison to the year 2014 (in which the effect of strengthening completion of drawing of European subsidies was already partially felt) last year (the decline in civil engineering construction amounted to 1.6%). </w:t>
            </w:r>
          </w:p>
          <w:p w:rsidR="00492991" w:rsidRPr="009D6A6F" w:rsidRDefault="00492991" w:rsidP="008A03DE">
            <w:pPr>
              <w:pStyle w:val="Textpoznpodarou"/>
              <w:jc w:val="both"/>
              <w:rPr>
                <w:color w:val="000000"/>
                <w:sz w:val="13"/>
                <w:szCs w:val="13"/>
                <w:lang w:val="en-GB"/>
              </w:rPr>
            </w:pPr>
          </w:p>
        </w:tc>
      </w:tr>
      <w:tr w:rsidR="00492991" w:rsidRPr="00CB09D5" w:rsidTr="00607119">
        <w:tc>
          <w:tcPr>
            <w:tcW w:w="1017" w:type="pct"/>
            <w:shd w:val="clear" w:color="auto" w:fill="auto"/>
          </w:tcPr>
          <w:p w:rsidR="00492991" w:rsidRPr="00CB09D5" w:rsidRDefault="00F86767" w:rsidP="008A03DE">
            <w:pPr>
              <w:pStyle w:val="Textpoznpodarou"/>
              <w:rPr>
                <w:spacing w:val="-4"/>
                <w:sz w:val="16"/>
                <w:szCs w:val="16"/>
                <w:lang w:val="en-GB"/>
              </w:rPr>
            </w:pPr>
            <w:r w:rsidRPr="00CB09D5">
              <w:rPr>
                <w:spacing w:val="-4"/>
                <w:sz w:val="16"/>
                <w:szCs w:val="16"/>
                <w:lang w:val="en-GB"/>
              </w:rPr>
              <w:lastRenderedPageBreak/>
              <w:t>Year-on-year fall of the value of new construction orders (lasting five quarters in a row) halted</w:t>
            </w:r>
            <w:r w:rsidR="008D068A" w:rsidRPr="00CB09D5">
              <w:rPr>
                <w:spacing w:val="-4"/>
                <w:sz w:val="16"/>
                <w:szCs w:val="16"/>
                <w:lang w:val="en-GB"/>
              </w:rPr>
              <w:t xml:space="preserve"> </w:t>
            </w:r>
            <w:r w:rsidRPr="00CB09D5">
              <w:rPr>
                <w:spacing w:val="-4"/>
                <w:sz w:val="16"/>
                <w:szCs w:val="16"/>
                <w:lang w:val="en-GB"/>
              </w:rPr>
              <w:t xml:space="preserve">at the end of the year </w:t>
            </w:r>
            <w:r w:rsidR="00F7738B" w:rsidRPr="00CB09D5">
              <w:rPr>
                <w:spacing w:val="-4"/>
                <w:sz w:val="16"/>
                <w:szCs w:val="16"/>
                <w:lang w:val="en-GB"/>
              </w:rPr>
              <w:t>(+10</w:t>
            </w:r>
            <w:r w:rsidR="00492991" w:rsidRPr="00CB09D5">
              <w:rPr>
                <w:spacing w:val="-4"/>
                <w:sz w:val="16"/>
                <w:szCs w:val="16"/>
                <w:lang w:val="en-GB"/>
              </w:rPr>
              <w:t xml:space="preserve">%) </w:t>
            </w:r>
            <w:r w:rsidR="008D068A" w:rsidRPr="00CB09D5">
              <w:rPr>
                <w:spacing w:val="-4"/>
                <w:sz w:val="16"/>
                <w:szCs w:val="16"/>
                <w:lang w:val="en-GB"/>
              </w:rPr>
              <w:t xml:space="preserve">exclusively thanks to the building </w:t>
            </w:r>
            <w:r w:rsidR="00E527A0" w:rsidRPr="00CB09D5">
              <w:rPr>
                <w:spacing w:val="-4"/>
                <w:sz w:val="16"/>
                <w:szCs w:val="16"/>
                <w:lang w:val="en-GB"/>
              </w:rPr>
              <w:t>construction, …</w:t>
            </w: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r w:rsidRPr="00CB09D5">
              <w:rPr>
                <w:spacing w:val="-4"/>
                <w:sz w:val="16"/>
                <w:szCs w:val="16"/>
                <w:lang w:val="en-GB"/>
              </w:rPr>
              <w:t>…</w:t>
            </w:r>
            <w:r w:rsidR="00E3154D" w:rsidRPr="00CB09D5">
              <w:rPr>
                <w:spacing w:val="-4"/>
                <w:sz w:val="16"/>
                <w:szCs w:val="16"/>
                <w:lang w:val="en-GB"/>
              </w:rPr>
              <w:t xml:space="preserve">total stock of orders however stayed the second lowest after </w:t>
            </w:r>
            <w:r w:rsidR="000065F9" w:rsidRPr="00CB09D5">
              <w:rPr>
                <w:spacing w:val="-4"/>
                <w:sz w:val="16"/>
                <w:szCs w:val="16"/>
                <w:lang w:val="en-GB"/>
              </w:rPr>
              <w:t xml:space="preserve">the </w:t>
            </w:r>
            <w:r w:rsidR="00E3154D" w:rsidRPr="00CB09D5">
              <w:rPr>
                <w:spacing w:val="-4"/>
                <w:sz w:val="16"/>
                <w:szCs w:val="16"/>
                <w:lang w:val="en-GB"/>
              </w:rPr>
              <w:t xml:space="preserve">year 2001 at the end of the year. </w:t>
            </w:r>
          </w:p>
          <w:p w:rsidR="00492991" w:rsidRPr="00CB09D5" w:rsidRDefault="00492991" w:rsidP="008A03DE">
            <w:pPr>
              <w:pStyle w:val="Textpoznpodarou"/>
              <w:rPr>
                <w:spacing w:val="-4"/>
                <w:sz w:val="16"/>
                <w:szCs w:val="16"/>
                <w:lang w:val="en-GB"/>
              </w:rPr>
            </w:pPr>
          </w:p>
          <w:p w:rsidR="00492991" w:rsidRPr="00CB09D5" w:rsidRDefault="00E3154D" w:rsidP="008A03DE">
            <w:pPr>
              <w:pStyle w:val="Textpoznpodarou"/>
              <w:rPr>
                <w:spacing w:val="-4"/>
                <w:sz w:val="16"/>
                <w:szCs w:val="16"/>
                <w:lang w:val="en-GB"/>
              </w:rPr>
            </w:pPr>
            <w:r w:rsidRPr="00CB09D5">
              <w:rPr>
                <w:spacing w:val="-4"/>
                <w:sz w:val="16"/>
                <w:szCs w:val="16"/>
                <w:lang w:val="en-GB"/>
              </w:rPr>
              <w:t xml:space="preserve">Balance of entrepreneur confidence in construction fell to a </w:t>
            </w:r>
            <w:r w:rsidR="002261DD" w:rsidRPr="00CB09D5">
              <w:rPr>
                <w:spacing w:val="-4"/>
                <w:sz w:val="16"/>
                <w:szCs w:val="16"/>
                <w:lang w:val="en-GB"/>
              </w:rPr>
              <w:t>two-year</w:t>
            </w:r>
            <w:r w:rsidRPr="00CB09D5">
              <w:rPr>
                <w:spacing w:val="-4"/>
                <w:sz w:val="16"/>
                <w:szCs w:val="16"/>
                <w:lang w:val="en-GB"/>
              </w:rPr>
              <w:t xml:space="preserve"> minimum in September </w:t>
            </w:r>
            <w:r w:rsidR="00A46A7F">
              <w:rPr>
                <w:spacing w:val="-4"/>
                <w:sz w:val="16"/>
                <w:szCs w:val="16"/>
                <w:lang w:val="en-GB"/>
              </w:rPr>
              <w:t xml:space="preserve">2016 </w:t>
            </w:r>
            <w:r w:rsidRPr="00CB09D5">
              <w:rPr>
                <w:spacing w:val="-4"/>
                <w:sz w:val="16"/>
                <w:szCs w:val="16"/>
                <w:lang w:val="en-GB"/>
              </w:rPr>
              <w:t xml:space="preserve">and it still perseveres in the markedly negative range. </w:t>
            </w:r>
          </w:p>
          <w:p w:rsidR="00492991" w:rsidRPr="00CB09D5" w:rsidRDefault="00492991" w:rsidP="008A03DE">
            <w:pPr>
              <w:spacing w:line="240" w:lineRule="auto"/>
              <w:rPr>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The differing development of both main fields of construction was apparent to a great extent in new orders last year</w:t>
            </w:r>
            <w:r w:rsidRPr="00EB6063">
              <w:rPr>
                <w:rStyle w:val="Znakapoznpodarou"/>
                <w:lang w:val="en-GB"/>
              </w:rPr>
              <w:footnoteReference w:id="16"/>
            </w:r>
            <w:r w:rsidRPr="00EB6063">
              <w:rPr>
                <w:lang w:val="en-GB"/>
              </w:rPr>
              <w:t>. While those in building construction enlarged by more than one fifth year-on-year (to 86 CZK bn, the highest volume after 2008), they were decreasing for the civil engineering construction for the whole year. Decline of the whole branch was connected to the absence of larger number of more significant structures. The average size of the newly closed domestic order oscillated around 3 mil crowns during the year and it was thus the lowest since Q1 2013.</w:t>
            </w:r>
            <w:r w:rsidRPr="00EB6063">
              <w:rPr>
                <w:vanish/>
                <w:lang w:val="en-GB"/>
              </w:rPr>
              <w:t xml:space="preserve"> </w:t>
            </w:r>
            <w:r w:rsidRPr="00EB6063">
              <w:rPr>
                <w:lang w:val="en-GB"/>
              </w:rPr>
              <w:t xml:space="preserve">The drop of the total stock of orders (in the form of all so far not realised construction orders) halted after six preceding quarters at the very end of the last year (due to the lower comparative basis, since the completion of public orders was culminating during Q4 2015). Despite this development, the last year’s volume of orders was the second lowest since 2001. Another flash indicator – approximate value of granted building permits – gives more favourable impression for construction. It increased by 11.5% compared to the year 2015, in large part due to the swift growth of non-residential buildings (by 39%). On the contrary, the negative balance of confidence indicator in construction kept further deepening especially in the first half of the year and even its end did not bring a turn. The development of confidence was however more favourable in the vast majority of states, which are significant receivers of support from the EU funds in the last year. One third of businesses in the CR (one quarter a year ago) expected a decreasing of construction activity in the next three months in January </w:t>
            </w:r>
            <w:r w:rsidRPr="00EB6063">
              <w:rPr>
                <w:color w:val="000000"/>
                <w:lang w:val="en-GB"/>
              </w:rPr>
              <w:t xml:space="preserve">2017, one quarter anticipated a decreasing of the employee levels (resp. 18%) and only 3.5% of them expected rise. Slightly above half majority of businesses considered, similarly like a year ago, the inadequate demand to present a barrier of growth (only 11% of businesses stated the lack of employees).  </w:t>
            </w:r>
          </w:p>
          <w:p w:rsidR="00492991" w:rsidRPr="009D6A6F" w:rsidRDefault="00492991" w:rsidP="008A03DE">
            <w:pPr>
              <w:pStyle w:val="Textpoznpodarou"/>
              <w:jc w:val="both"/>
              <w:rPr>
                <w:sz w:val="14"/>
                <w:szCs w:val="14"/>
                <w:lang w:val="en-GB"/>
              </w:rPr>
            </w:pPr>
          </w:p>
        </w:tc>
      </w:tr>
      <w:tr w:rsidR="00492991" w:rsidRPr="00CB09D5" w:rsidTr="00607119">
        <w:tc>
          <w:tcPr>
            <w:tcW w:w="1017" w:type="pct"/>
            <w:shd w:val="clear" w:color="auto" w:fill="auto"/>
          </w:tcPr>
          <w:p w:rsidR="00492991" w:rsidRPr="00CB09D5" w:rsidRDefault="00746AA2" w:rsidP="008A03DE">
            <w:pPr>
              <w:spacing w:line="240" w:lineRule="auto"/>
              <w:rPr>
                <w:spacing w:val="-4"/>
                <w:sz w:val="16"/>
                <w:szCs w:val="16"/>
                <w:lang w:val="en-GB"/>
              </w:rPr>
            </w:pPr>
            <w:r w:rsidRPr="00CB09D5">
              <w:rPr>
                <w:spacing w:val="-4"/>
                <w:sz w:val="16"/>
                <w:szCs w:val="16"/>
                <w:lang w:val="en-GB"/>
              </w:rPr>
              <w:t xml:space="preserve">Revival of commenced residential construction was only mild in 2016. </w:t>
            </w:r>
          </w:p>
          <w:p w:rsidR="00492991" w:rsidRPr="00CB09D5" w:rsidRDefault="00492991" w:rsidP="008A03DE">
            <w:pPr>
              <w:spacing w:line="240" w:lineRule="auto"/>
              <w:rPr>
                <w:spacing w:val="-4"/>
                <w:sz w:val="16"/>
                <w:szCs w:val="16"/>
                <w:lang w:val="en-GB"/>
              </w:rPr>
            </w:pPr>
          </w:p>
          <w:p w:rsidR="00492991" w:rsidRPr="00CB09D5" w:rsidRDefault="00746AA2" w:rsidP="008A03DE">
            <w:pPr>
              <w:spacing w:line="240" w:lineRule="auto"/>
              <w:rPr>
                <w:spacing w:val="-4"/>
                <w:sz w:val="16"/>
                <w:szCs w:val="16"/>
                <w:lang w:val="en-GB"/>
              </w:rPr>
            </w:pPr>
            <w:r w:rsidRPr="00CB09D5">
              <w:rPr>
                <w:spacing w:val="-4"/>
                <w:sz w:val="16"/>
                <w:szCs w:val="16"/>
                <w:lang w:val="en-GB"/>
              </w:rPr>
              <w:t>Number of completed flats</w:t>
            </w:r>
            <w:r w:rsidR="002D68E6">
              <w:rPr>
                <w:spacing w:val="-4"/>
                <w:sz w:val="16"/>
                <w:szCs w:val="16"/>
                <w:lang w:val="en-GB"/>
              </w:rPr>
              <w:t xml:space="preserve"> was</w:t>
            </w:r>
            <w:r w:rsidRPr="00CB09D5">
              <w:rPr>
                <w:spacing w:val="-4"/>
                <w:sz w:val="16"/>
                <w:szCs w:val="16"/>
                <w:lang w:val="en-GB"/>
              </w:rPr>
              <w:t xml:space="preserve"> by more than one third lower compared to </w:t>
            </w:r>
            <w:r w:rsidR="009E0CB1" w:rsidRPr="00CB09D5">
              <w:rPr>
                <w:spacing w:val="-4"/>
                <w:sz w:val="16"/>
                <w:szCs w:val="16"/>
                <w:lang w:val="en-GB"/>
              </w:rPr>
              <w:t xml:space="preserve">the </w:t>
            </w:r>
            <w:r w:rsidRPr="00CB09D5">
              <w:rPr>
                <w:spacing w:val="-4"/>
                <w:sz w:val="16"/>
                <w:szCs w:val="16"/>
                <w:lang w:val="en-GB"/>
              </w:rPr>
              <w:t xml:space="preserve">record year 2007. </w:t>
            </w:r>
          </w:p>
        </w:tc>
        <w:tc>
          <w:tcPr>
            <w:tcW w:w="145" w:type="pct"/>
          </w:tcPr>
          <w:p w:rsidR="00492991" w:rsidRPr="00CB09D5" w:rsidRDefault="00492991" w:rsidP="008A03DE">
            <w:pPr>
              <w:rPr>
                <w:spacing w:val="-4"/>
                <w:szCs w:val="20"/>
                <w:lang w:val="en-GB"/>
              </w:rPr>
            </w:pPr>
          </w:p>
        </w:tc>
        <w:tc>
          <w:tcPr>
            <w:tcW w:w="3838" w:type="pct"/>
          </w:tcPr>
          <w:p w:rsidR="00492991" w:rsidRPr="009D6A6F" w:rsidRDefault="00EB6063" w:rsidP="008A03DE">
            <w:pPr>
              <w:pStyle w:val="Textpoznpodarou"/>
              <w:jc w:val="both"/>
              <w:rPr>
                <w:lang w:val="en-GB"/>
              </w:rPr>
            </w:pPr>
            <w:r w:rsidRPr="00EB6063">
              <w:rPr>
                <w:lang w:val="en-GB"/>
              </w:rPr>
              <w:t xml:space="preserve">The residential construction did not contribute much to revival of construction despite frequent assumptions of the opposite (growing household incomes, low interest rates) either. Even though the number of commenced flats rose for the third year in a row, it exceeded the long-term minimum from the year 2013 (22.1 thousand) not even by one quarter last year. Especially the frequency of multi-dwelling buildings (5.9 thousand, due to the slump of construction in Prague) and the construction of flats in community care homes </w:t>
            </w:r>
            <w:proofErr w:type="gramStart"/>
            <w:r w:rsidRPr="00EB6063">
              <w:rPr>
                <w:lang w:val="en-GB"/>
              </w:rPr>
              <w:t>was</w:t>
            </w:r>
            <w:proofErr w:type="gramEnd"/>
            <w:r w:rsidRPr="00EB6063">
              <w:rPr>
                <w:lang w:val="en-GB"/>
              </w:rPr>
              <w:t xml:space="preserve"> low. The low volume of new construction accompanied by strengthening purchasing power of households was reflected in the accelerated growth of both supply and realised prices of residential real estate not only in Prague. </w:t>
            </w:r>
          </w:p>
          <w:p w:rsidR="00492991" w:rsidRPr="009D6A6F" w:rsidRDefault="00492991" w:rsidP="008A03DE">
            <w:pPr>
              <w:pStyle w:val="Textpoznpodarou"/>
              <w:jc w:val="both"/>
              <w:rPr>
                <w:sz w:val="14"/>
                <w:szCs w:val="14"/>
                <w:lang w:val="en-GB"/>
              </w:rPr>
            </w:pPr>
          </w:p>
        </w:tc>
      </w:tr>
      <w:tr w:rsidR="00492991" w:rsidRPr="00CB09D5" w:rsidTr="00607119">
        <w:tc>
          <w:tcPr>
            <w:tcW w:w="1017" w:type="pct"/>
            <w:shd w:val="clear" w:color="auto" w:fill="auto"/>
          </w:tcPr>
          <w:p w:rsidR="00492991" w:rsidRPr="00CB09D5" w:rsidRDefault="00B9423B" w:rsidP="008A03DE">
            <w:pPr>
              <w:pStyle w:val="Textpoznpodarou"/>
              <w:rPr>
                <w:spacing w:val="-4"/>
                <w:sz w:val="16"/>
                <w:szCs w:val="16"/>
                <w:lang w:val="en-GB"/>
              </w:rPr>
            </w:pPr>
            <w:r w:rsidRPr="00CB09D5">
              <w:rPr>
                <w:spacing w:val="-4"/>
                <w:sz w:val="16"/>
                <w:szCs w:val="16"/>
                <w:lang w:val="en-GB"/>
              </w:rPr>
              <w:t xml:space="preserve">Sales in services </w:t>
            </w:r>
            <w:r w:rsidR="00FA6936">
              <w:rPr>
                <w:spacing w:val="-4"/>
                <w:sz w:val="16"/>
                <w:szCs w:val="16"/>
                <w:lang w:val="en-GB"/>
              </w:rPr>
              <w:t>slowed down</w:t>
            </w:r>
            <w:r w:rsidRPr="00CB09D5">
              <w:rPr>
                <w:spacing w:val="-4"/>
                <w:sz w:val="16"/>
                <w:szCs w:val="16"/>
                <w:lang w:val="en-GB"/>
              </w:rPr>
              <w:t xml:space="preserve"> its growth to </w:t>
            </w:r>
            <w:r w:rsidR="00492991" w:rsidRPr="00CB09D5">
              <w:rPr>
                <w:spacing w:val="-4"/>
                <w:sz w:val="16"/>
                <w:szCs w:val="16"/>
                <w:lang w:val="en-GB"/>
              </w:rPr>
              <w:t>1</w:t>
            </w:r>
            <w:r w:rsidRPr="00CB09D5">
              <w:rPr>
                <w:spacing w:val="-4"/>
                <w:sz w:val="16"/>
                <w:szCs w:val="16"/>
                <w:lang w:val="en-GB"/>
              </w:rPr>
              <w:t>.</w:t>
            </w:r>
            <w:r w:rsidR="00F7738B" w:rsidRPr="00CB09D5">
              <w:rPr>
                <w:spacing w:val="-4"/>
                <w:sz w:val="16"/>
                <w:szCs w:val="16"/>
                <w:lang w:val="en-GB"/>
              </w:rPr>
              <w:t>2</w:t>
            </w:r>
            <w:r w:rsidR="00492991" w:rsidRPr="00CB09D5">
              <w:rPr>
                <w:spacing w:val="-4"/>
                <w:sz w:val="16"/>
                <w:szCs w:val="16"/>
                <w:lang w:val="en-GB"/>
              </w:rPr>
              <w:t xml:space="preserve">% </w:t>
            </w:r>
            <w:r w:rsidRPr="00CB09D5">
              <w:rPr>
                <w:spacing w:val="-4"/>
                <w:sz w:val="16"/>
                <w:szCs w:val="16"/>
                <w:lang w:val="en-GB"/>
              </w:rPr>
              <w:t xml:space="preserve">year-on-year </w:t>
            </w:r>
            <w:r w:rsidR="00492991" w:rsidRPr="00CB09D5">
              <w:rPr>
                <w:spacing w:val="-4"/>
                <w:sz w:val="16"/>
                <w:szCs w:val="16"/>
                <w:lang w:val="en-GB"/>
              </w:rPr>
              <w:t>(</w:t>
            </w:r>
            <w:r w:rsidRPr="00CB09D5">
              <w:rPr>
                <w:spacing w:val="-4"/>
                <w:sz w:val="16"/>
                <w:szCs w:val="16"/>
                <w:lang w:val="en-GB"/>
              </w:rPr>
              <w:t xml:space="preserve">from </w:t>
            </w:r>
            <w:r w:rsidR="00F7738B" w:rsidRPr="00CB09D5">
              <w:rPr>
                <w:spacing w:val="-4"/>
                <w:sz w:val="16"/>
                <w:szCs w:val="16"/>
                <w:lang w:val="en-GB"/>
              </w:rPr>
              <w:t>3</w:t>
            </w:r>
            <w:r w:rsidR="00492991" w:rsidRPr="00CB09D5">
              <w:rPr>
                <w:spacing w:val="-4"/>
                <w:sz w:val="16"/>
                <w:szCs w:val="16"/>
                <w:lang w:val="en-GB"/>
              </w:rPr>
              <w:t>%</w:t>
            </w:r>
            <w:r w:rsidRPr="00CB09D5">
              <w:rPr>
                <w:spacing w:val="-4"/>
                <w:sz w:val="16"/>
                <w:szCs w:val="16"/>
                <w:lang w:val="en-GB"/>
              </w:rPr>
              <w:t xml:space="preserve"> in the year before last</w:t>
            </w:r>
            <w:r w:rsidR="00492991" w:rsidRPr="00CB09D5">
              <w:rPr>
                <w:spacing w:val="-4"/>
                <w:sz w:val="16"/>
                <w:szCs w:val="16"/>
                <w:lang w:val="en-GB"/>
              </w:rPr>
              <w:t>)</w:t>
            </w:r>
            <w:r w:rsidR="00AF082A" w:rsidRPr="00CB09D5">
              <w:rPr>
                <w:spacing w:val="-4"/>
                <w:sz w:val="16"/>
                <w:szCs w:val="16"/>
                <w:lang w:val="en-GB"/>
              </w:rPr>
              <w:t>, …</w:t>
            </w: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r w:rsidRPr="00CB09D5">
              <w:rPr>
                <w:spacing w:val="-4"/>
                <w:sz w:val="16"/>
                <w:szCs w:val="16"/>
                <w:lang w:val="en-GB"/>
              </w:rPr>
              <w:t>…</w:t>
            </w:r>
            <w:r w:rsidR="00B9423B" w:rsidRPr="00CB09D5">
              <w:rPr>
                <w:spacing w:val="-4"/>
                <w:sz w:val="16"/>
                <w:szCs w:val="16"/>
                <w:lang w:val="en-GB"/>
              </w:rPr>
              <w:t>the deeper fall in professional, scientific and technical activit</w:t>
            </w:r>
            <w:r w:rsidR="00AF082A" w:rsidRPr="00CB09D5">
              <w:rPr>
                <w:spacing w:val="-4"/>
                <w:sz w:val="16"/>
                <w:szCs w:val="16"/>
                <w:lang w:val="en-GB"/>
              </w:rPr>
              <w:t>i</w:t>
            </w:r>
            <w:r w:rsidR="00B9423B" w:rsidRPr="00CB09D5">
              <w:rPr>
                <w:spacing w:val="-4"/>
                <w:sz w:val="16"/>
                <w:szCs w:val="16"/>
                <w:lang w:val="en-GB"/>
              </w:rPr>
              <w:t xml:space="preserve">es </w:t>
            </w:r>
            <w:r w:rsidR="00FA6936">
              <w:rPr>
                <w:spacing w:val="-4"/>
                <w:sz w:val="16"/>
                <w:szCs w:val="16"/>
                <w:lang w:val="en-GB"/>
              </w:rPr>
              <w:t>(</w:t>
            </w:r>
            <w:r w:rsidR="00B9423B" w:rsidRPr="00CB09D5">
              <w:rPr>
                <w:spacing w:val="-4"/>
                <w:sz w:val="16"/>
                <w:szCs w:val="16"/>
                <w:lang w:val="en-GB"/>
              </w:rPr>
              <w:t>bound partially to the development in construction</w:t>
            </w:r>
            <w:r w:rsidR="00CB55C2" w:rsidRPr="00CB09D5">
              <w:rPr>
                <w:spacing w:val="-4"/>
                <w:sz w:val="16"/>
                <w:szCs w:val="16"/>
                <w:lang w:val="en-GB"/>
              </w:rPr>
              <w:t xml:space="preserve"> </w:t>
            </w:r>
            <w:r w:rsidR="00FA6936">
              <w:rPr>
                <w:spacing w:val="-4"/>
                <w:sz w:val="16"/>
                <w:szCs w:val="16"/>
                <w:lang w:val="en-GB"/>
              </w:rPr>
              <w:t xml:space="preserve">–i.e. </w:t>
            </w:r>
            <w:r w:rsidRPr="00CB09D5">
              <w:rPr>
                <w:spacing w:val="-4"/>
                <w:sz w:val="16"/>
                <w:szCs w:val="16"/>
                <w:lang w:val="en-GB"/>
              </w:rPr>
              <w:t>archite</w:t>
            </w:r>
            <w:r w:rsidR="0056474F" w:rsidRPr="00CB09D5">
              <w:rPr>
                <w:spacing w:val="-4"/>
                <w:sz w:val="16"/>
                <w:szCs w:val="16"/>
                <w:lang w:val="en-GB"/>
              </w:rPr>
              <w:t xml:space="preserve">ctural and engineering </w:t>
            </w:r>
            <w:r w:rsidR="00B9423B" w:rsidRPr="00CB09D5">
              <w:rPr>
                <w:spacing w:val="-4"/>
                <w:sz w:val="16"/>
                <w:szCs w:val="16"/>
                <w:lang w:val="en-GB"/>
              </w:rPr>
              <w:t>activities</w:t>
            </w:r>
            <w:r w:rsidRPr="00CB09D5">
              <w:rPr>
                <w:spacing w:val="-4"/>
                <w:sz w:val="16"/>
                <w:szCs w:val="16"/>
                <w:lang w:val="en-GB"/>
              </w:rPr>
              <w:t>) a</w:t>
            </w:r>
            <w:r w:rsidR="00B9423B" w:rsidRPr="00CB09D5">
              <w:rPr>
                <w:spacing w:val="-4"/>
                <w:sz w:val="16"/>
                <w:szCs w:val="16"/>
                <w:lang w:val="en-GB"/>
              </w:rPr>
              <w:t>nd also the mild drop in land and pipe transport stood in the background</w:t>
            </w:r>
            <w:r w:rsidR="00AE6734" w:rsidRPr="00CB09D5">
              <w:rPr>
                <w:spacing w:val="-4"/>
                <w:sz w:val="16"/>
                <w:szCs w:val="16"/>
                <w:lang w:val="en-GB"/>
              </w:rPr>
              <w:t>.</w:t>
            </w:r>
          </w:p>
          <w:p w:rsidR="00492991" w:rsidRPr="00CB09D5" w:rsidRDefault="00492991" w:rsidP="008A03DE">
            <w:pPr>
              <w:pStyle w:val="Textpoznpodarou"/>
              <w:rPr>
                <w:spacing w:val="-4"/>
                <w:sz w:val="16"/>
                <w:szCs w:val="16"/>
                <w:lang w:val="en-GB"/>
              </w:rPr>
            </w:pPr>
          </w:p>
          <w:p w:rsidR="00492991" w:rsidRPr="00CB09D5" w:rsidRDefault="00CB55C2" w:rsidP="008A03DE">
            <w:pPr>
              <w:pStyle w:val="Textpoznpodarou"/>
              <w:rPr>
                <w:spacing w:val="-4"/>
                <w:sz w:val="16"/>
                <w:szCs w:val="16"/>
                <w:lang w:val="en-GB"/>
              </w:rPr>
            </w:pPr>
            <w:r w:rsidRPr="00CB09D5">
              <w:rPr>
                <w:spacing w:val="-4"/>
                <w:sz w:val="16"/>
                <w:szCs w:val="16"/>
                <w:lang w:val="en-GB"/>
              </w:rPr>
              <w:t>The last year sales in services lagged by nearly 9</w:t>
            </w:r>
            <w:r w:rsidR="0005670F">
              <w:rPr>
                <w:spacing w:val="-4"/>
                <w:sz w:val="16"/>
                <w:szCs w:val="16"/>
                <w:lang w:val="en-GB"/>
              </w:rPr>
              <w:t>%</w:t>
            </w:r>
            <w:r w:rsidRPr="00CB09D5">
              <w:rPr>
                <w:spacing w:val="-4"/>
                <w:sz w:val="16"/>
                <w:szCs w:val="16"/>
                <w:lang w:val="en-GB"/>
              </w:rPr>
              <w:t xml:space="preserve"> behind the level </w:t>
            </w:r>
            <w:r w:rsidRPr="00CB09D5">
              <w:rPr>
                <w:spacing w:val="-4"/>
                <w:sz w:val="16"/>
                <w:szCs w:val="16"/>
                <w:lang w:val="en-GB"/>
              </w:rPr>
              <w:lastRenderedPageBreak/>
              <w:t xml:space="preserve">achieved in the peak year 2008 mainly due to the effect of the downturn in professional, scientific and technical activities.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The sales increased by 1.2% in real terms in the selected services</w:t>
            </w:r>
            <w:r w:rsidRPr="00EB6063">
              <w:rPr>
                <w:color w:val="000000"/>
                <w:vertAlign w:val="superscript"/>
                <w:lang w:val="en-GB"/>
              </w:rPr>
              <w:footnoteReference w:id="17"/>
            </w:r>
            <w:r w:rsidRPr="00EB6063">
              <w:rPr>
                <w:lang w:val="en-GB"/>
              </w:rPr>
              <w:t xml:space="preserve"> (by 3.0% in 2015). Vast majority of partial branches shared in this growth apart from the professional, scientific and technical activities </w:t>
            </w:r>
            <w:r w:rsidRPr="00EB6063">
              <w:rPr>
                <w:color w:val="000000"/>
                <w:lang w:val="en-GB"/>
              </w:rPr>
              <w:t>(-2.3%), whose 3% growth in 2015 was one-off in the long period since the end of the strong boom in the preceding decade. It was partially also associated to the development of the project activities linked to the completion of drawing on the EU funds – mostly the sales in architectural and engineering activities (in 2015: +2.8</w:t>
            </w:r>
            <w:r w:rsidRPr="00EB6063">
              <w:rPr>
                <w:color w:val="0D0D0D" w:themeColor="text1" w:themeTint="F2"/>
                <w:lang w:val="en-GB"/>
              </w:rPr>
              <w:t xml:space="preserve">%, last year </w:t>
            </w:r>
            <w:r w:rsidRPr="00EB6063">
              <w:rPr>
                <w:color w:val="000000"/>
                <w:lang w:val="en-GB"/>
              </w:rPr>
              <w:t xml:space="preserve">-7.3%). On the contrary, the legal and accounting activities or advertising and market research continued in the mild growth. The weight-significant branches of transportation and storage profited from the robustly growing industry as well as the foreign trade only to a limited extent, since its sales enlarged by 1.1% (by 0.4% in 2015). Moderate decrease in land and pipe transport (-0.3%) and postal and courier services (-1.0%) was offset by the more favourable development in warehousing (+3.7%) and also other types of transport. Food service activities and restaurants fared well, with the high increase in the year 2015 (+5.0%) grew even faster to 5.7% in the following year (the fastest pace after the year 2001). Continuing </w:t>
            </w:r>
            <w:r w:rsidRPr="00EB6063">
              <w:rPr>
                <w:color w:val="000000"/>
                <w:lang w:val="en-GB"/>
              </w:rPr>
              <w:lastRenderedPageBreak/>
              <w:t>growth of the number of overnight stays of both foreign (+3.8%) and domestic (+7.0%) guests also supported the sales in accommodation (+4.4%). Sales in administrative and support activities were also strengthening by a similar pace, pushed by fast developing job agencies, whose sales more than doubled against the year 2010. Vast majority of other activities within this branch however also thrived. Travel agencies and offices (incl. reservation activities) represented an exception, the reduction of sales continued already for the fourth year in a row in these activities</w:t>
            </w:r>
            <w:r w:rsidRPr="00EB6063">
              <w:rPr>
                <w:rStyle w:val="Znakapoznpodarou"/>
                <w:color w:val="000000"/>
                <w:lang w:val="en-GB"/>
              </w:rPr>
              <w:footnoteReference w:id="18"/>
            </w:r>
            <w:r w:rsidRPr="00EB6063">
              <w:rPr>
                <w:color w:val="000000"/>
                <w:lang w:val="en-GB"/>
              </w:rPr>
              <w:t xml:space="preserve">. </w:t>
            </w:r>
          </w:p>
          <w:p w:rsidR="00492991" w:rsidRPr="009D6A6F" w:rsidRDefault="00492991" w:rsidP="008A03DE">
            <w:pPr>
              <w:pStyle w:val="Textpoznpodarou"/>
              <w:jc w:val="both"/>
              <w:rPr>
                <w:sz w:val="13"/>
                <w:szCs w:val="13"/>
                <w:lang w:val="en-GB"/>
              </w:rPr>
            </w:pPr>
          </w:p>
        </w:tc>
      </w:tr>
      <w:tr w:rsidR="00492991" w:rsidRPr="00CB09D5" w:rsidTr="00607119">
        <w:tc>
          <w:tcPr>
            <w:tcW w:w="1017" w:type="pct"/>
            <w:shd w:val="clear" w:color="auto" w:fill="auto"/>
          </w:tcPr>
          <w:p w:rsidR="00492991" w:rsidRPr="00CB09D5" w:rsidRDefault="00C108CE" w:rsidP="008A03DE">
            <w:pPr>
              <w:pStyle w:val="Textpoznpodarou"/>
              <w:rPr>
                <w:spacing w:val="-4"/>
                <w:sz w:val="16"/>
                <w:szCs w:val="16"/>
                <w:lang w:val="en-GB"/>
              </w:rPr>
            </w:pPr>
            <w:r w:rsidRPr="00CB09D5">
              <w:rPr>
                <w:spacing w:val="-4"/>
                <w:sz w:val="16"/>
                <w:szCs w:val="16"/>
                <w:lang w:val="en-GB"/>
              </w:rPr>
              <w:lastRenderedPageBreak/>
              <w:t xml:space="preserve">Favourable </w:t>
            </w:r>
            <w:r w:rsidR="00CA799B" w:rsidRPr="00CB09D5">
              <w:rPr>
                <w:spacing w:val="-4"/>
                <w:sz w:val="16"/>
                <w:szCs w:val="16"/>
                <w:lang w:val="en-GB"/>
              </w:rPr>
              <w:t>conditions prevailed for swift growth of retail sales, sales were driven mostly by the sale of non-food goods</w:t>
            </w:r>
            <w:r w:rsidR="00AE6734" w:rsidRPr="00CB09D5">
              <w:rPr>
                <w:spacing w:val="-4"/>
                <w:sz w:val="16"/>
                <w:szCs w:val="16"/>
                <w:lang w:val="en-GB"/>
              </w:rPr>
              <w:t>.</w:t>
            </w: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p>
          <w:p w:rsidR="00492991" w:rsidRPr="00CB09D5" w:rsidRDefault="0089690C" w:rsidP="008A03DE">
            <w:pPr>
              <w:pStyle w:val="Textpoznpodarou"/>
              <w:rPr>
                <w:spacing w:val="-4"/>
                <w:sz w:val="16"/>
                <w:szCs w:val="16"/>
                <w:lang w:val="en-GB"/>
              </w:rPr>
            </w:pPr>
            <w:r w:rsidRPr="00CB09D5">
              <w:rPr>
                <w:spacing w:val="-4"/>
                <w:sz w:val="16"/>
                <w:szCs w:val="16"/>
                <w:lang w:val="en-GB"/>
              </w:rPr>
              <w:t xml:space="preserve">Year-on-year growth of food </w:t>
            </w:r>
            <w:r w:rsidR="008544C2" w:rsidRPr="00CB09D5">
              <w:rPr>
                <w:spacing w:val="-4"/>
                <w:sz w:val="16"/>
                <w:szCs w:val="16"/>
                <w:lang w:val="en-GB"/>
              </w:rPr>
              <w:t>sellers’</w:t>
            </w:r>
            <w:r w:rsidRPr="00CB09D5">
              <w:rPr>
                <w:spacing w:val="-4"/>
                <w:sz w:val="16"/>
                <w:szCs w:val="16"/>
                <w:lang w:val="en-GB"/>
              </w:rPr>
              <w:t xml:space="preserve"> sales weakened during the year</w:t>
            </w:r>
            <w:r w:rsidR="00492991" w:rsidRPr="00CB09D5">
              <w:rPr>
                <w:spacing w:val="-4"/>
                <w:sz w:val="16"/>
                <w:szCs w:val="16"/>
                <w:lang w:val="en-GB"/>
              </w:rPr>
              <w:t xml:space="preserve">, </w:t>
            </w:r>
            <w:r w:rsidRPr="00CB09D5">
              <w:rPr>
                <w:spacing w:val="-4"/>
                <w:sz w:val="16"/>
                <w:szCs w:val="16"/>
                <w:lang w:val="en-GB"/>
              </w:rPr>
              <w:t>it diminished completely in Q</w:t>
            </w:r>
            <w:r w:rsidR="00492991" w:rsidRPr="00CB09D5">
              <w:rPr>
                <w:spacing w:val="-4"/>
                <w:sz w:val="16"/>
                <w:szCs w:val="16"/>
                <w:lang w:val="en-GB"/>
              </w:rPr>
              <w:t>4</w:t>
            </w:r>
            <w:r w:rsidRPr="00CB09D5">
              <w:rPr>
                <w:spacing w:val="-4"/>
                <w:sz w:val="16"/>
                <w:szCs w:val="16"/>
                <w:lang w:val="en-GB"/>
              </w:rPr>
              <w:t xml:space="preserve"> </w:t>
            </w:r>
            <w:r w:rsidR="00AE6734" w:rsidRPr="00CB09D5">
              <w:rPr>
                <w:spacing w:val="-4"/>
                <w:sz w:val="16"/>
                <w:szCs w:val="16"/>
                <w:lang w:val="en-GB"/>
              </w:rPr>
              <w:t>(-0</w:t>
            </w:r>
            <w:r w:rsidRPr="00CB09D5">
              <w:rPr>
                <w:spacing w:val="-4"/>
                <w:sz w:val="16"/>
                <w:szCs w:val="16"/>
                <w:lang w:val="en-GB"/>
              </w:rPr>
              <w:t>.</w:t>
            </w:r>
            <w:r w:rsidR="003F1749" w:rsidRPr="00CB09D5">
              <w:rPr>
                <w:spacing w:val="-4"/>
                <w:sz w:val="16"/>
                <w:szCs w:val="16"/>
                <w:lang w:val="en-GB"/>
              </w:rPr>
              <w:t>2</w:t>
            </w:r>
            <w:r w:rsidR="00AE6734" w:rsidRPr="00CB09D5">
              <w:rPr>
                <w:spacing w:val="-4"/>
                <w:sz w:val="16"/>
                <w:szCs w:val="16"/>
                <w:lang w:val="en-GB"/>
              </w:rPr>
              <w:t>%).</w:t>
            </w:r>
          </w:p>
          <w:p w:rsidR="00492991" w:rsidRPr="00CB09D5" w:rsidRDefault="00492991" w:rsidP="008A03DE">
            <w:pPr>
              <w:pStyle w:val="Textpoznpodarou"/>
              <w:rPr>
                <w:spacing w:val="-4"/>
                <w:sz w:val="16"/>
                <w:szCs w:val="16"/>
                <w:lang w:val="en-GB"/>
              </w:rPr>
            </w:pPr>
          </w:p>
          <w:p w:rsidR="009D3CD0" w:rsidRPr="00CB09D5" w:rsidRDefault="009D3CD0" w:rsidP="008A03DE">
            <w:pPr>
              <w:pStyle w:val="Textpoznpodarou"/>
              <w:rPr>
                <w:spacing w:val="-4"/>
                <w:sz w:val="16"/>
                <w:szCs w:val="16"/>
                <w:lang w:val="en-GB"/>
              </w:rPr>
            </w:pPr>
          </w:p>
          <w:p w:rsidR="00492991" w:rsidRPr="00CB09D5" w:rsidRDefault="008544C2" w:rsidP="008A03DE">
            <w:pPr>
              <w:pStyle w:val="Textpoznpodarou"/>
              <w:rPr>
                <w:spacing w:val="-4"/>
                <w:sz w:val="16"/>
                <w:szCs w:val="16"/>
                <w:lang w:val="en-GB"/>
              </w:rPr>
            </w:pPr>
            <w:r w:rsidRPr="00CB09D5">
              <w:rPr>
                <w:spacing w:val="-4"/>
                <w:sz w:val="16"/>
                <w:szCs w:val="16"/>
                <w:lang w:val="en-GB"/>
              </w:rPr>
              <w:t>Retail sales growth in the CR was the seventh highest among the E</w:t>
            </w:r>
            <w:r w:rsidR="0066328A" w:rsidRPr="00CB09D5">
              <w:rPr>
                <w:spacing w:val="-4"/>
                <w:sz w:val="16"/>
                <w:szCs w:val="16"/>
                <w:lang w:val="en-GB"/>
              </w:rPr>
              <w:t>U</w:t>
            </w:r>
            <w:r w:rsidRPr="00CB09D5">
              <w:rPr>
                <w:spacing w:val="-4"/>
                <w:sz w:val="16"/>
                <w:szCs w:val="16"/>
                <w:lang w:val="en-GB"/>
              </w:rPr>
              <w:t xml:space="preserve"> countries last year, it grew faster only in Poland within the neighbouring </w:t>
            </w:r>
            <w:r w:rsidR="00FA6936">
              <w:rPr>
                <w:spacing w:val="-4"/>
                <w:sz w:val="16"/>
                <w:szCs w:val="16"/>
                <w:lang w:val="en-GB"/>
              </w:rPr>
              <w:t>countries.</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9B0B1C">
            <w:pPr>
              <w:pStyle w:val="Textpoznpodarou"/>
              <w:jc w:val="both"/>
              <w:rPr>
                <w:color w:val="000000"/>
                <w:lang w:val="en-GB"/>
              </w:rPr>
            </w:pPr>
            <w:r w:rsidRPr="00EB6063">
              <w:rPr>
                <w:lang w:val="en-GB"/>
              </w:rPr>
              <w:t>Increasing disposable income of households, fed by the growth of volume of paid out salaries and wages in the whole economy (+5.5% in 2016, +4.4% the year ago), combined with a very optimistic sentiment of consumers throughout the whole last year led into a swift hike of the retail (+5.1% year-on-year)</w:t>
            </w:r>
            <w:r w:rsidRPr="00EB6063">
              <w:rPr>
                <w:rStyle w:val="Znakapoznpodarou"/>
                <w:lang w:val="en-GB"/>
              </w:rPr>
              <w:footnoteReference w:id="19"/>
            </w:r>
            <w:r w:rsidRPr="00EB6063">
              <w:rPr>
                <w:lang w:val="en-GB"/>
              </w:rPr>
              <w:t>. While the sales growth oscillated around 5.5% in the first three quarters, the pace moderated to 4.2% at the end of the year – primarily as a result of development of sales for food. These grew by 5% in Q1 2016, however already only stagnated towards the end of the year. This development concerned in the first place the non-specialised (mostly large) shops</w:t>
            </w:r>
            <w:r w:rsidRPr="00EB6063">
              <w:rPr>
                <w:rStyle w:val="Znakapoznpodarou"/>
                <w:lang w:val="en-GB"/>
              </w:rPr>
              <w:footnoteReference w:id="20"/>
            </w:r>
            <w:r w:rsidRPr="00EB6063">
              <w:rPr>
                <w:lang w:val="en-GB"/>
              </w:rPr>
              <w:t>. Sales for food in specialised shops grew by 2.9% in Q4, by 3.1% for the whole year – i.e. a higher rate of growth compared to the non-specialised sellers of food, which occurred last in the year 2005. Weight-dominant retail segment – sale of non-food goods – grew without any large fluctuations (by 6.3% for the whole year). It was driven especially by the internet sales and further by the sale of goods for culture as well as recreation and goods predominantly for households. The growth of the economy as well as the favourable prices of automotive fuels were reflected in the strong increase of sales at petrol stations</w:t>
            </w:r>
            <w:r w:rsidRPr="00EB6063">
              <w:rPr>
                <w:color w:val="000000"/>
                <w:lang w:val="en-GB"/>
              </w:rPr>
              <w:t>, which lasted already eight quarters in a row (by 6.8% for the whole year). Pro-cycle developing sales in trade (inc. repairs and maintenance) of motor vehicles strengthened by 7.6% for the whole year, nevertheless the growth weakened in H2 and it was the weakest since the end of the last recession in Q4 2016 (+4.2%).</w:t>
            </w:r>
          </w:p>
        </w:tc>
      </w:tr>
    </w:tbl>
    <w:p w:rsidR="00492991" w:rsidRPr="009D6A6F" w:rsidRDefault="00492991" w:rsidP="00492991">
      <w:pPr>
        <w:pStyle w:val="Textpoznpodarou"/>
        <w:jc w:val="both"/>
        <w:rPr>
          <w:lang w:val="en-GB"/>
        </w:rPr>
      </w:pPr>
    </w:p>
    <w:tbl>
      <w:tblPr>
        <w:tblW w:w="5000" w:type="pct"/>
        <w:tblInd w:w="80" w:type="dxa"/>
        <w:tblLayout w:type="fixed"/>
        <w:tblCellMar>
          <w:left w:w="28" w:type="dxa"/>
          <w:right w:w="28" w:type="dxa"/>
        </w:tblCellMar>
        <w:tblLook w:val="04A0"/>
      </w:tblPr>
      <w:tblGrid>
        <w:gridCol w:w="722"/>
        <w:gridCol w:w="4134"/>
        <w:gridCol w:w="776"/>
        <w:gridCol w:w="4062"/>
      </w:tblGrid>
      <w:tr w:rsidR="00492991" w:rsidRPr="00CB09D5" w:rsidTr="007A7EA4">
        <w:tc>
          <w:tcPr>
            <w:tcW w:w="373" w:type="pct"/>
          </w:tcPr>
          <w:p w:rsidR="00492991" w:rsidRPr="00CB09D5" w:rsidRDefault="00533AB1" w:rsidP="008A03DE">
            <w:pPr>
              <w:spacing w:line="240" w:lineRule="auto"/>
              <w:rPr>
                <w:lang w:val="en-GB"/>
              </w:rPr>
            </w:pPr>
            <w:r w:rsidRPr="00CB09D5">
              <w:rPr>
                <w:lang w:val="en-GB"/>
              </w:rPr>
              <w:t>Chart 5</w:t>
            </w:r>
          </w:p>
        </w:tc>
        <w:tc>
          <w:tcPr>
            <w:tcW w:w="2131" w:type="pct"/>
          </w:tcPr>
          <w:p w:rsidR="008D0462" w:rsidRPr="00CB09D5" w:rsidRDefault="008D0462" w:rsidP="008D0462">
            <w:pPr>
              <w:pStyle w:val="Textpoznpodarou"/>
              <w:rPr>
                <w:b/>
                <w:lang w:val="en-GB"/>
              </w:rPr>
            </w:pPr>
            <w:r w:rsidRPr="00CB09D5">
              <w:rPr>
                <w:b/>
                <w:lang w:val="en-GB"/>
              </w:rPr>
              <w:t xml:space="preserve">Production in industry and selected manufacturing branches </w:t>
            </w:r>
          </w:p>
          <w:p w:rsidR="00492991" w:rsidRPr="00CB09D5" w:rsidRDefault="008D0462" w:rsidP="008D0462">
            <w:pPr>
              <w:pStyle w:val="Textpoznpodarou"/>
              <w:rPr>
                <w:b/>
                <w:lang w:val="en-GB"/>
              </w:rPr>
            </w:pPr>
            <w:r w:rsidRPr="00CB09D5">
              <w:rPr>
                <w:lang w:val="en-GB"/>
              </w:rPr>
              <w:t xml:space="preserve"> </w:t>
            </w:r>
            <w:r w:rsidR="00492991" w:rsidRPr="00CB09D5">
              <w:rPr>
                <w:lang w:val="en-GB"/>
              </w:rPr>
              <w:t>(</w:t>
            </w:r>
            <w:proofErr w:type="gramStart"/>
            <w:r w:rsidR="00492991" w:rsidRPr="00CB09D5">
              <w:rPr>
                <w:lang w:val="en-GB"/>
              </w:rPr>
              <w:t>r</w:t>
            </w:r>
            <w:r w:rsidR="00533AB1" w:rsidRPr="00CB09D5">
              <w:rPr>
                <w:lang w:val="en-GB"/>
              </w:rPr>
              <w:t>eal</w:t>
            </w:r>
            <w:proofErr w:type="gramEnd"/>
            <w:r w:rsidR="00492991" w:rsidRPr="00CB09D5">
              <w:rPr>
                <w:lang w:val="en-GB"/>
              </w:rPr>
              <w:t xml:space="preserve">, y/y, </w:t>
            </w:r>
            <w:r w:rsidR="00533AB1" w:rsidRPr="00CB09D5">
              <w:rPr>
                <w:lang w:val="en-GB"/>
              </w:rPr>
              <w:t>adjusted for calendar effects</w:t>
            </w:r>
            <w:r w:rsidR="00492991" w:rsidRPr="00CB09D5">
              <w:rPr>
                <w:lang w:val="en-GB"/>
              </w:rPr>
              <w:t xml:space="preserve">, </w:t>
            </w:r>
            <w:r w:rsidR="00533AB1" w:rsidRPr="00CB09D5">
              <w:rPr>
                <w:lang w:val="en-GB"/>
              </w:rPr>
              <w:t>in</w:t>
            </w:r>
            <w:r w:rsidR="00492991" w:rsidRPr="00CB09D5">
              <w:rPr>
                <w:lang w:val="en-GB"/>
              </w:rPr>
              <w:t xml:space="preserve"> %)</w:t>
            </w:r>
          </w:p>
        </w:tc>
        <w:tc>
          <w:tcPr>
            <w:tcW w:w="400" w:type="pct"/>
          </w:tcPr>
          <w:p w:rsidR="00492991" w:rsidRPr="00CB09D5" w:rsidRDefault="00533AB1" w:rsidP="008A03DE">
            <w:pPr>
              <w:spacing w:line="240" w:lineRule="auto"/>
              <w:ind w:left="-8" w:right="-28"/>
              <w:rPr>
                <w:lang w:val="en-GB"/>
              </w:rPr>
            </w:pPr>
            <w:r w:rsidRPr="00CB09D5">
              <w:rPr>
                <w:lang w:val="en-GB"/>
              </w:rPr>
              <w:t>Chart 6</w:t>
            </w:r>
          </w:p>
        </w:tc>
        <w:tc>
          <w:tcPr>
            <w:tcW w:w="2095" w:type="pct"/>
          </w:tcPr>
          <w:p w:rsidR="00492991" w:rsidRPr="00CB09D5" w:rsidRDefault="008D0462" w:rsidP="008A03DE">
            <w:pPr>
              <w:spacing w:line="240" w:lineRule="auto"/>
              <w:ind w:left="-28"/>
              <w:rPr>
                <w:b/>
                <w:lang w:val="en-GB"/>
              </w:rPr>
            </w:pPr>
            <w:r w:rsidRPr="00CB09D5">
              <w:rPr>
                <w:b/>
                <w:spacing w:val="-4"/>
                <w:lang w:val="en-GB"/>
              </w:rPr>
              <w:t xml:space="preserve">New orders in manufacture of motor vehicles, industry in total </w:t>
            </w:r>
            <w:r w:rsidR="00492991" w:rsidRPr="00CB09D5">
              <w:rPr>
                <w:bCs/>
                <w:lang w:val="en-GB"/>
              </w:rPr>
              <w:t>(</w:t>
            </w:r>
            <w:proofErr w:type="spellStart"/>
            <w:r w:rsidRPr="00CB09D5">
              <w:rPr>
                <w:bCs/>
                <w:lang w:val="en-GB"/>
              </w:rPr>
              <w:t>cur</w:t>
            </w:r>
            <w:r w:rsidR="007C3191" w:rsidRPr="00CB09D5">
              <w:rPr>
                <w:bCs/>
                <w:lang w:val="en-GB"/>
              </w:rPr>
              <w:t>.p</w:t>
            </w:r>
            <w:proofErr w:type="spellEnd"/>
            <w:r w:rsidR="00492991" w:rsidRPr="00CB09D5">
              <w:rPr>
                <w:bCs/>
                <w:lang w:val="en-GB"/>
              </w:rPr>
              <w:t xml:space="preserve">, y/y </w:t>
            </w:r>
            <w:r w:rsidRPr="00CB09D5">
              <w:rPr>
                <w:bCs/>
                <w:lang w:val="en-GB"/>
              </w:rPr>
              <w:t>in</w:t>
            </w:r>
            <w:r w:rsidR="00492991" w:rsidRPr="00CB09D5">
              <w:rPr>
                <w:bCs/>
                <w:lang w:val="en-GB"/>
              </w:rPr>
              <w:t xml:space="preserve"> %) </w:t>
            </w:r>
            <w:r w:rsidR="00492991" w:rsidRPr="00CB09D5">
              <w:rPr>
                <w:b/>
                <w:lang w:val="en-GB"/>
              </w:rPr>
              <w:t>a</w:t>
            </w:r>
            <w:r w:rsidRPr="00CB09D5">
              <w:rPr>
                <w:b/>
                <w:lang w:val="en-GB"/>
              </w:rPr>
              <w:t xml:space="preserve">nd </w:t>
            </w:r>
            <w:r w:rsidRPr="00CB09D5">
              <w:rPr>
                <w:b/>
                <w:spacing w:val="-4"/>
                <w:lang w:val="en-GB"/>
              </w:rPr>
              <w:t>balance of confidence indicator in industry</w:t>
            </w:r>
            <w:r w:rsidRPr="00CB09D5">
              <w:rPr>
                <w:lang w:val="en-GB"/>
              </w:rPr>
              <w:t xml:space="preserve"> </w:t>
            </w:r>
            <w:r w:rsidR="00492991" w:rsidRPr="00CB09D5">
              <w:rPr>
                <w:lang w:val="en-GB"/>
              </w:rPr>
              <w:t>(</w:t>
            </w:r>
            <w:r w:rsidRPr="00CB09D5">
              <w:rPr>
                <w:lang w:val="en-GB"/>
              </w:rPr>
              <w:t>right axis</w:t>
            </w:r>
            <w:r w:rsidR="00492991" w:rsidRPr="00CB09D5">
              <w:rPr>
                <w:lang w:val="en-GB"/>
              </w:rPr>
              <w:t>)</w:t>
            </w:r>
          </w:p>
        </w:tc>
      </w:tr>
      <w:tr w:rsidR="00492991" w:rsidRPr="00CB09D5" w:rsidTr="007A7EA4">
        <w:tc>
          <w:tcPr>
            <w:tcW w:w="2505" w:type="pct"/>
            <w:gridSpan w:val="2"/>
          </w:tcPr>
          <w:p w:rsidR="00492991" w:rsidRPr="00CB09D5" w:rsidRDefault="0029191C" w:rsidP="008A03DE">
            <w:pPr>
              <w:pStyle w:val="Textpoznpodarou"/>
              <w:jc w:val="both"/>
              <w:rPr>
                <w:sz w:val="6"/>
                <w:szCs w:val="6"/>
                <w:lang w:val="en-GB"/>
              </w:rPr>
            </w:pPr>
            <w:r>
              <w:rPr>
                <w:noProof/>
                <w:sz w:val="6"/>
                <w:szCs w:val="6"/>
              </w:rPr>
              <w:drawing>
                <wp:inline distT="0" distB="0" distL="0" distR="0">
                  <wp:extent cx="2978150" cy="2362200"/>
                  <wp:effectExtent l="19050" t="0" r="0" b="0"/>
                  <wp:docPr id="3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980690" cy="2364215"/>
                          </a:xfrm>
                          <a:prstGeom prst="rect">
                            <a:avLst/>
                          </a:prstGeom>
                          <a:noFill/>
                          <a:ln w="9525">
                            <a:noFill/>
                            <a:miter lim="800000"/>
                            <a:headEnd/>
                            <a:tailEnd/>
                          </a:ln>
                        </pic:spPr>
                      </pic:pic>
                    </a:graphicData>
                  </a:graphic>
                </wp:inline>
              </w:drawing>
            </w:r>
          </w:p>
        </w:tc>
        <w:tc>
          <w:tcPr>
            <w:tcW w:w="2495" w:type="pct"/>
            <w:gridSpan w:val="2"/>
          </w:tcPr>
          <w:p w:rsidR="00492991" w:rsidRPr="00CB09D5" w:rsidRDefault="0029191C" w:rsidP="008A03DE">
            <w:pPr>
              <w:pStyle w:val="Textpoznpodarou"/>
              <w:jc w:val="both"/>
              <w:rPr>
                <w:lang w:val="en-GB"/>
              </w:rPr>
            </w:pPr>
            <w:r>
              <w:rPr>
                <w:noProof/>
              </w:rPr>
              <w:drawing>
                <wp:inline distT="0" distB="0" distL="0" distR="0">
                  <wp:extent cx="2997199" cy="2362200"/>
                  <wp:effectExtent l="19050" t="0" r="0" b="0"/>
                  <wp:docPr id="3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998470" cy="2363201"/>
                          </a:xfrm>
                          <a:prstGeom prst="rect">
                            <a:avLst/>
                          </a:prstGeom>
                          <a:noFill/>
                          <a:ln w="9525">
                            <a:noFill/>
                            <a:miter lim="800000"/>
                            <a:headEnd/>
                            <a:tailEnd/>
                          </a:ln>
                        </pic:spPr>
                      </pic:pic>
                    </a:graphicData>
                  </a:graphic>
                </wp:inline>
              </w:drawing>
            </w:r>
          </w:p>
        </w:tc>
      </w:tr>
    </w:tbl>
    <w:p w:rsidR="007A7EA4" w:rsidRDefault="007A7EA4" w:rsidP="005E4483">
      <w:pPr>
        <w:pStyle w:val="Textpoznpodarou"/>
        <w:jc w:val="both"/>
        <w:rPr>
          <w:lang w:val="en-GB"/>
        </w:rPr>
      </w:pPr>
    </w:p>
    <w:p w:rsidR="009D6A6F" w:rsidRDefault="009D6A6F" w:rsidP="005E4483">
      <w:pPr>
        <w:pStyle w:val="Textpoznpodarou"/>
        <w:jc w:val="both"/>
        <w:rPr>
          <w:lang w:val="en-GB"/>
        </w:rPr>
      </w:pPr>
    </w:p>
    <w:p w:rsidR="009D6A6F" w:rsidRDefault="009D6A6F" w:rsidP="005E4483">
      <w:pPr>
        <w:pStyle w:val="Textpoznpodarou"/>
        <w:jc w:val="both"/>
        <w:rPr>
          <w:lang w:val="en-GB"/>
        </w:rPr>
      </w:pPr>
    </w:p>
    <w:p w:rsidR="009D6A6F" w:rsidRPr="007A7EA4" w:rsidRDefault="009D6A6F" w:rsidP="005E4483">
      <w:pPr>
        <w:pStyle w:val="Textpoznpodarou"/>
        <w:jc w:val="both"/>
        <w:rPr>
          <w:lang w:val="en-GB"/>
        </w:rPr>
      </w:pPr>
    </w:p>
    <w:tbl>
      <w:tblPr>
        <w:tblW w:w="5000" w:type="pct"/>
        <w:tblInd w:w="80" w:type="dxa"/>
        <w:tblLayout w:type="fixed"/>
        <w:tblCellMar>
          <w:left w:w="28" w:type="dxa"/>
          <w:right w:w="28" w:type="dxa"/>
        </w:tblCellMar>
        <w:tblLook w:val="04A0"/>
      </w:tblPr>
      <w:tblGrid>
        <w:gridCol w:w="722"/>
        <w:gridCol w:w="4134"/>
        <w:gridCol w:w="776"/>
        <w:gridCol w:w="4062"/>
      </w:tblGrid>
      <w:tr w:rsidR="007A7EA4" w:rsidRPr="00CB09D5" w:rsidTr="007A7EA4">
        <w:tc>
          <w:tcPr>
            <w:tcW w:w="373" w:type="pct"/>
          </w:tcPr>
          <w:p w:rsidR="007A7EA4" w:rsidRPr="00CB09D5" w:rsidRDefault="007A7EA4" w:rsidP="00327200">
            <w:pPr>
              <w:spacing w:before="20" w:line="240" w:lineRule="auto"/>
              <w:rPr>
                <w:lang w:val="en-GB"/>
              </w:rPr>
            </w:pPr>
            <w:r w:rsidRPr="00CB09D5">
              <w:rPr>
                <w:lang w:val="en-GB"/>
              </w:rPr>
              <w:lastRenderedPageBreak/>
              <w:t>Chart 7</w:t>
            </w:r>
          </w:p>
        </w:tc>
        <w:tc>
          <w:tcPr>
            <w:tcW w:w="2131" w:type="pct"/>
          </w:tcPr>
          <w:p w:rsidR="007A7EA4" w:rsidRPr="00610578" w:rsidRDefault="007A7EA4" w:rsidP="00327200">
            <w:pPr>
              <w:spacing w:before="20" w:line="240" w:lineRule="auto"/>
              <w:rPr>
                <w:b/>
                <w:spacing w:val="-2"/>
                <w:lang w:val="en-GB"/>
              </w:rPr>
            </w:pPr>
            <w:r w:rsidRPr="002D3A1A">
              <w:rPr>
                <w:b/>
                <w:spacing w:val="-2"/>
                <w:lang w:val="en-GB"/>
              </w:rPr>
              <w:t xml:space="preserve">Construction production*, value of new orders </w:t>
            </w:r>
            <w:r w:rsidRPr="002D3A1A">
              <w:rPr>
                <w:bCs/>
                <w:spacing w:val="-2"/>
                <w:lang w:val="en-GB"/>
              </w:rPr>
              <w:t xml:space="preserve">(y/y in %) </w:t>
            </w:r>
            <w:r w:rsidRPr="002D3A1A">
              <w:rPr>
                <w:b/>
                <w:spacing w:val="-2"/>
                <w:lang w:val="en-GB"/>
              </w:rPr>
              <w:t>and balance of confidence indicator in construction</w:t>
            </w:r>
            <w:r w:rsidRPr="002D3A1A">
              <w:rPr>
                <w:spacing w:val="-2"/>
                <w:lang w:val="en-GB"/>
              </w:rPr>
              <w:t xml:space="preserve"> (right axis)</w:t>
            </w:r>
          </w:p>
        </w:tc>
        <w:tc>
          <w:tcPr>
            <w:tcW w:w="400" w:type="pct"/>
          </w:tcPr>
          <w:p w:rsidR="007A7EA4" w:rsidRPr="00CB09D5" w:rsidRDefault="007A7EA4" w:rsidP="00327200">
            <w:pPr>
              <w:spacing w:before="20" w:line="240" w:lineRule="auto"/>
              <w:rPr>
                <w:lang w:val="en-GB"/>
              </w:rPr>
            </w:pPr>
            <w:r w:rsidRPr="00CB09D5">
              <w:rPr>
                <w:lang w:val="en-GB"/>
              </w:rPr>
              <w:t>Chart 8</w:t>
            </w:r>
          </w:p>
        </w:tc>
        <w:tc>
          <w:tcPr>
            <w:tcW w:w="2095" w:type="pct"/>
          </w:tcPr>
          <w:p w:rsidR="007A7EA4" w:rsidRPr="00CB09D5" w:rsidRDefault="007A7EA4" w:rsidP="00327200">
            <w:pPr>
              <w:spacing w:before="20" w:line="240" w:lineRule="auto"/>
              <w:rPr>
                <w:b/>
                <w:spacing w:val="-2"/>
                <w:lang w:val="en-GB"/>
              </w:rPr>
            </w:pPr>
            <w:r w:rsidRPr="00CB09D5">
              <w:rPr>
                <w:b/>
                <w:spacing w:val="-2"/>
                <w:lang w:val="en-GB"/>
              </w:rPr>
              <w:t xml:space="preserve">Retail sales* </w:t>
            </w:r>
            <w:r w:rsidRPr="00CB09D5">
              <w:rPr>
                <w:bCs/>
                <w:spacing w:val="-2"/>
                <w:lang w:val="en-GB"/>
              </w:rPr>
              <w:t xml:space="preserve">(in real terms, y/y in %), </w:t>
            </w:r>
            <w:r w:rsidRPr="00CB09D5">
              <w:rPr>
                <w:b/>
                <w:spacing w:val="-2"/>
                <w:lang w:val="en-GB"/>
              </w:rPr>
              <w:t xml:space="preserve">balance of consumer confidence indicator </w:t>
            </w:r>
            <w:r w:rsidRPr="00CB09D5">
              <w:rPr>
                <w:spacing w:val="-2"/>
                <w:lang w:val="en-GB"/>
              </w:rPr>
              <w:t>(right axis)</w:t>
            </w:r>
          </w:p>
        </w:tc>
      </w:tr>
      <w:tr w:rsidR="007A7EA4" w:rsidRPr="00CB09D5" w:rsidTr="007A7EA4">
        <w:tc>
          <w:tcPr>
            <w:tcW w:w="2505" w:type="pct"/>
            <w:gridSpan w:val="2"/>
          </w:tcPr>
          <w:p w:rsidR="007A7EA4" w:rsidRPr="00CB09D5" w:rsidRDefault="0029191C" w:rsidP="00327200">
            <w:pPr>
              <w:pStyle w:val="Textpoznpodarou"/>
              <w:jc w:val="both"/>
              <w:rPr>
                <w:sz w:val="6"/>
                <w:szCs w:val="6"/>
                <w:lang w:val="en-GB"/>
              </w:rPr>
            </w:pPr>
            <w:r>
              <w:rPr>
                <w:noProof/>
                <w:sz w:val="6"/>
                <w:szCs w:val="6"/>
              </w:rPr>
              <w:drawing>
                <wp:inline distT="0" distB="0" distL="0" distR="0">
                  <wp:extent cx="3043523" cy="2368550"/>
                  <wp:effectExtent l="19050" t="0" r="4477" b="0"/>
                  <wp:docPr id="3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3046095" cy="2370552"/>
                          </a:xfrm>
                          <a:prstGeom prst="rect">
                            <a:avLst/>
                          </a:prstGeom>
                          <a:noFill/>
                          <a:ln w="9525">
                            <a:noFill/>
                            <a:miter lim="800000"/>
                            <a:headEnd/>
                            <a:tailEnd/>
                          </a:ln>
                        </pic:spPr>
                      </pic:pic>
                    </a:graphicData>
                  </a:graphic>
                </wp:inline>
              </w:drawing>
            </w:r>
          </w:p>
        </w:tc>
        <w:tc>
          <w:tcPr>
            <w:tcW w:w="2495" w:type="pct"/>
            <w:gridSpan w:val="2"/>
          </w:tcPr>
          <w:p w:rsidR="007A7EA4" w:rsidRPr="00CB09D5" w:rsidRDefault="0029191C" w:rsidP="00327200">
            <w:pPr>
              <w:pStyle w:val="Textpoznpodarou"/>
              <w:jc w:val="both"/>
              <w:rPr>
                <w:lang w:val="en-GB"/>
              </w:rPr>
            </w:pPr>
            <w:r>
              <w:rPr>
                <w:noProof/>
              </w:rPr>
              <w:drawing>
                <wp:inline distT="0" distB="0" distL="0" distR="0">
                  <wp:extent cx="3006409" cy="2368550"/>
                  <wp:effectExtent l="19050" t="0" r="3491" b="0"/>
                  <wp:docPr id="4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3010535" cy="2371801"/>
                          </a:xfrm>
                          <a:prstGeom prst="rect">
                            <a:avLst/>
                          </a:prstGeom>
                          <a:noFill/>
                          <a:ln w="9525">
                            <a:noFill/>
                            <a:miter lim="800000"/>
                            <a:headEnd/>
                            <a:tailEnd/>
                          </a:ln>
                        </pic:spPr>
                      </pic:pic>
                    </a:graphicData>
                  </a:graphic>
                </wp:inline>
              </w:drawing>
            </w:r>
          </w:p>
        </w:tc>
      </w:tr>
      <w:tr w:rsidR="007A7EA4" w:rsidRPr="00CB09D5" w:rsidTr="007A7EA4">
        <w:trPr>
          <w:trHeight w:val="58"/>
        </w:trPr>
        <w:tc>
          <w:tcPr>
            <w:tcW w:w="5000" w:type="pct"/>
            <w:gridSpan w:val="4"/>
          </w:tcPr>
          <w:p w:rsidR="007A7EA4" w:rsidRPr="00CB09D5" w:rsidRDefault="007A7EA4" w:rsidP="00327200">
            <w:pPr>
              <w:pStyle w:val="Zhlav"/>
              <w:spacing w:line="240" w:lineRule="auto"/>
              <w:rPr>
                <w:rFonts w:ascii="Arial" w:eastAsia="Times New Roman" w:hAnsi="Arial" w:cs="Arial"/>
                <w:sz w:val="18"/>
                <w:szCs w:val="18"/>
                <w:lang w:val="en-GB"/>
              </w:rPr>
            </w:pPr>
            <w:r w:rsidRPr="00CB09D5">
              <w:rPr>
                <w:rFonts w:ascii="Arial" w:hAnsi="Arial" w:cs="Arial"/>
                <w:sz w:val="18"/>
                <w:szCs w:val="18"/>
                <w:lang w:val="en-GB" w:eastAsia="cs-CZ"/>
              </w:rPr>
              <w:t>*adjusted for calendar effects                                                                                                                          Source: CZSO</w:t>
            </w:r>
          </w:p>
        </w:tc>
      </w:tr>
      <w:tr w:rsidR="007A7EA4" w:rsidRPr="00CB09D5" w:rsidTr="007A7EA4">
        <w:trPr>
          <w:trHeight w:val="58"/>
        </w:trPr>
        <w:tc>
          <w:tcPr>
            <w:tcW w:w="5000" w:type="pct"/>
            <w:gridSpan w:val="4"/>
          </w:tcPr>
          <w:p w:rsidR="007A7EA4" w:rsidRPr="00CB09D5" w:rsidRDefault="007A7EA4" w:rsidP="00327200">
            <w:pPr>
              <w:pStyle w:val="Zhlav"/>
              <w:spacing w:line="240" w:lineRule="auto"/>
              <w:rPr>
                <w:rFonts w:ascii="Arial" w:hAnsi="Arial" w:cs="Arial"/>
                <w:sz w:val="18"/>
                <w:szCs w:val="18"/>
                <w:lang w:val="en-GB" w:eastAsia="cs-CZ"/>
              </w:rPr>
            </w:pPr>
          </w:p>
        </w:tc>
      </w:tr>
    </w:tbl>
    <w:p w:rsidR="007A7EA4" w:rsidRPr="007A7EA4" w:rsidRDefault="007A7EA4" w:rsidP="005E4483">
      <w:pPr>
        <w:pStyle w:val="Textpoznpodarou"/>
        <w:jc w:val="both"/>
        <w:rPr>
          <w:lang w:val="en-GB"/>
        </w:rPr>
      </w:pPr>
    </w:p>
    <w:p w:rsidR="007C3191" w:rsidRPr="00CB09D5" w:rsidRDefault="007C3191" w:rsidP="005E4483">
      <w:pPr>
        <w:pStyle w:val="Textpoznpodarou"/>
        <w:jc w:val="both"/>
        <w:rPr>
          <w:sz w:val="4"/>
          <w:szCs w:val="4"/>
          <w:lang w:val="en-GB"/>
        </w:rPr>
      </w:pPr>
    </w:p>
    <w:p w:rsidR="00576A3E" w:rsidRPr="00CB09D5" w:rsidRDefault="0039598F" w:rsidP="009F777A">
      <w:pPr>
        <w:pStyle w:val="Nadpis1"/>
        <w:numPr>
          <w:ilvl w:val="0"/>
          <w:numId w:val="12"/>
        </w:numPr>
        <w:ind w:left="709"/>
        <w:jc w:val="both"/>
        <w:rPr>
          <w:lang w:val="en-GB"/>
        </w:rPr>
      </w:pPr>
      <w:bookmarkStart w:id="9" w:name="_Toc469299932"/>
      <w:bookmarkStart w:id="10" w:name="_Toc480800274"/>
      <w:r w:rsidRPr="00CB09D5">
        <w:rPr>
          <w:lang w:val="en-GB"/>
        </w:rPr>
        <w:t>External Economic Relations</w:t>
      </w:r>
      <w:bookmarkEnd w:id="9"/>
      <w:bookmarkEnd w:id="10"/>
    </w:p>
    <w:tbl>
      <w:tblPr>
        <w:tblW w:w="4963" w:type="pct"/>
        <w:tblInd w:w="108" w:type="dxa"/>
        <w:tblLayout w:type="fixed"/>
        <w:tblLook w:val="00A0"/>
      </w:tblPr>
      <w:tblGrid>
        <w:gridCol w:w="818"/>
        <w:gridCol w:w="1279"/>
        <w:gridCol w:w="278"/>
        <w:gridCol w:w="2504"/>
        <w:gridCol w:w="1107"/>
        <w:gridCol w:w="3795"/>
      </w:tblGrid>
      <w:tr w:rsidR="00794870" w:rsidRPr="00CB09D5" w:rsidTr="00EF6DDD">
        <w:tc>
          <w:tcPr>
            <w:tcW w:w="1072" w:type="pct"/>
            <w:gridSpan w:val="2"/>
          </w:tcPr>
          <w:p w:rsidR="00794870" w:rsidRPr="00CB09D5" w:rsidRDefault="001A7769" w:rsidP="00794870">
            <w:pPr>
              <w:spacing w:line="240" w:lineRule="auto"/>
              <w:rPr>
                <w:sz w:val="16"/>
                <w:szCs w:val="16"/>
                <w:highlight w:val="yellow"/>
                <w:lang w:val="en-GB"/>
              </w:rPr>
            </w:pPr>
            <w:r w:rsidRPr="00CB09D5">
              <w:rPr>
                <w:sz w:val="16"/>
                <w:szCs w:val="16"/>
                <w:lang w:val="en-GB"/>
              </w:rPr>
              <w:t>Surplus of the goods and services balance led to the record positive balance on the current account of balance of payments</w:t>
            </w:r>
            <w:r w:rsidR="00C7179C" w:rsidRPr="00CB09D5">
              <w:rPr>
                <w:sz w:val="16"/>
                <w:szCs w:val="16"/>
                <w:lang w:val="en-GB"/>
              </w:rPr>
              <w:t>.</w:t>
            </w:r>
          </w:p>
        </w:tc>
        <w:tc>
          <w:tcPr>
            <w:tcW w:w="142" w:type="pct"/>
          </w:tcPr>
          <w:p w:rsidR="00794870" w:rsidRPr="00CB09D5" w:rsidRDefault="00794870" w:rsidP="00D94859">
            <w:pPr>
              <w:pStyle w:val="Textpoznpodarou"/>
              <w:jc w:val="both"/>
              <w:rPr>
                <w:color w:val="FF0000"/>
                <w:lang w:val="en-GB"/>
              </w:rPr>
            </w:pPr>
          </w:p>
        </w:tc>
        <w:tc>
          <w:tcPr>
            <w:tcW w:w="3786" w:type="pct"/>
            <w:gridSpan w:val="3"/>
          </w:tcPr>
          <w:p w:rsidR="00794870" w:rsidRPr="00CB09D5" w:rsidRDefault="006448C2" w:rsidP="00E372FD">
            <w:pPr>
              <w:pStyle w:val="Textpoznpodarou"/>
              <w:jc w:val="both"/>
              <w:rPr>
                <w:sz w:val="16"/>
                <w:szCs w:val="16"/>
                <w:lang w:val="en-GB"/>
              </w:rPr>
            </w:pPr>
            <w:r w:rsidRPr="00CB09D5">
              <w:rPr>
                <w:lang w:val="en-GB"/>
              </w:rPr>
              <w:t>The surplus on the current account of balance of payments attained according to the CNB data 52.</w:t>
            </w:r>
            <w:r w:rsidR="00993BE6" w:rsidRPr="00CB09D5">
              <w:rPr>
                <w:lang w:val="en-GB"/>
              </w:rPr>
              <w:t>6</w:t>
            </w:r>
            <w:r w:rsidR="00217980" w:rsidRPr="00CB09D5">
              <w:rPr>
                <w:lang w:val="en-GB"/>
              </w:rPr>
              <w:t> </w:t>
            </w:r>
            <w:r w:rsidR="00C4216C" w:rsidRPr="00CB09D5">
              <w:rPr>
                <w:lang w:val="en-GB"/>
              </w:rPr>
              <w:t>CZK bn</w:t>
            </w:r>
            <w:r w:rsidRPr="00CB09D5">
              <w:rPr>
                <w:lang w:val="en-GB"/>
              </w:rPr>
              <w:t xml:space="preserve"> in 2016 and exceeded the surplus from the preceding year by </w:t>
            </w:r>
            <w:r w:rsidR="00993BE6" w:rsidRPr="00CB09D5">
              <w:rPr>
                <w:lang w:val="en-GB"/>
              </w:rPr>
              <w:t>41</w:t>
            </w:r>
            <w:r w:rsidRPr="00CB09D5">
              <w:rPr>
                <w:lang w:val="en-GB"/>
              </w:rPr>
              <w:t>.</w:t>
            </w:r>
            <w:r w:rsidR="00993BE6" w:rsidRPr="00CB09D5">
              <w:rPr>
                <w:lang w:val="en-GB"/>
              </w:rPr>
              <w:t>4</w:t>
            </w:r>
            <w:r w:rsidR="00794870" w:rsidRPr="00CB09D5">
              <w:rPr>
                <w:lang w:val="en-GB"/>
              </w:rPr>
              <w:t xml:space="preserve"> </w:t>
            </w:r>
            <w:r w:rsidR="00C4216C" w:rsidRPr="00CB09D5">
              <w:rPr>
                <w:lang w:val="en-GB"/>
              </w:rPr>
              <w:t>CZK bn</w:t>
            </w:r>
            <w:r w:rsidRPr="00CB09D5">
              <w:rPr>
                <w:lang w:val="en-GB"/>
              </w:rPr>
              <w:t xml:space="preserve">. Extraordinarily high positive balance of goods and services, which was by 85.6 bn higher than in </w:t>
            </w:r>
            <w:r w:rsidR="00F222AD" w:rsidRPr="00CB09D5">
              <w:rPr>
                <w:lang w:val="en-GB"/>
              </w:rPr>
              <w:t xml:space="preserve">the </w:t>
            </w:r>
            <w:r w:rsidRPr="00CB09D5">
              <w:rPr>
                <w:lang w:val="en-GB"/>
              </w:rPr>
              <w:t xml:space="preserve">year 2015 is behind this result. Especially the deficit of secondary incomes worked in the opposite direction, deepening by 27.3 </w:t>
            </w:r>
            <w:r w:rsidR="00C4216C" w:rsidRPr="00CB09D5">
              <w:rPr>
                <w:lang w:val="en-GB"/>
              </w:rPr>
              <w:t>CZK bn</w:t>
            </w:r>
            <w:r w:rsidRPr="00CB09D5">
              <w:rPr>
                <w:lang w:val="en-GB"/>
              </w:rPr>
              <w:t xml:space="preserve"> compared to </w:t>
            </w:r>
            <w:r w:rsidR="00F222AD" w:rsidRPr="00CB09D5">
              <w:rPr>
                <w:lang w:val="en-GB"/>
              </w:rPr>
              <w:t xml:space="preserve">the </w:t>
            </w:r>
            <w:r w:rsidRPr="00CB09D5">
              <w:rPr>
                <w:lang w:val="en-GB"/>
              </w:rPr>
              <w:t xml:space="preserve">year </w:t>
            </w:r>
            <w:r w:rsidR="00794870" w:rsidRPr="00CB09D5">
              <w:rPr>
                <w:lang w:val="en-GB"/>
              </w:rPr>
              <w:t>2015</w:t>
            </w:r>
            <w:r w:rsidRPr="00CB09D5">
              <w:rPr>
                <w:lang w:val="en-GB"/>
              </w:rPr>
              <w:t xml:space="preserve">. Primary income deficit reached </w:t>
            </w:r>
            <w:r w:rsidR="00794870" w:rsidRPr="00CB09D5">
              <w:rPr>
                <w:lang w:val="en-GB"/>
              </w:rPr>
              <w:t>2</w:t>
            </w:r>
            <w:r w:rsidR="001E5469" w:rsidRPr="00CB09D5">
              <w:rPr>
                <w:lang w:val="en-GB"/>
              </w:rPr>
              <w:t>71</w:t>
            </w:r>
            <w:r w:rsidRPr="00CB09D5">
              <w:rPr>
                <w:lang w:val="en-GB"/>
              </w:rPr>
              <w:t>.</w:t>
            </w:r>
            <w:r w:rsidR="001E5469" w:rsidRPr="00CB09D5">
              <w:rPr>
                <w:lang w:val="en-GB"/>
              </w:rPr>
              <w:t>8</w:t>
            </w:r>
            <w:r w:rsidR="00794870" w:rsidRPr="00CB09D5">
              <w:rPr>
                <w:lang w:val="en-GB"/>
              </w:rPr>
              <w:t xml:space="preserve"> </w:t>
            </w:r>
            <w:r w:rsidR="00C4216C" w:rsidRPr="00CB09D5">
              <w:rPr>
                <w:lang w:val="en-GB"/>
              </w:rPr>
              <w:t>CZK bn</w:t>
            </w:r>
            <w:r w:rsidRPr="00CB09D5">
              <w:rPr>
                <w:lang w:val="en-GB"/>
              </w:rPr>
              <w:t xml:space="preserve">, which is by </w:t>
            </w:r>
            <w:r w:rsidR="001E5469" w:rsidRPr="00CB09D5">
              <w:rPr>
                <w:lang w:val="en-GB"/>
              </w:rPr>
              <w:t>16</w:t>
            </w:r>
            <w:r w:rsidRPr="00CB09D5">
              <w:rPr>
                <w:lang w:val="en-GB"/>
              </w:rPr>
              <w:t>.</w:t>
            </w:r>
            <w:r w:rsidR="001E5469" w:rsidRPr="00CB09D5">
              <w:rPr>
                <w:lang w:val="en-GB"/>
              </w:rPr>
              <w:t xml:space="preserve">9 </w:t>
            </w:r>
            <w:r w:rsidRPr="00CB09D5">
              <w:rPr>
                <w:lang w:val="en-GB"/>
              </w:rPr>
              <w:t xml:space="preserve">bn more than in </w:t>
            </w:r>
            <w:r w:rsidR="00794870" w:rsidRPr="00CB09D5">
              <w:rPr>
                <w:lang w:val="en-GB"/>
              </w:rPr>
              <w:t xml:space="preserve">2015. </w:t>
            </w:r>
            <w:r w:rsidR="002B6D1E" w:rsidRPr="00CB09D5">
              <w:rPr>
                <w:lang w:val="en-GB"/>
              </w:rPr>
              <w:t xml:space="preserve">Monetary transfers of funds from the EU and especially their marked </w:t>
            </w:r>
            <w:r w:rsidR="006A45B6" w:rsidRPr="00CB09D5">
              <w:rPr>
                <w:lang w:val="en-GB"/>
              </w:rPr>
              <w:t xml:space="preserve">decline between </w:t>
            </w:r>
            <w:r w:rsidR="003508B0" w:rsidRPr="00CB09D5">
              <w:rPr>
                <w:lang w:val="en-GB"/>
              </w:rPr>
              <w:t xml:space="preserve">the </w:t>
            </w:r>
            <w:r w:rsidR="006A45B6" w:rsidRPr="00CB09D5">
              <w:rPr>
                <w:lang w:val="en-GB"/>
              </w:rPr>
              <w:t xml:space="preserve">years 2016 and 2015 were reflected in the capital account. Surplus of the capital account reached 53.5 </w:t>
            </w:r>
            <w:r w:rsidR="00C4216C" w:rsidRPr="00CB09D5">
              <w:rPr>
                <w:lang w:val="en-GB"/>
              </w:rPr>
              <w:t>CZK bn</w:t>
            </w:r>
            <w:r w:rsidR="006A45B6" w:rsidRPr="00CB09D5">
              <w:rPr>
                <w:lang w:val="en-GB"/>
              </w:rPr>
              <w:t xml:space="preserve"> for </w:t>
            </w:r>
            <w:r w:rsidR="003508B0" w:rsidRPr="00CB09D5">
              <w:rPr>
                <w:lang w:val="en-GB"/>
              </w:rPr>
              <w:t xml:space="preserve">the </w:t>
            </w:r>
            <w:r w:rsidR="006A45B6" w:rsidRPr="00CB09D5">
              <w:rPr>
                <w:lang w:val="en-GB"/>
              </w:rPr>
              <w:t xml:space="preserve">year 2016 and it lowered by 48.4 bn against the year 2015. For the comparison purposes, the positive balance of the capital account was 32.3 </w:t>
            </w:r>
            <w:r w:rsidR="00C4216C" w:rsidRPr="00CB09D5">
              <w:rPr>
                <w:lang w:val="en-GB"/>
              </w:rPr>
              <w:t>CZK bn</w:t>
            </w:r>
            <w:r w:rsidR="006A45B6" w:rsidRPr="00CB09D5">
              <w:rPr>
                <w:lang w:val="en-GB"/>
              </w:rPr>
              <w:t xml:space="preserve"> in </w:t>
            </w:r>
            <w:r w:rsidR="00794870" w:rsidRPr="00CB09D5">
              <w:rPr>
                <w:lang w:val="en-GB"/>
              </w:rPr>
              <w:t>2014</w:t>
            </w:r>
            <w:r w:rsidR="006A45B6" w:rsidRPr="00CB09D5">
              <w:rPr>
                <w:lang w:val="en-GB"/>
              </w:rPr>
              <w:t xml:space="preserve">. </w:t>
            </w:r>
          </w:p>
          <w:p w:rsidR="00E372FD" w:rsidRPr="00674D93" w:rsidRDefault="00E372FD" w:rsidP="00E372FD">
            <w:pPr>
              <w:pStyle w:val="Textpoznpodarou"/>
              <w:jc w:val="both"/>
              <w:rPr>
                <w:color w:val="FF0000"/>
                <w:sz w:val="14"/>
                <w:szCs w:val="14"/>
                <w:highlight w:val="yellow"/>
                <w:lang w:val="en-GB"/>
              </w:rPr>
            </w:pPr>
          </w:p>
        </w:tc>
      </w:tr>
      <w:tr w:rsidR="00794870" w:rsidRPr="00CB09D5" w:rsidTr="00EF6DDD">
        <w:tc>
          <w:tcPr>
            <w:tcW w:w="1072" w:type="pct"/>
            <w:gridSpan w:val="2"/>
          </w:tcPr>
          <w:p w:rsidR="00794870" w:rsidRPr="00CB09D5" w:rsidRDefault="00364173" w:rsidP="008A03DE">
            <w:pPr>
              <w:spacing w:line="240" w:lineRule="auto"/>
              <w:rPr>
                <w:sz w:val="16"/>
                <w:szCs w:val="16"/>
                <w:highlight w:val="yellow"/>
                <w:lang w:val="en-GB"/>
              </w:rPr>
            </w:pPr>
            <w:r w:rsidRPr="00CB09D5">
              <w:rPr>
                <w:sz w:val="16"/>
                <w:szCs w:val="16"/>
                <w:lang w:val="en-GB"/>
              </w:rPr>
              <w:t xml:space="preserve">Increase of the volume of reserve assets overtook other factors and </w:t>
            </w:r>
            <w:r w:rsidR="00067684" w:rsidRPr="00CB09D5">
              <w:rPr>
                <w:sz w:val="16"/>
                <w:szCs w:val="16"/>
                <w:lang w:val="en-GB"/>
              </w:rPr>
              <w:t xml:space="preserve">the financial </w:t>
            </w:r>
            <w:r w:rsidR="00E724C6" w:rsidRPr="00CB09D5">
              <w:rPr>
                <w:sz w:val="16"/>
                <w:szCs w:val="16"/>
                <w:lang w:val="en-GB"/>
              </w:rPr>
              <w:t xml:space="preserve">account </w:t>
            </w:r>
            <w:r w:rsidR="00067684" w:rsidRPr="00CB09D5">
              <w:rPr>
                <w:sz w:val="16"/>
                <w:szCs w:val="16"/>
                <w:lang w:val="en-GB"/>
              </w:rPr>
              <w:t>ended in surplus despite a marked inflow of foreign investment</w:t>
            </w:r>
            <w:r w:rsidR="00C7179C" w:rsidRPr="00CB09D5">
              <w:rPr>
                <w:sz w:val="16"/>
                <w:szCs w:val="16"/>
                <w:lang w:val="en-GB"/>
              </w:rPr>
              <w:t>.</w:t>
            </w:r>
          </w:p>
        </w:tc>
        <w:tc>
          <w:tcPr>
            <w:tcW w:w="142" w:type="pct"/>
          </w:tcPr>
          <w:p w:rsidR="00794870" w:rsidRPr="00CB09D5" w:rsidRDefault="00794870" w:rsidP="00D94859">
            <w:pPr>
              <w:pStyle w:val="Textpoznpodarou"/>
              <w:jc w:val="both"/>
              <w:rPr>
                <w:color w:val="FF0000"/>
                <w:lang w:val="en-GB"/>
              </w:rPr>
            </w:pPr>
          </w:p>
        </w:tc>
        <w:tc>
          <w:tcPr>
            <w:tcW w:w="3786" w:type="pct"/>
            <w:gridSpan w:val="3"/>
          </w:tcPr>
          <w:p w:rsidR="00E724C6" w:rsidRPr="00CB09D5" w:rsidRDefault="00794870" w:rsidP="00E724C6">
            <w:pPr>
              <w:pStyle w:val="Textpoznpodarou"/>
              <w:jc w:val="both"/>
              <w:rPr>
                <w:lang w:val="en-GB"/>
              </w:rPr>
            </w:pPr>
            <w:r w:rsidRPr="00CB09D5">
              <w:rPr>
                <w:lang w:val="en-GB"/>
              </w:rPr>
              <w:t>Finan</w:t>
            </w:r>
            <w:r w:rsidR="007D08EF" w:rsidRPr="00CB09D5">
              <w:rPr>
                <w:lang w:val="en-GB"/>
              </w:rPr>
              <w:t xml:space="preserve">cial account finished in surplus of </w:t>
            </w:r>
            <w:r w:rsidRPr="00CB09D5">
              <w:rPr>
                <w:lang w:val="en-GB"/>
              </w:rPr>
              <w:t>1</w:t>
            </w:r>
            <w:r w:rsidR="00152E53" w:rsidRPr="00CB09D5">
              <w:rPr>
                <w:lang w:val="en-GB"/>
              </w:rPr>
              <w:t>17</w:t>
            </w:r>
            <w:r w:rsidR="007D08EF" w:rsidRPr="00CB09D5">
              <w:rPr>
                <w:lang w:val="en-GB"/>
              </w:rPr>
              <w:t>.</w:t>
            </w:r>
            <w:r w:rsidR="00152E53" w:rsidRPr="00CB09D5">
              <w:rPr>
                <w:lang w:val="en-GB"/>
              </w:rPr>
              <w:t>7</w:t>
            </w:r>
            <w:r w:rsidRPr="00CB09D5">
              <w:rPr>
                <w:lang w:val="en-GB"/>
              </w:rPr>
              <w:t xml:space="preserve"> </w:t>
            </w:r>
            <w:r w:rsidR="00C4216C" w:rsidRPr="00CB09D5">
              <w:rPr>
                <w:lang w:val="en-GB"/>
              </w:rPr>
              <w:t>CZK bn</w:t>
            </w:r>
            <w:r w:rsidR="007D08EF" w:rsidRPr="00CB09D5">
              <w:rPr>
                <w:lang w:val="en-GB"/>
              </w:rPr>
              <w:t xml:space="preserve">, which is by </w:t>
            </w:r>
            <w:r w:rsidRPr="00CB09D5">
              <w:rPr>
                <w:lang w:val="en-GB"/>
              </w:rPr>
              <w:t>5</w:t>
            </w:r>
            <w:r w:rsidR="00152E53" w:rsidRPr="00CB09D5">
              <w:rPr>
                <w:lang w:val="en-GB"/>
              </w:rPr>
              <w:t>8</w:t>
            </w:r>
            <w:r w:rsidR="007D08EF" w:rsidRPr="00CB09D5">
              <w:rPr>
                <w:lang w:val="en-GB"/>
              </w:rPr>
              <w:t>.</w:t>
            </w:r>
            <w:r w:rsidR="00152E53" w:rsidRPr="00CB09D5">
              <w:rPr>
                <w:lang w:val="en-GB"/>
              </w:rPr>
              <w:t>1</w:t>
            </w:r>
            <w:r w:rsidRPr="00CB09D5">
              <w:rPr>
                <w:lang w:val="en-GB"/>
              </w:rPr>
              <w:t xml:space="preserve"> </w:t>
            </w:r>
            <w:r w:rsidR="00C4216C" w:rsidRPr="00CB09D5">
              <w:rPr>
                <w:lang w:val="en-GB"/>
              </w:rPr>
              <w:t>CZK bn</w:t>
            </w:r>
            <w:r w:rsidR="007D08EF" w:rsidRPr="00CB09D5">
              <w:rPr>
                <w:lang w:val="en-GB"/>
              </w:rPr>
              <w:t xml:space="preserve"> less than in </w:t>
            </w:r>
            <w:r w:rsidRPr="00CB09D5">
              <w:rPr>
                <w:lang w:val="en-GB"/>
              </w:rPr>
              <w:t xml:space="preserve">2015. </w:t>
            </w:r>
            <w:r w:rsidR="003F6C74" w:rsidRPr="00CB09D5">
              <w:rPr>
                <w:lang w:val="en-GB"/>
              </w:rPr>
              <w:t>The reserve assets significantly heightened the positive balance, with their volume</w:t>
            </w:r>
            <w:r w:rsidR="0065692B" w:rsidRPr="00CB09D5">
              <w:rPr>
                <w:lang w:val="en-GB"/>
              </w:rPr>
              <w:t xml:space="preserve"> steadily </w:t>
            </w:r>
            <w:r w:rsidR="003F6C74" w:rsidRPr="00CB09D5">
              <w:rPr>
                <w:lang w:val="en-GB"/>
              </w:rPr>
              <w:t xml:space="preserve">growing during the year and in total enlarged by 563.5 </w:t>
            </w:r>
            <w:r w:rsidR="00C4216C" w:rsidRPr="00CB09D5">
              <w:rPr>
                <w:lang w:val="en-GB"/>
              </w:rPr>
              <w:t>CZK bn</w:t>
            </w:r>
            <w:r w:rsidR="003F6C74" w:rsidRPr="00CB09D5">
              <w:rPr>
                <w:lang w:val="en-GB"/>
              </w:rPr>
              <w:t xml:space="preserve">, which is by 212.2 </w:t>
            </w:r>
            <w:r w:rsidR="00C4216C" w:rsidRPr="00CB09D5">
              <w:rPr>
                <w:lang w:val="en-GB"/>
              </w:rPr>
              <w:t>CZK bn</w:t>
            </w:r>
            <w:r w:rsidR="003F6C74" w:rsidRPr="00CB09D5">
              <w:rPr>
                <w:lang w:val="en-GB"/>
              </w:rPr>
              <w:t xml:space="preserve"> more than in the preceding year. The enlargement of foreign exchange reserves markedly influenced the final </w:t>
            </w:r>
            <w:r w:rsidR="00E724C6" w:rsidRPr="00CB09D5">
              <w:rPr>
                <w:lang w:val="en-GB"/>
              </w:rPr>
              <w:t xml:space="preserve">state of the financial account, because the inflow of direct investment from abroad pushed strongly against the positive balance. A notable outflow of domestic investment abroad manifested during Q2 and </w:t>
            </w:r>
            <w:r w:rsidR="00C36EA7" w:rsidRPr="00CB09D5">
              <w:rPr>
                <w:lang w:val="en-GB"/>
              </w:rPr>
              <w:t>Q</w:t>
            </w:r>
            <w:r w:rsidR="00E724C6" w:rsidRPr="00CB09D5">
              <w:rPr>
                <w:lang w:val="en-GB"/>
              </w:rPr>
              <w:t xml:space="preserve">3 2016, which was concentrated especially into the debt instruments. By contrast, foreign direct investment in the size of 158.8 </w:t>
            </w:r>
            <w:r w:rsidR="00C4216C" w:rsidRPr="00CB09D5">
              <w:rPr>
                <w:lang w:val="en-GB"/>
              </w:rPr>
              <w:t>CZK bn</w:t>
            </w:r>
            <w:r w:rsidR="00E724C6" w:rsidRPr="00CB09D5">
              <w:rPr>
                <w:lang w:val="en-GB"/>
              </w:rPr>
              <w:t xml:space="preserve"> (by 117</w:t>
            </w:r>
            <w:proofErr w:type="gramStart"/>
            <w:r w:rsidR="00E724C6" w:rsidRPr="00CB09D5">
              <w:rPr>
                <w:lang w:val="en-GB"/>
              </w:rPr>
              <w:t>,3</w:t>
            </w:r>
            <w:proofErr w:type="gramEnd"/>
            <w:r w:rsidR="00E724C6" w:rsidRPr="00CB09D5">
              <w:rPr>
                <w:lang w:val="en-GB"/>
              </w:rPr>
              <w:t xml:space="preserve"> </w:t>
            </w:r>
            <w:r w:rsidR="00C4216C" w:rsidRPr="00CB09D5">
              <w:rPr>
                <w:lang w:val="en-GB"/>
              </w:rPr>
              <w:t>CZK bn</w:t>
            </w:r>
            <w:r w:rsidR="00E724C6" w:rsidRPr="00CB09D5">
              <w:rPr>
                <w:lang w:val="en-GB"/>
              </w:rPr>
              <w:t xml:space="preserve"> more than in </w:t>
            </w:r>
            <w:r w:rsidR="003508B0" w:rsidRPr="00CB09D5">
              <w:rPr>
                <w:lang w:val="en-GB"/>
              </w:rPr>
              <w:t xml:space="preserve">the </w:t>
            </w:r>
            <w:r w:rsidR="00E724C6" w:rsidRPr="00CB09D5">
              <w:rPr>
                <w:lang w:val="en-GB"/>
              </w:rPr>
              <w:t xml:space="preserve">year 2015) flew into the Czech Republic in </w:t>
            </w:r>
            <w:r w:rsidR="003508B0" w:rsidRPr="00CB09D5">
              <w:rPr>
                <w:lang w:val="en-GB"/>
              </w:rPr>
              <w:t xml:space="preserve">the </w:t>
            </w:r>
            <w:r w:rsidR="00E724C6" w:rsidRPr="00CB09D5">
              <w:rPr>
                <w:lang w:val="en-GB"/>
              </w:rPr>
              <w:t>year 2016.</w:t>
            </w:r>
          </w:p>
          <w:p w:rsidR="00794870" w:rsidRPr="00674D93" w:rsidRDefault="00794870" w:rsidP="00E724C6">
            <w:pPr>
              <w:pStyle w:val="Textpoznpodarou"/>
              <w:jc w:val="both"/>
              <w:rPr>
                <w:sz w:val="14"/>
                <w:szCs w:val="14"/>
                <w:lang w:val="en-GB"/>
              </w:rPr>
            </w:pPr>
            <w:r w:rsidRPr="00CB09D5">
              <w:rPr>
                <w:lang w:val="en-GB"/>
              </w:rPr>
              <w:t xml:space="preserve">      </w:t>
            </w:r>
          </w:p>
        </w:tc>
      </w:tr>
      <w:tr w:rsidR="00794870" w:rsidRPr="00CB09D5" w:rsidTr="00EF6DDD">
        <w:tc>
          <w:tcPr>
            <w:tcW w:w="1072" w:type="pct"/>
            <w:gridSpan w:val="2"/>
          </w:tcPr>
          <w:p w:rsidR="00794870" w:rsidRPr="00CB09D5" w:rsidRDefault="00EA7B7D" w:rsidP="008A03DE">
            <w:pPr>
              <w:spacing w:line="240" w:lineRule="auto"/>
              <w:rPr>
                <w:sz w:val="16"/>
                <w:szCs w:val="16"/>
                <w:highlight w:val="yellow"/>
                <w:lang w:val="en-GB"/>
              </w:rPr>
            </w:pPr>
            <w:r w:rsidRPr="00CB09D5">
              <w:rPr>
                <w:sz w:val="16"/>
                <w:szCs w:val="16"/>
                <w:lang w:val="en-GB"/>
              </w:rPr>
              <w:t>Flow of Czech portfolio investment abroad weakened in 2016. Interest in Czech debt securities on the part of foreign investors continued.</w:t>
            </w:r>
          </w:p>
        </w:tc>
        <w:tc>
          <w:tcPr>
            <w:tcW w:w="142" w:type="pct"/>
          </w:tcPr>
          <w:p w:rsidR="00794870" w:rsidRPr="00CB09D5" w:rsidRDefault="00794870" w:rsidP="00D94859">
            <w:pPr>
              <w:pStyle w:val="Textpoznpodarou"/>
              <w:rPr>
                <w:color w:val="FF0000"/>
                <w:lang w:val="en-GB"/>
              </w:rPr>
            </w:pPr>
          </w:p>
        </w:tc>
        <w:tc>
          <w:tcPr>
            <w:tcW w:w="3786" w:type="pct"/>
            <w:gridSpan w:val="3"/>
          </w:tcPr>
          <w:p w:rsidR="00794870" w:rsidRPr="00CB09D5" w:rsidRDefault="007D08EF" w:rsidP="00E372FD">
            <w:pPr>
              <w:pStyle w:val="Textpoznpodarou"/>
              <w:jc w:val="both"/>
              <w:rPr>
                <w:sz w:val="16"/>
                <w:lang w:val="en-GB"/>
              </w:rPr>
            </w:pPr>
            <w:r w:rsidRPr="00CB09D5">
              <w:rPr>
                <w:lang w:val="en-GB"/>
              </w:rPr>
              <w:t xml:space="preserve">The net inflow of portfolio investment into the CR amounted to </w:t>
            </w:r>
            <w:r w:rsidR="00152E53" w:rsidRPr="00CB09D5">
              <w:rPr>
                <w:lang w:val="en-GB"/>
              </w:rPr>
              <w:t>169</w:t>
            </w:r>
            <w:r w:rsidRPr="00CB09D5">
              <w:rPr>
                <w:lang w:val="en-GB"/>
              </w:rPr>
              <w:t>.</w:t>
            </w:r>
            <w:r w:rsidR="00152E53" w:rsidRPr="00CB09D5">
              <w:rPr>
                <w:lang w:val="en-GB"/>
              </w:rPr>
              <w:t>5</w:t>
            </w:r>
            <w:r w:rsidR="00794870" w:rsidRPr="00CB09D5">
              <w:rPr>
                <w:lang w:val="en-GB"/>
              </w:rPr>
              <w:t xml:space="preserve"> </w:t>
            </w:r>
            <w:r w:rsidR="00C4216C" w:rsidRPr="00CB09D5">
              <w:rPr>
                <w:lang w:val="en-GB"/>
              </w:rPr>
              <w:t>CZK bn</w:t>
            </w:r>
            <w:r w:rsidRPr="00CB09D5">
              <w:rPr>
                <w:lang w:val="en-GB"/>
              </w:rPr>
              <w:t xml:space="preserve"> in </w:t>
            </w:r>
            <w:r w:rsidR="003508B0" w:rsidRPr="00CB09D5">
              <w:rPr>
                <w:lang w:val="en-GB"/>
              </w:rPr>
              <w:t xml:space="preserve">the </w:t>
            </w:r>
            <w:r w:rsidRPr="00CB09D5">
              <w:rPr>
                <w:lang w:val="en-GB"/>
              </w:rPr>
              <w:t xml:space="preserve">year 2016, which is by </w:t>
            </w:r>
            <w:r w:rsidR="007F2801" w:rsidRPr="00CB09D5">
              <w:rPr>
                <w:lang w:val="en-GB"/>
              </w:rPr>
              <w:t>5</w:t>
            </w:r>
            <w:r w:rsidRPr="00CB09D5">
              <w:rPr>
                <w:lang w:val="en-GB"/>
              </w:rPr>
              <w:t>.</w:t>
            </w:r>
            <w:r w:rsidR="007F2801" w:rsidRPr="00CB09D5">
              <w:rPr>
                <w:lang w:val="en-GB"/>
              </w:rPr>
              <w:t>4</w:t>
            </w:r>
            <w:r w:rsidR="00794870" w:rsidRPr="00CB09D5">
              <w:rPr>
                <w:lang w:val="en-GB"/>
              </w:rPr>
              <w:t xml:space="preserve"> </w:t>
            </w:r>
            <w:r w:rsidR="00C4216C" w:rsidRPr="00CB09D5">
              <w:rPr>
                <w:lang w:val="en-GB"/>
              </w:rPr>
              <w:t>CZK bn</w:t>
            </w:r>
            <w:r w:rsidRPr="00CB09D5">
              <w:rPr>
                <w:lang w:val="en-GB"/>
              </w:rPr>
              <w:t xml:space="preserve"> more than in the preceding year. </w:t>
            </w:r>
            <w:r w:rsidR="00266040" w:rsidRPr="00CB09D5">
              <w:rPr>
                <w:lang w:val="en-GB"/>
              </w:rPr>
              <w:t xml:space="preserve">The flow of funds shrank on the receivables side (inflow in the size of </w:t>
            </w:r>
            <w:r w:rsidR="007F2801" w:rsidRPr="00CB09D5">
              <w:rPr>
                <w:lang w:val="en-GB"/>
              </w:rPr>
              <w:t>191</w:t>
            </w:r>
            <w:r w:rsidR="00266040" w:rsidRPr="00CB09D5">
              <w:rPr>
                <w:lang w:val="en-GB"/>
              </w:rPr>
              <w:t>.</w:t>
            </w:r>
            <w:r w:rsidR="007F2801" w:rsidRPr="00CB09D5">
              <w:rPr>
                <w:lang w:val="en-GB"/>
              </w:rPr>
              <w:t>5</w:t>
            </w:r>
            <w:r w:rsidR="00794870" w:rsidRPr="00CB09D5">
              <w:rPr>
                <w:lang w:val="en-GB"/>
              </w:rPr>
              <w:t xml:space="preserve"> </w:t>
            </w:r>
            <w:r w:rsidR="00C4216C" w:rsidRPr="00CB09D5">
              <w:rPr>
                <w:lang w:val="en-GB"/>
              </w:rPr>
              <w:t>CZK bn</w:t>
            </w:r>
            <w:r w:rsidR="00266040" w:rsidRPr="00CB09D5">
              <w:rPr>
                <w:lang w:val="en-GB"/>
              </w:rPr>
              <w:t>, i.e. by 4</w:t>
            </w:r>
            <w:r w:rsidR="007F2801" w:rsidRPr="00CB09D5">
              <w:rPr>
                <w:lang w:val="en-GB"/>
              </w:rPr>
              <w:t>4</w:t>
            </w:r>
            <w:r w:rsidR="00266040" w:rsidRPr="00CB09D5">
              <w:rPr>
                <w:lang w:val="en-GB"/>
              </w:rPr>
              <w:t>.</w:t>
            </w:r>
            <w:r w:rsidR="007F2801" w:rsidRPr="00CB09D5">
              <w:rPr>
                <w:lang w:val="en-GB"/>
              </w:rPr>
              <w:t>9</w:t>
            </w:r>
            <w:r w:rsidR="00794870" w:rsidRPr="00CB09D5">
              <w:rPr>
                <w:lang w:val="en-GB"/>
              </w:rPr>
              <w:t xml:space="preserve"> </w:t>
            </w:r>
            <w:r w:rsidR="00266040" w:rsidRPr="00CB09D5">
              <w:rPr>
                <w:lang w:val="en-GB"/>
              </w:rPr>
              <w:t>bn less than in</w:t>
            </w:r>
            <w:r w:rsidR="008D5058" w:rsidRPr="00CB09D5">
              <w:rPr>
                <w:lang w:val="en-GB"/>
              </w:rPr>
              <w:t xml:space="preserve"> the</w:t>
            </w:r>
            <w:r w:rsidR="00266040" w:rsidRPr="00CB09D5">
              <w:rPr>
                <w:lang w:val="en-GB"/>
              </w:rPr>
              <w:t xml:space="preserve"> year </w:t>
            </w:r>
            <w:r w:rsidR="00794870" w:rsidRPr="00CB09D5">
              <w:rPr>
                <w:lang w:val="en-GB"/>
              </w:rPr>
              <w:t xml:space="preserve">2015). </w:t>
            </w:r>
            <w:r w:rsidR="00266040" w:rsidRPr="00CB09D5">
              <w:rPr>
                <w:lang w:val="en-GB"/>
              </w:rPr>
              <w:t xml:space="preserve">The increase of net portfolio investment is thus the result of a weak flow of the domestic investment abroad. The asset side of the portfolio investment attained the result of </w:t>
            </w:r>
            <w:r w:rsidR="00794870" w:rsidRPr="00CB09D5">
              <w:rPr>
                <w:lang w:val="en-GB"/>
              </w:rPr>
              <w:t>2</w:t>
            </w:r>
            <w:r w:rsidR="007F2801" w:rsidRPr="00CB09D5">
              <w:rPr>
                <w:lang w:val="en-GB"/>
              </w:rPr>
              <w:t>1</w:t>
            </w:r>
            <w:r w:rsidR="00266040" w:rsidRPr="00CB09D5">
              <w:rPr>
                <w:lang w:val="en-GB"/>
              </w:rPr>
              <w:t>.</w:t>
            </w:r>
            <w:r w:rsidR="007F2801" w:rsidRPr="00CB09D5">
              <w:rPr>
                <w:lang w:val="en-GB"/>
              </w:rPr>
              <w:t>9</w:t>
            </w:r>
            <w:r w:rsidR="00794870" w:rsidRPr="00CB09D5">
              <w:rPr>
                <w:lang w:val="en-GB"/>
              </w:rPr>
              <w:t xml:space="preserve"> </w:t>
            </w:r>
            <w:r w:rsidR="00C4216C" w:rsidRPr="00CB09D5">
              <w:rPr>
                <w:lang w:val="en-GB"/>
              </w:rPr>
              <w:t>CZK bn</w:t>
            </w:r>
            <w:r w:rsidR="00266040" w:rsidRPr="00CB09D5">
              <w:rPr>
                <w:lang w:val="en-GB"/>
              </w:rPr>
              <w:t xml:space="preserve">, which is by </w:t>
            </w:r>
            <w:r w:rsidR="007F2801" w:rsidRPr="00CB09D5">
              <w:rPr>
                <w:lang w:val="en-GB"/>
              </w:rPr>
              <w:t>50</w:t>
            </w:r>
            <w:r w:rsidR="00266040" w:rsidRPr="00CB09D5">
              <w:rPr>
                <w:lang w:val="en-GB"/>
              </w:rPr>
              <w:t>.</w:t>
            </w:r>
            <w:r w:rsidR="007F2801" w:rsidRPr="00CB09D5">
              <w:rPr>
                <w:lang w:val="en-GB"/>
              </w:rPr>
              <w:t>3</w:t>
            </w:r>
            <w:r w:rsidR="00794870" w:rsidRPr="00CB09D5">
              <w:rPr>
                <w:lang w:val="en-GB"/>
              </w:rPr>
              <w:t xml:space="preserve"> </w:t>
            </w:r>
            <w:r w:rsidR="00266040" w:rsidRPr="00CB09D5">
              <w:rPr>
                <w:lang w:val="en-GB"/>
              </w:rPr>
              <w:t xml:space="preserve">bn less than in </w:t>
            </w:r>
            <w:r w:rsidR="008D5058" w:rsidRPr="00CB09D5">
              <w:rPr>
                <w:lang w:val="en-GB"/>
              </w:rPr>
              <w:t xml:space="preserve">the </w:t>
            </w:r>
            <w:r w:rsidR="00266040" w:rsidRPr="00CB09D5">
              <w:rPr>
                <w:lang w:val="en-GB"/>
              </w:rPr>
              <w:t xml:space="preserve">year </w:t>
            </w:r>
            <w:r w:rsidR="00794870" w:rsidRPr="00CB09D5">
              <w:rPr>
                <w:lang w:val="en-GB"/>
              </w:rPr>
              <w:t xml:space="preserve">2015. </w:t>
            </w:r>
            <w:r w:rsidR="00266040" w:rsidRPr="00CB09D5">
              <w:rPr>
                <w:lang w:val="en-GB"/>
              </w:rPr>
              <w:t xml:space="preserve">Majority of this difference comprises the lowering of shares in the collective investment funds by 31.5 </w:t>
            </w:r>
            <w:r w:rsidR="00C4216C" w:rsidRPr="00CB09D5">
              <w:rPr>
                <w:lang w:val="en-GB"/>
              </w:rPr>
              <w:t>CZK bn</w:t>
            </w:r>
            <w:r w:rsidR="00266040" w:rsidRPr="00CB09D5">
              <w:rPr>
                <w:lang w:val="en-GB"/>
              </w:rPr>
              <w:t xml:space="preserve">. Interest in Czech debt securities persisted. Foreign investors bought in total these instruments in the amount of </w:t>
            </w:r>
            <w:r w:rsidR="007F2801" w:rsidRPr="00CB09D5">
              <w:rPr>
                <w:lang w:val="en-GB"/>
              </w:rPr>
              <w:t>181</w:t>
            </w:r>
            <w:r w:rsidR="00266040" w:rsidRPr="00CB09D5">
              <w:rPr>
                <w:lang w:val="en-GB"/>
              </w:rPr>
              <w:t>.</w:t>
            </w:r>
            <w:r w:rsidR="007F2801" w:rsidRPr="00CB09D5">
              <w:rPr>
                <w:lang w:val="en-GB"/>
              </w:rPr>
              <w:t>7</w:t>
            </w:r>
            <w:r w:rsidR="00794870" w:rsidRPr="00CB09D5">
              <w:rPr>
                <w:lang w:val="en-GB"/>
              </w:rPr>
              <w:t xml:space="preserve"> </w:t>
            </w:r>
            <w:r w:rsidR="00C4216C" w:rsidRPr="00CB09D5">
              <w:rPr>
                <w:lang w:val="en-GB"/>
              </w:rPr>
              <w:t>CZK bn</w:t>
            </w:r>
            <w:r w:rsidR="00266040" w:rsidRPr="00CB09D5">
              <w:rPr>
                <w:lang w:val="en-GB"/>
              </w:rPr>
              <w:t xml:space="preserve"> </w:t>
            </w:r>
            <w:r w:rsidR="00794870" w:rsidRPr="00CB09D5">
              <w:rPr>
                <w:lang w:val="en-GB"/>
              </w:rPr>
              <w:t>(</w:t>
            </w:r>
            <w:r w:rsidR="00266040" w:rsidRPr="00CB09D5">
              <w:rPr>
                <w:lang w:val="en-GB"/>
              </w:rPr>
              <w:t xml:space="preserve">in that bonds of the government institutions formed </w:t>
            </w:r>
            <w:r w:rsidR="00794870" w:rsidRPr="00CB09D5">
              <w:rPr>
                <w:lang w:val="en-GB"/>
              </w:rPr>
              <w:t>1</w:t>
            </w:r>
            <w:r w:rsidR="007F2801" w:rsidRPr="00CB09D5">
              <w:rPr>
                <w:lang w:val="en-GB"/>
              </w:rPr>
              <w:t>21</w:t>
            </w:r>
            <w:r w:rsidR="00266040" w:rsidRPr="00CB09D5">
              <w:rPr>
                <w:lang w:val="en-GB"/>
              </w:rPr>
              <w:t>.</w:t>
            </w:r>
            <w:r w:rsidR="007F2801" w:rsidRPr="00CB09D5">
              <w:rPr>
                <w:lang w:val="en-GB"/>
              </w:rPr>
              <w:t>7</w:t>
            </w:r>
            <w:r w:rsidR="00794870" w:rsidRPr="00CB09D5">
              <w:rPr>
                <w:lang w:val="en-GB"/>
              </w:rPr>
              <w:t xml:space="preserve"> </w:t>
            </w:r>
            <w:r w:rsidR="00C4216C" w:rsidRPr="00CB09D5">
              <w:rPr>
                <w:lang w:val="en-GB"/>
              </w:rPr>
              <w:t>CZK bn</w:t>
            </w:r>
            <w:r w:rsidR="00794870" w:rsidRPr="00CB09D5">
              <w:rPr>
                <w:lang w:val="en-GB"/>
              </w:rPr>
              <w:t xml:space="preserve">). </w:t>
            </w:r>
          </w:p>
          <w:p w:rsidR="00E372FD" w:rsidRPr="00674D93" w:rsidRDefault="00E372FD" w:rsidP="00E372FD">
            <w:pPr>
              <w:pStyle w:val="Textpoznpodarou"/>
              <w:jc w:val="both"/>
              <w:rPr>
                <w:color w:val="FF0000"/>
                <w:sz w:val="14"/>
                <w:szCs w:val="14"/>
                <w:highlight w:val="yellow"/>
                <w:lang w:val="en-GB"/>
              </w:rPr>
            </w:pPr>
          </w:p>
        </w:tc>
      </w:tr>
      <w:tr w:rsidR="00794870" w:rsidRPr="00CB09D5" w:rsidTr="00EF6DDD">
        <w:tc>
          <w:tcPr>
            <w:tcW w:w="1072" w:type="pct"/>
            <w:gridSpan w:val="2"/>
          </w:tcPr>
          <w:p w:rsidR="00794870" w:rsidRPr="00CB09D5" w:rsidRDefault="007D08EF" w:rsidP="00464DE7">
            <w:pPr>
              <w:spacing w:line="240" w:lineRule="auto"/>
              <w:rPr>
                <w:sz w:val="16"/>
                <w:szCs w:val="16"/>
                <w:highlight w:val="yellow"/>
                <w:lang w:val="en-GB"/>
              </w:rPr>
            </w:pPr>
            <w:r w:rsidRPr="00CB09D5">
              <w:rPr>
                <w:sz w:val="16"/>
                <w:szCs w:val="16"/>
                <w:lang w:val="en-GB"/>
              </w:rPr>
              <w:lastRenderedPageBreak/>
              <w:t>The value of exports reached record levels in 2016</w:t>
            </w:r>
            <w:r w:rsidR="00794870" w:rsidRPr="00CB09D5">
              <w:rPr>
                <w:sz w:val="16"/>
                <w:szCs w:val="16"/>
                <w:lang w:val="en-GB"/>
              </w:rPr>
              <w:t xml:space="preserve">. </w:t>
            </w:r>
            <w:r w:rsidRPr="00CB09D5">
              <w:rPr>
                <w:sz w:val="16"/>
                <w:szCs w:val="16"/>
                <w:lang w:val="en-GB"/>
              </w:rPr>
              <w:t>Still, the export performance lagged behin</w:t>
            </w:r>
            <w:r w:rsidR="00464DE7" w:rsidRPr="00CB09D5">
              <w:rPr>
                <w:sz w:val="16"/>
                <w:szCs w:val="16"/>
                <w:lang w:val="en-GB"/>
              </w:rPr>
              <w:t>d</w:t>
            </w:r>
            <w:r w:rsidRPr="00CB09D5">
              <w:rPr>
                <w:sz w:val="16"/>
                <w:szCs w:val="16"/>
                <w:lang w:val="en-GB"/>
              </w:rPr>
              <w:t xml:space="preserve"> </w:t>
            </w:r>
            <w:r w:rsidR="008D5058" w:rsidRPr="00CB09D5">
              <w:rPr>
                <w:sz w:val="16"/>
                <w:szCs w:val="16"/>
                <w:lang w:val="en-GB"/>
              </w:rPr>
              <w:t xml:space="preserve">the </w:t>
            </w:r>
            <w:r w:rsidRPr="00CB09D5">
              <w:rPr>
                <w:sz w:val="16"/>
                <w:szCs w:val="16"/>
                <w:lang w:val="en-GB"/>
              </w:rPr>
              <w:t xml:space="preserve">year 2015 in the second half of the year. </w:t>
            </w:r>
          </w:p>
        </w:tc>
        <w:tc>
          <w:tcPr>
            <w:tcW w:w="142" w:type="pct"/>
          </w:tcPr>
          <w:p w:rsidR="00794870" w:rsidRPr="00CB09D5" w:rsidRDefault="00794870" w:rsidP="00D94859">
            <w:pPr>
              <w:pStyle w:val="Textpoznpodarou"/>
              <w:jc w:val="both"/>
              <w:rPr>
                <w:color w:val="FF0000"/>
                <w:lang w:val="en-GB"/>
              </w:rPr>
            </w:pPr>
          </w:p>
        </w:tc>
        <w:tc>
          <w:tcPr>
            <w:tcW w:w="3786" w:type="pct"/>
            <w:gridSpan w:val="3"/>
          </w:tcPr>
          <w:p w:rsidR="00794870" w:rsidRPr="00CB09D5" w:rsidRDefault="00011C90" w:rsidP="00E372FD">
            <w:pPr>
              <w:pStyle w:val="Textpoznpodarou"/>
              <w:jc w:val="both"/>
              <w:rPr>
                <w:sz w:val="16"/>
                <w:szCs w:val="16"/>
                <w:lang w:val="en-GB"/>
              </w:rPr>
            </w:pPr>
            <w:r w:rsidRPr="00CB09D5">
              <w:rPr>
                <w:lang w:val="en-GB"/>
              </w:rPr>
              <w:t xml:space="preserve">From the view of the value of exports, the year 2016 was record breaking. Goods in the value of 3 312 </w:t>
            </w:r>
            <w:r w:rsidR="00C4216C" w:rsidRPr="00CB09D5">
              <w:rPr>
                <w:lang w:val="en-GB"/>
              </w:rPr>
              <w:t>CZK bn</w:t>
            </w:r>
            <w:r w:rsidR="00E372FD" w:rsidRPr="00CB09D5">
              <w:rPr>
                <w:rStyle w:val="Znakapoznpodarou"/>
                <w:lang w:val="en-GB"/>
              </w:rPr>
              <w:footnoteReference w:id="21"/>
            </w:r>
            <w:r w:rsidRPr="00CB09D5">
              <w:rPr>
                <w:lang w:val="en-GB"/>
              </w:rPr>
              <w:t xml:space="preserve"> w</w:t>
            </w:r>
            <w:r w:rsidR="00AD72A6" w:rsidRPr="00CB09D5">
              <w:rPr>
                <w:lang w:val="en-GB"/>
              </w:rPr>
              <w:t>ere</w:t>
            </w:r>
            <w:r w:rsidRPr="00CB09D5">
              <w:rPr>
                <w:lang w:val="en-GB"/>
              </w:rPr>
              <w:t xml:space="preserve"> exported from the Czech Republic, which is an increase of 1.5</w:t>
            </w:r>
            <w:r w:rsidR="00794870" w:rsidRPr="00CB09D5">
              <w:rPr>
                <w:lang w:val="en-GB"/>
              </w:rPr>
              <w:t xml:space="preserve">% </w:t>
            </w:r>
            <w:r w:rsidRPr="00CB09D5">
              <w:rPr>
                <w:lang w:val="en-GB"/>
              </w:rPr>
              <w:t xml:space="preserve">against the year </w:t>
            </w:r>
            <w:r w:rsidR="00794870" w:rsidRPr="00CB09D5">
              <w:rPr>
                <w:lang w:val="en-GB"/>
              </w:rPr>
              <w:t xml:space="preserve">2015. </w:t>
            </w:r>
            <w:r w:rsidR="00AD72A6" w:rsidRPr="00CB09D5">
              <w:rPr>
                <w:lang w:val="en-GB"/>
              </w:rPr>
              <w:t>The year-on-year rate of growth of exports lowered compared to the preceding two yea</w:t>
            </w:r>
            <w:r w:rsidR="001A7A4E" w:rsidRPr="00CB09D5">
              <w:rPr>
                <w:lang w:val="en-GB"/>
              </w:rPr>
              <w:t>r</w:t>
            </w:r>
            <w:r w:rsidR="001D74E8" w:rsidRPr="00CB09D5">
              <w:rPr>
                <w:lang w:val="en-GB"/>
              </w:rPr>
              <w:t>s. The exports increased by 1.8</w:t>
            </w:r>
            <w:r w:rsidR="00AD72A6" w:rsidRPr="00CB09D5">
              <w:rPr>
                <w:lang w:val="en-GB"/>
              </w:rPr>
              <w:t>% in the first quarter. The second quarter became the most successful quarter for exporters in the whole yea</w:t>
            </w:r>
            <w:r w:rsidR="001D74E8" w:rsidRPr="00CB09D5">
              <w:rPr>
                <w:lang w:val="en-GB"/>
              </w:rPr>
              <w:t>r, when the exports grew by 4.2</w:t>
            </w:r>
            <w:r w:rsidR="00AD72A6" w:rsidRPr="00CB09D5">
              <w:rPr>
                <w:lang w:val="en-GB"/>
              </w:rPr>
              <w:t xml:space="preserve">%. </w:t>
            </w:r>
            <w:r w:rsidR="00C83C1A" w:rsidRPr="00CB09D5">
              <w:rPr>
                <w:lang w:val="en-GB"/>
              </w:rPr>
              <w:t>However, the high comparative basis of</w:t>
            </w:r>
            <w:r w:rsidR="008D5058" w:rsidRPr="00CB09D5">
              <w:rPr>
                <w:lang w:val="en-GB"/>
              </w:rPr>
              <w:t xml:space="preserve"> the </w:t>
            </w:r>
            <w:r w:rsidR="00C83C1A" w:rsidRPr="00CB09D5">
              <w:rPr>
                <w:lang w:val="en-GB"/>
              </w:rPr>
              <w:t xml:space="preserve">year 2015 in combination with a </w:t>
            </w:r>
            <w:r w:rsidR="00357CC2" w:rsidRPr="00CB09D5">
              <w:rPr>
                <w:lang w:val="en-GB"/>
              </w:rPr>
              <w:t>temporary</w:t>
            </w:r>
            <w:r w:rsidR="00C83C1A" w:rsidRPr="00CB09D5">
              <w:rPr>
                <w:lang w:val="en-GB"/>
              </w:rPr>
              <w:t xml:space="preserve"> limitation of the production capacities of some important exporter</w:t>
            </w:r>
            <w:r w:rsidR="001A7A4E" w:rsidRPr="00CB09D5">
              <w:rPr>
                <w:lang w:val="en-GB"/>
              </w:rPr>
              <w:t xml:space="preserve">s </w:t>
            </w:r>
            <w:r w:rsidR="00C83C1A" w:rsidRPr="00CB09D5">
              <w:rPr>
                <w:lang w:val="en-GB"/>
              </w:rPr>
              <w:t xml:space="preserve">played a role in the second half of the year. </w:t>
            </w:r>
            <w:r w:rsidR="001D74E8" w:rsidRPr="00CB09D5">
              <w:rPr>
                <w:lang w:val="en-GB"/>
              </w:rPr>
              <w:t>The exports fell by 0.9</w:t>
            </w:r>
            <w:r w:rsidR="00AD72A6" w:rsidRPr="00CB09D5">
              <w:rPr>
                <w:lang w:val="en-GB"/>
              </w:rPr>
              <w:t>% year-on-year in Q</w:t>
            </w:r>
            <w:r w:rsidR="00794870" w:rsidRPr="00CB09D5">
              <w:rPr>
                <w:lang w:val="en-GB"/>
              </w:rPr>
              <w:t>3</w:t>
            </w:r>
            <w:r w:rsidR="00AD72A6" w:rsidRPr="00CB09D5">
              <w:rPr>
                <w:lang w:val="en-GB"/>
              </w:rPr>
              <w:t xml:space="preserve"> and i</w:t>
            </w:r>
            <w:r w:rsidR="001D74E8" w:rsidRPr="00CB09D5">
              <w:rPr>
                <w:lang w:val="en-GB"/>
              </w:rPr>
              <w:t>ts addition arrived only at 0.7</w:t>
            </w:r>
            <w:r w:rsidR="00AD72A6" w:rsidRPr="00CB09D5">
              <w:rPr>
                <w:lang w:val="en-GB"/>
              </w:rPr>
              <w:t xml:space="preserve">% at the end of the year. </w:t>
            </w:r>
          </w:p>
          <w:p w:rsidR="00E372FD" w:rsidRPr="00674D93" w:rsidRDefault="00E372FD" w:rsidP="00E372FD">
            <w:pPr>
              <w:pStyle w:val="Textpoznpodarou"/>
              <w:jc w:val="both"/>
              <w:rPr>
                <w:sz w:val="14"/>
                <w:szCs w:val="14"/>
                <w:highlight w:val="yellow"/>
                <w:lang w:val="en-GB"/>
              </w:rPr>
            </w:pPr>
          </w:p>
        </w:tc>
      </w:tr>
      <w:tr w:rsidR="00794870" w:rsidRPr="00CB09D5" w:rsidTr="00EF6DDD">
        <w:tc>
          <w:tcPr>
            <w:tcW w:w="1072" w:type="pct"/>
            <w:gridSpan w:val="2"/>
          </w:tcPr>
          <w:p w:rsidR="00794870" w:rsidRPr="00CB09D5" w:rsidRDefault="00464DE7" w:rsidP="00464DE7">
            <w:pPr>
              <w:spacing w:line="240" w:lineRule="auto"/>
              <w:rPr>
                <w:sz w:val="16"/>
                <w:szCs w:val="16"/>
                <w:highlight w:val="yellow"/>
                <w:lang w:val="en-GB"/>
              </w:rPr>
            </w:pPr>
            <w:r w:rsidRPr="00CB09D5">
              <w:rPr>
                <w:sz w:val="16"/>
                <w:szCs w:val="16"/>
                <w:lang w:val="en-GB"/>
              </w:rPr>
              <w:t xml:space="preserve">The exports to the EU decreased pace in the second half of the year. The exports into the rest of the world on the contrary grew. </w:t>
            </w:r>
          </w:p>
        </w:tc>
        <w:tc>
          <w:tcPr>
            <w:tcW w:w="142" w:type="pct"/>
          </w:tcPr>
          <w:p w:rsidR="00794870" w:rsidRPr="00CB09D5" w:rsidRDefault="00794870" w:rsidP="00D94859">
            <w:pPr>
              <w:pStyle w:val="Textpoznpodarou"/>
              <w:jc w:val="both"/>
              <w:rPr>
                <w:lang w:val="en-GB"/>
              </w:rPr>
            </w:pPr>
          </w:p>
        </w:tc>
        <w:tc>
          <w:tcPr>
            <w:tcW w:w="3786" w:type="pct"/>
            <w:gridSpan w:val="3"/>
          </w:tcPr>
          <w:p w:rsidR="00E372FD" w:rsidRPr="00CB09D5" w:rsidRDefault="00464DE7" w:rsidP="00E372FD">
            <w:pPr>
              <w:pStyle w:val="Textpoznpodarou"/>
              <w:jc w:val="both"/>
              <w:rPr>
                <w:sz w:val="16"/>
                <w:szCs w:val="16"/>
                <w:lang w:val="en-GB"/>
              </w:rPr>
            </w:pPr>
            <w:r w:rsidRPr="00CB09D5">
              <w:rPr>
                <w:lang w:val="en-GB"/>
              </w:rPr>
              <w:t xml:space="preserve">Exports into the European Union countries, which comprised </w:t>
            </w:r>
            <w:r w:rsidR="00794870" w:rsidRPr="00CB09D5">
              <w:rPr>
                <w:lang w:val="en-GB"/>
              </w:rPr>
              <w:t>84</w:t>
            </w:r>
            <w:r w:rsidRPr="00CB09D5">
              <w:rPr>
                <w:lang w:val="en-GB"/>
              </w:rPr>
              <w:t>.</w:t>
            </w:r>
            <w:r w:rsidR="003857A2" w:rsidRPr="00CB09D5">
              <w:rPr>
                <w:lang w:val="en-GB"/>
              </w:rPr>
              <w:t>0</w:t>
            </w:r>
            <w:r w:rsidR="00794870" w:rsidRPr="00CB09D5">
              <w:rPr>
                <w:lang w:val="en-GB"/>
              </w:rPr>
              <w:t xml:space="preserve">% </w:t>
            </w:r>
            <w:r w:rsidRPr="00CB09D5">
              <w:rPr>
                <w:lang w:val="en-GB"/>
              </w:rPr>
              <w:t xml:space="preserve">of the total value of Czech exports, increased by </w:t>
            </w:r>
            <w:r w:rsidR="00794870" w:rsidRPr="00CB09D5">
              <w:rPr>
                <w:lang w:val="en-GB"/>
              </w:rPr>
              <w:t>2</w:t>
            </w:r>
            <w:r w:rsidRPr="00CB09D5">
              <w:rPr>
                <w:lang w:val="en-GB"/>
              </w:rPr>
              <w:t>.</w:t>
            </w:r>
            <w:r w:rsidR="001D74E8" w:rsidRPr="00CB09D5">
              <w:rPr>
                <w:lang w:val="en-GB"/>
              </w:rPr>
              <w:t>7</w:t>
            </w:r>
            <w:r w:rsidR="00794870" w:rsidRPr="00CB09D5">
              <w:rPr>
                <w:lang w:val="en-GB"/>
              </w:rPr>
              <w:t>%</w:t>
            </w:r>
            <w:r w:rsidRPr="00CB09D5">
              <w:rPr>
                <w:lang w:val="en-GB"/>
              </w:rPr>
              <w:t xml:space="preserve"> year-on-year</w:t>
            </w:r>
            <w:r w:rsidR="00794870" w:rsidRPr="00CB09D5">
              <w:rPr>
                <w:lang w:val="en-GB"/>
              </w:rPr>
              <w:t xml:space="preserve"> a</w:t>
            </w:r>
            <w:r w:rsidRPr="00CB09D5">
              <w:rPr>
                <w:lang w:val="en-GB"/>
              </w:rPr>
              <w:t xml:space="preserve">nd by </w:t>
            </w:r>
            <w:r w:rsidR="00794870" w:rsidRPr="00CB09D5">
              <w:rPr>
                <w:lang w:val="en-GB"/>
              </w:rPr>
              <w:t>5</w:t>
            </w:r>
            <w:r w:rsidRPr="00CB09D5">
              <w:rPr>
                <w:lang w:val="en-GB"/>
              </w:rPr>
              <w:t>.</w:t>
            </w:r>
            <w:r w:rsidR="001D74E8" w:rsidRPr="00CB09D5">
              <w:rPr>
                <w:lang w:val="en-GB"/>
              </w:rPr>
              <w:t>4</w:t>
            </w:r>
            <w:r w:rsidR="00794870" w:rsidRPr="00CB09D5">
              <w:rPr>
                <w:lang w:val="en-GB"/>
              </w:rPr>
              <w:t xml:space="preserve">% </w:t>
            </w:r>
            <w:r w:rsidRPr="00CB09D5">
              <w:rPr>
                <w:lang w:val="en-GB"/>
              </w:rPr>
              <w:t>in Q</w:t>
            </w:r>
            <w:r w:rsidR="00794870" w:rsidRPr="00CB09D5">
              <w:rPr>
                <w:lang w:val="en-GB"/>
              </w:rPr>
              <w:t>1</w:t>
            </w:r>
            <w:r w:rsidRPr="00CB09D5">
              <w:rPr>
                <w:lang w:val="en-GB"/>
              </w:rPr>
              <w:t xml:space="preserve"> and Q</w:t>
            </w:r>
            <w:r w:rsidR="00794870" w:rsidRPr="00CB09D5">
              <w:rPr>
                <w:lang w:val="en-GB"/>
              </w:rPr>
              <w:t>2.</w:t>
            </w:r>
            <w:r w:rsidRPr="00CB09D5">
              <w:rPr>
                <w:lang w:val="en-GB"/>
              </w:rPr>
              <w:t xml:space="preserve"> The second half of </w:t>
            </w:r>
            <w:r w:rsidR="008D5058" w:rsidRPr="00CB09D5">
              <w:rPr>
                <w:lang w:val="en-GB"/>
              </w:rPr>
              <w:t xml:space="preserve">the </w:t>
            </w:r>
            <w:r w:rsidRPr="00CB09D5">
              <w:rPr>
                <w:lang w:val="en-GB"/>
              </w:rPr>
              <w:t xml:space="preserve">year </w:t>
            </w:r>
            <w:r w:rsidR="00794870" w:rsidRPr="00CB09D5">
              <w:rPr>
                <w:lang w:val="en-GB"/>
              </w:rPr>
              <w:t xml:space="preserve">2016 </w:t>
            </w:r>
            <w:r w:rsidRPr="00CB09D5">
              <w:rPr>
                <w:lang w:val="en-GB"/>
              </w:rPr>
              <w:t xml:space="preserve">was not so successful, when the exports into the EU decreased by </w:t>
            </w:r>
            <w:r w:rsidR="00794870" w:rsidRPr="00CB09D5">
              <w:rPr>
                <w:lang w:val="en-GB"/>
              </w:rPr>
              <w:t>1</w:t>
            </w:r>
            <w:r w:rsidRPr="00CB09D5">
              <w:rPr>
                <w:lang w:val="en-GB"/>
              </w:rPr>
              <w:t>.</w:t>
            </w:r>
            <w:r w:rsidR="001D74E8" w:rsidRPr="00CB09D5">
              <w:rPr>
                <w:lang w:val="en-GB"/>
              </w:rPr>
              <w:t>1</w:t>
            </w:r>
            <w:r w:rsidR="00794870" w:rsidRPr="00CB09D5">
              <w:rPr>
                <w:lang w:val="en-GB"/>
              </w:rPr>
              <w:t xml:space="preserve">% </w:t>
            </w:r>
            <w:r w:rsidRPr="00CB09D5">
              <w:rPr>
                <w:lang w:val="en-GB"/>
              </w:rPr>
              <w:t>in Q</w:t>
            </w:r>
            <w:r w:rsidR="00794870" w:rsidRPr="00CB09D5">
              <w:rPr>
                <w:lang w:val="en-GB"/>
              </w:rPr>
              <w:t>3</w:t>
            </w:r>
            <w:r w:rsidRPr="00CB09D5">
              <w:rPr>
                <w:lang w:val="en-GB"/>
              </w:rPr>
              <w:t xml:space="preserve"> and subsequently reached the value of Q4 of the previous year</w:t>
            </w:r>
            <w:r w:rsidR="00794870" w:rsidRPr="00CB09D5">
              <w:rPr>
                <w:lang w:val="en-GB"/>
              </w:rPr>
              <w:t>.</w:t>
            </w:r>
            <w:r w:rsidRPr="00CB09D5">
              <w:rPr>
                <w:lang w:val="en-GB"/>
              </w:rPr>
              <w:t xml:space="preserve"> </w:t>
            </w:r>
            <w:r w:rsidR="0023093E" w:rsidRPr="00CB09D5">
              <w:rPr>
                <w:lang w:val="en-GB"/>
              </w:rPr>
              <w:t>The year-on-year drop of exports occurred for the first time since Q</w:t>
            </w:r>
            <w:r w:rsidR="00794870" w:rsidRPr="00CB09D5">
              <w:rPr>
                <w:lang w:val="en-GB"/>
              </w:rPr>
              <w:t>1</w:t>
            </w:r>
            <w:r w:rsidR="0023093E" w:rsidRPr="00CB09D5">
              <w:rPr>
                <w:lang w:val="en-GB"/>
              </w:rPr>
              <w:t xml:space="preserve"> </w:t>
            </w:r>
            <w:r w:rsidR="00794870" w:rsidRPr="00CB09D5">
              <w:rPr>
                <w:lang w:val="en-GB"/>
              </w:rPr>
              <w:t>2013 a</w:t>
            </w:r>
            <w:r w:rsidR="0023093E" w:rsidRPr="00CB09D5">
              <w:rPr>
                <w:lang w:val="en-GB"/>
              </w:rPr>
              <w:t xml:space="preserve">nd the marked fall of exports to Slovakia and Great Britain played a major role. Exports to Germany, which </w:t>
            </w:r>
            <w:r w:rsidR="00880BD4" w:rsidRPr="00CB09D5">
              <w:rPr>
                <w:lang w:val="en-GB"/>
              </w:rPr>
              <w:t>formed nearly one thi</w:t>
            </w:r>
            <w:r w:rsidR="001D74E8" w:rsidRPr="00CB09D5">
              <w:rPr>
                <w:lang w:val="en-GB"/>
              </w:rPr>
              <w:t xml:space="preserve">rd of total </w:t>
            </w:r>
            <w:proofErr w:type="gramStart"/>
            <w:r w:rsidR="001D74E8" w:rsidRPr="00CB09D5">
              <w:rPr>
                <w:lang w:val="en-GB"/>
              </w:rPr>
              <w:t>exports</w:t>
            </w:r>
            <w:proofErr w:type="gramEnd"/>
            <w:r w:rsidR="001D74E8" w:rsidRPr="00CB09D5">
              <w:rPr>
                <w:lang w:val="en-GB"/>
              </w:rPr>
              <w:t xml:space="preserve"> grew by 0.6% and 4.4</w:t>
            </w:r>
            <w:r w:rsidR="00880BD4" w:rsidRPr="00CB09D5">
              <w:rPr>
                <w:lang w:val="en-GB"/>
              </w:rPr>
              <w:t xml:space="preserve">% in Q1 and Q2 </w:t>
            </w:r>
            <w:r w:rsidR="001D74E8" w:rsidRPr="00CB09D5">
              <w:rPr>
                <w:lang w:val="en-GB"/>
              </w:rPr>
              <w:t>and it subsequently fell by 0.6</w:t>
            </w:r>
            <w:r w:rsidR="00880BD4" w:rsidRPr="00CB09D5">
              <w:rPr>
                <w:lang w:val="en-GB"/>
              </w:rPr>
              <w:t xml:space="preserve">% in Q3. At the end of the year, it again rose </w:t>
            </w:r>
            <w:r w:rsidR="00794870" w:rsidRPr="00CB09D5">
              <w:rPr>
                <w:lang w:val="en-GB"/>
              </w:rPr>
              <w:t>(+2</w:t>
            </w:r>
            <w:r w:rsidR="00880BD4" w:rsidRPr="00CB09D5">
              <w:rPr>
                <w:lang w:val="en-GB"/>
              </w:rPr>
              <w:t>.</w:t>
            </w:r>
            <w:r w:rsidR="001D74E8" w:rsidRPr="00CB09D5">
              <w:rPr>
                <w:lang w:val="en-GB"/>
              </w:rPr>
              <w:t>2</w:t>
            </w:r>
            <w:r w:rsidR="00794870" w:rsidRPr="00CB09D5">
              <w:rPr>
                <w:lang w:val="en-GB"/>
              </w:rPr>
              <w:t xml:space="preserve">%). </w:t>
            </w:r>
            <w:r w:rsidR="0023093E" w:rsidRPr="00CB09D5">
              <w:rPr>
                <w:lang w:val="en-GB"/>
              </w:rPr>
              <w:t>On the contrary, exports into the countries outside the EU decreased in the first two quarters and again gained pace in the secon</w:t>
            </w:r>
            <w:r w:rsidR="00880BD4" w:rsidRPr="00CB09D5">
              <w:rPr>
                <w:lang w:val="en-GB"/>
              </w:rPr>
              <w:t>d</w:t>
            </w:r>
            <w:r w:rsidR="00ED2D46" w:rsidRPr="00CB09D5">
              <w:rPr>
                <w:lang w:val="en-GB"/>
              </w:rPr>
              <w:t xml:space="preserve"> half of the year, when they</w:t>
            </w:r>
            <w:r w:rsidR="0023093E" w:rsidRPr="00CB09D5">
              <w:rPr>
                <w:lang w:val="en-GB"/>
              </w:rPr>
              <w:t xml:space="preserve"> grew by </w:t>
            </w:r>
            <w:r w:rsidR="00794870" w:rsidRPr="00CB09D5">
              <w:rPr>
                <w:lang w:val="en-GB"/>
              </w:rPr>
              <w:t>0</w:t>
            </w:r>
            <w:r w:rsidR="0023093E" w:rsidRPr="00CB09D5">
              <w:rPr>
                <w:lang w:val="en-GB"/>
              </w:rPr>
              <w:t>.</w:t>
            </w:r>
            <w:r w:rsidR="001D74E8" w:rsidRPr="00CB09D5">
              <w:rPr>
                <w:lang w:val="en-GB"/>
              </w:rPr>
              <w:t>5</w:t>
            </w:r>
            <w:r w:rsidR="00794870" w:rsidRPr="00CB09D5">
              <w:rPr>
                <w:lang w:val="en-GB"/>
              </w:rPr>
              <w:t>% a</w:t>
            </w:r>
            <w:r w:rsidR="0023093E" w:rsidRPr="00CB09D5">
              <w:rPr>
                <w:lang w:val="en-GB"/>
              </w:rPr>
              <w:t>nd</w:t>
            </w:r>
            <w:r w:rsidR="00794870" w:rsidRPr="00CB09D5">
              <w:rPr>
                <w:lang w:val="en-GB"/>
              </w:rPr>
              <w:t xml:space="preserve"> 4</w:t>
            </w:r>
            <w:r w:rsidR="0023093E" w:rsidRPr="00CB09D5">
              <w:rPr>
                <w:lang w:val="en-GB"/>
              </w:rPr>
              <w:t>.</w:t>
            </w:r>
            <w:r w:rsidR="001D74E8" w:rsidRPr="00CB09D5">
              <w:rPr>
                <w:lang w:val="en-GB"/>
              </w:rPr>
              <w:t>5</w:t>
            </w:r>
            <w:r w:rsidR="00794870" w:rsidRPr="00CB09D5">
              <w:rPr>
                <w:lang w:val="en-GB"/>
              </w:rPr>
              <w:t xml:space="preserve">%. </w:t>
            </w:r>
          </w:p>
          <w:p w:rsidR="00E372FD" w:rsidRPr="00674D93" w:rsidRDefault="00E372FD" w:rsidP="00E372FD">
            <w:pPr>
              <w:pStyle w:val="Textpoznpodarou"/>
              <w:jc w:val="both"/>
              <w:rPr>
                <w:sz w:val="14"/>
                <w:szCs w:val="14"/>
                <w:lang w:val="en-GB"/>
              </w:rPr>
            </w:pPr>
          </w:p>
        </w:tc>
      </w:tr>
      <w:tr w:rsidR="00794870" w:rsidRPr="00CB09D5" w:rsidTr="00EF6DDD">
        <w:tc>
          <w:tcPr>
            <w:tcW w:w="1072" w:type="pct"/>
            <w:gridSpan w:val="2"/>
          </w:tcPr>
          <w:p w:rsidR="00794870" w:rsidRPr="00CB09D5" w:rsidRDefault="00013E59" w:rsidP="008A03DE">
            <w:pPr>
              <w:spacing w:line="240" w:lineRule="auto"/>
              <w:rPr>
                <w:sz w:val="16"/>
                <w:szCs w:val="16"/>
                <w:highlight w:val="yellow"/>
                <w:lang w:val="en-GB"/>
              </w:rPr>
            </w:pPr>
            <w:r w:rsidRPr="00CB09D5">
              <w:rPr>
                <w:sz w:val="16"/>
                <w:szCs w:val="16"/>
                <w:lang w:val="en-GB"/>
              </w:rPr>
              <w:t xml:space="preserve">Motor vehicles remained the most successful and the most significant article of the Czech export throughout the whole year, even though its performance markedly slowed down in the second half of the year. Exports of chemical products managed to revive at the end of the year. </w:t>
            </w:r>
            <w:r w:rsidR="00794870" w:rsidRPr="00CB09D5">
              <w:rPr>
                <w:sz w:val="16"/>
                <w:szCs w:val="16"/>
                <w:lang w:val="en-GB"/>
              </w:rPr>
              <w:t xml:space="preserve"> </w:t>
            </w:r>
          </w:p>
        </w:tc>
        <w:tc>
          <w:tcPr>
            <w:tcW w:w="142" w:type="pct"/>
          </w:tcPr>
          <w:p w:rsidR="00794870" w:rsidRPr="00CB09D5" w:rsidRDefault="00794870" w:rsidP="00D94859">
            <w:pPr>
              <w:pStyle w:val="Textpoznpodarou"/>
              <w:jc w:val="both"/>
              <w:rPr>
                <w:lang w:val="en-GB"/>
              </w:rPr>
            </w:pPr>
          </w:p>
        </w:tc>
        <w:tc>
          <w:tcPr>
            <w:tcW w:w="3786" w:type="pct"/>
            <w:gridSpan w:val="3"/>
          </w:tcPr>
          <w:p w:rsidR="00794870" w:rsidRPr="00CB09D5" w:rsidRDefault="00040682" w:rsidP="008A03DE">
            <w:pPr>
              <w:pStyle w:val="Textpoznpodarou"/>
              <w:jc w:val="both"/>
              <w:rPr>
                <w:lang w:val="en-GB"/>
              </w:rPr>
            </w:pPr>
            <w:r w:rsidRPr="00CB09D5">
              <w:rPr>
                <w:lang w:val="en-GB"/>
              </w:rPr>
              <w:t xml:space="preserve">Among the most important goods divisions (based on CZ-CPA classification), the exports of motor </w:t>
            </w:r>
            <w:r w:rsidR="00704A71" w:rsidRPr="00CB09D5">
              <w:rPr>
                <w:lang w:val="en-GB"/>
              </w:rPr>
              <w:t>vehicles</w:t>
            </w:r>
            <w:r w:rsidRPr="00CB09D5">
              <w:rPr>
                <w:lang w:val="en-GB"/>
              </w:rPr>
              <w:t xml:space="preserve">, machinery and equipment </w:t>
            </w:r>
            <w:r w:rsidR="005447DC" w:rsidRPr="00CB09D5">
              <w:rPr>
                <w:lang w:val="en-GB"/>
              </w:rPr>
              <w:t>fared the best. Exports of motor vehicle</w:t>
            </w:r>
            <w:r w:rsidR="00242C0B" w:rsidRPr="00CB09D5">
              <w:rPr>
                <w:lang w:val="en-GB"/>
              </w:rPr>
              <w:t>s</w:t>
            </w:r>
            <w:r w:rsidR="001D74E8" w:rsidRPr="00CB09D5">
              <w:rPr>
                <w:lang w:val="en-GB"/>
              </w:rPr>
              <w:t xml:space="preserve"> increased at first by 10.8</w:t>
            </w:r>
            <w:r w:rsidR="005447DC" w:rsidRPr="00CB09D5">
              <w:rPr>
                <w:lang w:val="en-GB"/>
              </w:rPr>
              <w:t xml:space="preserve">% </w:t>
            </w:r>
            <w:r w:rsidR="00794870" w:rsidRPr="00CB09D5">
              <w:rPr>
                <w:lang w:val="en-GB"/>
              </w:rPr>
              <w:t>a</w:t>
            </w:r>
            <w:r w:rsidR="005447DC" w:rsidRPr="00CB09D5">
              <w:rPr>
                <w:lang w:val="en-GB"/>
              </w:rPr>
              <w:t>nd subsequently by 1</w:t>
            </w:r>
            <w:r w:rsidR="00794870" w:rsidRPr="00CB09D5">
              <w:rPr>
                <w:lang w:val="en-GB"/>
              </w:rPr>
              <w:t>6</w:t>
            </w:r>
            <w:r w:rsidR="005447DC" w:rsidRPr="00CB09D5">
              <w:rPr>
                <w:lang w:val="en-GB"/>
              </w:rPr>
              <w:t>.</w:t>
            </w:r>
            <w:r w:rsidR="00794870" w:rsidRPr="00CB09D5">
              <w:rPr>
                <w:lang w:val="en-GB"/>
              </w:rPr>
              <w:t>7%</w:t>
            </w:r>
            <w:r w:rsidR="00F16807">
              <w:rPr>
                <w:lang w:val="en-GB"/>
              </w:rPr>
              <w:t xml:space="preserve"> </w:t>
            </w:r>
            <w:r w:rsidR="00F16807" w:rsidRPr="00CB09D5">
              <w:rPr>
                <w:lang w:val="en-GB"/>
              </w:rPr>
              <w:t>in the first two quarters</w:t>
            </w:r>
            <w:r w:rsidR="00F16807">
              <w:rPr>
                <w:lang w:val="en-GB"/>
              </w:rPr>
              <w:t xml:space="preserve">. </w:t>
            </w:r>
            <w:r w:rsidR="005447DC" w:rsidRPr="00CB09D5">
              <w:rPr>
                <w:lang w:val="en-GB"/>
              </w:rPr>
              <w:t xml:space="preserve">The high comparative basis of the preceding year left its mark on the slowdown in the second half of the year </w:t>
            </w:r>
            <w:r w:rsidR="00794870" w:rsidRPr="00CB09D5">
              <w:rPr>
                <w:lang w:val="en-GB"/>
              </w:rPr>
              <w:t>(+3</w:t>
            </w:r>
            <w:r w:rsidR="005447DC" w:rsidRPr="00CB09D5">
              <w:rPr>
                <w:lang w:val="en-GB"/>
              </w:rPr>
              <w:t>.</w:t>
            </w:r>
            <w:r w:rsidR="003C38D4" w:rsidRPr="00CB09D5">
              <w:rPr>
                <w:lang w:val="en-GB"/>
              </w:rPr>
              <w:t>0</w:t>
            </w:r>
            <w:r w:rsidR="00794870" w:rsidRPr="00CB09D5">
              <w:rPr>
                <w:lang w:val="en-GB"/>
              </w:rPr>
              <w:t>% a</w:t>
            </w:r>
            <w:r w:rsidR="005447DC" w:rsidRPr="00CB09D5">
              <w:rPr>
                <w:lang w:val="en-GB"/>
              </w:rPr>
              <w:t>nd</w:t>
            </w:r>
            <w:r w:rsidR="00794870" w:rsidRPr="00CB09D5">
              <w:rPr>
                <w:lang w:val="en-GB"/>
              </w:rPr>
              <w:t xml:space="preserve"> +3</w:t>
            </w:r>
            <w:r w:rsidR="005447DC" w:rsidRPr="00CB09D5">
              <w:rPr>
                <w:lang w:val="en-GB"/>
              </w:rPr>
              <w:t>.</w:t>
            </w:r>
            <w:r w:rsidR="00794870" w:rsidRPr="00CB09D5">
              <w:rPr>
                <w:lang w:val="en-GB"/>
              </w:rPr>
              <w:t>8</w:t>
            </w:r>
            <w:r w:rsidR="00453FD7" w:rsidRPr="00CB09D5">
              <w:rPr>
                <w:lang w:val="en-GB"/>
              </w:rPr>
              <w:t>%</w:t>
            </w:r>
            <w:r w:rsidR="00704A71" w:rsidRPr="00CB09D5">
              <w:rPr>
                <w:lang w:val="en-GB"/>
              </w:rPr>
              <w:t xml:space="preserve">). Growth of exports of chemical substances and products renewed after seven quarters of year-on-year fall, when the exports grew </w:t>
            </w:r>
            <w:r w:rsidR="00124E9C" w:rsidRPr="00CB09D5">
              <w:rPr>
                <w:lang w:val="en-GB"/>
              </w:rPr>
              <w:t>by 9.2</w:t>
            </w:r>
            <w:r w:rsidR="00704A71" w:rsidRPr="00CB09D5">
              <w:rPr>
                <w:lang w:val="en-GB"/>
              </w:rPr>
              <w:t>% in Q</w:t>
            </w:r>
            <w:r w:rsidR="00794870" w:rsidRPr="00CB09D5">
              <w:rPr>
                <w:lang w:val="en-GB"/>
              </w:rPr>
              <w:t>4</w:t>
            </w:r>
            <w:r w:rsidR="00704A71" w:rsidRPr="00CB09D5">
              <w:rPr>
                <w:lang w:val="en-GB"/>
              </w:rPr>
              <w:t xml:space="preserve">. </w:t>
            </w:r>
            <w:r w:rsidR="00EE29C7" w:rsidRPr="00CB09D5">
              <w:rPr>
                <w:lang w:val="en-GB"/>
              </w:rPr>
              <w:t>The stagnation persisted in the division computers, e</w:t>
            </w:r>
            <w:r w:rsidR="00EE29C7" w:rsidRPr="00CB09D5">
              <w:rPr>
                <w:color w:val="000000"/>
                <w:lang w:val="en-GB"/>
              </w:rPr>
              <w:t xml:space="preserve">lectronic and optical appliances and equipment, lasting since Q2 2015. </w:t>
            </w:r>
            <w:r w:rsidR="008A76BD" w:rsidRPr="00CB09D5">
              <w:rPr>
                <w:color w:val="000000"/>
                <w:lang w:val="en-GB"/>
              </w:rPr>
              <w:t>Export o</w:t>
            </w:r>
            <w:r w:rsidR="00124E9C" w:rsidRPr="00CB09D5">
              <w:rPr>
                <w:color w:val="000000"/>
                <w:lang w:val="en-GB"/>
              </w:rPr>
              <w:t>f food products dropped by -1.5% and -10.1</w:t>
            </w:r>
            <w:r w:rsidR="008A76BD" w:rsidRPr="00CB09D5">
              <w:rPr>
                <w:color w:val="000000"/>
                <w:lang w:val="en-GB"/>
              </w:rPr>
              <w:t>% year-on-year in Q</w:t>
            </w:r>
            <w:r w:rsidR="00794870" w:rsidRPr="00CB09D5">
              <w:rPr>
                <w:lang w:val="en-GB"/>
              </w:rPr>
              <w:t>3</w:t>
            </w:r>
            <w:r w:rsidR="008A76BD" w:rsidRPr="00CB09D5">
              <w:rPr>
                <w:lang w:val="en-GB"/>
              </w:rPr>
              <w:t xml:space="preserve"> </w:t>
            </w:r>
            <w:r w:rsidR="00794870" w:rsidRPr="00CB09D5">
              <w:rPr>
                <w:lang w:val="en-GB"/>
              </w:rPr>
              <w:t>a</w:t>
            </w:r>
            <w:r w:rsidR="008A76BD" w:rsidRPr="00CB09D5">
              <w:rPr>
                <w:lang w:val="en-GB"/>
              </w:rPr>
              <w:t>nd</w:t>
            </w:r>
            <w:r w:rsidR="00794870" w:rsidRPr="00CB09D5">
              <w:rPr>
                <w:lang w:val="en-GB"/>
              </w:rPr>
              <w:t xml:space="preserve"> </w:t>
            </w:r>
            <w:r w:rsidR="00CB4CD7">
              <w:rPr>
                <w:lang w:val="en-GB"/>
              </w:rPr>
              <w:t>Q</w:t>
            </w:r>
            <w:r w:rsidR="00794870" w:rsidRPr="00CB09D5">
              <w:rPr>
                <w:lang w:val="en-GB"/>
              </w:rPr>
              <w:t>4</w:t>
            </w:r>
            <w:r w:rsidR="008A76BD" w:rsidRPr="00CB09D5">
              <w:rPr>
                <w:lang w:val="en-GB"/>
              </w:rPr>
              <w:t xml:space="preserve">, it however represents a result of comparison with an above average successful second half of </w:t>
            </w:r>
            <w:r w:rsidR="00BD7C60" w:rsidRPr="00CB09D5">
              <w:rPr>
                <w:lang w:val="en-GB"/>
              </w:rPr>
              <w:t xml:space="preserve">the </w:t>
            </w:r>
            <w:r w:rsidR="008A76BD" w:rsidRPr="00CB09D5">
              <w:rPr>
                <w:lang w:val="en-GB"/>
              </w:rPr>
              <w:t xml:space="preserve">year 2015. </w:t>
            </w:r>
            <w:r w:rsidR="00C250AF" w:rsidRPr="00CB09D5">
              <w:rPr>
                <w:lang w:val="en-GB"/>
              </w:rPr>
              <w:t xml:space="preserve">The end of </w:t>
            </w:r>
            <w:r w:rsidR="00BD7C60" w:rsidRPr="00CB09D5">
              <w:rPr>
                <w:lang w:val="en-GB"/>
              </w:rPr>
              <w:t xml:space="preserve">the </w:t>
            </w:r>
            <w:r w:rsidR="00C250AF" w:rsidRPr="00CB09D5">
              <w:rPr>
                <w:lang w:val="en-GB"/>
              </w:rPr>
              <w:t xml:space="preserve">year </w:t>
            </w:r>
            <w:r w:rsidR="00794870" w:rsidRPr="00CB09D5">
              <w:rPr>
                <w:lang w:val="en-GB"/>
              </w:rPr>
              <w:t>2016</w:t>
            </w:r>
            <w:r w:rsidR="00C250AF" w:rsidRPr="00CB09D5">
              <w:rPr>
                <w:lang w:val="en-GB"/>
              </w:rPr>
              <w:t xml:space="preserve"> was not very successful for exporters of metalworking products, wh</w:t>
            </w:r>
            <w:r w:rsidR="00242C0B" w:rsidRPr="00CB09D5">
              <w:rPr>
                <w:lang w:val="en-GB"/>
              </w:rPr>
              <w:t xml:space="preserve">o </w:t>
            </w:r>
            <w:r w:rsidR="00C250AF" w:rsidRPr="00CB09D5">
              <w:rPr>
                <w:lang w:val="en-GB"/>
              </w:rPr>
              <w:t>did not manage to sustain growth lasting more than th</w:t>
            </w:r>
            <w:r w:rsidR="00124E9C" w:rsidRPr="00CB09D5">
              <w:rPr>
                <w:lang w:val="en-GB"/>
              </w:rPr>
              <w:t>ree years. Exports fell by 11.4</w:t>
            </w:r>
            <w:r w:rsidR="00C250AF" w:rsidRPr="00CB09D5">
              <w:rPr>
                <w:lang w:val="en-GB"/>
              </w:rPr>
              <w:t xml:space="preserve">% in this division in Q4 year-on-year. </w:t>
            </w:r>
            <w:r w:rsidR="00794870" w:rsidRPr="00CB09D5">
              <w:rPr>
                <w:lang w:val="en-GB"/>
              </w:rPr>
              <w:t xml:space="preserve">   </w:t>
            </w:r>
          </w:p>
          <w:p w:rsidR="00794870" w:rsidRPr="00674D93" w:rsidRDefault="00794870" w:rsidP="008A03DE">
            <w:pPr>
              <w:pStyle w:val="Textpoznpodarou"/>
              <w:jc w:val="both"/>
              <w:rPr>
                <w:sz w:val="14"/>
                <w:szCs w:val="14"/>
                <w:lang w:val="en-GB"/>
              </w:rPr>
            </w:pPr>
          </w:p>
        </w:tc>
      </w:tr>
      <w:tr w:rsidR="00794870" w:rsidRPr="00CB09D5" w:rsidTr="00EF6DDD">
        <w:tc>
          <w:tcPr>
            <w:tcW w:w="1072" w:type="pct"/>
            <w:gridSpan w:val="2"/>
          </w:tcPr>
          <w:p w:rsidR="00794870" w:rsidRPr="00CB09D5" w:rsidRDefault="00013E59" w:rsidP="008A03DE">
            <w:pPr>
              <w:spacing w:line="240" w:lineRule="auto"/>
              <w:rPr>
                <w:sz w:val="16"/>
                <w:szCs w:val="16"/>
                <w:highlight w:val="yellow"/>
                <w:lang w:val="en-GB"/>
              </w:rPr>
            </w:pPr>
            <w:r w:rsidRPr="00CB09D5">
              <w:rPr>
                <w:sz w:val="16"/>
                <w:szCs w:val="16"/>
                <w:lang w:val="en-GB"/>
              </w:rPr>
              <w:t xml:space="preserve">Imports stagnated. Renewal of the chemical production in the Czech Republic led to higher imports of oil as well as lowering of dependence on imports of </w:t>
            </w:r>
            <w:r w:rsidR="009C32EC" w:rsidRPr="00CB09D5">
              <w:rPr>
                <w:sz w:val="16"/>
                <w:szCs w:val="16"/>
                <w:lang w:val="en-GB"/>
              </w:rPr>
              <w:t>foreign</w:t>
            </w:r>
            <w:r w:rsidRPr="00CB09D5">
              <w:rPr>
                <w:sz w:val="16"/>
                <w:szCs w:val="16"/>
                <w:lang w:val="en-GB"/>
              </w:rPr>
              <w:t xml:space="preserve"> chemical products in Q4.</w:t>
            </w:r>
          </w:p>
        </w:tc>
        <w:tc>
          <w:tcPr>
            <w:tcW w:w="142" w:type="pct"/>
          </w:tcPr>
          <w:p w:rsidR="00794870" w:rsidRPr="00CB09D5" w:rsidRDefault="00794870" w:rsidP="00D94859">
            <w:pPr>
              <w:pStyle w:val="Textpoznpodarou"/>
              <w:jc w:val="both"/>
              <w:rPr>
                <w:lang w:val="en-GB"/>
              </w:rPr>
            </w:pPr>
          </w:p>
        </w:tc>
        <w:tc>
          <w:tcPr>
            <w:tcW w:w="3786" w:type="pct"/>
            <w:gridSpan w:val="3"/>
          </w:tcPr>
          <w:p w:rsidR="00794870" w:rsidRPr="00CB09D5" w:rsidRDefault="00E3167A" w:rsidP="008A03DE">
            <w:pPr>
              <w:pStyle w:val="Textpoznpodarou"/>
              <w:jc w:val="both"/>
              <w:rPr>
                <w:sz w:val="16"/>
                <w:szCs w:val="16"/>
                <w:lang w:val="en-GB"/>
              </w:rPr>
            </w:pPr>
            <w:r w:rsidRPr="00CB09D5">
              <w:rPr>
                <w:lang w:val="en-GB"/>
              </w:rPr>
              <w:t>Total import</w:t>
            </w:r>
            <w:r w:rsidR="001C24D7" w:rsidRPr="00CB09D5">
              <w:rPr>
                <w:lang w:val="en-GB"/>
              </w:rPr>
              <w:t>s</w:t>
            </w:r>
            <w:r w:rsidRPr="00CB09D5">
              <w:rPr>
                <w:lang w:val="en-GB"/>
              </w:rPr>
              <w:t xml:space="preserve"> into the Czech Republic attained the value of </w:t>
            </w:r>
            <w:r w:rsidR="00794870" w:rsidRPr="00CB09D5">
              <w:rPr>
                <w:lang w:val="en-GB"/>
              </w:rPr>
              <w:t>3</w:t>
            </w:r>
            <w:r w:rsidR="00217980" w:rsidRPr="00CB09D5">
              <w:rPr>
                <w:lang w:val="en-GB"/>
              </w:rPr>
              <w:t> </w:t>
            </w:r>
            <w:r w:rsidR="00794870" w:rsidRPr="00CB09D5">
              <w:rPr>
                <w:lang w:val="en-GB"/>
              </w:rPr>
              <w:t xml:space="preserve">145 </w:t>
            </w:r>
            <w:r w:rsidR="00C4216C" w:rsidRPr="00CB09D5">
              <w:rPr>
                <w:lang w:val="en-GB"/>
              </w:rPr>
              <w:t>CZK bn</w:t>
            </w:r>
            <w:r w:rsidRPr="00CB09D5">
              <w:rPr>
                <w:lang w:val="en-GB"/>
              </w:rPr>
              <w:t>. Imports fr</w:t>
            </w:r>
            <w:r w:rsidR="00124E9C" w:rsidRPr="00CB09D5">
              <w:rPr>
                <w:lang w:val="en-GB"/>
              </w:rPr>
              <w:t>om the EU grew similarly by 2.7</w:t>
            </w:r>
            <w:r w:rsidRPr="00CB09D5">
              <w:rPr>
                <w:lang w:val="en-GB"/>
              </w:rPr>
              <w:t>% year-on-year in the fir</w:t>
            </w:r>
            <w:r w:rsidR="001C24D7" w:rsidRPr="00CB09D5">
              <w:rPr>
                <w:lang w:val="en-GB"/>
              </w:rPr>
              <w:t>st two quarters and they</w:t>
            </w:r>
            <w:r w:rsidRPr="00CB09D5">
              <w:rPr>
                <w:lang w:val="en-GB"/>
              </w:rPr>
              <w:t xml:space="preserve"> </w:t>
            </w:r>
            <w:r w:rsidR="00C92AE8" w:rsidRPr="00CB09D5">
              <w:rPr>
                <w:lang w:val="en-GB"/>
              </w:rPr>
              <w:t>subsequently</w:t>
            </w:r>
            <w:r w:rsidRPr="00CB09D5">
              <w:rPr>
                <w:lang w:val="en-GB"/>
              </w:rPr>
              <w:t xml:space="preserve"> slowed down and increased</w:t>
            </w:r>
            <w:r w:rsidR="00FB5D61" w:rsidRPr="00CB09D5">
              <w:rPr>
                <w:lang w:val="en-GB"/>
              </w:rPr>
              <w:t xml:space="preserve"> </w:t>
            </w:r>
            <w:r w:rsidR="00124E9C" w:rsidRPr="00CB09D5">
              <w:rPr>
                <w:lang w:val="en-GB"/>
              </w:rPr>
              <w:t>only by 0.2% and 0.6</w:t>
            </w:r>
            <w:r w:rsidRPr="00CB09D5">
              <w:rPr>
                <w:lang w:val="en-GB"/>
              </w:rPr>
              <w:t xml:space="preserve">% in Q3 and </w:t>
            </w:r>
            <w:r w:rsidR="00CB4CD7">
              <w:rPr>
                <w:lang w:val="en-GB"/>
              </w:rPr>
              <w:t>Q</w:t>
            </w:r>
            <w:r w:rsidRPr="00CB09D5">
              <w:rPr>
                <w:lang w:val="en-GB"/>
              </w:rPr>
              <w:t xml:space="preserve">4. </w:t>
            </w:r>
            <w:r w:rsidR="00C92AE8" w:rsidRPr="00CB09D5">
              <w:rPr>
                <w:lang w:val="en-GB"/>
              </w:rPr>
              <w:t>Imports from Pola</w:t>
            </w:r>
            <w:r w:rsidR="00691008" w:rsidRPr="00CB09D5">
              <w:rPr>
                <w:lang w:val="en-GB"/>
              </w:rPr>
              <w:t>n</w:t>
            </w:r>
            <w:r w:rsidR="00C92AE8" w:rsidRPr="00CB09D5">
              <w:rPr>
                <w:lang w:val="en-GB"/>
              </w:rPr>
              <w:t>d had a noticeable share on</w:t>
            </w:r>
            <w:r w:rsidR="00124E9C" w:rsidRPr="00CB09D5">
              <w:rPr>
                <w:lang w:val="en-GB"/>
              </w:rPr>
              <w:t xml:space="preserve"> the growth, increasing by 13.6% and 5.9</w:t>
            </w:r>
            <w:r w:rsidR="00C92AE8" w:rsidRPr="00CB09D5">
              <w:rPr>
                <w:lang w:val="en-GB"/>
              </w:rPr>
              <w:t xml:space="preserve">% year-on-year in the first half of the year. </w:t>
            </w:r>
            <w:r w:rsidR="00CD715D" w:rsidRPr="00CB09D5">
              <w:rPr>
                <w:lang w:val="en-GB"/>
              </w:rPr>
              <w:t>Imports from</w:t>
            </w:r>
            <w:r w:rsidR="00124E9C" w:rsidRPr="00CB09D5">
              <w:rPr>
                <w:lang w:val="en-GB"/>
              </w:rPr>
              <w:t xml:space="preserve"> the Great Britain rose by 11.4</w:t>
            </w:r>
            <w:r w:rsidR="00CD715D" w:rsidRPr="00CB09D5">
              <w:rPr>
                <w:lang w:val="en-GB"/>
              </w:rPr>
              <w:t xml:space="preserve">% in </w:t>
            </w:r>
            <w:r w:rsidR="00794870" w:rsidRPr="00CB09D5">
              <w:rPr>
                <w:lang w:val="en-GB"/>
              </w:rPr>
              <w:t>2016</w:t>
            </w:r>
            <w:r w:rsidR="00CD715D" w:rsidRPr="00CB09D5">
              <w:rPr>
                <w:lang w:val="en-GB"/>
              </w:rPr>
              <w:t>. Imports from Germany</w:t>
            </w:r>
            <w:r w:rsidR="00124E9C" w:rsidRPr="00CB09D5">
              <w:rPr>
                <w:lang w:val="en-GB"/>
              </w:rPr>
              <w:t xml:space="preserve"> stagnated and grew only by 0.4</w:t>
            </w:r>
            <w:r w:rsidR="00CD715D" w:rsidRPr="00CB09D5">
              <w:rPr>
                <w:lang w:val="en-GB"/>
              </w:rPr>
              <w:t>%</w:t>
            </w:r>
            <w:r w:rsidR="00794870" w:rsidRPr="00CB09D5">
              <w:rPr>
                <w:lang w:val="en-GB"/>
              </w:rPr>
              <w:t xml:space="preserve">. </w:t>
            </w:r>
            <w:r w:rsidR="006621EB" w:rsidRPr="00CB09D5">
              <w:rPr>
                <w:lang w:val="en-GB"/>
              </w:rPr>
              <w:t xml:space="preserve">Imports from Slovakia fell </w:t>
            </w:r>
            <w:r w:rsidR="00124E9C" w:rsidRPr="00CB09D5">
              <w:rPr>
                <w:lang w:val="en-GB"/>
              </w:rPr>
              <w:t>by 1.1</w:t>
            </w:r>
            <w:r w:rsidR="006621EB" w:rsidRPr="00CB09D5">
              <w:rPr>
                <w:lang w:val="en-GB"/>
              </w:rPr>
              <w:t>% in total for the whole year</w:t>
            </w:r>
            <w:r w:rsidR="00794870" w:rsidRPr="00CB09D5">
              <w:rPr>
                <w:lang w:val="en-GB"/>
              </w:rPr>
              <w:t xml:space="preserve"> a</w:t>
            </w:r>
            <w:r w:rsidR="006621EB" w:rsidRPr="00CB09D5">
              <w:rPr>
                <w:lang w:val="en-GB"/>
              </w:rPr>
              <w:t xml:space="preserve">nd </w:t>
            </w:r>
            <w:r w:rsidR="00F16807">
              <w:rPr>
                <w:lang w:val="en-GB"/>
              </w:rPr>
              <w:t xml:space="preserve">to </w:t>
            </w:r>
            <w:r w:rsidR="006621EB" w:rsidRPr="00CB09D5">
              <w:rPr>
                <w:lang w:val="en-GB"/>
              </w:rPr>
              <w:t xml:space="preserve">Austria </w:t>
            </w:r>
            <w:r w:rsidR="00F16807">
              <w:rPr>
                <w:lang w:val="en-GB"/>
              </w:rPr>
              <w:t xml:space="preserve">by </w:t>
            </w:r>
            <w:r w:rsidR="00794870" w:rsidRPr="00CB09D5">
              <w:rPr>
                <w:lang w:val="en-GB"/>
              </w:rPr>
              <w:t>-3</w:t>
            </w:r>
            <w:r w:rsidR="006621EB" w:rsidRPr="00CB09D5">
              <w:rPr>
                <w:lang w:val="en-GB"/>
              </w:rPr>
              <w:t>.</w:t>
            </w:r>
            <w:r w:rsidR="00124E9C" w:rsidRPr="00CB09D5">
              <w:rPr>
                <w:lang w:val="en-GB"/>
              </w:rPr>
              <w:t>4</w:t>
            </w:r>
            <w:r w:rsidR="00794870" w:rsidRPr="00CB09D5">
              <w:rPr>
                <w:lang w:val="en-GB"/>
              </w:rPr>
              <w:t xml:space="preserve">%. </w:t>
            </w:r>
            <w:r w:rsidR="00F36FB3" w:rsidRPr="00CB09D5">
              <w:rPr>
                <w:lang w:val="en-GB"/>
              </w:rPr>
              <w:t>The more than two years lasting slump of the value of imports of oil and natural gas halted with respect to the growing oil prices as well as the renewed production capacities in the chemical industry and associated revival in this branch in Q4 2016 and simultaneously, the imports of chemical substances and products lowered. The value of imports</w:t>
            </w:r>
            <w:r w:rsidR="00124E9C" w:rsidRPr="00CB09D5">
              <w:rPr>
                <w:lang w:val="en-GB"/>
              </w:rPr>
              <w:t xml:space="preserve"> of motor vehicles rose by 12.4</w:t>
            </w:r>
            <w:r w:rsidR="00F36FB3" w:rsidRPr="00CB09D5">
              <w:rPr>
                <w:lang w:val="en-GB"/>
              </w:rPr>
              <w:t>% a</w:t>
            </w:r>
            <w:r w:rsidR="00124E9C" w:rsidRPr="00CB09D5">
              <w:rPr>
                <w:lang w:val="en-GB"/>
              </w:rPr>
              <w:t>nd electrical appliances by 5.6</w:t>
            </w:r>
            <w:r w:rsidR="00F36FB3" w:rsidRPr="00CB09D5">
              <w:rPr>
                <w:lang w:val="en-GB"/>
              </w:rPr>
              <w:t xml:space="preserve">% in </w:t>
            </w:r>
            <w:r w:rsidR="00794870" w:rsidRPr="00CB09D5">
              <w:rPr>
                <w:lang w:val="en-GB"/>
              </w:rPr>
              <w:t>2016</w:t>
            </w:r>
            <w:r w:rsidR="00F36FB3" w:rsidRPr="00CB09D5">
              <w:rPr>
                <w:lang w:val="en-GB"/>
              </w:rPr>
              <w:t xml:space="preserve">. Import of computers and electronic appliances decreased by </w:t>
            </w:r>
            <w:r w:rsidR="00794870" w:rsidRPr="00CB09D5">
              <w:rPr>
                <w:lang w:val="en-GB"/>
              </w:rPr>
              <w:t>5</w:t>
            </w:r>
            <w:r w:rsidR="00F36FB3" w:rsidRPr="00CB09D5">
              <w:rPr>
                <w:lang w:val="en-GB"/>
              </w:rPr>
              <w:t>.</w:t>
            </w:r>
            <w:r w:rsidR="00124E9C" w:rsidRPr="00CB09D5">
              <w:rPr>
                <w:lang w:val="en-GB"/>
              </w:rPr>
              <w:t>6</w:t>
            </w:r>
            <w:r w:rsidR="00794870" w:rsidRPr="00CB09D5">
              <w:rPr>
                <w:lang w:val="en-GB"/>
              </w:rPr>
              <w:t>% a</w:t>
            </w:r>
            <w:r w:rsidR="00F36FB3" w:rsidRPr="00CB09D5">
              <w:rPr>
                <w:lang w:val="en-GB"/>
              </w:rPr>
              <w:t xml:space="preserve">nd </w:t>
            </w:r>
            <w:r w:rsidR="00AB38B7" w:rsidRPr="00CB09D5">
              <w:rPr>
                <w:lang w:val="en-GB"/>
              </w:rPr>
              <w:t xml:space="preserve">machinery and equipment by </w:t>
            </w:r>
            <w:r w:rsidR="00794870" w:rsidRPr="00CB09D5">
              <w:rPr>
                <w:lang w:val="en-GB"/>
              </w:rPr>
              <w:t>3</w:t>
            </w:r>
            <w:r w:rsidR="00AB38B7" w:rsidRPr="00CB09D5">
              <w:rPr>
                <w:lang w:val="en-GB"/>
              </w:rPr>
              <w:t>.</w:t>
            </w:r>
            <w:r w:rsidR="00124E9C" w:rsidRPr="00CB09D5">
              <w:rPr>
                <w:lang w:val="en-GB"/>
              </w:rPr>
              <w:t>6</w:t>
            </w:r>
            <w:r w:rsidR="00794870" w:rsidRPr="00CB09D5">
              <w:rPr>
                <w:lang w:val="en-GB"/>
              </w:rPr>
              <w:t>%.</w:t>
            </w:r>
          </w:p>
          <w:p w:rsidR="00794870" w:rsidRPr="00674D93" w:rsidRDefault="00794870" w:rsidP="008A03DE">
            <w:pPr>
              <w:pStyle w:val="Textpoznpodarou"/>
              <w:jc w:val="both"/>
              <w:rPr>
                <w:sz w:val="14"/>
                <w:szCs w:val="14"/>
                <w:highlight w:val="yellow"/>
                <w:lang w:val="en-GB"/>
              </w:rPr>
            </w:pPr>
            <w:r w:rsidRPr="00CB09D5">
              <w:rPr>
                <w:lang w:val="en-GB"/>
              </w:rPr>
              <w:t xml:space="preserve">      </w:t>
            </w:r>
          </w:p>
        </w:tc>
      </w:tr>
      <w:tr w:rsidR="00794870" w:rsidRPr="00CB09D5" w:rsidTr="00EF6DDD">
        <w:tc>
          <w:tcPr>
            <w:tcW w:w="1072" w:type="pct"/>
            <w:gridSpan w:val="2"/>
          </w:tcPr>
          <w:p w:rsidR="00794870" w:rsidRPr="00CB09D5" w:rsidRDefault="00B854A8" w:rsidP="008A03DE">
            <w:pPr>
              <w:spacing w:line="240" w:lineRule="auto"/>
              <w:rPr>
                <w:sz w:val="16"/>
                <w:szCs w:val="16"/>
                <w:highlight w:val="yellow"/>
                <w:lang w:val="en-GB"/>
              </w:rPr>
            </w:pPr>
            <w:r w:rsidRPr="00CB09D5">
              <w:rPr>
                <w:sz w:val="16"/>
                <w:szCs w:val="16"/>
                <w:lang w:val="en-GB"/>
              </w:rPr>
              <w:t xml:space="preserve">Foreign trade </w:t>
            </w:r>
            <w:r w:rsidR="00EF1DAA" w:rsidRPr="00CB09D5">
              <w:rPr>
                <w:sz w:val="16"/>
                <w:szCs w:val="16"/>
                <w:lang w:val="en-GB"/>
              </w:rPr>
              <w:t>surplus</w:t>
            </w:r>
            <w:r w:rsidRPr="00CB09D5">
              <w:rPr>
                <w:sz w:val="16"/>
                <w:szCs w:val="16"/>
                <w:lang w:val="en-GB"/>
              </w:rPr>
              <w:t xml:space="preserve"> reached record values, despite mild weakening of the export performances by the end of the year</w:t>
            </w:r>
            <w:r w:rsidR="00E41A59" w:rsidRPr="00CB09D5">
              <w:rPr>
                <w:sz w:val="16"/>
                <w:szCs w:val="16"/>
                <w:lang w:val="en-GB"/>
              </w:rPr>
              <w:t>.</w:t>
            </w:r>
          </w:p>
        </w:tc>
        <w:tc>
          <w:tcPr>
            <w:tcW w:w="142" w:type="pct"/>
          </w:tcPr>
          <w:p w:rsidR="00794870" w:rsidRPr="00CB09D5" w:rsidRDefault="00794870" w:rsidP="00D94859">
            <w:pPr>
              <w:pStyle w:val="Textpoznpodarou"/>
              <w:jc w:val="both"/>
              <w:rPr>
                <w:lang w:val="en-GB"/>
              </w:rPr>
            </w:pPr>
          </w:p>
        </w:tc>
        <w:tc>
          <w:tcPr>
            <w:tcW w:w="3786" w:type="pct"/>
            <w:gridSpan w:val="3"/>
          </w:tcPr>
          <w:p w:rsidR="00794870" w:rsidRPr="00CB09D5" w:rsidRDefault="00B36817" w:rsidP="008A03DE">
            <w:pPr>
              <w:pStyle w:val="Textpoznpodarou"/>
              <w:jc w:val="both"/>
              <w:rPr>
                <w:sz w:val="16"/>
                <w:szCs w:val="16"/>
                <w:lang w:val="en-GB"/>
              </w:rPr>
            </w:pPr>
            <w:r w:rsidRPr="00CB09D5">
              <w:rPr>
                <w:lang w:val="en-GB"/>
              </w:rPr>
              <w:t xml:space="preserve">Surplus of the foreign trade arrived at 167.0 </w:t>
            </w:r>
            <w:r w:rsidR="00C4216C" w:rsidRPr="00CB09D5">
              <w:rPr>
                <w:lang w:val="en-GB"/>
              </w:rPr>
              <w:t>CZK bn</w:t>
            </w:r>
            <w:r w:rsidRPr="00CB09D5">
              <w:rPr>
                <w:lang w:val="en-GB"/>
              </w:rPr>
              <w:t xml:space="preserve"> in 2016 and overtook the surplus from </w:t>
            </w:r>
            <w:r w:rsidR="00BD7C60" w:rsidRPr="00CB09D5">
              <w:rPr>
                <w:lang w:val="en-GB"/>
              </w:rPr>
              <w:t xml:space="preserve">the </w:t>
            </w:r>
            <w:r w:rsidRPr="00CB09D5">
              <w:rPr>
                <w:lang w:val="en-GB"/>
              </w:rPr>
              <w:t xml:space="preserve">year 2015 by </w:t>
            </w:r>
            <w:r w:rsidR="00794870" w:rsidRPr="00CB09D5">
              <w:rPr>
                <w:lang w:val="en-GB"/>
              </w:rPr>
              <w:t>36</w:t>
            </w:r>
            <w:r w:rsidRPr="00CB09D5">
              <w:rPr>
                <w:lang w:val="en-GB"/>
              </w:rPr>
              <w:t>.</w:t>
            </w:r>
            <w:r w:rsidR="00794870" w:rsidRPr="00CB09D5">
              <w:rPr>
                <w:lang w:val="en-GB"/>
              </w:rPr>
              <w:t>1</w:t>
            </w:r>
            <w:r w:rsidRPr="00CB09D5">
              <w:rPr>
                <w:lang w:val="en-GB"/>
              </w:rPr>
              <w:t xml:space="preserve"> bn</w:t>
            </w:r>
            <w:r w:rsidR="00794870" w:rsidRPr="00CB09D5">
              <w:rPr>
                <w:rStyle w:val="Znakapoznpodarou"/>
                <w:lang w:val="en-GB"/>
              </w:rPr>
              <w:footnoteReference w:id="22"/>
            </w:r>
            <w:r w:rsidRPr="00CB09D5">
              <w:rPr>
                <w:lang w:val="en-GB"/>
              </w:rPr>
              <w:t xml:space="preserve">. This difference was attained exclusively in the first three quarters. </w:t>
            </w:r>
            <w:r w:rsidR="00794870" w:rsidRPr="00CB09D5">
              <w:rPr>
                <w:lang w:val="en-GB"/>
              </w:rPr>
              <w:t xml:space="preserve"> </w:t>
            </w:r>
            <w:r w:rsidRPr="00CB09D5">
              <w:rPr>
                <w:lang w:val="en-GB"/>
              </w:rPr>
              <w:t xml:space="preserve">The balance surplus was lower compared to Q4 2015 at the end of the year. The Czech </w:t>
            </w:r>
            <w:r w:rsidR="0047020E" w:rsidRPr="00CB09D5">
              <w:rPr>
                <w:lang w:val="en-GB"/>
              </w:rPr>
              <w:t>Republic</w:t>
            </w:r>
            <w:r w:rsidRPr="00CB09D5">
              <w:rPr>
                <w:lang w:val="en-GB"/>
              </w:rPr>
              <w:t xml:space="preserve"> has traditionally a positive surplus of </w:t>
            </w:r>
            <w:r w:rsidRPr="00CB09D5">
              <w:rPr>
                <w:lang w:val="en-GB"/>
              </w:rPr>
              <w:lastRenderedPageBreak/>
              <w:t xml:space="preserve">the foreign trade with the EU. </w:t>
            </w:r>
            <w:r w:rsidR="001322B4" w:rsidRPr="00CB09D5">
              <w:rPr>
                <w:lang w:val="en-GB"/>
              </w:rPr>
              <w:t xml:space="preserve">Surplus of trade with Germany reached 208.4 </w:t>
            </w:r>
            <w:r w:rsidR="00C4216C" w:rsidRPr="00CB09D5">
              <w:rPr>
                <w:lang w:val="en-GB"/>
              </w:rPr>
              <w:t>CZK bn</w:t>
            </w:r>
            <w:r w:rsidR="001322B4" w:rsidRPr="00CB09D5">
              <w:rPr>
                <w:lang w:val="en-GB"/>
              </w:rPr>
              <w:t xml:space="preserve"> for the whole year and it increased by 14.0 bn </w:t>
            </w:r>
            <w:proofErr w:type="gramStart"/>
            <w:r w:rsidR="001322B4" w:rsidRPr="00CB09D5">
              <w:rPr>
                <w:lang w:val="en-GB"/>
              </w:rPr>
              <w:t>year-on-year</w:t>
            </w:r>
            <w:proofErr w:type="gramEnd"/>
            <w:r w:rsidR="001322B4" w:rsidRPr="00CB09D5">
              <w:rPr>
                <w:lang w:val="en-GB"/>
              </w:rPr>
              <w:t xml:space="preserve">. The positive balance with France increased </w:t>
            </w:r>
            <w:r w:rsidR="00794870" w:rsidRPr="00CB09D5">
              <w:rPr>
                <w:lang w:val="en-GB"/>
              </w:rPr>
              <w:t>(+3</w:t>
            </w:r>
            <w:r w:rsidR="001322B4" w:rsidRPr="00CB09D5">
              <w:rPr>
                <w:lang w:val="en-GB"/>
              </w:rPr>
              <w:t>.</w:t>
            </w:r>
            <w:r w:rsidR="00794870" w:rsidRPr="00CB09D5">
              <w:rPr>
                <w:lang w:val="en-GB"/>
              </w:rPr>
              <w:t xml:space="preserve">4 </w:t>
            </w:r>
            <w:r w:rsidR="00C4216C" w:rsidRPr="00CB09D5">
              <w:rPr>
                <w:lang w:val="en-GB"/>
              </w:rPr>
              <w:t>CZK bn</w:t>
            </w:r>
            <w:r w:rsidR="00794870" w:rsidRPr="00CB09D5">
              <w:rPr>
                <w:lang w:val="en-GB"/>
              </w:rPr>
              <w:t>) a</w:t>
            </w:r>
            <w:r w:rsidR="001322B4" w:rsidRPr="00CB09D5">
              <w:rPr>
                <w:lang w:val="en-GB"/>
              </w:rPr>
              <w:t xml:space="preserve">nd Austria </w:t>
            </w:r>
            <w:r w:rsidR="00794870" w:rsidRPr="00CB09D5">
              <w:rPr>
                <w:lang w:val="en-GB"/>
              </w:rPr>
              <w:t>(+6</w:t>
            </w:r>
            <w:r w:rsidR="001322B4" w:rsidRPr="00CB09D5">
              <w:rPr>
                <w:lang w:val="en-GB"/>
              </w:rPr>
              <w:t>.</w:t>
            </w:r>
            <w:r w:rsidR="00794870" w:rsidRPr="00CB09D5">
              <w:rPr>
                <w:lang w:val="en-GB"/>
              </w:rPr>
              <w:t xml:space="preserve">0 </w:t>
            </w:r>
            <w:r w:rsidR="001322B4" w:rsidRPr="00CB09D5">
              <w:rPr>
                <w:lang w:val="en-GB"/>
              </w:rPr>
              <w:t>bn</w:t>
            </w:r>
            <w:r w:rsidR="00794870" w:rsidRPr="00CB09D5">
              <w:rPr>
                <w:lang w:val="en-GB"/>
              </w:rPr>
              <w:t xml:space="preserve">). </w:t>
            </w:r>
            <w:r w:rsidR="001322B4" w:rsidRPr="00CB09D5">
              <w:rPr>
                <w:lang w:val="en-GB"/>
              </w:rPr>
              <w:t xml:space="preserve">The Czech Republic attained surplus of trade with Slovakia in the amount of </w:t>
            </w:r>
            <w:r w:rsidR="00794870" w:rsidRPr="00CB09D5">
              <w:rPr>
                <w:lang w:val="en-GB"/>
              </w:rPr>
              <w:t>147</w:t>
            </w:r>
            <w:r w:rsidR="001322B4" w:rsidRPr="00CB09D5">
              <w:rPr>
                <w:lang w:val="en-GB"/>
              </w:rPr>
              <w:t>.</w:t>
            </w:r>
            <w:r w:rsidR="00794870" w:rsidRPr="00CB09D5">
              <w:rPr>
                <w:lang w:val="en-GB"/>
              </w:rPr>
              <w:t xml:space="preserve">8 </w:t>
            </w:r>
            <w:r w:rsidR="00C4216C" w:rsidRPr="00CB09D5">
              <w:rPr>
                <w:lang w:val="en-GB"/>
              </w:rPr>
              <w:t>CZK bn</w:t>
            </w:r>
            <w:r w:rsidR="001322B4" w:rsidRPr="00CB09D5">
              <w:rPr>
                <w:lang w:val="en-GB"/>
              </w:rPr>
              <w:t xml:space="preserve"> and 95.0 </w:t>
            </w:r>
            <w:r w:rsidR="00C4216C" w:rsidRPr="00CB09D5">
              <w:rPr>
                <w:lang w:val="en-GB"/>
              </w:rPr>
              <w:t>CZK bn</w:t>
            </w:r>
            <w:r w:rsidR="001322B4" w:rsidRPr="00CB09D5">
              <w:rPr>
                <w:lang w:val="en-GB"/>
              </w:rPr>
              <w:t xml:space="preserve"> with Great Britain, but these two surpluses shrank compared to </w:t>
            </w:r>
            <w:r w:rsidR="00F82727" w:rsidRPr="00CB09D5">
              <w:rPr>
                <w:lang w:val="en-GB"/>
              </w:rPr>
              <w:t xml:space="preserve">the </w:t>
            </w:r>
            <w:r w:rsidR="001322B4" w:rsidRPr="00CB09D5">
              <w:rPr>
                <w:lang w:val="en-GB"/>
              </w:rPr>
              <w:t>year 2015. D</w:t>
            </w:r>
            <w:r w:rsidR="00794870" w:rsidRPr="00CB09D5">
              <w:rPr>
                <w:lang w:val="en-GB"/>
              </w:rPr>
              <w:t xml:space="preserve">eficit </w:t>
            </w:r>
            <w:r w:rsidR="001322B4" w:rsidRPr="00CB09D5">
              <w:rPr>
                <w:lang w:val="en-GB"/>
              </w:rPr>
              <w:t xml:space="preserve">of the trade with Poland deepened by 8.9 </w:t>
            </w:r>
            <w:r w:rsidR="00C4216C" w:rsidRPr="00CB09D5">
              <w:rPr>
                <w:lang w:val="en-GB"/>
              </w:rPr>
              <w:t>CZK bn</w:t>
            </w:r>
            <w:r w:rsidR="001322B4" w:rsidRPr="00CB09D5">
              <w:rPr>
                <w:lang w:val="en-GB"/>
              </w:rPr>
              <w:t xml:space="preserve"> and reached 73.0 bn. The negative balance of trade with the countries outside the EU prevails.</w:t>
            </w:r>
            <w:r w:rsidR="00582C84" w:rsidRPr="00CB09D5">
              <w:rPr>
                <w:lang w:val="en-GB"/>
              </w:rPr>
              <w:t xml:space="preserve"> </w:t>
            </w:r>
          </w:p>
          <w:p w:rsidR="00794870" w:rsidRPr="00674D93" w:rsidRDefault="00794870" w:rsidP="008A03DE">
            <w:pPr>
              <w:pStyle w:val="Textpoznpodarou"/>
              <w:jc w:val="both"/>
              <w:rPr>
                <w:sz w:val="14"/>
                <w:szCs w:val="14"/>
                <w:lang w:val="en-GB"/>
              </w:rPr>
            </w:pPr>
          </w:p>
        </w:tc>
      </w:tr>
      <w:tr w:rsidR="005A3210" w:rsidRPr="00CB09D5" w:rsidTr="00EF6DDD">
        <w:tblPrEx>
          <w:tblCellMar>
            <w:left w:w="70" w:type="dxa"/>
            <w:right w:w="70" w:type="dxa"/>
          </w:tblCellMar>
          <w:tblLook w:val="0000"/>
        </w:tblPrEx>
        <w:tc>
          <w:tcPr>
            <w:tcW w:w="418" w:type="pct"/>
          </w:tcPr>
          <w:p w:rsidR="00BD5298" w:rsidRPr="00CB09D5" w:rsidRDefault="001528DF" w:rsidP="00D94859">
            <w:pPr>
              <w:pStyle w:val="Textpoznpodarou"/>
              <w:rPr>
                <w:lang w:val="en-GB"/>
              </w:rPr>
            </w:pPr>
            <w:r w:rsidRPr="00CB09D5">
              <w:rPr>
                <w:lang w:val="en-GB"/>
              </w:rPr>
              <w:lastRenderedPageBreak/>
              <w:t>Chart</w:t>
            </w:r>
            <w:r w:rsidR="007430AB" w:rsidRPr="00CB09D5">
              <w:rPr>
                <w:lang w:val="en-GB"/>
              </w:rPr>
              <w:t xml:space="preserve"> </w:t>
            </w:r>
            <w:r w:rsidR="00BD5298" w:rsidRPr="00CB09D5">
              <w:rPr>
                <w:lang w:val="en-GB"/>
              </w:rPr>
              <w:t>9</w:t>
            </w:r>
          </w:p>
        </w:tc>
        <w:tc>
          <w:tcPr>
            <w:tcW w:w="2076" w:type="pct"/>
            <w:gridSpan w:val="3"/>
          </w:tcPr>
          <w:p w:rsidR="00BD5298" w:rsidRPr="00CB09D5" w:rsidRDefault="00B854A8" w:rsidP="00B854A8">
            <w:pPr>
              <w:pStyle w:val="Textpoznpodarou"/>
              <w:rPr>
                <w:lang w:val="en-GB"/>
              </w:rPr>
            </w:pPr>
            <w:r w:rsidRPr="00CB09D5">
              <w:rPr>
                <w:b/>
                <w:lang w:val="en-GB"/>
              </w:rPr>
              <w:t xml:space="preserve">Current account of Balance of Payments </w:t>
            </w:r>
            <w:r w:rsidR="00BD5298" w:rsidRPr="00CB09D5">
              <w:rPr>
                <w:lang w:val="en-GB"/>
              </w:rPr>
              <w:t>(</w:t>
            </w:r>
            <w:proofErr w:type="spellStart"/>
            <w:r w:rsidR="001528DF" w:rsidRPr="00CB09D5">
              <w:rPr>
                <w:lang w:val="en-GB"/>
              </w:rPr>
              <w:t>cumulation</w:t>
            </w:r>
            <w:proofErr w:type="spellEnd"/>
            <w:r w:rsidR="001528DF" w:rsidRPr="00CB09D5">
              <w:rPr>
                <w:lang w:val="en-GB"/>
              </w:rPr>
              <w:t xml:space="preserve"> for </w:t>
            </w:r>
            <w:r w:rsidR="00F82727" w:rsidRPr="00CB09D5">
              <w:rPr>
                <w:lang w:val="en-GB"/>
              </w:rPr>
              <w:t xml:space="preserve">the </w:t>
            </w:r>
            <w:r w:rsidR="001528DF" w:rsidRPr="00CB09D5">
              <w:rPr>
                <w:lang w:val="en-GB"/>
              </w:rPr>
              <w:t xml:space="preserve">year </w:t>
            </w:r>
            <w:r w:rsidR="00E372FD" w:rsidRPr="00CB09D5">
              <w:rPr>
                <w:lang w:val="en-GB"/>
              </w:rPr>
              <w:t>2016</w:t>
            </w:r>
            <w:r w:rsidR="00BD5298" w:rsidRPr="00CB09D5">
              <w:rPr>
                <w:lang w:val="en-GB"/>
              </w:rPr>
              <w:t xml:space="preserve"> </w:t>
            </w:r>
            <w:r w:rsidR="001528DF" w:rsidRPr="00CB09D5">
              <w:rPr>
                <w:lang w:val="en-GB"/>
              </w:rPr>
              <w:t xml:space="preserve">in </w:t>
            </w:r>
            <w:r w:rsidR="00C4216C" w:rsidRPr="00CB09D5">
              <w:rPr>
                <w:lang w:val="en-GB"/>
              </w:rPr>
              <w:t>CZK bn</w:t>
            </w:r>
            <w:r w:rsidR="001528DF" w:rsidRPr="00CB09D5">
              <w:rPr>
                <w:lang w:val="en-GB"/>
              </w:rPr>
              <w:t xml:space="preserve">, </w:t>
            </w:r>
            <w:r w:rsidR="00E372FD" w:rsidRPr="00CB09D5">
              <w:rPr>
                <w:lang w:val="en-GB"/>
              </w:rPr>
              <w:t>FOB/FOB</w:t>
            </w:r>
            <w:r w:rsidR="00BD5298" w:rsidRPr="00CB09D5">
              <w:rPr>
                <w:lang w:val="en-GB"/>
              </w:rPr>
              <w:t>)</w:t>
            </w:r>
          </w:p>
        </w:tc>
        <w:tc>
          <w:tcPr>
            <w:tcW w:w="566" w:type="pct"/>
          </w:tcPr>
          <w:p w:rsidR="00BD5298" w:rsidRPr="00CB09D5" w:rsidRDefault="00B854A8" w:rsidP="00B854A8">
            <w:pPr>
              <w:pStyle w:val="Textpoznpodarou"/>
              <w:rPr>
                <w:lang w:val="en-GB"/>
              </w:rPr>
            </w:pPr>
            <w:r w:rsidRPr="00CB09D5">
              <w:rPr>
                <w:lang w:val="en-GB"/>
              </w:rPr>
              <w:t xml:space="preserve">Chart </w:t>
            </w:r>
            <w:r w:rsidR="00BD5298" w:rsidRPr="00CB09D5">
              <w:rPr>
                <w:lang w:val="en-GB"/>
              </w:rPr>
              <w:t>10</w:t>
            </w:r>
          </w:p>
        </w:tc>
        <w:tc>
          <w:tcPr>
            <w:tcW w:w="1940" w:type="pct"/>
          </w:tcPr>
          <w:p w:rsidR="00BD5298" w:rsidRPr="00CB09D5" w:rsidRDefault="005B2944" w:rsidP="006E182C">
            <w:pPr>
              <w:pStyle w:val="Textpoznpodarou"/>
              <w:rPr>
                <w:b/>
                <w:lang w:val="en-GB"/>
              </w:rPr>
            </w:pPr>
            <w:r w:rsidRPr="00CB09D5">
              <w:rPr>
                <w:b/>
                <w:lang w:val="en-GB"/>
              </w:rPr>
              <w:t>Balance of foreign trade with goods in national concept in 201</w:t>
            </w:r>
            <w:r w:rsidR="005C4978" w:rsidRPr="00CB09D5">
              <w:rPr>
                <w:b/>
                <w:lang w:val="en-GB"/>
              </w:rPr>
              <w:t>6</w:t>
            </w:r>
            <w:r w:rsidRPr="00CB09D5">
              <w:rPr>
                <w:b/>
                <w:lang w:val="en-GB"/>
              </w:rPr>
              <w:t xml:space="preserve"> </w:t>
            </w:r>
            <w:r w:rsidR="00C22C59" w:rsidRPr="00CB09D5">
              <w:rPr>
                <w:lang w:val="en-GB"/>
              </w:rPr>
              <w:t>(</w:t>
            </w:r>
            <w:r w:rsidR="005C4978" w:rsidRPr="00CB09D5">
              <w:rPr>
                <w:lang w:val="en-GB"/>
              </w:rPr>
              <w:t xml:space="preserve">in </w:t>
            </w:r>
            <w:r w:rsidR="00C4216C" w:rsidRPr="00CB09D5">
              <w:rPr>
                <w:lang w:val="en-GB"/>
              </w:rPr>
              <w:t>CZK bn</w:t>
            </w:r>
            <w:r w:rsidR="00E372FD" w:rsidRPr="00CB09D5">
              <w:rPr>
                <w:lang w:val="en-GB"/>
              </w:rPr>
              <w:t>, CIF/FOB</w:t>
            </w:r>
            <w:r w:rsidR="006E182C" w:rsidRPr="00CB09D5">
              <w:rPr>
                <w:lang w:val="en-GB"/>
              </w:rPr>
              <w:t>, CPA</w:t>
            </w:r>
            <w:r w:rsidR="001528DF" w:rsidRPr="00CB09D5">
              <w:rPr>
                <w:lang w:val="en-GB"/>
              </w:rPr>
              <w:t xml:space="preserve"> divisions</w:t>
            </w:r>
            <w:r w:rsidR="00C22C59" w:rsidRPr="00CB09D5">
              <w:rPr>
                <w:lang w:val="en-GB"/>
              </w:rPr>
              <w:t>)</w:t>
            </w:r>
          </w:p>
        </w:tc>
      </w:tr>
      <w:tr w:rsidR="00CF107E" w:rsidRPr="00CB09D5" w:rsidTr="00EF6DDD">
        <w:tblPrEx>
          <w:tblCellMar>
            <w:left w:w="70" w:type="dxa"/>
            <w:right w:w="70" w:type="dxa"/>
          </w:tblCellMar>
          <w:tblLook w:val="0000"/>
        </w:tblPrEx>
        <w:trPr>
          <w:trHeight w:val="47"/>
        </w:trPr>
        <w:tc>
          <w:tcPr>
            <w:tcW w:w="2494" w:type="pct"/>
            <w:gridSpan w:val="4"/>
          </w:tcPr>
          <w:p w:rsidR="00BD5298" w:rsidRPr="00CB09D5" w:rsidRDefault="0029191C" w:rsidP="008C6D92">
            <w:pPr>
              <w:pStyle w:val="Textpoznpodarou"/>
              <w:ind w:left="-70"/>
              <w:jc w:val="both"/>
              <w:rPr>
                <w:color w:val="FF0000"/>
                <w:lang w:val="en-GB"/>
              </w:rPr>
            </w:pPr>
            <w:r>
              <w:rPr>
                <w:noProof/>
                <w:color w:val="FF0000"/>
              </w:rPr>
              <w:drawing>
                <wp:inline distT="0" distB="0" distL="0" distR="0">
                  <wp:extent cx="3096800" cy="2469600"/>
                  <wp:effectExtent l="19050" t="0" r="8350" b="0"/>
                  <wp:docPr id="3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096800" cy="2469600"/>
                          </a:xfrm>
                          <a:prstGeom prst="rect">
                            <a:avLst/>
                          </a:prstGeom>
                          <a:noFill/>
                          <a:ln w="9525">
                            <a:noFill/>
                            <a:miter lim="800000"/>
                            <a:headEnd/>
                            <a:tailEnd/>
                          </a:ln>
                        </pic:spPr>
                      </pic:pic>
                    </a:graphicData>
                  </a:graphic>
                </wp:inline>
              </w:drawing>
            </w:r>
          </w:p>
        </w:tc>
        <w:tc>
          <w:tcPr>
            <w:tcW w:w="2506" w:type="pct"/>
            <w:gridSpan w:val="2"/>
          </w:tcPr>
          <w:p w:rsidR="00EB6063" w:rsidRDefault="0029191C" w:rsidP="00EB6063">
            <w:pPr>
              <w:pStyle w:val="Textpoznpodarou"/>
              <w:ind w:left="-129"/>
              <w:jc w:val="both"/>
              <w:rPr>
                <w:lang w:val="en-GB"/>
              </w:rPr>
            </w:pPr>
            <w:r>
              <w:rPr>
                <w:noProof/>
              </w:rPr>
              <w:drawing>
                <wp:inline distT="0" distB="0" distL="0" distR="0">
                  <wp:extent cx="3086631" cy="2473200"/>
                  <wp:effectExtent l="19050" t="0" r="0" b="0"/>
                  <wp:docPr id="3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3086631" cy="2473200"/>
                          </a:xfrm>
                          <a:prstGeom prst="rect">
                            <a:avLst/>
                          </a:prstGeom>
                          <a:noFill/>
                          <a:ln w="9525">
                            <a:noFill/>
                            <a:miter lim="800000"/>
                            <a:headEnd/>
                            <a:tailEnd/>
                          </a:ln>
                        </pic:spPr>
                      </pic:pic>
                    </a:graphicData>
                  </a:graphic>
                </wp:inline>
              </w:drawing>
            </w:r>
          </w:p>
        </w:tc>
      </w:tr>
      <w:tr w:rsidR="00CF107E" w:rsidRPr="00CB09D5" w:rsidTr="00EF6DDD">
        <w:tblPrEx>
          <w:tblCellMar>
            <w:left w:w="70" w:type="dxa"/>
            <w:right w:w="70" w:type="dxa"/>
          </w:tblCellMar>
          <w:tblLook w:val="0000"/>
        </w:tblPrEx>
        <w:trPr>
          <w:trHeight w:val="47"/>
        </w:trPr>
        <w:tc>
          <w:tcPr>
            <w:tcW w:w="2494" w:type="pct"/>
            <w:gridSpan w:val="4"/>
          </w:tcPr>
          <w:p w:rsidR="007C0BF1" w:rsidRPr="00CB09D5" w:rsidRDefault="007C0BF1" w:rsidP="00D94859">
            <w:pPr>
              <w:pStyle w:val="Textpoznpodarou"/>
              <w:jc w:val="both"/>
              <w:rPr>
                <w:noProof/>
                <w:color w:val="FF0000"/>
                <w:lang w:val="en-GB"/>
              </w:rPr>
            </w:pPr>
          </w:p>
        </w:tc>
        <w:tc>
          <w:tcPr>
            <w:tcW w:w="2506" w:type="pct"/>
            <w:gridSpan w:val="2"/>
          </w:tcPr>
          <w:p w:rsidR="00EB6063" w:rsidRDefault="00EF6DDD" w:rsidP="00EB6063">
            <w:pPr>
              <w:pStyle w:val="Textpoznpodarou"/>
              <w:jc w:val="right"/>
              <w:rPr>
                <w:noProof/>
                <w:lang w:val="en-GB"/>
              </w:rPr>
            </w:pPr>
            <w:r>
              <w:rPr>
                <w:noProof/>
                <w:lang w:val="en-GB"/>
              </w:rPr>
              <w:t>Source: CZSO, CNB</w:t>
            </w:r>
          </w:p>
        </w:tc>
      </w:tr>
    </w:tbl>
    <w:p w:rsidR="00EB6063" w:rsidRPr="00EB6063" w:rsidRDefault="00EB6063" w:rsidP="00EB6063">
      <w:pPr>
        <w:pStyle w:val="Nadpis1"/>
        <w:jc w:val="both"/>
        <w:rPr>
          <w:sz w:val="20"/>
          <w:szCs w:val="20"/>
          <w:lang w:val="en-GB"/>
        </w:rPr>
      </w:pPr>
      <w:bookmarkStart w:id="11" w:name="_Toc469299933"/>
    </w:p>
    <w:p w:rsidR="00EB6063" w:rsidRDefault="00B854A8" w:rsidP="00844F58">
      <w:pPr>
        <w:pStyle w:val="Nadpis1"/>
        <w:numPr>
          <w:ilvl w:val="0"/>
          <w:numId w:val="12"/>
        </w:numPr>
        <w:jc w:val="both"/>
        <w:rPr>
          <w:lang w:val="en-GB"/>
        </w:rPr>
      </w:pPr>
      <w:bookmarkStart w:id="12" w:name="_Toc480800275"/>
      <w:r w:rsidRPr="00CB09D5">
        <w:rPr>
          <w:lang w:val="en-GB"/>
        </w:rPr>
        <w:t>Prices</w:t>
      </w:r>
      <w:bookmarkEnd w:id="11"/>
      <w:bookmarkEnd w:id="12"/>
    </w:p>
    <w:tbl>
      <w:tblPr>
        <w:tblW w:w="4963" w:type="pct"/>
        <w:tblInd w:w="108" w:type="dxa"/>
        <w:tblLayout w:type="fixed"/>
        <w:tblLook w:val="00A0"/>
      </w:tblPr>
      <w:tblGrid>
        <w:gridCol w:w="1122"/>
        <w:gridCol w:w="810"/>
        <w:gridCol w:w="282"/>
        <w:gridCol w:w="2606"/>
        <w:gridCol w:w="992"/>
        <w:gridCol w:w="143"/>
        <w:gridCol w:w="3826"/>
      </w:tblGrid>
      <w:tr w:rsidR="00F12A83" w:rsidRPr="00CB09D5" w:rsidTr="00CC2A1E">
        <w:tc>
          <w:tcPr>
            <w:tcW w:w="988" w:type="pct"/>
            <w:gridSpan w:val="2"/>
          </w:tcPr>
          <w:p w:rsidR="00F12A83" w:rsidRPr="00CB09D5" w:rsidRDefault="00A537CA" w:rsidP="00F12A83">
            <w:pPr>
              <w:spacing w:line="240" w:lineRule="auto"/>
              <w:ind w:right="-19"/>
              <w:rPr>
                <w:sz w:val="16"/>
                <w:szCs w:val="16"/>
                <w:lang w:val="en-GB"/>
              </w:rPr>
            </w:pPr>
            <w:r w:rsidRPr="00CB09D5">
              <w:rPr>
                <w:sz w:val="16"/>
                <w:szCs w:val="16"/>
                <w:lang w:val="en-GB"/>
              </w:rPr>
              <w:t xml:space="preserve">Total price level increased by </w:t>
            </w:r>
            <w:r w:rsidR="00F12A83" w:rsidRPr="00CB09D5">
              <w:rPr>
                <w:sz w:val="16"/>
                <w:szCs w:val="16"/>
                <w:lang w:val="en-GB"/>
              </w:rPr>
              <w:t>1</w:t>
            </w:r>
            <w:r w:rsidRPr="00CB09D5">
              <w:rPr>
                <w:sz w:val="16"/>
                <w:szCs w:val="16"/>
                <w:lang w:val="en-GB"/>
              </w:rPr>
              <w:t>.</w:t>
            </w:r>
            <w:r w:rsidR="00124E9C" w:rsidRPr="00CB09D5">
              <w:rPr>
                <w:sz w:val="16"/>
                <w:szCs w:val="16"/>
                <w:lang w:val="en-GB"/>
              </w:rPr>
              <w:t>1</w:t>
            </w:r>
            <w:r w:rsidR="00F12A83"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D91B07" w:rsidP="008A03DE">
            <w:pPr>
              <w:pStyle w:val="Textpoznpodarou"/>
              <w:ind w:right="-35"/>
              <w:jc w:val="both"/>
              <w:rPr>
                <w:sz w:val="16"/>
                <w:szCs w:val="16"/>
                <w:lang w:val="en-GB"/>
              </w:rPr>
            </w:pPr>
            <w:r w:rsidRPr="00CB09D5">
              <w:rPr>
                <w:lang w:val="en-GB"/>
              </w:rPr>
              <w:t xml:space="preserve">Total price level gauged by the implicit GDP </w:t>
            </w:r>
            <w:r w:rsidR="007F3D55" w:rsidRPr="00CB09D5">
              <w:rPr>
                <w:lang w:val="en-GB"/>
              </w:rPr>
              <w:t>deflator</w:t>
            </w:r>
            <w:r w:rsidRPr="00CB09D5">
              <w:rPr>
                <w:lang w:val="en-GB"/>
              </w:rPr>
              <w:t xml:space="preserve"> increased by </w:t>
            </w:r>
            <w:r w:rsidR="00F12A83" w:rsidRPr="00CB09D5">
              <w:rPr>
                <w:lang w:val="en-GB"/>
              </w:rPr>
              <w:t>1</w:t>
            </w:r>
            <w:r w:rsidRPr="00CB09D5">
              <w:rPr>
                <w:lang w:val="en-GB"/>
              </w:rPr>
              <w:t>.</w:t>
            </w:r>
            <w:r w:rsidR="00124E9C" w:rsidRPr="00CB09D5">
              <w:rPr>
                <w:lang w:val="en-GB"/>
              </w:rPr>
              <w:t>1</w:t>
            </w:r>
            <w:r w:rsidR="00F12A83" w:rsidRPr="00CB09D5">
              <w:rPr>
                <w:lang w:val="en-GB"/>
              </w:rPr>
              <w:t>%</w:t>
            </w:r>
            <w:r w:rsidRPr="00CB09D5">
              <w:rPr>
                <w:lang w:val="en-GB"/>
              </w:rPr>
              <w:t xml:space="preserve"> in 2016</w:t>
            </w:r>
            <w:r w:rsidR="00F12A83" w:rsidRPr="00CB09D5">
              <w:rPr>
                <w:lang w:val="en-GB"/>
              </w:rPr>
              <w:t xml:space="preserve">. </w:t>
            </w:r>
            <w:r w:rsidR="007F3D55" w:rsidRPr="00CB09D5">
              <w:rPr>
                <w:lang w:val="en-GB"/>
              </w:rPr>
              <w:t xml:space="preserve">The impact of final consumption expenditure was growing during the year. The prices of goods and services consumed by households started to rise especially in the second half of the year </w:t>
            </w:r>
            <w:r w:rsidR="00F12A83" w:rsidRPr="00CB09D5">
              <w:rPr>
                <w:lang w:val="en-GB"/>
              </w:rPr>
              <w:t>(0</w:t>
            </w:r>
            <w:r w:rsidR="007F3D55" w:rsidRPr="00CB09D5">
              <w:rPr>
                <w:lang w:val="en-GB"/>
              </w:rPr>
              <w:t>.</w:t>
            </w:r>
            <w:r w:rsidR="00124E9C" w:rsidRPr="00CB09D5">
              <w:rPr>
                <w:lang w:val="en-GB"/>
              </w:rPr>
              <w:t>9</w:t>
            </w:r>
            <w:r w:rsidR="00F12A83" w:rsidRPr="00CB09D5">
              <w:rPr>
                <w:lang w:val="en-GB"/>
              </w:rPr>
              <w:t xml:space="preserve">% </w:t>
            </w:r>
            <w:r w:rsidR="007F3D55" w:rsidRPr="00CB09D5">
              <w:rPr>
                <w:lang w:val="en-GB"/>
              </w:rPr>
              <w:t>in Q</w:t>
            </w:r>
            <w:r w:rsidR="00F12A83" w:rsidRPr="00CB09D5">
              <w:rPr>
                <w:lang w:val="en-GB"/>
              </w:rPr>
              <w:t>3, 1</w:t>
            </w:r>
            <w:r w:rsidR="007F3D55" w:rsidRPr="00CB09D5">
              <w:rPr>
                <w:lang w:val="en-GB"/>
              </w:rPr>
              <w:t>.</w:t>
            </w:r>
            <w:r w:rsidR="00124E9C" w:rsidRPr="00CB09D5">
              <w:rPr>
                <w:lang w:val="en-GB"/>
              </w:rPr>
              <w:t>4</w:t>
            </w:r>
            <w:r w:rsidR="00F12A83" w:rsidRPr="00CB09D5">
              <w:rPr>
                <w:lang w:val="en-GB"/>
              </w:rPr>
              <w:t xml:space="preserve">% </w:t>
            </w:r>
            <w:r w:rsidR="007F3D55" w:rsidRPr="00CB09D5">
              <w:rPr>
                <w:lang w:val="en-GB"/>
              </w:rPr>
              <w:t>in Q</w:t>
            </w:r>
            <w:r w:rsidR="00F12A83" w:rsidRPr="00CB09D5">
              <w:rPr>
                <w:lang w:val="en-GB"/>
              </w:rPr>
              <w:t xml:space="preserve">4). </w:t>
            </w:r>
          </w:p>
          <w:p w:rsidR="00F12A83" w:rsidRPr="00CB09D5" w:rsidRDefault="00F12A83" w:rsidP="008A03DE">
            <w:pPr>
              <w:pStyle w:val="Textpoznpodarou"/>
              <w:ind w:right="-35"/>
              <w:jc w:val="both"/>
              <w:rPr>
                <w:sz w:val="14"/>
                <w:szCs w:val="14"/>
                <w:lang w:val="en-GB"/>
              </w:rPr>
            </w:pPr>
          </w:p>
        </w:tc>
      </w:tr>
      <w:tr w:rsidR="009F4DA8" w:rsidRPr="00CB09D5" w:rsidTr="00CC2A1E">
        <w:tc>
          <w:tcPr>
            <w:tcW w:w="988" w:type="pct"/>
            <w:gridSpan w:val="2"/>
          </w:tcPr>
          <w:p w:rsidR="009F4DA8" w:rsidRPr="00CB09D5" w:rsidRDefault="009F4DA8" w:rsidP="009F4DA8">
            <w:pPr>
              <w:spacing w:line="240" w:lineRule="auto"/>
              <w:ind w:right="-19"/>
              <w:rPr>
                <w:sz w:val="16"/>
                <w:szCs w:val="16"/>
                <w:lang w:val="en-GB"/>
              </w:rPr>
            </w:pPr>
            <w:r w:rsidRPr="00CB09D5">
              <w:rPr>
                <w:sz w:val="16"/>
                <w:szCs w:val="16"/>
                <w:lang w:val="en-GB"/>
              </w:rPr>
              <w:t xml:space="preserve">Development of consumer prices in Q1 to Q3 2016 did not differ from the previous two years. Break occurred in November, when the consumer prices approached the inflation target after nearly three years. </w:t>
            </w:r>
          </w:p>
        </w:tc>
        <w:tc>
          <w:tcPr>
            <w:tcW w:w="144" w:type="pct"/>
          </w:tcPr>
          <w:p w:rsidR="009F4DA8" w:rsidRPr="00CB09D5" w:rsidRDefault="009F4DA8" w:rsidP="009F4DA8">
            <w:pPr>
              <w:pStyle w:val="Textpoznpodarou"/>
              <w:jc w:val="both"/>
              <w:rPr>
                <w:lang w:val="en-GB"/>
              </w:rPr>
            </w:pPr>
          </w:p>
        </w:tc>
        <w:tc>
          <w:tcPr>
            <w:tcW w:w="3868" w:type="pct"/>
            <w:gridSpan w:val="4"/>
          </w:tcPr>
          <w:p w:rsidR="009F4DA8" w:rsidRPr="00CB09D5" w:rsidRDefault="009F4DA8" w:rsidP="009F4DA8">
            <w:pPr>
              <w:pStyle w:val="Textpoznpodarou"/>
              <w:ind w:right="-35"/>
              <w:jc w:val="both"/>
              <w:rPr>
                <w:lang w:val="en-GB"/>
              </w:rPr>
            </w:pPr>
            <w:r w:rsidRPr="00CB09D5">
              <w:rPr>
                <w:lang w:val="en-GB"/>
              </w:rPr>
              <w:t>The first three quarters of the year 2016 did not differ much with respect to the consumer price development from the previous two years. The year-on-year gro</w:t>
            </w:r>
            <w:r w:rsidR="00124E9C" w:rsidRPr="00CB09D5">
              <w:rPr>
                <w:lang w:val="en-GB"/>
              </w:rPr>
              <w:t>wth of prices did not cross 0.5</w:t>
            </w:r>
            <w:r w:rsidRPr="00CB09D5">
              <w:rPr>
                <w:lang w:val="en-GB"/>
              </w:rPr>
              <w:t xml:space="preserve">% and remained below the </w:t>
            </w:r>
            <w:r w:rsidR="008B0862" w:rsidRPr="00CB09D5">
              <w:rPr>
                <w:lang w:val="en-GB"/>
              </w:rPr>
              <w:t xml:space="preserve">target band </w:t>
            </w:r>
            <w:r w:rsidRPr="00CB09D5">
              <w:rPr>
                <w:lang w:val="en-GB"/>
              </w:rPr>
              <w:t xml:space="preserve">of the CNB. A break occurred in November, when the year-on-year price increased </w:t>
            </w:r>
            <w:r w:rsidR="00124E9C" w:rsidRPr="00CB09D5">
              <w:rPr>
                <w:lang w:val="en-GB"/>
              </w:rPr>
              <w:t>crossed the 1</w:t>
            </w:r>
            <w:r w:rsidRPr="00CB09D5">
              <w:rPr>
                <w:lang w:val="en-GB"/>
              </w:rPr>
              <w:t>% boundary for the first time since De</w:t>
            </w:r>
            <w:r w:rsidR="00124E9C" w:rsidRPr="00CB09D5">
              <w:rPr>
                <w:lang w:val="en-GB"/>
              </w:rPr>
              <w:t>cember 2013 and hiked up to 1.5</w:t>
            </w:r>
            <w:r w:rsidRPr="00CB09D5">
              <w:rPr>
                <w:lang w:val="en-GB"/>
              </w:rPr>
              <w:t>%. The grow</w:t>
            </w:r>
            <w:r w:rsidR="00124E9C" w:rsidRPr="00CB09D5">
              <w:rPr>
                <w:lang w:val="en-GB"/>
              </w:rPr>
              <w:t>th of consumer prices touched 2</w:t>
            </w:r>
            <w:r w:rsidRPr="00CB09D5">
              <w:rPr>
                <w:lang w:val="en-GB"/>
              </w:rPr>
              <w:t>% in December and the averag</w:t>
            </w:r>
            <w:r w:rsidR="00124E9C" w:rsidRPr="00CB09D5">
              <w:rPr>
                <w:lang w:val="en-GB"/>
              </w:rPr>
              <w:t>e price growth thus came to 1.4</w:t>
            </w:r>
            <w:r w:rsidRPr="00CB09D5">
              <w:rPr>
                <w:lang w:val="en-GB"/>
              </w:rPr>
              <w:t>% in Q4. The inflation rate</w:t>
            </w:r>
            <w:r w:rsidRPr="00CB09D5">
              <w:rPr>
                <w:rStyle w:val="Znakapoznpodarou"/>
                <w:lang w:val="en-GB"/>
              </w:rPr>
              <w:footnoteReference w:id="23"/>
            </w:r>
            <w:r w:rsidR="00124E9C" w:rsidRPr="00CB09D5">
              <w:rPr>
                <w:lang w:val="en-GB"/>
              </w:rPr>
              <w:t xml:space="preserve"> equalled 0.4</w:t>
            </w:r>
            <w:r w:rsidRPr="00CB09D5">
              <w:rPr>
                <w:lang w:val="en-GB"/>
              </w:rPr>
              <w:t>% from January to May, it l</w:t>
            </w:r>
            <w:r w:rsidR="00124E9C" w:rsidRPr="00CB09D5">
              <w:rPr>
                <w:lang w:val="en-GB"/>
              </w:rPr>
              <w:t>owered to 0.3</w:t>
            </w:r>
            <w:r w:rsidRPr="00CB09D5">
              <w:rPr>
                <w:lang w:val="en-GB"/>
              </w:rPr>
              <w:t xml:space="preserve">% from June </w:t>
            </w:r>
            <w:r w:rsidR="00124E9C" w:rsidRPr="00CB09D5">
              <w:rPr>
                <w:lang w:val="en-GB"/>
              </w:rPr>
              <w:t>to September and it reached 0.4%, 0.5% and 0.7</w:t>
            </w:r>
            <w:r w:rsidRPr="00CB09D5">
              <w:rPr>
                <w:lang w:val="en-GB"/>
              </w:rPr>
              <w:t>% during October to December.</w:t>
            </w:r>
          </w:p>
          <w:p w:rsidR="009F4DA8" w:rsidRPr="00CB09D5" w:rsidRDefault="009F4DA8" w:rsidP="009F4DA8">
            <w:pPr>
              <w:pStyle w:val="Textpoznpodarou"/>
              <w:ind w:right="-35"/>
              <w:jc w:val="both"/>
              <w:rPr>
                <w:sz w:val="14"/>
                <w:szCs w:val="14"/>
                <w:lang w:val="en-GB"/>
              </w:rPr>
            </w:pPr>
          </w:p>
        </w:tc>
      </w:tr>
      <w:tr w:rsidR="009F4DA8" w:rsidRPr="00CB09D5" w:rsidTr="00CC2A1E">
        <w:tc>
          <w:tcPr>
            <w:tcW w:w="988" w:type="pct"/>
            <w:gridSpan w:val="2"/>
          </w:tcPr>
          <w:p w:rsidR="009F4DA8" w:rsidRPr="00CB09D5" w:rsidRDefault="009F4DA8" w:rsidP="009F4DA8">
            <w:pPr>
              <w:spacing w:line="240" w:lineRule="auto"/>
              <w:ind w:right="-19"/>
              <w:rPr>
                <w:sz w:val="16"/>
                <w:szCs w:val="16"/>
                <w:lang w:val="en-GB"/>
              </w:rPr>
            </w:pPr>
            <w:r w:rsidRPr="00CB09D5">
              <w:rPr>
                <w:sz w:val="16"/>
                <w:szCs w:val="16"/>
                <w:lang w:val="en-GB"/>
              </w:rPr>
              <w:t xml:space="preserve">Negative effect of the oil prices on the consumer prices, apparent especially in the first half of the year, ceased at the end of the year.  </w:t>
            </w:r>
          </w:p>
        </w:tc>
        <w:tc>
          <w:tcPr>
            <w:tcW w:w="144" w:type="pct"/>
          </w:tcPr>
          <w:p w:rsidR="009F4DA8" w:rsidRPr="00CB09D5" w:rsidRDefault="009F4DA8" w:rsidP="009F4DA8">
            <w:pPr>
              <w:pStyle w:val="Textpoznpodarou"/>
              <w:jc w:val="both"/>
              <w:rPr>
                <w:lang w:val="en-GB"/>
              </w:rPr>
            </w:pPr>
          </w:p>
        </w:tc>
        <w:tc>
          <w:tcPr>
            <w:tcW w:w="3868" w:type="pct"/>
            <w:gridSpan w:val="4"/>
          </w:tcPr>
          <w:p w:rsidR="009F4DA8" w:rsidRPr="00CB09D5" w:rsidRDefault="009F4DA8" w:rsidP="009F4DA8">
            <w:pPr>
              <w:pStyle w:val="Textpoznpodarou"/>
              <w:jc w:val="both"/>
              <w:rPr>
                <w:sz w:val="16"/>
                <w:szCs w:val="16"/>
                <w:lang w:val="en-GB"/>
              </w:rPr>
            </w:pPr>
            <w:r w:rsidRPr="00CB09D5">
              <w:rPr>
                <w:lang w:val="en-GB"/>
              </w:rPr>
              <w:t xml:space="preserve">The growth of the consumer price index was considerably slowed down by the development of prices of </w:t>
            </w:r>
            <w:r w:rsidR="00157410" w:rsidRPr="00CB09D5">
              <w:rPr>
                <w:lang w:val="en-GB"/>
              </w:rPr>
              <w:t xml:space="preserve">automotive fuels </w:t>
            </w:r>
            <w:r w:rsidRPr="00CB09D5">
              <w:rPr>
                <w:lang w:val="en-GB"/>
              </w:rPr>
              <w:t xml:space="preserve">in combination with the drop of the food prices at the beginning of the year. The oil prices started to rose slightly after the deep slump at the turn of </w:t>
            </w:r>
            <w:r w:rsidR="00F82727" w:rsidRPr="00CB09D5">
              <w:rPr>
                <w:lang w:val="en-GB"/>
              </w:rPr>
              <w:t xml:space="preserve">the </w:t>
            </w:r>
            <w:r w:rsidRPr="00CB09D5">
              <w:rPr>
                <w:lang w:val="en-GB"/>
              </w:rPr>
              <w:t>years 2015 and 201</w:t>
            </w:r>
            <w:r w:rsidR="00322949" w:rsidRPr="00CB09D5">
              <w:rPr>
                <w:lang w:val="en-GB"/>
              </w:rPr>
              <w:t>6</w:t>
            </w:r>
            <w:r w:rsidRPr="00CB09D5">
              <w:rPr>
                <w:lang w:val="en-GB"/>
              </w:rPr>
              <w:t xml:space="preserve"> and their effect on the price level decline weakened during the year. The year-on-year growt</w:t>
            </w:r>
            <w:r w:rsidR="00CD7EEE" w:rsidRPr="00CB09D5">
              <w:rPr>
                <w:lang w:val="en-GB"/>
              </w:rPr>
              <w:t xml:space="preserve">h of the price index excluding fuel oils </w:t>
            </w:r>
            <w:r w:rsidRPr="00CB09D5">
              <w:rPr>
                <w:lang w:val="en-GB"/>
              </w:rPr>
              <w:t xml:space="preserve">and </w:t>
            </w:r>
            <w:r w:rsidR="00157410" w:rsidRPr="00CB09D5">
              <w:rPr>
                <w:lang w:val="en-GB"/>
              </w:rPr>
              <w:t xml:space="preserve">automotive fuels </w:t>
            </w:r>
            <w:r w:rsidRPr="00CB09D5">
              <w:rPr>
                <w:lang w:val="en-GB"/>
              </w:rPr>
              <w:t xml:space="preserve">thus exceeded the total price level growth by several tenths of percentage points during the first three quarters of the year. Both indices </w:t>
            </w:r>
            <w:r w:rsidR="00443DDE" w:rsidRPr="00CB09D5">
              <w:rPr>
                <w:lang w:val="en-GB"/>
              </w:rPr>
              <w:t xml:space="preserve">evened out </w:t>
            </w:r>
            <w:r w:rsidRPr="00CB09D5">
              <w:rPr>
                <w:lang w:val="en-GB"/>
              </w:rPr>
              <w:t xml:space="preserve">only in the last quarter and the prices of </w:t>
            </w:r>
            <w:r w:rsidR="00157410" w:rsidRPr="00CB09D5">
              <w:rPr>
                <w:lang w:val="en-GB"/>
              </w:rPr>
              <w:t xml:space="preserve">automotive fuels </w:t>
            </w:r>
            <w:r w:rsidRPr="00CB09D5">
              <w:rPr>
                <w:lang w:val="en-GB"/>
              </w:rPr>
              <w:t xml:space="preserve">even mildly contributed to the growth of the total price level in December.   </w:t>
            </w:r>
          </w:p>
          <w:p w:rsidR="009F4DA8" w:rsidRPr="00CB09D5" w:rsidRDefault="009F4DA8" w:rsidP="009F4DA8">
            <w:pPr>
              <w:pStyle w:val="Textpoznpodarou"/>
              <w:jc w:val="both"/>
              <w:rPr>
                <w:sz w:val="14"/>
                <w:szCs w:val="14"/>
                <w:lang w:val="en-GB"/>
              </w:rPr>
            </w:pPr>
          </w:p>
        </w:tc>
      </w:tr>
      <w:tr w:rsidR="00F12A83" w:rsidRPr="00CB09D5" w:rsidTr="00CC2A1E">
        <w:tc>
          <w:tcPr>
            <w:tcW w:w="988" w:type="pct"/>
            <w:gridSpan w:val="2"/>
          </w:tcPr>
          <w:p w:rsidR="00F12A83" w:rsidRPr="00CB09D5" w:rsidRDefault="00B13D32" w:rsidP="00B13D32">
            <w:pPr>
              <w:spacing w:line="240" w:lineRule="auto"/>
              <w:ind w:right="-19"/>
              <w:rPr>
                <w:sz w:val="16"/>
                <w:szCs w:val="16"/>
                <w:lang w:val="en-GB"/>
              </w:rPr>
            </w:pPr>
            <w:r w:rsidRPr="00CB09D5">
              <w:rPr>
                <w:sz w:val="16"/>
                <w:szCs w:val="16"/>
                <w:lang w:val="en-GB"/>
              </w:rPr>
              <w:lastRenderedPageBreak/>
              <w:t>The fall of prices of food halted after nearly two years, which had a notable effect on the total price level</w:t>
            </w:r>
            <w:r w:rsidR="00F12A83"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B13D32" w:rsidP="008A03DE">
            <w:pPr>
              <w:pStyle w:val="Textpoznpodarou"/>
              <w:jc w:val="both"/>
              <w:rPr>
                <w:sz w:val="16"/>
                <w:szCs w:val="16"/>
                <w:lang w:val="en-GB"/>
              </w:rPr>
            </w:pPr>
            <w:r w:rsidRPr="00CB09D5">
              <w:rPr>
                <w:lang w:val="en-GB"/>
              </w:rPr>
              <w:t xml:space="preserve">Prices of food and non-alcoholic beverages were falling year-on-year since December </w:t>
            </w:r>
            <w:r w:rsidR="00F12A83" w:rsidRPr="00CB09D5">
              <w:rPr>
                <w:lang w:val="en-GB"/>
              </w:rPr>
              <w:t>2014 (</w:t>
            </w:r>
            <w:r w:rsidRPr="00CB09D5">
              <w:rPr>
                <w:lang w:val="en-GB"/>
              </w:rPr>
              <w:t xml:space="preserve">with the exceptions of June </w:t>
            </w:r>
            <w:r w:rsidR="00F12A83" w:rsidRPr="00CB09D5">
              <w:rPr>
                <w:lang w:val="en-GB"/>
              </w:rPr>
              <w:t xml:space="preserve">2015). </w:t>
            </w:r>
            <w:r w:rsidR="00974A3C" w:rsidRPr="00CB09D5">
              <w:rPr>
                <w:lang w:val="en-GB"/>
              </w:rPr>
              <w:t xml:space="preserve">They hold the second highest weight in the consumer price </w:t>
            </w:r>
            <w:proofErr w:type="gramStart"/>
            <w:r w:rsidR="00974A3C" w:rsidRPr="00CB09D5">
              <w:rPr>
                <w:lang w:val="en-GB"/>
              </w:rPr>
              <w:t>index,</w:t>
            </w:r>
            <w:proofErr w:type="gramEnd"/>
            <w:r w:rsidR="00974A3C" w:rsidRPr="00CB09D5">
              <w:rPr>
                <w:lang w:val="en-GB"/>
              </w:rPr>
              <w:t xml:space="preserve"> it is thus not surprising, that their November and December growth </w:t>
            </w:r>
            <w:r w:rsidR="00F12A83" w:rsidRPr="00CB09D5">
              <w:rPr>
                <w:lang w:val="en-GB"/>
              </w:rPr>
              <w:t>(1</w:t>
            </w:r>
            <w:r w:rsidR="00974A3C" w:rsidRPr="00CB09D5">
              <w:rPr>
                <w:lang w:val="en-GB"/>
              </w:rPr>
              <w:t>.</w:t>
            </w:r>
            <w:r w:rsidR="00124E9C" w:rsidRPr="00CB09D5">
              <w:rPr>
                <w:lang w:val="en-GB"/>
              </w:rPr>
              <w:t>6</w:t>
            </w:r>
            <w:r w:rsidR="00F12A83" w:rsidRPr="00CB09D5">
              <w:rPr>
                <w:lang w:val="en-GB"/>
              </w:rPr>
              <w:t>% a</w:t>
            </w:r>
            <w:r w:rsidR="00974A3C" w:rsidRPr="00CB09D5">
              <w:rPr>
                <w:lang w:val="en-GB"/>
              </w:rPr>
              <w:t>nd</w:t>
            </w:r>
            <w:r w:rsidR="00F12A83" w:rsidRPr="00CB09D5">
              <w:rPr>
                <w:lang w:val="en-GB"/>
              </w:rPr>
              <w:t xml:space="preserve"> 3</w:t>
            </w:r>
            <w:r w:rsidR="00974A3C" w:rsidRPr="00CB09D5">
              <w:rPr>
                <w:lang w:val="en-GB"/>
              </w:rPr>
              <w:t>.</w:t>
            </w:r>
            <w:r w:rsidR="00124E9C" w:rsidRPr="00CB09D5">
              <w:rPr>
                <w:lang w:val="en-GB"/>
              </w:rPr>
              <w:t>3</w:t>
            </w:r>
            <w:r w:rsidR="00F12A83" w:rsidRPr="00CB09D5">
              <w:rPr>
                <w:lang w:val="en-GB"/>
              </w:rPr>
              <w:t xml:space="preserve">%) </w:t>
            </w:r>
            <w:r w:rsidR="00974A3C" w:rsidRPr="00CB09D5">
              <w:rPr>
                <w:lang w:val="en-GB"/>
              </w:rPr>
              <w:t>significantly influenced the total price level</w:t>
            </w:r>
            <w:r w:rsidR="00F12A83" w:rsidRPr="00CB09D5">
              <w:rPr>
                <w:lang w:val="en-GB"/>
              </w:rPr>
              <w:t xml:space="preserve">. </w:t>
            </w:r>
            <w:r w:rsidR="00D141CA" w:rsidRPr="00CB09D5">
              <w:rPr>
                <w:lang w:val="en-GB"/>
              </w:rPr>
              <w:t>Until then, they were reduced by an average year-on-year r</w:t>
            </w:r>
            <w:r w:rsidR="00124E9C" w:rsidRPr="00CB09D5">
              <w:rPr>
                <w:lang w:val="en-GB"/>
              </w:rPr>
              <w:t>ate of growth of 1.6</w:t>
            </w:r>
            <w:r w:rsidR="00D141CA" w:rsidRPr="00CB09D5">
              <w:rPr>
                <w:lang w:val="en-GB"/>
              </w:rPr>
              <w:t xml:space="preserve">%. </w:t>
            </w:r>
            <w:r w:rsidR="00030BF0" w:rsidRPr="00CB09D5">
              <w:rPr>
                <w:lang w:val="en-GB"/>
              </w:rPr>
              <w:t xml:space="preserve">While the prices of food thus on average reduced the total growth of prices by more than 0.2 p.p. in January till October, they added 0.3 p.p. to the growth in November and even 0.6 p.p. in December. </w:t>
            </w:r>
            <w:r w:rsidR="001A44F9" w:rsidRPr="00CB09D5">
              <w:rPr>
                <w:lang w:val="en-GB"/>
              </w:rPr>
              <w:t xml:space="preserve">The autumn increase of prices caused especially the raised prices of vegetables and dairy products year-on-year. </w:t>
            </w:r>
          </w:p>
          <w:p w:rsidR="00F12A83" w:rsidRPr="00CB09D5" w:rsidRDefault="00F12A83" w:rsidP="008A03DE">
            <w:pPr>
              <w:pStyle w:val="Textpoznpodarou"/>
              <w:jc w:val="both"/>
              <w:rPr>
                <w:sz w:val="14"/>
                <w:szCs w:val="14"/>
                <w:lang w:val="en-GB"/>
              </w:rPr>
            </w:pPr>
          </w:p>
        </w:tc>
      </w:tr>
      <w:tr w:rsidR="00BB7707" w:rsidRPr="00CB09D5" w:rsidTr="00CC2A1E">
        <w:tc>
          <w:tcPr>
            <w:tcW w:w="988" w:type="pct"/>
            <w:gridSpan w:val="2"/>
          </w:tcPr>
          <w:p w:rsidR="00BB7707" w:rsidRPr="00CB09D5" w:rsidRDefault="00934D36" w:rsidP="00BB7707">
            <w:pPr>
              <w:spacing w:line="240" w:lineRule="auto"/>
              <w:ind w:right="-19"/>
              <w:rPr>
                <w:sz w:val="16"/>
                <w:szCs w:val="16"/>
                <w:lang w:val="en-GB"/>
              </w:rPr>
            </w:pPr>
            <w:r w:rsidRPr="00CB09D5">
              <w:rPr>
                <w:sz w:val="16"/>
                <w:szCs w:val="16"/>
                <w:lang w:val="en-GB"/>
              </w:rPr>
              <w:t>Increase of the prices of rent and imputed rent did not show much in the cost of housing and energies thanks to the fall of prices of energies.</w:t>
            </w:r>
          </w:p>
        </w:tc>
        <w:tc>
          <w:tcPr>
            <w:tcW w:w="144" w:type="pct"/>
          </w:tcPr>
          <w:p w:rsidR="00BB7707" w:rsidRPr="00CB09D5" w:rsidRDefault="00BB7707" w:rsidP="00BB7707">
            <w:pPr>
              <w:pStyle w:val="Textpoznpodarou"/>
              <w:jc w:val="both"/>
              <w:rPr>
                <w:lang w:val="en-GB"/>
              </w:rPr>
            </w:pPr>
          </w:p>
        </w:tc>
        <w:tc>
          <w:tcPr>
            <w:tcW w:w="3868" w:type="pct"/>
            <w:gridSpan w:val="4"/>
          </w:tcPr>
          <w:p w:rsidR="00BB7707" w:rsidRPr="00CB09D5" w:rsidRDefault="00934D36" w:rsidP="00BB7707">
            <w:pPr>
              <w:pStyle w:val="Textpoznpodarou"/>
              <w:ind w:right="-35"/>
              <w:jc w:val="both"/>
              <w:rPr>
                <w:sz w:val="16"/>
                <w:szCs w:val="16"/>
                <w:lang w:val="en-GB"/>
              </w:rPr>
            </w:pPr>
            <w:r w:rsidRPr="00CB09D5">
              <w:rPr>
                <w:lang w:val="en-GB"/>
              </w:rPr>
              <w:t>Prices of housing, water, energies and heating fuels, which present the most significant items in the consumer basket for the Czech consumers, grew by a</w:t>
            </w:r>
            <w:r w:rsidR="00124E9C" w:rsidRPr="00CB09D5">
              <w:rPr>
                <w:lang w:val="en-GB"/>
              </w:rPr>
              <w:t>verage year-on-year pace of 0.6</w:t>
            </w:r>
            <w:r w:rsidRPr="00CB09D5">
              <w:rPr>
                <w:lang w:val="en-GB"/>
              </w:rPr>
              <w:t>% and ave</w:t>
            </w:r>
            <w:r w:rsidR="00124E9C" w:rsidRPr="00CB09D5">
              <w:rPr>
                <w:lang w:val="en-GB"/>
              </w:rPr>
              <w:t>rage month-on-month pace of 0.1</w:t>
            </w:r>
            <w:r w:rsidRPr="00CB09D5">
              <w:rPr>
                <w:lang w:val="en-GB"/>
              </w:rPr>
              <w:t xml:space="preserve">% in 2016. </w:t>
            </w:r>
            <w:r w:rsidR="003D33FD" w:rsidRPr="00CB09D5">
              <w:rPr>
                <w:lang w:val="en-GB"/>
              </w:rPr>
              <w:t xml:space="preserve">It is not surprising with respect to the </w:t>
            </w:r>
            <w:r w:rsidR="0069281B" w:rsidRPr="00CB09D5">
              <w:rPr>
                <w:lang w:val="en-GB"/>
              </w:rPr>
              <w:t>fast-growing</w:t>
            </w:r>
            <w:r w:rsidR="003D33FD" w:rsidRPr="00CB09D5">
              <w:rPr>
                <w:lang w:val="en-GB"/>
              </w:rPr>
              <w:t xml:space="preserve"> prices of real estate in 2016, that the growth of the imputed rent fastened its pace from</w:t>
            </w:r>
            <w:r w:rsidR="00124E9C" w:rsidRPr="00CB09D5">
              <w:rPr>
                <w:lang w:val="en-GB"/>
              </w:rPr>
              <w:t xml:space="preserve"> the year-on-year increase of 1% in Q1 and Q2 to 2.6</w:t>
            </w:r>
            <w:r w:rsidR="003D33FD" w:rsidRPr="00CB09D5">
              <w:rPr>
                <w:lang w:val="en-GB"/>
              </w:rPr>
              <w:t xml:space="preserve">% in Q4. </w:t>
            </w:r>
            <w:r w:rsidR="007B1BA5" w:rsidRPr="00CB09D5">
              <w:rPr>
                <w:lang w:val="en-GB"/>
              </w:rPr>
              <w:t>Prices of rent accelerated its growth even one quarter sooner. Total growth of prices of housing and energies dampened only the notably falling prices of gas</w:t>
            </w:r>
            <w:r w:rsidR="00BB7707" w:rsidRPr="00CB09D5">
              <w:rPr>
                <w:lang w:val="en-GB"/>
              </w:rPr>
              <w:t xml:space="preserve">, </w:t>
            </w:r>
            <w:r w:rsidR="007B1BA5" w:rsidRPr="00CB09D5">
              <w:rPr>
                <w:lang w:val="en-GB"/>
              </w:rPr>
              <w:t xml:space="preserve">which exceeded even the mild growth of prices of electricity and heat. </w:t>
            </w:r>
            <w:r w:rsidR="0007651D" w:rsidRPr="00CB09D5">
              <w:rPr>
                <w:lang w:val="en-GB"/>
              </w:rPr>
              <w:t xml:space="preserve">Development of costs of transport was in fact identical to the prices of food. </w:t>
            </w:r>
            <w:r w:rsidR="0045761F" w:rsidRPr="00CB09D5">
              <w:rPr>
                <w:lang w:val="en-GB"/>
              </w:rPr>
              <w:t>Prices of transport were falling by an avera</w:t>
            </w:r>
            <w:r w:rsidR="00124E9C" w:rsidRPr="00CB09D5">
              <w:rPr>
                <w:lang w:val="en-GB"/>
              </w:rPr>
              <w:t>ge year-on-year rate of -2.4</w:t>
            </w:r>
            <w:r w:rsidR="0045761F" w:rsidRPr="00CB09D5">
              <w:rPr>
                <w:lang w:val="en-GB"/>
              </w:rPr>
              <w:t xml:space="preserve">% until </w:t>
            </w:r>
            <w:r w:rsidR="00F16807">
              <w:rPr>
                <w:lang w:val="en-GB"/>
              </w:rPr>
              <w:t>October</w:t>
            </w:r>
            <w:r w:rsidR="00F16807" w:rsidRPr="00CB09D5">
              <w:rPr>
                <w:lang w:val="en-GB"/>
              </w:rPr>
              <w:t xml:space="preserve"> </w:t>
            </w:r>
            <w:r w:rsidR="00124E9C" w:rsidRPr="00CB09D5">
              <w:rPr>
                <w:lang w:val="en-GB"/>
              </w:rPr>
              <w:t>and they increased by 1% and 2.5</w:t>
            </w:r>
            <w:r w:rsidR="0045761F" w:rsidRPr="00CB09D5">
              <w:rPr>
                <w:lang w:val="en-GB"/>
              </w:rPr>
              <w:t xml:space="preserve">% in November and December. </w:t>
            </w:r>
            <w:r w:rsidR="00BB7707" w:rsidRPr="00CB09D5">
              <w:rPr>
                <w:lang w:val="en-GB"/>
              </w:rPr>
              <w:t xml:space="preserve"> </w:t>
            </w:r>
          </w:p>
          <w:p w:rsidR="00BB7707" w:rsidRPr="00CB09D5" w:rsidRDefault="00BB7707" w:rsidP="00BB7707">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C94847" w:rsidP="00A9497A">
            <w:pPr>
              <w:spacing w:line="240" w:lineRule="auto"/>
              <w:ind w:right="-19"/>
              <w:rPr>
                <w:sz w:val="16"/>
                <w:szCs w:val="16"/>
                <w:lang w:val="en-GB"/>
              </w:rPr>
            </w:pPr>
            <w:r w:rsidRPr="00CB09D5">
              <w:rPr>
                <w:sz w:val="16"/>
                <w:szCs w:val="16"/>
                <w:lang w:val="en-GB"/>
              </w:rPr>
              <w:t>Rise of realised prices of older dwellings gained pace during the year and reflected thus the excess demand on the market.</w:t>
            </w:r>
            <w:r w:rsidR="00A9497A"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BD0D6D" w:rsidP="00EE3547">
            <w:pPr>
              <w:pStyle w:val="Textpoznpodarou"/>
              <w:ind w:right="-35"/>
              <w:jc w:val="both"/>
              <w:rPr>
                <w:sz w:val="16"/>
                <w:szCs w:val="16"/>
                <w:lang w:val="en-GB"/>
              </w:rPr>
            </w:pPr>
            <w:r w:rsidRPr="00CB09D5">
              <w:rPr>
                <w:lang w:val="en-GB"/>
              </w:rPr>
              <w:t>Development on the real estate market mirr</w:t>
            </w:r>
            <w:r w:rsidR="00A03996" w:rsidRPr="00CB09D5">
              <w:rPr>
                <w:lang w:val="en-GB"/>
              </w:rPr>
              <w:t>ored the good shape of the econo</w:t>
            </w:r>
            <w:r w:rsidRPr="00CB09D5">
              <w:rPr>
                <w:lang w:val="en-GB"/>
              </w:rPr>
              <w:t>my in 2016 and the positive outlooks of consumers.</w:t>
            </w:r>
            <w:r w:rsidR="00985A99" w:rsidRPr="00CB09D5">
              <w:rPr>
                <w:lang w:val="en-GB"/>
              </w:rPr>
              <w:t xml:space="preserve"> Increase of real income, low unemployment and positive expectations heightened the demand for real estate. The supply side of the market however did not manage to react in the needed time and the stock of flats shrank very soon. </w:t>
            </w:r>
            <w:r w:rsidR="00A03996" w:rsidRPr="00CB09D5">
              <w:rPr>
                <w:lang w:val="en-GB"/>
              </w:rPr>
              <w:t>The year-on-year growth of realised prices of older flats reflected this fact, accelerating dur</w:t>
            </w:r>
            <w:r w:rsidR="00124E9C" w:rsidRPr="00CB09D5">
              <w:rPr>
                <w:lang w:val="en-GB"/>
              </w:rPr>
              <w:t xml:space="preserve">ing </w:t>
            </w:r>
            <w:r w:rsidR="003277A6" w:rsidRPr="00CB09D5">
              <w:rPr>
                <w:lang w:val="en-GB"/>
              </w:rPr>
              <w:t xml:space="preserve">the </w:t>
            </w:r>
            <w:r w:rsidR="00124E9C" w:rsidRPr="00CB09D5">
              <w:rPr>
                <w:lang w:val="en-GB"/>
              </w:rPr>
              <w:t>year 2016 and reaching 14.5</w:t>
            </w:r>
            <w:r w:rsidR="00A03996" w:rsidRPr="00CB09D5">
              <w:rPr>
                <w:lang w:val="en-GB"/>
              </w:rPr>
              <w:t xml:space="preserve">% in Q4. </w:t>
            </w:r>
            <w:r w:rsidR="00B54645" w:rsidRPr="00CB09D5">
              <w:rPr>
                <w:lang w:val="en-GB"/>
              </w:rPr>
              <w:t>Realised prices of new flats</w:t>
            </w:r>
            <w:r w:rsidR="00A9497A" w:rsidRPr="00CB09D5">
              <w:rPr>
                <w:rStyle w:val="Znakapoznpodarou"/>
                <w:lang w:val="en-GB"/>
              </w:rPr>
              <w:footnoteReference w:id="24"/>
            </w:r>
            <w:r w:rsidR="00A9497A" w:rsidRPr="00CB09D5">
              <w:rPr>
                <w:lang w:val="en-GB"/>
              </w:rPr>
              <w:t xml:space="preserve"> </w:t>
            </w:r>
            <w:r w:rsidR="00B54645" w:rsidRPr="00CB09D5">
              <w:rPr>
                <w:lang w:val="en-GB"/>
              </w:rPr>
              <w:t>grew by 5.5% quarter-on-quarter at</w:t>
            </w:r>
            <w:r w:rsidR="00124E9C" w:rsidRPr="00CB09D5">
              <w:rPr>
                <w:lang w:val="en-GB"/>
              </w:rPr>
              <w:t xml:space="preserve"> the end of the year and by 9.3</w:t>
            </w:r>
            <w:r w:rsidR="00B54645" w:rsidRPr="00CB09D5">
              <w:rPr>
                <w:lang w:val="en-GB"/>
              </w:rPr>
              <w:t xml:space="preserve">% year-on-year </w:t>
            </w:r>
            <w:r w:rsidR="00EE3547" w:rsidRPr="00CB09D5">
              <w:rPr>
                <w:lang w:val="en-GB"/>
              </w:rPr>
              <w:t>(</w:t>
            </w:r>
            <w:r w:rsidR="00B54645" w:rsidRPr="00CB09D5">
              <w:rPr>
                <w:lang w:val="en-GB"/>
              </w:rPr>
              <w:t>yea</w:t>
            </w:r>
            <w:r w:rsidR="00124E9C" w:rsidRPr="00CB09D5">
              <w:rPr>
                <w:lang w:val="en-GB"/>
              </w:rPr>
              <w:t>r-on-year growth arrived at 3.8</w:t>
            </w:r>
            <w:r w:rsidR="00B54645" w:rsidRPr="00CB09D5">
              <w:rPr>
                <w:lang w:val="en-GB"/>
              </w:rPr>
              <w:t>% in Q3</w:t>
            </w:r>
            <w:r w:rsidR="00EE3547" w:rsidRPr="00CB09D5">
              <w:rPr>
                <w:lang w:val="en-GB"/>
              </w:rPr>
              <w:t>)</w:t>
            </w:r>
            <w:r w:rsidR="00A9497A" w:rsidRPr="00CB09D5">
              <w:rPr>
                <w:lang w:val="en-GB"/>
              </w:rPr>
              <w:t xml:space="preserve">. </w:t>
            </w:r>
            <w:r w:rsidR="00FA2A5B" w:rsidRPr="00CB09D5">
              <w:rPr>
                <w:lang w:val="en-GB"/>
              </w:rPr>
              <w:t>The year-on-year growth of price</w:t>
            </w:r>
            <w:r w:rsidR="00124E9C" w:rsidRPr="00CB09D5">
              <w:rPr>
                <w:lang w:val="en-GB"/>
              </w:rPr>
              <w:t>s of offered flats attained 9.6</w:t>
            </w:r>
            <w:r w:rsidR="00FA2A5B" w:rsidRPr="00CB09D5">
              <w:rPr>
                <w:lang w:val="en-GB"/>
              </w:rPr>
              <w:t xml:space="preserve">% already in the last quarter of </w:t>
            </w:r>
            <w:r w:rsidR="00963F41" w:rsidRPr="00CB09D5">
              <w:rPr>
                <w:lang w:val="en-GB"/>
              </w:rPr>
              <w:t xml:space="preserve">the </w:t>
            </w:r>
            <w:r w:rsidR="00FA2A5B" w:rsidRPr="00CB09D5">
              <w:rPr>
                <w:lang w:val="en-GB"/>
              </w:rPr>
              <w:t xml:space="preserve">year 2015 and it </w:t>
            </w:r>
            <w:r w:rsidR="0051778B" w:rsidRPr="00CB09D5">
              <w:rPr>
                <w:lang w:val="en-GB"/>
              </w:rPr>
              <w:t>mildly</w:t>
            </w:r>
            <w:r w:rsidR="00124E9C" w:rsidRPr="00CB09D5">
              <w:rPr>
                <w:lang w:val="en-GB"/>
              </w:rPr>
              <w:t xml:space="preserve"> crossed the 10</w:t>
            </w:r>
            <w:r w:rsidR="00FA2A5B" w:rsidRPr="00CB09D5">
              <w:rPr>
                <w:lang w:val="en-GB"/>
              </w:rPr>
              <w:t xml:space="preserve">% in the first two quarters of 2016. </w:t>
            </w:r>
            <w:r w:rsidR="0051778B" w:rsidRPr="00CB09D5">
              <w:rPr>
                <w:lang w:val="en-GB"/>
              </w:rPr>
              <w:t>The growth of supply prices th</w:t>
            </w:r>
            <w:r w:rsidR="00124E9C" w:rsidRPr="00CB09D5">
              <w:rPr>
                <w:lang w:val="en-GB"/>
              </w:rPr>
              <w:t>en hovered closely below the 10</w:t>
            </w:r>
            <w:r w:rsidR="0051778B" w:rsidRPr="00CB09D5">
              <w:rPr>
                <w:lang w:val="en-GB"/>
              </w:rPr>
              <w:t xml:space="preserve">% level in Q3 and </w:t>
            </w:r>
            <w:r w:rsidR="003E42C9">
              <w:rPr>
                <w:lang w:val="en-GB"/>
              </w:rPr>
              <w:t>Q</w:t>
            </w:r>
            <w:r w:rsidR="0051778B" w:rsidRPr="00CB09D5">
              <w:rPr>
                <w:lang w:val="en-GB"/>
              </w:rPr>
              <w:t xml:space="preserve">4 of the year. </w:t>
            </w:r>
            <w:r w:rsidR="00A9497A" w:rsidRPr="00CB09D5">
              <w:rPr>
                <w:lang w:val="en-GB"/>
              </w:rPr>
              <w:t> </w:t>
            </w:r>
            <w:r w:rsidR="00F12A83" w:rsidRPr="00CB09D5">
              <w:rPr>
                <w:lang w:val="en-GB"/>
              </w:rPr>
              <w:t xml:space="preserve"> </w:t>
            </w:r>
          </w:p>
          <w:p w:rsidR="00EE3547" w:rsidRPr="00674D93" w:rsidRDefault="00EE3547" w:rsidP="00EE3547">
            <w:pPr>
              <w:pStyle w:val="Textpoznpodarou"/>
              <w:ind w:right="-35"/>
              <w:jc w:val="both"/>
              <w:rPr>
                <w:sz w:val="14"/>
                <w:szCs w:val="14"/>
                <w:lang w:val="en-GB"/>
              </w:rPr>
            </w:pPr>
          </w:p>
        </w:tc>
      </w:tr>
      <w:tr w:rsidR="009F4DA8" w:rsidRPr="00CB09D5" w:rsidTr="00CC2A1E">
        <w:tc>
          <w:tcPr>
            <w:tcW w:w="988" w:type="pct"/>
            <w:gridSpan w:val="2"/>
          </w:tcPr>
          <w:p w:rsidR="009F4DA8" w:rsidRPr="00CB09D5" w:rsidRDefault="00FA2A5B" w:rsidP="009F4DA8">
            <w:pPr>
              <w:spacing w:line="240" w:lineRule="auto"/>
              <w:ind w:right="-19"/>
              <w:rPr>
                <w:spacing w:val="-4"/>
                <w:sz w:val="16"/>
                <w:lang w:val="en-GB"/>
              </w:rPr>
            </w:pPr>
            <w:r w:rsidRPr="00CB09D5">
              <w:rPr>
                <w:spacing w:val="-4"/>
                <w:sz w:val="16"/>
                <w:lang w:val="en-GB"/>
              </w:rPr>
              <w:t>Similarly</w:t>
            </w:r>
            <w:r w:rsidR="009F4DA8" w:rsidRPr="00CB09D5">
              <w:rPr>
                <w:spacing w:val="-4"/>
                <w:sz w:val="16"/>
                <w:lang w:val="en-GB"/>
              </w:rPr>
              <w:t xml:space="preserve"> to the Czech Republic, the EU also experienced a more pronounced change in the price development in the last quarter of the year. </w:t>
            </w:r>
          </w:p>
        </w:tc>
        <w:tc>
          <w:tcPr>
            <w:tcW w:w="144" w:type="pct"/>
          </w:tcPr>
          <w:p w:rsidR="009F4DA8" w:rsidRPr="00CB09D5" w:rsidRDefault="009F4DA8" w:rsidP="009F4DA8">
            <w:pPr>
              <w:pStyle w:val="Textpoznpodarou"/>
              <w:jc w:val="both"/>
              <w:rPr>
                <w:lang w:val="en-GB"/>
              </w:rPr>
            </w:pPr>
          </w:p>
        </w:tc>
        <w:tc>
          <w:tcPr>
            <w:tcW w:w="3868" w:type="pct"/>
            <w:gridSpan w:val="4"/>
          </w:tcPr>
          <w:p w:rsidR="009F4DA8" w:rsidRPr="00CB09D5" w:rsidRDefault="00F737AB" w:rsidP="009F4DA8">
            <w:pPr>
              <w:pStyle w:val="Textpoznpodarou"/>
              <w:ind w:right="-35"/>
              <w:jc w:val="both"/>
              <w:rPr>
                <w:sz w:val="16"/>
                <w:szCs w:val="16"/>
                <w:lang w:val="en-GB"/>
              </w:rPr>
            </w:pPr>
            <w:r w:rsidRPr="00CB09D5">
              <w:rPr>
                <w:lang w:val="en-GB"/>
              </w:rPr>
              <w:t xml:space="preserve">Price development in the Czech Republic fits into the European context. Year-on-year growth of the price level in the European twenty-eight did not digress much from zero during the first two quarters </w:t>
            </w:r>
            <w:r w:rsidR="009F4DA8" w:rsidRPr="00CB09D5">
              <w:rPr>
                <w:lang w:val="en-GB"/>
              </w:rPr>
              <w:t>(+0</w:t>
            </w:r>
            <w:r w:rsidRPr="00CB09D5">
              <w:rPr>
                <w:lang w:val="en-GB"/>
              </w:rPr>
              <w:t>.</w:t>
            </w:r>
            <w:r w:rsidR="00124E9C" w:rsidRPr="00CB09D5">
              <w:rPr>
                <w:lang w:val="en-GB"/>
              </w:rPr>
              <w:t>1</w:t>
            </w:r>
            <w:r w:rsidR="009F4DA8" w:rsidRPr="00CB09D5">
              <w:rPr>
                <w:lang w:val="en-GB"/>
              </w:rPr>
              <w:t>% a</w:t>
            </w:r>
            <w:r w:rsidRPr="00CB09D5">
              <w:rPr>
                <w:lang w:val="en-GB"/>
              </w:rPr>
              <w:t>nd</w:t>
            </w:r>
            <w:r w:rsidR="009F4DA8" w:rsidRPr="00CB09D5">
              <w:rPr>
                <w:lang w:val="en-GB"/>
              </w:rPr>
              <w:t xml:space="preserve"> -0</w:t>
            </w:r>
            <w:r w:rsidRPr="00CB09D5">
              <w:rPr>
                <w:lang w:val="en-GB"/>
              </w:rPr>
              <w:t>.</w:t>
            </w:r>
            <w:r w:rsidR="009F4DA8" w:rsidRPr="00CB09D5">
              <w:rPr>
                <w:lang w:val="en-GB"/>
              </w:rPr>
              <w:t xml:space="preserve">1%). </w:t>
            </w:r>
            <w:r w:rsidR="00124E9C" w:rsidRPr="00CB09D5">
              <w:rPr>
                <w:lang w:val="en-GB"/>
              </w:rPr>
              <w:t>It reached 0.3</w:t>
            </w:r>
            <w:r w:rsidRPr="00CB09D5">
              <w:rPr>
                <w:lang w:val="en-GB"/>
              </w:rPr>
              <w:t>% in the third quarter and it definitely moved away from zero in the last quarter of the year, w</w:t>
            </w:r>
            <w:r w:rsidR="00124E9C" w:rsidRPr="00CB09D5">
              <w:rPr>
                <w:lang w:val="en-GB"/>
              </w:rPr>
              <w:t>hen the prices increased by 0.8</w:t>
            </w:r>
            <w:r w:rsidRPr="00CB09D5">
              <w:rPr>
                <w:lang w:val="en-GB"/>
              </w:rPr>
              <w:t xml:space="preserve">% </w:t>
            </w:r>
            <w:proofErr w:type="gramStart"/>
            <w:r w:rsidRPr="00CB09D5">
              <w:rPr>
                <w:lang w:val="en-GB"/>
              </w:rPr>
              <w:t>year-on-year</w:t>
            </w:r>
            <w:proofErr w:type="gramEnd"/>
            <w:r w:rsidRPr="00CB09D5">
              <w:rPr>
                <w:lang w:val="en-GB"/>
              </w:rPr>
              <w:t xml:space="preserve">. </w:t>
            </w:r>
            <w:r w:rsidR="00784AE5" w:rsidRPr="00CB09D5">
              <w:rPr>
                <w:lang w:val="en-GB"/>
              </w:rPr>
              <w:t>The De</w:t>
            </w:r>
            <w:r w:rsidR="00124E9C" w:rsidRPr="00CB09D5">
              <w:rPr>
                <w:lang w:val="en-GB"/>
              </w:rPr>
              <w:t>cember inflation even crossed 1</w:t>
            </w:r>
            <w:r w:rsidR="00784AE5" w:rsidRPr="00CB09D5">
              <w:rPr>
                <w:lang w:val="en-GB"/>
              </w:rPr>
              <w:t xml:space="preserve">% for the first time since September </w:t>
            </w:r>
            <w:r w:rsidR="009F4DA8" w:rsidRPr="00CB09D5">
              <w:rPr>
                <w:lang w:val="en-GB"/>
              </w:rPr>
              <w:t>2013</w:t>
            </w:r>
            <w:r w:rsidR="00784AE5" w:rsidRPr="00CB09D5">
              <w:rPr>
                <w:lang w:val="en-GB"/>
              </w:rPr>
              <w:t xml:space="preserve"> </w:t>
            </w:r>
            <w:r w:rsidR="009F4DA8" w:rsidRPr="00CB09D5">
              <w:rPr>
                <w:lang w:val="en-GB"/>
              </w:rPr>
              <w:t>(</w:t>
            </w:r>
            <w:r w:rsidR="00784AE5" w:rsidRPr="00CB09D5">
              <w:rPr>
                <w:lang w:val="en-GB"/>
              </w:rPr>
              <w:t xml:space="preserve">it was </w:t>
            </w:r>
            <w:r w:rsidR="009F4DA8" w:rsidRPr="00CB09D5">
              <w:rPr>
                <w:lang w:val="en-GB"/>
              </w:rPr>
              <w:t>1</w:t>
            </w:r>
            <w:r w:rsidR="00784AE5" w:rsidRPr="00CB09D5">
              <w:rPr>
                <w:lang w:val="en-GB"/>
              </w:rPr>
              <w:t>.</w:t>
            </w:r>
            <w:r w:rsidR="00124E9C" w:rsidRPr="00CB09D5">
              <w:rPr>
                <w:lang w:val="en-GB"/>
              </w:rPr>
              <w:t>2</w:t>
            </w:r>
            <w:r w:rsidR="009F4DA8" w:rsidRPr="00CB09D5">
              <w:rPr>
                <w:lang w:val="en-GB"/>
              </w:rPr>
              <w:t xml:space="preserve">%). </w:t>
            </w:r>
            <w:r w:rsidR="00124E9C" w:rsidRPr="00CB09D5">
              <w:rPr>
                <w:lang w:val="en-GB"/>
              </w:rPr>
              <w:t>The prices rose by 0.2</w:t>
            </w:r>
            <w:r w:rsidR="000E0098" w:rsidRPr="00CB09D5">
              <w:rPr>
                <w:lang w:val="en-GB"/>
              </w:rPr>
              <w:t xml:space="preserve">% in Slovakia year-on-year in December, which ended the more than two </w:t>
            </w:r>
            <w:r w:rsidR="00956722" w:rsidRPr="00CB09D5">
              <w:rPr>
                <w:lang w:val="en-GB"/>
              </w:rPr>
              <w:t>years’</w:t>
            </w:r>
            <w:r w:rsidR="000E0098" w:rsidRPr="00CB09D5">
              <w:rPr>
                <w:lang w:val="en-GB"/>
              </w:rPr>
              <w:t xml:space="preserve"> period of deflation. A similar turn occurred in Cyprus, despite the deflation reaching two percent in Q2 201</w:t>
            </w:r>
            <w:r w:rsidR="00956722" w:rsidRPr="00CB09D5">
              <w:rPr>
                <w:lang w:val="en-GB"/>
              </w:rPr>
              <w:t>6 there. The rate of growth of prices in Germany grew quite steadily, when the price level stagnated in the first half of the</w:t>
            </w:r>
            <w:r w:rsidR="00124E9C" w:rsidRPr="00CB09D5">
              <w:rPr>
                <w:lang w:val="en-GB"/>
              </w:rPr>
              <w:t xml:space="preserve"> year, but it reached 1</w:t>
            </w:r>
            <w:r w:rsidR="00956722" w:rsidRPr="00CB09D5">
              <w:rPr>
                <w:lang w:val="en-GB"/>
              </w:rPr>
              <w:t xml:space="preserve">% growth in the final quarter. </w:t>
            </w:r>
          </w:p>
          <w:p w:rsidR="009F4DA8" w:rsidRPr="00674D93" w:rsidRDefault="009F4DA8" w:rsidP="009F4DA8">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2F3FBA" w:rsidP="00F12A83">
            <w:pPr>
              <w:spacing w:line="240" w:lineRule="auto"/>
              <w:ind w:right="-19"/>
              <w:rPr>
                <w:rFonts w:cs="Arial"/>
                <w:sz w:val="16"/>
                <w:szCs w:val="16"/>
                <w:lang w:val="en-GB"/>
              </w:rPr>
            </w:pPr>
            <w:r w:rsidRPr="00CB09D5">
              <w:rPr>
                <w:rFonts w:cs="Arial"/>
                <w:sz w:val="16"/>
                <w:szCs w:val="16"/>
                <w:lang w:val="en-GB"/>
              </w:rPr>
              <w:t xml:space="preserve">Long term reduction of prices of industrial producers moderated in the second half of the year </w:t>
            </w:r>
            <w:r w:rsidR="00F12A83" w:rsidRPr="00CB09D5">
              <w:rPr>
                <w:rFonts w:cs="Arial"/>
                <w:sz w:val="16"/>
                <w:szCs w:val="16"/>
                <w:lang w:val="en-GB"/>
              </w:rPr>
              <w:t>2016.</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8B24AF" w:rsidP="008A03DE">
            <w:pPr>
              <w:pStyle w:val="Textpoznpodarou"/>
              <w:ind w:right="-35"/>
              <w:jc w:val="both"/>
              <w:rPr>
                <w:sz w:val="16"/>
                <w:szCs w:val="16"/>
                <w:highlight w:val="yellow"/>
                <w:lang w:val="en-GB"/>
              </w:rPr>
            </w:pPr>
            <w:r w:rsidRPr="00CB09D5">
              <w:rPr>
                <w:lang w:val="en-GB"/>
              </w:rPr>
              <w:t xml:space="preserve">Industrial producer prices were falling year-on-year already since January 2014 and they were falling also during the year </w:t>
            </w:r>
            <w:r w:rsidR="00F12A83" w:rsidRPr="00CB09D5">
              <w:rPr>
                <w:lang w:val="en-GB"/>
              </w:rPr>
              <w:t xml:space="preserve">2016. </w:t>
            </w:r>
            <w:r w:rsidR="00123A5C" w:rsidRPr="00CB09D5">
              <w:rPr>
                <w:lang w:val="en-GB"/>
              </w:rPr>
              <w:t>The situation on the world markets with oil as well as the falling prices of raw materials were closely reflected in the development of the index. Combination with the fall of food prices led to a relatively atypical situation, when the growing demand w</w:t>
            </w:r>
            <w:r w:rsidR="00AF6753">
              <w:rPr>
                <w:lang w:val="en-GB"/>
              </w:rPr>
              <w:t>as not</w:t>
            </w:r>
            <w:r w:rsidR="00123A5C" w:rsidRPr="00CB09D5">
              <w:rPr>
                <w:lang w:val="en-GB"/>
              </w:rPr>
              <w:t xml:space="preserve"> followed the increase of prices. However, the pressure, which was put by the oil prices on the </w:t>
            </w:r>
            <w:r w:rsidR="00E52A9C" w:rsidRPr="00CB09D5">
              <w:rPr>
                <w:lang w:val="en-GB"/>
              </w:rPr>
              <w:t>industrial</w:t>
            </w:r>
            <w:r w:rsidR="00123A5C" w:rsidRPr="00CB09D5">
              <w:rPr>
                <w:lang w:val="en-GB"/>
              </w:rPr>
              <w:t xml:space="preserve"> producer price index </w:t>
            </w:r>
            <w:r w:rsidR="00D747AA" w:rsidRPr="00CB09D5">
              <w:rPr>
                <w:lang w:val="en-GB"/>
              </w:rPr>
              <w:t>loosened in 2016, and the index started to slightly grow at</w:t>
            </w:r>
            <w:r w:rsidR="00AB2FF7" w:rsidRPr="00CB09D5">
              <w:rPr>
                <w:lang w:val="en-GB"/>
              </w:rPr>
              <w:t xml:space="preserve"> </w:t>
            </w:r>
            <w:r w:rsidR="00D747AA" w:rsidRPr="00CB09D5">
              <w:rPr>
                <w:lang w:val="en-GB"/>
              </w:rPr>
              <w:t xml:space="preserve">least in the month-on-month expression. </w:t>
            </w:r>
            <w:r w:rsidR="00AB2FF7" w:rsidRPr="00CB09D5">
              <w:rPr>
                <w:lang w:val="en-GB"/>
              </w:rPr>
              <w:t xml:space="preserve">Year-on-year fall shrank in the second half of the year </w:t>
            </w:r>
            <w:r w:rsidR="00310ADB" w:rsidRPr="00CB09D5">
              <w:rPr>
                <w:lang w:val="en-GB"/>
              </w:rPr>
              <w:t>(</w:t>
            </w:r>
            <w:r w:rsidR="00AB2FF7" w:rsidRPr="00CB09D5">
              <w:rPr>
                <w:lang w:val="en-GB"/>
              </w:rPr>
              <w:t xml:space="preserve">from </w:t>
            </w:r>
            <w:r w:rsidR="00124E9C" w:rsidRPr="00CB09D5">
              <w:rPr>
                <w:lang w:val="en-GB"/>
              </w:rPr>
              <w:t>4</w:t>
            </w:r>
            <w:r w:rsidR="00F12A83" w:rsidRPr="00CB09D5">
              <w:rPr>
                <w:lang w:val="en-GB"/>
              </w:rPr>
              <w:t>% a</w:t>
            </w:r>
            <w:r w:rsidR="00AB2FF7" w:rsidRPr="00CB09D5">
              <w:rPr>
                <w:lang w:val="en-GB"/>
              </w:rPr>
              <w:t>nd</w:t>
            </w:r>
            <w:r w:rsidR="00F12A83" w:rsidRPr="00CB09D5">
              <w:rPr>
                <w:lang w:val="en-GB"/>
              </w:rPr>
              <w:t xml:space="preserve"> 4</w:t>
            </w:r>
            <w:r w:rsidR="00AB2FF7" w:rsidRPr="00CB09D5">
              <w:rPr>
                <w:lang w:val="en-GB"/>
              </w:rPr>
              <w:t>.</w:t>
            </w:r>
            <w:r w:rsidR="00124E9C" w:rsidRPr="00CB09D5">
              <w:rPr>
                <w:lang w:val="en-GB"/>
              </w:rPr>
              <w:t>6</w:t>
            </w:r>
            <w:r w:rsidR="00310ADB" w:rsidRPr="00CB09D5">
              <w:rPr>
                <w:lang w:val="en-GB"/>
              </w:rPr>
              <w:t xml:space="preserve">% </w:t>
            </w:r>
            <w:r w:rsidR="00AB2FF7" w:rsidRPr="00CB09D5">
              <w:rPr>
                <w:lang w:val="en-GB"/>
              </w:rPr>
              <w:t xml:space="preserve">in the first two quarters to </w:t>
            </w:r>
            <w:r w:rsidR="00F12A83" w:rsidRPr="00CB09D5">
              <w:rPr>
                <w:lang w:val="en-GB"/>
              </w:rPr>
              <w:t>3</w:t>
            </w:r>
            <w:r w:rsidR="00AB2FF7" w:rsidRPr="00CB09D5">
              <w:rPr>
                <w:lang w:val="en-GB"/>
              </w:rPr>
              <w:t>.</w:t>
            </w:r>
            <w:r w:rsidR="00124E9C" w:rsidRPr="00CB09D5">
              <w:rPr>
                <w:lang w:val="en-GB"/>
              </w:rPr>
              <w:t>2</w:t>
            </w:r>
            <w:r w:rsidR="00F12A83" w:rsidRPr="00CB09D5">
              <w:rPr>
                <w:lang w:val="en-GB"/>
              </w:rPr>
              <w:t xml:space="preserve">% </w:t>
            </w:r>
            <w:r w:rsidR="00AB2FF7" w:rsidRPr="00CB09D5">
              <w:rPr>
                <w:lang w:val="en-GB"/>
              </w:rPr>
              <w:t xml:space="preserve">in the third </w:t>
            </w:r>
            <w:r w:rsidR="00F12A83" w:rsidRPr="00CB09D5">
              <w:rPr>
                <w:lang w:val="en-GB"/>
              </w:rPr>
              <w:t>a</w:t>
            </w:r>
            <w:r w:rsidR="00AB2FF7" w:rsidRPr="00CB09D5">
              <w:rPr>
                <w:lang w:val="en-GB"/>
              </w:rPr>
              <w:t>nd</w:t>
            </w:r>
            <w:r w:rsidR="00F12A83" w:rsidRPr="00CB09D5">
              <w:rPr>
                <w:lang w:val="en-GB"/>
              </w:rPr>
              <w:t xml:space="preserve"> 1</w:t>
            </w:r>
            <w:r w:rsidR="00AB2FF7" w:rsidRPr="00CB09D5">
              <w:rPr>
                <w:lang w:val="en-GB"/>
              </w:rPr>
              <w:t>.</w:t>
            </w:r>
            <w:r w:rsidR="00124E9C" w:rsidRPr="00CB09D5">
              <w:rPr>
                <w:lang w:val="en-GB"/>
              </w:rPr>
              <w:t>1</w:t>
            </w:r>
            <w:r w:rsidR="00F12A83" w:rsidRPr="00CB09D5">
              <w:rPr>
                <w:lang w:val="en-GB"/>
              </w:rPr>
              <w:t xml:space="preserve">% </w:t>
            </w:r>
            <w:r w:rsidR="00AB2FF7" w:rsidRPr="00CB09D5">
              <w:rPr>
                <w:lang w:val="en-GB"/>
              </w:rPr>
              <w:t>in the final quarter</w:t>
            </w:r>
            <w:r w:rsidR="00310ADB" w:rsidRPr="00CB09D5">
              <w:rPr>
                <w:lang w:val="en-GB"/>
              </w:rPr>
              <w:t>)</w:t>
            </w:r>
            <w:r w:rsidR="00F12A83" w:rsidRPr="00CB09D5">
              <w:rPr>
                <w:lang w:val="en-GB"/>
              </w:rPr>
              <w:t xml:space="preserve">. </w:t>
            </w:r>
            <w:r w:rsidR="000A68A2" w:rsidRPr="00CB09D5">
              <w:rPr>
                <w:lang w:val="en-GB"/>
              </w:rPr>
              <w:t xml:space="preserve">Raised prices in the division of coke and refined oil products as well as the moderation </w:t>
            </w:r>
            <w:r w:rsidR="00495456" w:rsidRPr="00CB09D5">
              <w:rPr>
                <w:lang w:val="en-GB"/>
              </w:rPr>
              <w:t>of</w:t>
            </w:r>
            <w:r w:rsidR="000A68A2" w:rsidRPr="00CB09D5">
              <w:rPr>
                <w:lang w:val="en-GB"/>
              </w:rPr>
              <w:t xml:space="preserve"> the fall of prices of food products assisted this development</w:t>
            </w:r>
            <w:r w:rsidR="00F12A83" w:rsidRPr="00CB09D5">
              <w:rPr>
                <w:lang w:val="en-GB"/>
              </w:rPr>
              <w:t xml:space="preserve">. </w:t>
            </w:r>
            <w:r w:rsidR="000A68A2" w:rsidRPr="00CB09D5">
              <w:rPr>
                <w:lang w:val="en-GB"/>
              </w:rPr>
              <w:t xml:space="preserve">Marked drop of the prices in the category of mining and </w:t>
            </w:r>
            <w:r w:rsidR="000A68A2" w:rsidRPr="00CB09D5">
              <w:rPr>
                <w:lang w:val="en-GB"/>
              </w:rPr>
              <w:lastRenderedPageBreak/>
              <w:t>quarrying prevailed, reflecti</w:t>
            </w:r>
            <w:r w:rsidR="00C10EC1" w:rsidRPr="00CB09D5">
              <w:rPr>
                <w:lang w:val="en-GB"/>
              </w:rPr>
              <w:t>ng</w:t>
            </w:r>
            <w:r w:rsidR="000A68A2" w:rsidRPr="00CB09D5">
              <w:rPr>
                <w:lang w:val="en-GB"/>
              </w:rPr>
              <w:t xml:space="preserve"> a higher supply of materials from China as well as the deflection of developed countries from using solid fossil fuels. </w:t>
            </w:r>
            <w:r w:rsidR="00B84E5C" w:rsidRPr="00CB09D5">
              <w:rPr>
                <w:lang w:val="en-GB"/>
              </w:rPr>
              <w:t>Prices of construction works grew</w:t>
            </w:r>
            <w:r w:rsidR="00124E9C" w:rsidRPr="00CB09D5">
              <w:rPr>
                <w:lang w:val="en-GB"/>
              </w:rPr>
              <w:t xml:space="preserve"> by an average year pace of 1.1</w:t>
            </w:r>
            <w:r w:rsidR="00B84E5C" w:rsidRPr="00CB09D5">
              <w:rPr>
                <w:lang w:val="en-GB"/>
              </w:rPr>
              <w:t xml:space="preserve">%. </w:t>
            </w:r>
            <w:r w:rsidR="0070009B" w:rsidRPr="00CB09D5">
              <w:rPr>
                <w:lang w:val="en-GB"/>
              </w:rPr>
              <w:t xml:space="preserve">Prices of </w:t>
            </w:r>
            <w:r w:rsidR="00C10EC1" w:rsidRPr="00CB09D5">
              <w:rPr>
                <w:lang w:val="en-GB"/>
              </w:rPr>
              <w:t>bui</w:t>
            </w:r>
            <w:r w:rsidR="00A47C74" w:rsidRPr="00CB09D5">
              <w:rPr>
                <w:lang w:val="en-GB"/>
              </w:rPr>
              <w:t>l</w:t>
            </w:r>
            <w:r w:rsidR="00C10EC1" w:rsidRPr="00CB09D5">
              <w:rPr>
                <w:lang w:val="en-GB"/>
              </w:rPr>
              <w:t>dings</w:t>
            </w:r>
            <w:r w:rsidR="0070009B" w:rsidRPr="00CB09D5">
              <w:rPr>
                <w:lang w:val="en-GB"/>
              </w:rPr>
              <w:t xml:space="preserve"> and engineering </w:t>
            </w:r>
            <w:r w:rsidR="00A47C74" w:rsidRPr="00CB09D5">
              <w:rPr>
                <w:lang w:val="en-GB"/>
              </w:rPr>
              <w:t>structures</w:t>
            </w:r>
            <w:r w:rsidR="0070009B" w:rsidRPr="00CB09D5">
              <w:rPr>
                <w:lang w:val="en-GB"/>
              </w:rPr>
              <w:t xml:space="preserve"> recorded the same growth. </w:t>
            </w:r>
            <w:r w:rsidR="00F12A83" w:rsidRPr="00CB09D5">
              <w:rPr>
                <w:lang w:val="en-GB"/>
              </w:rPr>
              <w:t xml:space="preserve"> </w:t>
            </w:r>
          </w:p>
          <w:p w:rsidR="00F12A83" w:rsidRPr="00CB09D5" w:rsidRDefault="00F12A83" w:rsidP="008A03DE">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0F06EF" w:rsidP="000F06EF">
            <w:pPr>
              <w:spacing w:line="240" w:lineRule="auto"/>
              <w:ind w:right="-19"/>
              <w:rPr>
                <w:sz w:val="16"/>
                <w:szCs w:val="16"/>
                <w:lang w:val="en-GB"/>
              </w:rPr>
            </w:pPr>
            <w:r w:rsidRPr="00CB09D5">
              <w:rPr>
                <w:sz w:val="16"/>
                <w:szCs w:val="16"/>
                <w:lang w:val="en-GB"/>
              </w:rPr>
              <w:lastRenderedPageBreak/>
              <w:t xml:space="preserve">Industrial producer prices were falling in the EU year-on-year in the first three quarters, but the increase of oil prices manifested towards the end of the year </w:t>
            </w:r>
            <w:r w:rsidR="00D24299" w:rsidRPr="00CB09D5">
              <w:rPr>
                <w:sz w:val="16"/>
                <w:szCs w:val="16"/>
                <w:lang w:val="en-GB"/>
              </w:rPr>
              <w:t>a</w:t>
            </w:r>
            <w:r w:rsidR="00DC333E" w:rsidRPr="00CB09D5">
              <w:rPr>
                <w:sz w:val="16"/>
                <w:szCs w:val="16"/>
                <w:lang w:val="en-GB"/>
              </w:rPr>
              <w:t xml:space="preserve">nd the development at least partially turned to growth.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33463E" w:rsidP="008A03DE">
            <w:pPr>
              <w:pStyle w:val="Textpoznpodarou"/>
              <w:ind w:right="-35"/>
              <w:jc w:val="both"/>
              <w:rPr>
                <w:sz w:val="16"/>
                <w:szCs w:val="16"/>
                <w:lang w:val="en-GB"/>
              </w:rPr>
            </w:pPr>
            <w:r w:rsidRPr="00CB09D5">
              <w:rPr>
                <w:lang w:val="en-GB"/>
              </w:rPr>
              <w:t xml:space="preserve">EU industrial producer prices featured similar dynamics as in the </w:t>
            </w:r>
            <w:r w:rsidRPr="00CB5695">
              <w:rPr>
                <w:rFonts w:cs="Arial"/>
                <w:lang w:val="en-GB"/>
              </w:rPr>
              <w:t xml:space="preserve">Czech Republic during the year </w:t>
            </w:r>
            <w:r w:rsidR="00F12A83" w:rsidRPr="00CB5695">
              <w:rPr>
                <w:rFonts w:cs="Arial"/>
                <w:lang w:val="en-GB"/>
              </w:rPr>
              <w:t>2016</w:t>
            </w:r>
            <w:r w:rsidRPr="00CB5695">
              <w:rPr>
                <w:rFonts w:cs="Arial"/>
                <w:lang w:val="en-GB"/>
              </w:rPr>
              <w:t xml:space="preserve">. </w:t>
            </w:r>
            <w:r w:rsidR="00754593" w:rsidRPr="00CB5695">
              <w:rPr>
                <w:rFonts w:cs="Arial"/>
                <w:lang w:val="en-GB"/>
              </w:rPr>
              <w:t>Year-on-year changes of</w:t>
            </w:r>
            <w:r w:rsidR="00CB5695" w:rsidRPr="00CB5695">
              <w:rPr>
                <w:rFonts w:cs="Arial"/>
                <w:lang w:val="en-GB"/>
              </w:rPr>
              <w:t xml:space="preserve"> prices were negative in the EU</w:t>
            </w:r>
            <w:r w:rsidR="00CB5695">
              <w:rPr>
                <w:rFonts w:cs="Arial"/>
                <w:lang w:val="en-GB"/>
              </w:rPr>
              <w:t>-</w:t>
            </w:r>
            <w:r w:rsidR="00754593" w:rsidRPr="00CB5695">
              <w:rPr>
                <w:rFonts w:cs="Arial"/>
                <w:lang w:val="en-GB"/>
              </w:rPr>
              <w:t>28 in Q</w:t>
            </w:r>
            <w:r w:rsidR="00F12A83" w:rsidRPr="00CB5695">
              <w:rPr>
                <w:rFonts w:cs="Arial"/>
                <w:lang w:val="en-GB"/>
              </w:rPr>
              <w:t>1</w:t>
            </w:r>
            <w:r w:rsidR="00754593" w:rsidRPr="00CB5695">
              <w:rPr>
                <w:rFonts w:cs="Arial"/>
                <w:lang w:val="en-GB"/>
              </w:rPr>
              <w:t xml:space="preserve"> to Q</w:t>
            </w:r>
            <w:r w:rsidR="00F12A83" w:rsidRPr="00CB5695">
              <w:rPr>
                <w:rFonts w:cs="Arial"/>
                <w:lang w:val="en-GB"/>
              </w:rPr>
              <w:t>3</w:t>
            </w:r>
            <w:r w:rsidR="00754593" w:rsidRPr="00CB5695">
              <w:rPr>
                <w:rFonts w:cs="Arial"/>
                <w:lang w:val="en-GB"/>
              </w:rPr>
              <w:t xml:space="preserve"> </w:t>
            </w:r>
            <w:r w:rsidR="00F12A83" w:rsidRPr="00CB5695">
              <w:rPr>
                <w:rFonts w:cs="Arial"/>
                <w:lang w:val="en-GB"/>
              </w:rPr>
              <w:t>(</w:t>
            </w:r>
            <w:r w:rsidR="004D4F13" w:rsidRPr="00CB5695">
              <w:rPr>
                <w:rFonts w:cs="Arial"/>
                <w:lang w:val="en-GB"/>
              </w:rPr>
              <w:t>-</w:t>
            </w:r>
            <w:r w:rsidR="00F12A83" w:rsidRPr="00CB5695">
              <w:rPr>
                <w:rFonts w:cs="Arial"/>
                <w:lang w:val="en-GB"/>
              </w:rPr>
              <w:t>3</w:t>
            </w:r>
            <w:r w:rsidR="00754593" w:rsidRPr="00CB5695">
              <w:rPr>
                <w:rFonts w:cs="Arial"/>
                <w:lang w:val="en-GB"/>
              </w:rPr>
              <w:t>.</w:t>
            </w:r>
            <w:r w:rsidR="00AF2536" w:rsidRPr="00CB5695">
              <w:rPr>
                <w:rFonts w:cs="Arial"/>
                <w:lang w:val="en-GB"/>
              </w:rPr>
              <w:t>7</w:t>
            </w:r>
            <w:r w:rsidR="00F12A83" w:rsidRPr="00CB5695">
              <w:rPr>
                <w:rFonts w:cs="Arial"/>
                <w:lang w:val="en-GB"/>
              </w:rPr>
              <w:t xml:space="preserve">%, </w:t>
            </w:r>
            <w:r w:rsidR="004D4F13" w:rsidRPr="00CB5695">
              <w:rPr>
                <w:rFonts w:cs="Arial"/>
                <w:lang w:val="en-GB"/>
              </w:rPr>
              <w:t>-</w:t>
            </w:r>
            <w:r w:rsidR="00D24299" w:rsidRPr="00CB5695">
              <w:rPr>
                <w:rFonts w:cs="Arial"/>
                <w:lang w:val="en-GB"/>
              </w:rPr>
              <w:t>3</w:t>
            </w:r>
            <w:r w:rsidR="00754593" w:rsidRPr="00CB5695">
              <w:rPr>
                <w:rFonts w:cs="Arial"/>
                <w:lang w:val="en-GB"/>
              </w:rPr>
              <w:t>.</w:t>
            </w:r>
            <w:r w:rsidR="00124E9C" w:rsidRPr="00CB5695">
              <w:rPr>
                <w:rFonts w:cs="Arial"/>
                <w:lang w:val="en-GB"/>
              </w:rPr>
              <w:t>6</w:t>
            </w:r>
            <w:r w:rsidR="00D24299" w:rsidRPr="00CB5695">
              <w:rPr>
                <w:rFonts w:cs="Arial"/>
                <w:lang w:val="en-GB"/>
              </w:rPr>
              <w:t>% a</w:t>
            </w:r>
            <w:r w:rsidR="00754593" w:rsidRPr="00CB5695">
              <w:rPr>
                <w:rFonts w:cs="Arial"/>
                <w:lang w:val="en-GB"/>
              </w:rPr>
              <w:t>nd</w:t>
            </w:r>
            <w:r w:rsidR="00D24299" w:rsidRPr="00CB5695">
              <w:rPr>
                <w:rFonts w:cs="Arial"/>
                <w:lang w:val="en-GB"/>
              </w:rPr>
              <w:t xml:space="preserve"> </w:t>
            </w:r>
            <w:r w:rsidR="004D4F13" w:rsidRPr="00CB5695">
              <w:rPr>
                <w:rFonts w:cs="Arial"/>
                <w:lang w:val="en-GB"/>
              </w:rPr>
              <w:t>-</w:t>
            </w:r>
            <w:r w:rsidR="00F12A83" w:rsidRPr="00CB5695">
              <w:rPr>
                <w:rFonts w:cs="Arial"/>
                <w:lang w:val="en-GB"/>
              </w:rPr>
              <w:t>1</w:t>
            </w:r>
            <w:r w:rsidR="00754593" w:rsidRPr="00CB5695">
              <w:rPr>
                <w:rFonts w:cs="Arial"/>
                <w:lang w:val="en-GB"/>
              </w:rPr>
              <w:t>.</w:t>
            </w:r>
            <w:r w:rsidR="00124E9C" w:rsidRPr="00CB5695">
              <w:rPr>
                <w:rFonts w:cs="Arial"/>
                <w:lang w:val="en-GB"/>
              </w:rPr>
              <w:t>6</w:t>
            </w:r>
            <w:r w:rsidR="00F12A83" w:rsidRPr="00CB5695">
              <w:rPr>
                <w:rFonts w:cs="Arial"/>
                <w:lang w:val="en-GB"/>
              </w:rPr>
              <w:t>%) a</w:t>
            </w:r>
            <w:r w:rsidR="00124E9C" w:rsidRPr="00CB5695">
              <w:rPr>
                <w:rFonts w:cs="Arial"/>
                <w:lang w:val="en-GB"/>
              </w:rPr>
              <w:t>nd they rose by 1.1</w:t>
            </w:r>
            <w:r w:rsidR="00754593" w:rsidRPr="00CB5695">
              <w:rPr>
                <w:rFonts w:cs="Arial"/>
                <w:lang w:val="en-GB"/>
              </w:rPr>
              <w:t>% in the final</w:t>
            </w:r>
            <w:r w:rsidR="00754593" w:rsidRPr="00CB09D5">
              <w:rPr>
                <w:lang w:val="en-GB"/>
              </w:rPr>
              <w:t xml:space="preserve"> quarter. </w:t>
            </w:r>
            <w:r w:rsidR="00AB2EE8" w:rsidRPr="00CB09D5">
              <w:rPr>
                <w:lang w:val="en-GB"/>
              </w:rPr>
              <w:t>The group of countries where the indust</w:t>
            </w:r>
            <w:r w:rsidR="00DC7928" w:rsidRPr="00CB09D5">
              <w:rPr>
                <w:lang w:val="en-GB"/>
              </w:rPr>
              <w:t>ri</w:t>
            </w:r>
            <w:r w:rsidR="00AB2EE8" w:rsidRPr="00CB09D5">
              <w:rPr>
                <w:lang w:val="en-GB"/>
              </w:rPr>
              <w:t xml:space="preserve">al producer prices again grow year-on-year thus significantly enlarged in Q4. </w:t>
            </w:r>
            <w:r w:rsidR="000F06EF" w:rsidRPr="00CB09D5">
              <w:rPr>
                <w:lang w:val="en-GB"/>
              </w:rPr>
              <w:t>Prices were not</w:t>
            </w:r>
            <w:r w:rsidR="00DC7928" w:rsidRPr="00CB09D5">
              <w:rPr>
                <w:lang w:val="en-GB"/>
              </w:rPr>
              <w:t>a</w:t>
            </w:r>
            <w:r w:rsidR="000F06EF" w:rsidRPr="00CB09D5">
              <w:rPr>
                <w:lang w:val="en-GB"/>
              </w:rPr>
              <w:t xml:space="preserve">bly raised in Great Britain </w:t>
            </w:r>
            <w:r w:rsidR="00AF2536" w:rsidRPr="00CB09D5">
              <w:rPr>
                <w:lang w:val="en-GB"/>
              </w:rPr>
              <w:t>(+5</w:t>
            </w:r>
            <w:r w:rsidR="000F06EF" w:rsidRPr="00CB09D5">
              <w:rPr>
                <w:lang w:val="en-GB"/>
              </w:rPr>
              <w:t>.</w:t>
            </w:r>
            <w:r w:rsidR="00124E9C" w:rsidRPr="00CB09D5">
              <w:rPr>
                <w:lang w:val="en-GB"/>
              </w:rPr>
              <w:t>6</w:t>
            </w:r>
            <w:r w:rsidR="00AF2536" w:rsidRPr="00CB09D5">
              <w:rPr>
                <w:lang w:val="en-GB"/>
              </w:rPr>
              <w:t xml:space="preserve">%), </w:t>
            </w:r>
            <w:r w:rsidR="000F06EF" w:rsidRPr="00CB09D5">
              <w:rPr>
                <w:lang w:val="en-GB"/>
              </w:rPr>
              <w:t xml:space="preserve">in Belgium </w:t>
            </w:r>
            <w:r w:rsidR="00AF2536" w:rsidRPr="00CB09D5">
              <w:rPr>
                <w:lang w:val="en-GB"/>
              </w:rPr>
              <w:t>(+4</w:t>
            </w:r>
            <w:r w:rsidR="000F06EF" w:rsidRPr="00CB09D5">
              <w:rPr>
                <w:lang w:val="en-GB"/>
              </w:rPr>
              <w:t>.</w:t>
            </w:r>
            <w:r w:rsidR="00AF2536" w:rsidRPr="00CB09D5">
              <w:rPr>
                <w:lang w:val="en-GB"/>
              </w:rPr>
              <w:t>8</w:t>
            </w:r>
            <w:r w:rsidR="00F12A83" w:rsidRPr="00CB09D5">
              <w:rPr>
                <w:lang w:val="en-GB"/>
              </w:rPr>
              <w:t xml:space="preserve">%) </w:t>
            </w:r>
            <w:r w:rsidR="00DC7928" w:rsidRPr="00CB09D5">
              <w:rPr>
                <w:lang w:val="en-GB"/>
              </w:rPr>
              <w:t>or in Sweden (</w:t>
            </w:r>
            <w:r w:rsidR="00F12A83" w:rsidRPr="00CB09D5">
              <w:rPr>
                <w:lang w:val="en-GB"/>
              </w:rPr>
              <w:t>+3</w:t>
            </w:r>
            <w:r w:rsidR="00DC7928" w:rsidRPr="00CB09D5">
              <w:rPr>
                <w:lang w:val="en-GB"/>
              </w:rPr>
              <w:t>.</w:t>
            </w:r>
            <w:r w:rsidR="00124E9C" w:rsidRPr="00CB09D5">
              <w:rPr>
                <w:lang w:val="en-GB"/>
              </w:rPr>
              <w:t>2</w:t>
            </w:r>
            <w:r w:rsidR="00F12A83" w:rsidRPr="00CB09D5">
              <w:rPr>
                <w:lang w:val="en-GB"/>
              </w:rPr>
              <w:t xml:space="preserve">%). </w:t>
            </w:r>
            <w:r w:rsidR="00FB6D4A" w:rsidRPr="00CB09D5">
              <w:rPr>
                <w:lang w:val="en-GB"/>
              </w:rPr>
              <w:t>The Czech Republic still remains among countries,</w:t>
            </w:r>
            <w:r w:rsidR="00F12A83" w:rsidRPr="00CB09D5">
              <w:rPr>
                <w:lang w:val="en-GB"/>
              </w:rPr>
              <w:t xml:space="preserve"> </w:t>
            </w:r>
            <w:r w:rsidR="00FB6D4A" w:rsidRPr="00CB09D5">
              <w:rPr>
                <w:lang w:val="en-GB"/>
              </w:rPr>
              <w:t xml:space="preserve">where the industrial producers experience deflation. </w:t>
            </w:r>
            <w:r w:rsidR="00F12A83" w:rsidRPr="00CB09D5">
              <w:rPr>
                <w:lang w:val="en-GB"/>
              </w:rPr>
              <w:t xml:space="preserve"> </w:t>
            </w:r>
            <w:r w:rsidR="00E37E7D" w:rsidRPr="00CB09D5">
              <w:rPr>
                <w:lang w:val="en-GB"/>
              </w:rPr>
              <w:t xml:space="preserve">Only Luxembourg </w:t>
            </w:r>
            <w:r w:rsidR="004D4F13" w:rsidRPr="00CB09D5">
              <w:rPr>
                <w:lang w:val="en-GB"/>
              </w:rPr>
              <w:t>(-</w:t>
            </w:r>
            <w:r w:rsidR="00F12A83" w:rsidRPr="00CB09D5">
              <w:rPr>
                <w:lang w:val="en-GB"/>
              </w:rPr>
              <w:t>6</w:t>
            </w:r>
            <w:r w:rsidR="00E37E7D" w:rsidRPr="00CB09D5">
              <w:rPr>
                <w:lang w:val="en-GB"/>
              </w:rPr>
              <w:t>.</w:t>
            </w:r>
            <w:r w:rsidR="00124E9C" w:rsidRPr="00CB09D5">
              <w:rPr>
                <w:lang w:val="en-GB"/>
              </w:rPr>
              <w:t>7</w:t>
            </w:r>
            <w:r w:rsidR="00F12A83" w:rsidRPr="00CB09D5">
              <w:rPr>
                <w:lang w:val="en-GB"/>
              </w:rPr>
              <w:t>%), Slov</w:t>
            </w:r>
            <w:r w:rsidR="00E37E7D" w:rsidRPr="00CB09D5">
              <w:rPr>
                <w:lang w:val="en-GB"/>
              </w:rPr>
              <w:t xml:space="preserve">akia </w:t>
            </w:r>
            <w:r w:rsidR="00F12A83" w:rsidRPr="00CB09D5">
              <w:rPr>
                <w:lang w:val="en-GB"/>
              </w:rPr>
              <w:t>(</w:t>
            </w:r>
            <w:r w:rsidR="00D24299" w:rsidRPr="00CB09D5">
              <w:rPr>
                <w:lang w:val="en-GB"/>
              </w:rPr>
              <w:t>-</w:t>
            </w:r>
            <w:r w:rsidR="00F12A83" w:rsidRPr="00CB09D5">
              <w:rPr>
                <w:lang w:val="en-GB"/>
              </w:rPr>
              <w:t>2</w:t>
            </w:r>
            <w:r w:rsidR="00E37E7D" w:rsidRPr="00CB09D5">
              <w:rPr>
                <w:lang w:val="en-GB"/>
              </w:rPr>
              <w:t>.</w:t>
            </w:r>
            <w:r w:rsidR="00124E9C" w:rsidRPr="00CB09D5">
              <w:rPr>
                <w:lang w:val="en-GB"/>
              </w:rPr>
              <w:t>4</w:t>
            </w:r>
            <w:r w:rsidR="00F12A83" w:rsidRPr="00CB09D5">
              <w:rPr>
                <w:lang w:val="en-GB"/>
              </w:rPr>
              <w:t>%), L</w:t>
            </w:r>
            <w:r w:rsidR="00E37E7D" w:rsidRPr="00CB09D5">
              <w:rPr>
                <w:lang w:val="en-GB"/>
              </w:rPr>
              <w:t xml:space="preserve">atvia </w:t>
            </w:r>
            <w:r w:rsidR="00F12A83" w:rsidRPr="00CB09D5">
              <w:rPr>
                <w:lang w:val="en-GB"/>
              </w:rPr>
              <w:t>(</w:t>
            </w:r>
            <w:r w:rsidR="004D4F13" w:rsidRPr="00CB09D5">
              <w:rPr>
                <w:lang w:val="en-GB"/>
              </w:rPr>
              <w:t>-</w:t>
            </w:r>
            <w:r w:rsidR="00D24299" w:rsidRPr="00CB09D5">
              <w:rPr>
                <w:lang w:val="en-GB"/>
              </w:rPr>
              <w:t>2</w:t>
            </w:r>
            <w:r w:rsidR="00E37E7D" w:rsidRPr="00CB09D5">
              <w:rPr>
                <w:lang w:val="en-GB"/>
              </w:rPr>
              <w:t>.</w:t>
            </w:r>
            <w:r w:rsidR="00124E9C" w:rsidRPr="00CB09D5">
              <w:rPr>
                <w:lang w:val="en-GB"/>
              </w:rPr>
              <w:t>2</w:t>
            </w:r>
            <w:r w:rsidR="00D24299" w:rsidRPr="00CB09D5">
              <w:rPr>
                <w:lang w:val="en-GB"/>
              </w:rPr>
              <w:t>%) a</w:t>
            </w:r>
            <w:r w:rsidR="00E37E7D" w:rsidRPr="00CB09D5">
              <w:rPr>
                <w:lang w:val="en-GB"/>
              </w:rPr>
              <w:t xml:space="preserve">nd Croatia </w:t>
            </w:r>
            <w:r w:rsidR="00F12A83" w:rsidRPr="00CB09D5">
              <w:rPr>
                <w:lang w:val="en-GB"/>
              </w:rPr>
              <w:t>(</w:t>
            </w:r>
            <w:r w:rsidR="004D4F13" w:rsidRPr="00CB09D5">
              <w:rPr>
                <w:lang w:val="en-GB"/>
              </w:rPr>
              <w:t>-</w:t>
            </w:r>
            <w:r w:rsidR="00F12A83" w:rsidRPr="00CB09D5">
              <w:rPr>
                <w:lang w:val="en-GB"/>
              </w:rPr>
              <w:t>1</w:t>
            </w:r>
            <w:r w:rsidR="00E37E7D" w:rsidRPr="00CB09D5">
              <w:rPr>
                <w:lang w:val="en-GB"/>
              </w:rPr>
              <w:t>.</w:t>
            </w:r>
            <w:r w:rsidR="00124E9C" w:rsidRPr="00CB09D5">
              <w:rPr>
                <w:lang w:val="en-GB"/>
              </w:rPr>
              <w:t>5</w:t>
            </w:r>
            <w:r w:rsidR="00F12A83" w:rsidRPr="00CB09D5">
              <w:rPr>
                <w:lang w:val="en-GB"/>
              </w:rPr>
              <w:t>%)</w:t>
            </w:r>
            <w:r w:rsidR="00E37E7D" w:rsidRPr="00CB09D5">
              <w:rPr>
                <w:lang w:val="en-GB"/>
              </w:rPr>
              <w:t xml:space="preserve"> overtook it in the fall</w:t>
            </w:r>
            <w:r w:rsidR="00F12A83" w:rsidRPr="00CB09D5">
              <w:rPr>
                <w:lang w:val="en-GB"/>
              </w:rPr>
              <w:t xml:space="preserve">. </w:t>
            </w:r>
          </w:p>
          <w:p w:rsidR="00F12A83" w:rsidRPr="00674D93" w:rsidRDefault="00F12A83" w:rsidP="008A03DE">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5B7F75" w:rsidP="00F12A83">
            <w:pPr>
              <w:spacing w:line="240" w:lineRule="auto"/>
              <w:ind w:right="-19"/>
              <w:rPr>
                <w:sz w:val="16"/>
                <w:szCs w:val="16"/>
                <w:lang w:val="en-GB"/>
              </w:rPr>
            </w:pPr>
            <w:r w:rsidRPr="00CB09D5">
              <w:rPr>
                <w:sz w:val="16"/>
                <w:szCs w:val="16"/>
                <w:lang w:val="en-GB"/>
              </w:rPr>
              <w:t xml:space="preserve">Agricultural producer prices were </w:t>
            </w:r>
            <w:r w:rsidR="009D1796" w:rsidRPr="00CB09D5">
              <w:rPr>
                <w:sz w:val="16"/>
                <w:szCs w:val="16"/>
                <w:lang w:val="en-GB"/>
              </w:rPr>
              <w:t>falling</w:t>
            </w:r>
            <w:r w:rsidRPr="00CB09D5">
              <w:rPr>
                <w:sz w:val="16"/>
                <w:szCs w:val="16"/>
                <w:lang w:val="en-GB"/>
              </w:rPr>
              <w:t>. The</w:t>
            </w:r>
            <w:r w:rsidR="007274A9" w:rsidRPr="00CB09D5">
              <w:rPr>
                <w:sz w:val="16"/>
                <w:szCs w:val="16"/>
                <w:lang w:val="en-GB"/>
              </w:rPr>
              <w:t xml:space="preserve"> fall of the prices of animal production slowed down during the year.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7274A9" w:rsidP="008A03DE">
            <w:pPr>
              <w:pStyle w:val="Textpoznpodarou"/>
              <w:ind w:right="-35"/>
              <w:jc w:val="both"/>
              <w:rPr>
                <w:sz w:val="16"/>
                <w:szCs w:val="16"/>
                <w:lang w:val="en-GB"/>
              </w:rPr>
            </w:pPr>
            <w:r w:rsidRPr="00CB09D5">
              <w:rPr>
                <w:lang w:val="en-GB"/>
              </w:rPr>
              <w:t xml:space="preserve">Prices of agricultural production were falling year-on-year for the whole year. </w:t>
            </w:r>
            <w:r w:rsidR="009D1796" w:rsidRPr="00CB09D5">
              <w:rPr>
                <w:lang w:val="en-GB"/>
              </w:rPr>
              <w:t xml:space="preserve">They thus continued in the trend from the previous two years (with the short exception of autumn </w:t>
            </w:r>
            <w:r w:rsidR="00F12A83" w:rsidRPr="00CB09D5">
              <w:rPr>
                <w:lang w:val="en-GB"/>
              </w:rPr>
              <w:t xml:space="preserve">2015). </w:t>
            </w:r>
            <w:r w:rsidR="002F0457" w:rsidRPr="00CB09D5">
              <w:rPr>
                <w:lang w:val="en-GB"/>
              </w:rPr>
              <w:t xml:space="preserve">In contrast to other monitored price indices, their development did not signal much the change of this trend during the year. </w:t>
            </w:r>
            <w:r w:rsidR="00E525BD" w:rsidRPr="00CB09D5">
              <w:rPr>
                <w:lang w:val="en-GB"/>
              </w:rPr>
              <w:t>Ye</w:t>
            </w:r>
            <w:r w:rsidR="00124E9C" w:rsidRPr="00CB09D5">
              <w:rPr>
                <w:lang w:val="en-GB"/>
              </w:rPr>
              <w:t>ar-on-year declines reached 2.9%, 6.9%, 5.7% and 4</w:t>
            </w:r>
            <w:r w:rsidR="00E525BD" w:rsidRPr="00CB09D5">
              <w:rPr>
                <w:lang w:val="en-GB"/>
              </w:rPr>
              <w:t xml:space="preserve">% during Q1 till Q4 2016. In total the prices of both </w:t>
            </w:r>
            <w:r w:rsidR="00B33D0C" w:rsidRPr="00CB09D5">
              <w:rPr>
                <w:lang w:val="en-GB"/>
              </w:rPr>
              <w:t>plant</w:t>
            </w:r>
            <w:r w:rsidR="00E525BD" w:rsidRPr="00CB09D5">
              <w:rPr>
                <w:lang w:val="en-GB"/>
              </w:rPr>
              <w:t xml:space="preserve"> and animal production were also falling. </w:t>
            </w:r>
            <w:r w:rsidR="00B33D0C" w:rsidRPr="00CB09D5">
              <w:rPr>
                <w:lang w:val="en-GB"/>
              </w:rPr>
              <w:t>The prices of pl</w:t>
            </w:r>
            <w:r w:rsidR="00124E9C" w:rsidRPr="00CB09D5">
              <w:rPr>
                <w:lang w:val="en-GB"/>
              </w:rPr>
              <w:t>ant production increased by 3.9</w:t>
            </w:r>
            <w:r w:rsidR="00B33D0C" w:rsidRPr="00CB09D5">
              <w:rPr>
                <w:lang w:val="en-GB"/>
              </w:rPr>
              <w:t>% in Q1 of</w:t>
            </w:r>
            <w:r w:rsidR="00124E9C" w:rsidRPr="00CB09D5">
              <w:rPr>
                <w:lang w:val="en-GB"/>
              </w:rPr>
              <w:t xml:space="preserve"> the year, but they fell by 3.2%, 5.3% and 5.7</w:t>
            </w:r>
            <w:r w:rsidR="00B33D0C" w:rsidRPr="00CB09D5">
              <w:rPr>
                <w:lang w:val="en-GB"/>
              </w:rPr>
              <w:t xml:space="preserve">% in the following quarters of the year. The slump of prices of plant production excluding fruits and vegetables was even higher. On the contrary, the year-on-year fall of the prices of animal production was slowing down during the year. The year-on-year increase of prices of </w:t>
            </w:r>
            <w:r w:rsidR="007846DB" w:rsidRPr="00CB09D5">
              <w:rPr>
                <w:lang w:val="en-GB"/>
              </w:rPr>
              <w:t xml:space="preserve">farm animals </w:t>
            </w:r>
            <w:r w:rsidR="00124E9C" w:rsidRPr="00CB09D5">
              <w:rPr>
                <w:lang w:val="en-GB"/>
              </w:rPr>
              <w:t>by 2% and 3.5</w:t>
            </w:r>
            <w:r w:rsidR="00AF6684" w:rsidRPr="00CB09D5">
              <w:rPr>
                <w:lang w:val="en-GB"/>
              </w:rPr>
              <w:t xml:space="preserve">% in the second half of the year had an effect here. The slowdown of the fall </w:t>
            </w:r>
            <w:r w:rsidR="006D06BF" w:rsidRPr="00CB09D5">
              <w:rPr>
                <w:lang w:val="en-GB"/>
              </w:rPr>
              <w:t>of the prices of milk from 15.9% in Q1 to 6.5</w:t>
            </w:r>
            <w:r w:rsidR="00AF6684" w:rsidRPr="00CB09D5">
              <w:rPr>
                <w:lang w:val="en-GB"/>
              </w:rPr>
              <w:t xml:space="preserve">% in the last quarter of 2016 as well.  </w:t>
            </w:r>
            <w:r w:rsidR="00F12A83" w:rsidRPr="00CB09D5">
              <w:rPr>
                <w:lang w:val="en-GB"/>
              </w:rPr>
              <w:t xml:space="preserve">  </w:t>
            </w:r>
          </w:p>
          <w:p w:rsidR="00F12A83" w:rsidRPr="00674D93" w:rsidRDefault="00F12A83" w:rsidP="008A03DE">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DB74ED" w:rsidP="00DB74ED">
            <w:pPr>
              <w:spacing w:line="240" w:lineRule="auto"/>
              <w:ind w:right="-19"/>
              <w:rPr>
                <w:sz w:val="16"/>
                <w:szCs w:val="16"/>
                <w:lang w:val="en-GB"/>
              </w:rPr>
            </w:pPr>
            <w:r w:rsidRPr="00CB09D5">
              <w:rPr>
                <w:sz w:val="16"/>
                <w:szCs w:val="16"/>
                <w:lang w:val="en-GB"/>
              </w:rPr>
              <w:t xml:space="preserve">Prices of market services remained at nearly constant level during </w:t>
            </w:r>
            <w:r w:rsidR="00F12A83" w:rsidRPr="00CB09D5">
              <w:rPr>
                <w:sz w:val="16"/>
                <w:szCs w:val="16"/>
                <w:lang w:val="en-GB"/>
              </w:rPr>
              <w:t>2016.</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DB74ED" w:rsidP="008A03DE">
            <w:pPr>
              <w:pStyle w:val="Textpoznpodarou"/>
              <w:ind w:right="-35"/>
              <w:jc w:val="both"/>
              <w:rPr>
                <w:sz w:val="16"/>
                <w:szCs w:val="16"/>
                <w:lang w:val="en-GB"/>
              </w:rPr>
            </w:pPr>
            <w:r w:rsidRPr="00CB09D5">
              <w:rPr>
                <w:lang w:val="en-GB"/>
              </w:rPr>
              <w:t xml:space="preserve">Prices of market services stagnated in </w:t>
            </w:r>
            <w:r w:rsidR="00F12A83" w:rsidRPr="00CB09D5">
              <w:rPr>
                <w:lang w:val="en-GB"/>
              </w:rPr>
              <w:t>2016</w:t>
            </w:r>
            <w:r w:rsidRPr="00CB09D5">
              <w:rPr>
                <w:lang w:val="en-GB"/>
              </w:rPr>
              <w:t xml:space="preserve"> </w:t>
            </w:r>
            <w:r w:rsidR="00F12A83" w:rsidRPr="00CB09D5">
              <w:rPr>
                <w:lang w:val="en-GB"/>
              </w:rPr>
              <w:t>a</w:t>
            </w:r>
            <w:r w:rsidRPr="00CB09D5">
              <w:rPr>
                <w:lang w:val="en-GB"/>
              </w:rPr>
              <w:t>nd continued thus in the trend from the</w:t>
            </w:r>
            <w:r w:rsidR="00F12A83" w:rsidRPr="00CB09D5">
              <w:rPr>
                <w:lang w:val="en-GB"/>
              </w:rPr>
              <w:t xml:space="preserve"> p</w:t>
            </w:r>
            <w:r w:rsidRPr="00CB09D5">
              <w:rPr>
                <w:lang w:val="en-GB"/>
              </w:rPr>
              <w:t>revious year. They increased by an average yea</w:t>
            </w:r>
            <w:r w:rsidR="006D06BF" w:rsidRPr="00CB09D5">
              <w:rPr>
                <w:lang w:val="en-GB"/>
              </w:rPr>
              <w:t>r-on-year rate of growth of 0.1</w:t>
            </w:r>
            <w:r w:rsidRPr="00CB09D5">
              <w:rPr>
                <w:lang w:val="en-GB"/>
              </w:rPr>
              <w:t xml:space="preserve">% since the beginning of the year. </w:t>
            </w:r>
            <w:r w:rsidR="00442FD6" w:rsidRPr="00CB09D5">
              <w:rPr>
                <w:lang w:val="en-GB"/>
              </w:rPr>
              <w:t>Prices remained at a cons</w:t>
            </w:r>
            <w:r w:rsidR="001C6024" w:rsidRPr="00CB09D5">
              <w:rPr>
                <w:lang w:val="en-GB"/>
              </w:rPr>
              <w:t>tant level in majority of divisions</w:t>
            </w:r>
            <w:r w:rsidR="00442FD6" w:rsidRPr="00CB09D5">
              <w:rPr>
                <w:lang w:val="en-GB"/>
              </w:rPr>
              <w:t xml:space="preserve"> of the classification of market services, still some exceptions occurred. </w:t>
            </w:r>
            <w:r w:rsidR="00977EAC" w:rsidRPr="00CB09D5">
              <w:rPr>
                <w:lang w:val="en-GB"/>
              </w:rPr>
              <w:t xml:space="preserve">Costs for services in the area of land and pipe transportation were lowering year-on-year during the whole year. </w:t>
            </w:r>
            <w:r w:rsidR="00641849" w:rsidRPr="00CB09D5">
              <w:rPr>
                <w:lang w:val="en-GB"/>
              </w:rPr>
              <w:t>Even tho</w:t>
            </w:r>
            <w:r w:rsidR="006D06BF" w:rsidRPr="00CB09D5">
              <w:rPr>
                <w:lang w:val="en-GB"/>
              </w:rPr>
              <w:t>ugh their fall reduced from 1.3% in Q1 to 0.5</w:t>
            </w:r>
            <w:r w:rsidR="00641849" w:rsidRPr="00CB09D5">
              <w:rPr>
                <w:lang w:val="en-GB"/>
              </w:rPr>
              <w:t xml:space="preserve">% in Q4 during the year. Prices of advertising services and the market survey recorded already traditional growth </w:t>
            </w:r>
            <w:r w:rsidR="00F12A83" w:rsidRPr="00CB09D5">
              <w:rPr>
                <w:lang w:val="en-GB"/>
              </w:rPr>
              <w:t>(0</w:t>
            </w:r>
            <w:r w:rsidR="00641849" w:rsidRPr="00CB09D5">
              <w:rPr>
                <w:lang w:val="en-GB"/>
              </w:rPr>
              <w:t>.</w:t>
            </w:r>
            <w:r w:rsidR="006D06BF" w:rsidRPr="00CB09D5">
              <w:rPr>
                <w:lang w:val="en-GB"/>
              </w:rPr>
              <w:t>2%, 2</w:t>
            </w:r>
            <w:r w:rsidR="00F12A83" w:rsidRPr="00CB09D5">
              <w:rPr>
                <w:lang w:val="en-GB"/>
              </w:rPr>
              <w:t>%, 2</w:t>
            </w:r>
            <w:r w:rsidR="00641849" w:rsidRPr="00CB09D5">
              <w:rPr>
                <w:lang w:val="en-GB"/>
              </w:rPr>
              <w:t>.</w:t>
            </w:r>
            <w:r w:rsidR="006D06BF" w:rsidRPr="00CB09D5">
              <w:rPr>
                <w:lang w:val="en-GB"/>
              </w:rPr>
              <w:t>8</w:t>
            </w:r>
            <w:r w:rsidR="00F12A83" w:rsidRPr="00CB09D5">
              <w:rPr>
                <w:lang w:val="en-GB"/>
              </w:rPr>
              <w:t>% a</w:t>
            </w:r>
            <w:r w:rsidR="00641849" w:rsidRPr="00CB09D5">
              <w:rPr>
                <w:lang w:val="en-GB"/>
              </w:rPr>
              <w:t>nd</w:t>
            </w:r>
            <w:r w:rsidR="006D06BF" w:rsidRPr="00CB09D5">
              <w:rPr>
                <w:lang w:val="en-GB"/>
              </w:rPr>
              <w:t xml:space="preserve"> 1</w:t>
            </w:r>
            <w:r w:rsidR="00F12A83" w:rsidRPr="00CB09D5">
              <w:rPr>
                <w:lang w:val="en-GB"/>
              </w:rPr>
              <w:t xml:space="preserve">% </w:t>
            </w:r>
            <w:r w:rsidR="00641849" w:rsidRPr="00CB09D5">
              <w:rPr>
                <w:lang w:val="en-GB"/>
              </w:rPr>
              <w:t>in individual quarters of the year</w:t>
            </w:r>
            <w:r w:rsidR="00DF046A" w:rsidRPr="00CB09D5">
              <w:rPr>
                <w:lang w:val="en-GB"/>
              </w:rPr>
              <w:t xml:space="preserve">). Prices of postal and courier services, whose growth was strengthening during the year, can also be mentioned </w:t>
            </w:r>
            <w:r w:rsidR="00F12A83" w:rsidRPr="00CB09D5">
              <w:rPr>
                <w:lang w:val="en-GB"/>
              </w:rPr>
              <w:t>(</w:t>
            </w:r>
            <w:r w:rsidR="00DF046A" w:rsidRPr="00CB09D5">
              <w:rPr>
                <w:lang w:val="en-GB"/>
              </w:rPr>
              <w:t xml:space="preserve">from </w:t>
            </w:r>
            <w:r w:rsidR="00F12A83" w:rsidRPr="00CB09D5">
              <w:rPr>
                <w:lang w:val="en-GB"/>
              </w:rPr>
              <w:t>2</w:t>
            </w:r>
            <w:r w:rsidR="00DF046A" w:rsidRPr="00CB09D5">
              <w:rPr>
                <w:lang w:val="en-GB"/>
              </w:rPr>
              <w:t>.</w:t>
            </w:r>
            <w:r w:rsidR="00610504" w:rsidRPr="00CB09D5">
              <w:rPr>
                <w:lang w:val="en-GB"/>
              </w:rPr>
              <w:t>2</w:t>
            </w:r>
            <w:r w:rsidR="00F12A83" w:rsidRPr="00CB09D5">
              <w:rPr>
                <w:lang w:val="en-GB"/>
              </w:rPr>
              <w:t>%</w:t>
            </w:r>
            <w:r w:rsidR="00D24299" w:rsidRPr="00CB09D5">
              <w:rPr>
                <w:lang w:val="en-GB"/>
              </w:rPr>
              <w:t xml:space="preserve"> </w:t>
            </w:r>
            <w:r w:rsidR="00DF046A" w:rsidRPr="00CB09D5">
              <w:rPr>
                <w:lang w:val="en-GB"/>
              </w:rPr>
              <w:t>in Q</w:t>
            </w:r>
            <w:r w:rsidR="00F12A83" w:rsidRPr="00CB09D5">
              <w:rPr>
                <w:lang w:val="en-GB"/>
              </w:rPr>
              <w:t>1</w:t>
            </w:r>
            <w:r w:rsidR="00DF046A" w:rsidRPr="00CB09D5">
              <w:rPr>
                <w:lang w:val="en-GB"/>
              </w:rPr>
              <w:t xml:space="preserve"> to </w:t>
            </w:r>
            <w:r w:rsidR="00F12A83" w:rsidRPr="00CB09D5">
              <w:rPr>
                <w:lang w:val="en-GB"/>
              </w:rPr>
              <w:t>5</w:t>
            </w:r>
            <w:r w:rsidR="00DF046A" w:rsidRPr="00CB09D5">
              <w:rPr>
                <w:lang w:val="en-GB"/>
              </w:rPr>
              <w:t>.</w:t>
            </w:r>
            <w:r w:rsidR="00610504" w:rsidRPr="00CB09D5">
              <w:rPr>
                <w:lang w:val="en-GB"/>
              </w:rPr>
              <w:t>6</w:t>
            </w:r>
            <w:r w:rsidR="00F12A83" w:rsidRPr="00CB09D5">
              <w:rPr>
                <w:lang w:val="en-GB"/>
              </w:rPr>
              <w:t>% s</w:t>
            </w:r>
            <w:r w:rsidR="00DF046A" w:rsidRPr="00CB09D5">
              <w:rPr>
                <w:lang w:val="en-GB"/>
              </w:rPr>
              <w:t>imilarly in Q</w:t>
            </w:r>
            <w:r w:rsidR="00F12A83" w:rsidRPr="00CB09D5">
              <w:rPr>
                <w:lang w:val="en-GB"/>
              </w:rPr>
              <w:t>3</w:t>
            </w:r>
            <w:r w:rsidR="00DF046A" w:rsidRPr="00CB09D5">
              <w:rPr>
                <w:lang w:val="en-GB"/>
              </w:rPr>
              <w:t xml:space="preserve"> and Q</w:t>
            </w:r>
            <w:r w:rsidR="00F12A83" w:rsidRPr="00CB09D5">
              <w:rPr>
                <w:lang w:val="en-GB"/>
              </w:rPr>
              <w:t>4</w:t>
            </w:r>
            <w:r w:rsidR="00DF046A" w:rsidRPr="00CB09D5">
              <w:rPr>
                <w:lang w:val="en-GB"/>
              </w:rPr>
              <w:t xml:space="preserve"> </w:t>
            </w:r>
            <w:r w:rsidR="00F12A83" w:rsidRPr="00CB09D5">
              <w:rPr>
                <w:lang w:val="en-GB"/>
              </w:rPr>
              <w:t>2016).</w:t>
            </w:r>
          </w:p>
          <w:p w:rsidR="00F12A83" w:rsidRPr="00674D93" w:rsidRDefault="00F12A83" w:rsidP="008A03DE">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6555FE" w:rsidP="00F12A83">
            <w:pPr>
              <w:spacing w:line="240" w:lineRule="auto"/>
              <w:ind w:right="-19"/>
              <w:rPr>
                <w:sz w:val="16"/>
                <w:szCs w:val="16"/>
                <w:lang w:val="en-GB"/>
              </w:rPr>
            </w:pPr>
            <w:r w:rsidRPr="00CB09D5">
              <w:rPr>
                <w:sz w:val="16"/>
                <w:szCs w:val="16"/>
                <w:lang w:val="en-GB"/>
              </w:rPr>
              <w:t>Price</w:t>
            </w:r>
            <w:r w:rsidR="004B7A90" w:rsidRPr="00CB09D5">
              <w:rPr>
                <w:sz w:val="16"/>
                <w:szCs w:val="16"/>
                <w:lang w:val="en-GB"/>
              </w:rPr>
              <w:t>s</w:t>
            </w:r>
            <w:r w:rsidRPr="00CB09D5">
              <w:rPr>
                <w:sz w:val="16"/>
                <w:szCs w:val="16"/>
                <w:lang w:val="en-GB"/>
              </w:rPr>
              <w:t xml:space="preserve"> of exports were falling, but the pace </w:t>
            </w:r>
            <w:r w:rsidR="004B7A90" w:rsidRPr="00CB09D5">
              <w:rPr>
                <w:sz w:val="16"/>
                <w:szCs w:val="16"/>
                <w:lang w:val="en-GB"/>
              </w:rPr>
              <w:t xml:space="preserve">was slowing down.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4B7A90" w:rsidP="008A03DE">
            <w:pPr>
              <w:pStyle w:val="Textpoznpodarou"/>
              <w:ind w:right="-35"/>
              <w:jc w:val="both"/>
              <w:rPr>
                <w:sz w:val="16"/>
                <w:szCs w:val="16"/>
                <w:lang w:val="en-GB"/>
              </w:rPr>
            </w:pPr>
            <w:r w:rsidRPr="00CB09D5">
              <w:rPr>
                <w:lang w:val="en-GB"/>
              </w:rPr>
              <w:t xml:space="preserve">The prices of exports were falling during the year, but the pace of the year-on-year decrease was slowing down </w:t>
            </w:r>
            <w:r w:rsidR="00F12A83" w:rsidRPr="00CB09D5">
              <w:rPr>
                <w:lang w:val="en-GB"/>
              </w:rPr>
              <w:t>(</w:t>
            </w:r>
            <w:r w:rsidR="004D4F13" w:rsidRPr="00CB09D5">
              <w:rPr>
                <w:lang w:val="en-GB"/>
              </w:rPr>
              <w:t>-</w:t>
            </w:r>
            <w:r w:rsidR="00F12A83" w:rsidRPr="00CB09D5">
              <w:rPr>
                <w:lang w:val="en-GB"/>
              </w:rPr>
              <w:t>4</w:t>
            </w:r>
            <w:r w:rsidRPr="00CB09D5">
              <w:rPr>
                <w:lang w:val="en-GB"/>
              </w:rPr>
              <w:t>.</w:t>
            </w:r>
            <w:r w:rsidR="00610504" w:rsidRPr="00CB09D5">
              <w:rPr>
                <w:lang w:val="en-GB"/>
              </w:rPr>
              <w:t>2</w:t>
            </w:r>
            <w:r w:rsidR="00F12A83" w:rsidRPr="00CB09D5">
              <w:rPr>
                <w:lang w:val="en-GB"/>
              </w:rPr>
              <w:t xml:space="preserve">%, </w:t>
            </w:r>
            <w:r w:rsidR="004D4F13" w:rsidRPr="00CB09D5">
              <w:rPr>
                <w:lang w:val="en-GB"/>
              </w:rPr>
              <w:t>-</w:t>
            </w:r>
            <w:r w:rsidR="00F12A83" w:rsidRPr="00CB09D5">
              <w:rPr>
                <w:lang w:val="en-GB"/>
              </w:rPr>
              <w:t>4</w:t>
            </w:r>
            <w:r w:rsidRPr="00CB09D5">
              <w:rPr>
                <w:lang w:val="en-GB"/>
              </w:rPr>
              <w:t>.</w:t>
            </w:r>
            <w:r w:rsidR="00610504" w:rsidRPr="00CB09D5">
              <w:rPr>
                <w:lang w:val="en-GB"/>
              </w:rPr>
              <w:t>3</w:t>
            </w:r>
            <w:r w:rsidR="00F12A83" w:rsidRPr="00CB09D5">
              <w:rPr>
                <w:lang w:val="en-GB"/>
              </w:rPr>
              <w:t xml:space="preserve">%, </w:t>
            </w:r>
            <w:r w:rsidR="004D4F13" w:rsidRPr="00CB09D5">
              <w:rPr>
                <w:lang w:val="en-GB"/>
              </w:rPr>
              <w:t>-</w:t>
            </w:r>
            <w:r w:rsidR="00F12A83" w:rsidRPr="00CB09D5">
              <w:rPr>
                <w:lang w:val="en-GB"/>
              </w:rPr>
              <w:t>2</w:t>
            </w:r>
            <w:r w:rsidRPr="00CB09D5">
              <w:rPr>
                <w:lang w:val="en-GB"/>
              </w:rPr>
              <w:t>.</w:t>
            </w:r>
            <w:r w:rsidR="00610504" w:rsidRPr="00CB09D5">
              <w:rPr>
                <w:lang w:val="en-GB"/>
              </w:rPr>
              <w:t>7</w:t>
            </w:r>
            <w:r w:rsidR="00F12A83" w:rsidRPr="00CB09D5">
              <w:rPr>
                <w:lang w:val="en-GB"/>
              </w:rPr>
              <w:t>% a</w:t>
            </w:r>
            <w:r w:rsidRPr="00CB09D5">
              <w:rPr>
                <w:lang w:val="en-GB"/>
              </w:rPr>
              <w:t>nd</w:t>
            </w:r>
            <w:r w:rsidR="00F12A83" w:rsidRPr="00CB09D5">
              <w:rPr>
                <w:lang w:val="en-GB"/>
              </w:rPr>
              <w:t xml:space="preserve"> </w:t>
            </w:r>
            <w:r w:rsidR="004D4F13" w:rsidRPr="00CB09D5">
              <w:rPr>
                <w:lang w:val="en-GB"/>
              </w:rPr>
              <w:t>-</w:t>
            </w:r>
            <w:r w:rsidR="00F12A83" w:rsidRPr="00CB09D5">
              <w:rPr>
                <w:lang w:val="en-GB"/>
              </w:rPr>
              <w:t>1</w:t>
            </w:r>
            <w:r w:rsidRPr="00CB09D5">
              <w:rPr>
                <w:lang w:val="en-GB"/>
              </w:rPr>
              <w:t>.</w:t>
            </w:r>
            <w:r w:rsidR="00610504" w:rsidRPr="00CB09D5">
              <w:rPr>
                <w:lang w:val="en-GB"/>
              </w:rPr>
              <w:t>3</w:t>
            </w:r>
            <w:r w:rsidR="00F12A83" w:rsidRPr="00CB09D5">
              <w:rPr>
                <w:lang w:val="en-GB"/>
              </w:rPr>
              <w:t xml:space="preserve">% </w:t>
            </w:r>
            <w:r w:rsidRPr="00CB09D5">
              <w:rPr>
                <w:lang w:val="en-GB"/>
              </w:rPr>
              <w:t>in individual quarters</w:t>
            </w:r>
            <w:r w:rsidR="00F12A83" w:rsidRPr="00CB09D5">
              <w:rPr>
                <w:lang w:val="en-GB"/>
              </w:rPr>
              <w:t xml:space="preserve">). </w:t>
            </w:r>
            <w:r w:rsidR="009D57D7" w:rsidRPr="00CB09D5">
              <w:rPr>
                <w:lang w:val="en-GB"/>
              </w:rPr>
              <w:t xml:space="preserve">It was assisted by the development of prices of inedible materials </w:t>
            </w:r>
            <w:r w:rsidR="00F12A83" w:rsidRPr="00CB09D5">
              <w:rPr>
                <w:lang w:val="en-GB"/>
              </w:rPr>
              <w:t>(</w:t>
            </w:r>
            <w:r w:rsidR="004D4F13" w:rsidRPr="00CB09D5">
              <w:rPr>
                <w:lang w:val="en-GB"/>
              </w:rPr>
              <w:t>-</w:t>
            </w:r>
            <w:r w:rsidR="00F12A83" w:rsidRPr="00CB09D5">
              <w:rPr>
                <w:lang w:val="en-GB"/>
              </w:rPr>
              <w:t>13</w:t>
            </w:r>
            <w:r w:rsidR="009D57D7" w:rsidRPr="00CB09D5">
              <w:rPr>
                <w:lang w:val="en-GB"/>
              </w:rPr>
              <w:t>.</w:t>
            </w:r>
            <w:r w:rsidR="00610504" w:rsidRPr="00CB09D5">
              <w:rPr>
                <w:lang w:val="en-GB"/>
              </w:rPr>
              <w:t>4</w:t>
            </w:r>
            <w:r w:rsidR="00F12A83" w:rsidRPr="00CB09D5">
              <w:rPr>
                <w:lang w:val="en-GB"/>
              </w:rPr>
              <w:t xml:space="preserve">%, </w:t>
            </w:r>
            <w:r w:rsidR="004D4F13" w:rsidRPr="00CB09D5">
              <w:rPr>
                <w:lang w:val="en-GB"/>
              </w:rPr>
              <w:t>-</w:t>
            </w:r>
            <w:r w:rsidR="00F12A83" w:rsidRPr="00CB09D5">
              <w:rPr>
                <w:lang w:val="en-GB"/>
              </w:rPr>
              <w:t>12</w:t>
            </w:r>
            <w:r w:rsidR="009D57D7" w:rsidRPr="00CB09D5">
              <w:rPr>
                <w:lang w:val="en-GB"/>
              </w:rPr>
              <w:t>.</w:t>
            </w:r>
            <w:r w:rsidR="00610504" w:rsidRPr="00CB09D5">
              <w:rPr>
                <w:lang w:val="en-GB"/>
              </w:rPr>
              <w:t>2</w:t>
            </w:r>
            <w:r w:rsidR="00F12A83" w:rsidRPr="00CB09D5">
              <w:rPr>
                <w:lang w:val="en-GB"/>
              </w:rPr>
              <w:t xml:space="preserve">%, </w:t>
            </w:r>
            <w:r w:rsidR="004D4F13" w:rsidRPr="00CB09D5">
              <w:rPr>
                <w:lang w:val="en-GB"/>
              </w:rPr>
              <w:t>-</w:t>
            </w:r>
            <w:r w:rsidR="00F12A83" w:rsidRPr="00CB09D5">
              <w:rPr>
                <w:lang w:val="en-GB"/>
              </w:rPr>
              <w:t>7</w:t>
            </w:r>
            <w:r w:rsidR="009D57D7" w:rsidRPr="00CB09D5">
              <w:rPr>
                <w:lang w:val="en-GB"/>
              </w:rPr>
              <w:t>.</w:t>
            </w:r>
            <w:r w:rsidR="00610504" w:rsidRPr="00CB09D5">
              <w:rPr>
                <w:lang w:val="en-GB"/>
              </w:rPr>
              <w:t>1</w:t>
            </w:r>
            <w:r w:rsidR="00F12A83" w:rsidRPr="00CB09D5">
              <w:rPr>
                <w:lang w:val="en-GB"/>
              </w:rPr>
              <w:t>% a</w:t>
            </w:r>
            <w:r w:rsidR="009D57D7" w:rsidRPr="00CB09D5">
              <w:rPr>
                <w:lang w:val="en-GB"/>
              </w:rPr>
              <w:t>nd</w:t>
            </w:r>
            <w:r w:rsidR="00F12A83" w:rsidRPr="00CB09D5">
              <w:rPr>
                <w:lang w:val="en-GB"/>
              </w:rPr>
              <w:t xml:space="preserve"> +1</w:t>
            </w:r>
            <w:r w:rsidR="009D57D7" w:rsidRPr="00CB09D5">
              <w:rPr>
                <w:lang w:val="en-GB"/>
              </w:rPr>
              <w:t>.</w:t>
            </w:r>
            <w:r w:rsidR="00610504" w:rsidRPr="00CB09D5">
              <w:rPr>
                <w:lang w:val="en-GB"/>
              </w:rPr>
              <w:t>1</w:t>
            </w:r>
            <w:r w:rsidR="00F12A83" w:rsidRPr="00CB09D5">
              <w:rPr>
                <w:lang w:val="en-GB"/>
              </w:rPr>
              <w:t>%) a</w:t>
            </w:r>
            <w:r w:rsidR="009D57D7" w:rsidRPr="00CB09D5">
              <w:rPr>
                <w:lang w:val="en-GB"/>
              </w:rPr>
              <w:t>nd mineral fuels</w:t>
            </w:r>
            <w:r w:rsidR="00564DBF" w:rsidRPr="00CB09D5">
              <w:rPr>
                <w:lang w:val="en-GB"/>
              </w:rPr>
              <w:t xml:space="preserve"> </w:t>
            </w:r>
            <w:r w:rsidR="00F12A83" w:rsidRPr="00CB09D5">
              <w:rPr>
                <w:lang w:val="en-GB"/>
              </w:rPr>
              <w:t>(</w:t>
            </w:r>
            <w:r w:rsidR="004D4F13" w:rsidRPr="00CB09D5">
              <w:rPr>
                <w:lang w:val="en-GB"/>
              </w:rPr>
              <w:t>-</w:t>
            </w:r>
            <w:r w:rsidR="00F12A83" w:rsidRPr="00CB09D5">
              <w:rPr>
                <w:lang w:val="en-GB"/>
              </w:rPr>
              <w:t>19</w:t>
            </w:r>
            <w:r w:rsidR="00564DBF" w:rsidRPr="00CB09D5">
              <w:rPr>
                <w:lang w:val="en-GB"/>
              </w:rPr>
              <w:t>.</w:t>
            </w:r>
            <w:r w:rsidR="00610504" w:rsidRPr="00CB09D5">
              <w:rPr>
                <w:lang w:val="en-GB"/>
              </w:rPr>
              <w:t>0</w:t>
            </w:r>
            <w:r w:rsidR="00F12A83" w:rsidRPr="00CB09D5">
              <w:rPr>
                <w:lang w:val="en-GB"/>
              </w:rPr>
              <w:t xml:space="preserve">%, </w:t>
            </w:r>
            <w:r w:rsidR="004D4F13" w:rsidRPr="00CB09D5">
              <w:rPr>
                <w:lang w:val="en-GB"/>
              </w:rPr>
              <w:t>-</w:t>
            </w:r>
            <w:r w:rsidR="00F12A83" w:rsidRPr="00CB09D5">
              <w:rPr>
                <w:lang w:val="en-GB"/>
              </w:rPr>
              <w:t>17</w:t>
            </w:r>
            <w:r w:rsidR="00564DBF" w:rsidRPr="00CB09D5">
              <w:rPr>
                <w:lang w:val="en-GB"/>
              </w:rPr>
              <w:t>.</w:t>
            </w:r>
            <w:r w:rsidR="00610504" w:rsidRPr="00CB09D5">
              <w:rPr>
                <w:lang w:val="en-GB"/>
              </w:rPr>
              <w:t>3</w:t>
            </w:r>
            <w:r w:rsidR="00F12A83" w:rsidRPr="00CB09D5">
              <w:rPr>
                <w:lang w:val="en-GB"/>
              </w:rPr>
              <w:t xml:space="preserve">%, </w:t>
            </w:r>
            <w:r w:rsidR="004D4F13" w:rsidRPr="00CB09D5">
              <w:rPr>
                <w:lang w:val="en-GB"/>
              </w:rPr>
              <w:t>-</w:t>
            </w:r>
            <w:r w:rsidR="00F12A83" w:rsidRPr="00CB09D5">
              <w:rPr>
                <w:lang w:val="en-GB"/>
              </w:rPr>
              <w:t>13</w:t>
            </w:r>
            <w:r w:rsidR="00564DBF" w:rsidRPr="00CB09D5">
              <w:rPr>
                <w:lang w:val="en-GB"/>
              </w:rPr>
              <w:t>.</w:t>
            </w:r>
            <w:r w:rsidR="00610504" w:rsidRPr="00CB09D5">
              <w:rPr>
                <w:lang w:val="en-GB"/>
              </w:rPr>
              <w:t>6</w:t>
            </w:r>
            <w:r w:rsidR="00F12A83" w:rsidRPr="00CB09D5">
              <w:rPr>
                <w:lang w:val="en-GB"/>
              </w:rPr>
              <w:t>% a</w:t>
            </w:r>
            <w:r w:rsidR="00564DBF" w:rsidRPr="00CB09D5">
              <w:rPr>
                <w:lang w:val="en-GB"/>
              </w:rPr>
              <w:t>nd</w:t>
            </w:r>
            <w:r w:rsidR="00F12A83" w:rsidRPr="00CB09D5">
              <w:rPr>
                <w:lang w:val="en-GB"/>
              </w:rPr>
              <w:t xml:space="preserve"> </w:t>
            </w:r>
            <w:r w:rsidR="004D4F13" w:rsidRPr="00CB09D5">
              <w:rPr>
                <w:lang w:val="en-GB"/>
              </w:rPr>
              <w:t>-</w:t>
            </w:r>
            <w:r w:rsidR="00F12A83" w:rsidRPr="00CB09D5">
              <w:rPr>
                <w:lang w:val="en-GB"/>
              </w:rPr>
              <w:t>1</w:t>
            </w:r>
            <w:r w:rsidR="00564DBF" w:rsidRPr="00CB09D5">
              <w:rPr>
                <w:lang w:val="en-GB"/>
              </w:rPr>
              <w:t>.</w:t>
            </w:r>
            <w:r w:rsidR="00610504" w:rsidRPr="00CB09D5">
              <w:rPr>
                <w:lang w:val="en-GB"/>
              </w:rPr>
              <w:t>3</w:t>
            </w:r>
            <w:r w:rsidR="00F12A83" w:rsidRPr="00CB09D5">
              <w:rPr>
                <w:lang w:val="en-GB"/>
              </w:rPr>
              <w:t xml:space="preserve">%). </w:t>
            </w:r>
            <w:r w:rsidR="006C07D6" w:rsidRPr="00CB09D5">
              <w:rPr>
                <w:lang w:val="en-GB"/>
              </w:rPr>
              <w:t>On the </w:t>
            </w:r>
            <w:r w:rsidR="00BD0BAF" w:rsidRPr="00CB09D5">
              <w:rPr>
                <w:lang w:val="en-GB"/>
              </w:rPr>
              <w:t>contrary, the prices of beverages and tobacco, which grew by a relatively stable pace during the year (</w:t>
            </w:r>
            <w:r w:rsidR="00F12A83" w:rsidRPr="00CB09D5">
              <w:rPr>
                <w:lang w:val="en-GB"/>
              </w:rPr>
              <w:t>1</w:t>
            </w:r>
            <w:r w:rsidR="00BD0BAF" w:rsidRPr="00CB09D5">
              <w:rPr>
                <w:lang w:val="en-GB"/>
              </w:rPr>
              <w:t>.</w:t>
            </w:r>
            <w:r w:rsidR="00610504" w:rsidRPr="00CB09D5">
              <w:rPr>
                <w:lang w:val="en-GB"/>
              </w:rPr>
              <w:t>5</w:t>
            </w:r>
            <w:r w:rsidR="00F12A83" w:rsidRPr="00CB09D5">
              <w:rPr>
                <w:lang w:val="en-GB"/>
              </w:rPr>
              <w:t>%, 2</w:t>
            </w:r>
            <w:r w:rsidR="00BD0BAF" w:rsidRPr="00CB09D5">
              <w:rPr>
                <w:lang w:val="en-GB"/>
              </w:rPr>
              <w:t>.</w:t>
            </w:r>
            <w:r w:rsidR="00610504" w:rsidRPr="00CB09D5">
              <w:rPr>
                <w:lang w:val="en-GB"/>
              </w:rPr>
              <w:t>4</w:t>
            </w:r>
            <w:r w:rsidR="00F12A83" w:rsidRPr="00CB09D5">
              <w:rPr>
                <w:lang w:val="en-GB"/>
              </w:rPr>
              <w:t>%, 2</w:t>
            </w:r>
            <w:r w:rsidR="00BD0BAF" w:rsidRPr="00CB09D5">
              <w:rPr>
                <w:lang w:val="en-GB"/>
              </w:rPr>
              <w:t>.</w:t>
            </w:r>
            <w:r w:rsidR="00F12A83" w:rsidRPr="00CB09D5">
              <w:rPr>
                <w:lang w:val="en-GB"/>
              </w:rPr>
              <w:t xml:space="preserve">6%), </w:t>
            </w:r>
            <w:r w:rsidR="00BD0BAF" w:rsidRPr="00CB09D5">
              <w:rPr>
                <w:lang w:val="en-GB"/>
              </w:rPr>
              <w:t xml:space="preserve">fell year-on-year in the last quarter </w:t>
            </w:r>
            <w:r w:rsidR="004D4F13" w:rsidRPr="00CB09D5">
              <w:rPr>
                <w:lang w:val="en-GB"/>
              </w:rPr>
              <w:t>(-</w:t>
            </w:r>
            <w:r w:rsidR="00F12A83" w:rsidRPr="00CB09D5">
              <w:rPr>
                <w:lang w:val="en-GB"/>
              </w:rPr>
              <w:t>2</w:t>
            </w:r>
            <w:r w:rsidR="00BD0BAF" w:rsidRPr="00CB09D5">
              <w:rPr>
                <w:lang w:val="en-GB"/>
              </w:rPr>
              <w:t>.</w:t>
            </w:r>
            <w:r w:rsidR="00610504" w:rsidRPr="00CB09D5">
              <w:rPr>
                <w:lang w:val="en-GB"/>
              </w:rPr>
              <w:t>4</w:t>
            </w:r>
            <w:r w:rsidR="00F12A83" w:rsidRPr="00CB09D5">
              <w:rPr>
                <w:lang w:val="en-GB"/>
              </w:rPr>
              <w:t xml:space="preserve">%). </w:t>
            </w:r>
          </w:p>
          <w:p w:rsidR="00F12A83" w:rsidRPr="00674D93" w:rsidRDefault="00F12A83" w:rsidP="008A03DE">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7E00F7" w:rsidP="00F12A83">
            <w:pPr>
              <w:spacing w:line="240" w:lineRule="auto"/>
              <w:ind w:right="-19"/>
              <w:rPr>
                <w:sz w:val="16"/>
                <w:szCs w:val="16"/>
                <w:lang w:val="en-GB"/>
              </w:rPr>
            </w:pPr>
            <w:r w:rsidRPr="00CB09D5">
              <w:rPr>
                <w:sz w:val="16"/>
                <w:szCs w:val="16"/>
                <w:lang w:val="en-GB"/>
              </w:rPr>
              <w:t xml:space="preserve">Import prices, which created the deflation pressures in the Czech </w:t>
            </w:r>
            <w:r w:rsidR="00F54641" w:rsidRPr="00CB09D5">
              <w:rPr>
                <w:sz w:val="16"/>
                <w:szCs w:val="16"/>
                <w:lang w:val="en-GB"/>
              </w:rPr>
              <w:t>economy</w:t>
            </w:r>
            <w:r w:rsidRPr="00CB09D5">
              <w:rPr>
                <w:sz w:val="16"/>
                <w:szCs w:val="16"/>
                <w:lang w:val="en-GB"/>
              </w:rPr>
              <w:t xml:space="preserve"> in Q1 and </w:t>
            </w:r>
            <w:r w:rsidR="003E42C9">
              <w:rPr>
                <w:sz w:val="16"/>
                <w:szCs w:val="16"/>
                <w:lang w:val="en-GB"/>
              </w:rPr>
              <w:t>Q</w:t>
            </w:r>
            <w:r w:rsidRPr="00CB09D5">
              <w:rPr>
                <w:sz w:val="16"/>
                <w:szCs w:val="16"/>
                <w:lang w:val="en-GB"/>
              </w:rPr>
              <w:t xml:space="preserve">2, </w:t>
            </w:r>
            <w:r w:rsidR="00F54641" w:rsidRPr="00CB09D5">
              <w:rPr>
                <w:sz w:val="16"/>
                <w:szCs w:val="16"/>
                <w:lang w:val="en-GB"/>
              </w:rPr>
              <w:t>ceased</w:t>
            </w:r>
            <w:r w:rsidRPr="00CB09D5">
              <w:rPr>
                <w:sz w:val="16"/>
                <w:szCs w:val="16"/>
                <w:lang w:val="en-GB"/>
              </w:rPr>
              <w:t xml:space="preserve"> </w:t>
            </w:r>
            <w:proofErr w:type="gramStart"/>
            <w:r w:rsidRPr="00CB09D5">
              <w:rPr>
                <w:sz w:val="16"/>
                <w:szCs w:val="16"/>
                <w:lang w:val="en-GB"/>
              </w:rPr>
              <w:t>their descend</w:t>
            </w:r>
            <w:proofErr w:type="gramEnd"/>
            <w:r w:rsidRPr="00CB09D5">
              <w:rPr>
                <w:sz w:val="16"/>
                <w:szCs w:val="16"/>
                <w:lang w:val="en-GB"/>
              </w:rPr>
              <w:t>.</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7E00F7" w:rsidP="008A03DE">
            <w:pPr>
              <w:pStyle w:val="Textpoznpodarou"/>
              <w:ind w:right="-35"/>
              <w:jc w:val="both"/>
              <w:rPr>
                <w:sz w:val="16"/>
                <w:szCs w:val="16"/>
                <w:lang w:val="en-GB"/>
              </w:rPr>
            </w:pPr>
            <w:r w:rsidRPr="00CB09D5">
              <w:rPr>
                <w:lang w:val="en-GB"/>
              </w:rPr>
              <w:t xml:space="preserve">Prices of imports were falling in all four quarters of 2016 </w:t>
            </w:r>
            <w:r w:rsidR="00F12A83" w:rsidRPr="00CB09D5">
              <w:rPr>
                <w:lang w:val="en-GB"/>
              </w:rPr>
              <w:t>(</w:t>
            </w:r>
            <w:r w:rsidR="00EA421A" w:rsidRPr="00CB09D5">
              <w:rPr>
                <w:rFonts w:cs="Arial"/>
                <w:lang w:val="en-GB"/>
              </w:rPr>
              <w:t>-</w:t>
            </w:r>
            <w:r w:rsidR="00F12A83" w:rsidRPr="00CB09D5">
              <w:rPr>
                <w:rFonts w:cs="Arial"/>
                <w:lang w:val="en-GB"/>
              </w:rPr>
              <w:t>5</w:t>
            </w:r>
            <w:r w:rsidRPr="00CB09D5">
              <w:rPr>
                <w:rFonts w:cs="Arial"/>
                <w:lang w:val="en-GB"/>
              </w:rPr>
              <w:t>.</w:t>
            </w:r>
            <w:r w:rsidR="00EE5A5A" w:rsidRPr="00CB09D5">
              <w:rPr>
                <w:rFonts w:cs="Arial"/>
                <w:lang w:val="en-GB"/>
              </w:rPr>
              <w:t>6</w:t>
            </w:r>
            <w:r w:rsidR="00F12A83" w:rsidRPr="00CB09D5">
              <w:rPr>
                <w:rFonts w:cs="Arial"/>
                <w:lang w:val="en-GB"/>
              </w:rPr>
              <w:t xml:space="preserve">%, </w:t>
            </w:r>
            <w:r w:rsidR="00EA421A" w:rsidRPr="00CB09D5">
              <w:rPr>
                <w:rFonts w:cs="Arial"/>
                <w:lang w:val="en-GB"/>
              </w:rPr>
              <w:t>-</w:t>
            </w:r>
            <w:r w:rsidR="00F12A83" w:rsidRPr="00CB09D5">
              <w:rPr>
                <w:rFonts w:cs="Arial"/>
                <w:lang w:val="en-GB"/>
              </w:rPr>
              <w:t>6</w:t>
            </w:r>
            <w:r w:rsidRPr="00CB09D5">
              <w:rPr>
                <w:rFonts w:cs="Arial"/>
                <w:lang w:val="en-GB"/>
              </w:rPr>
              <w:t>.</w:t>
            </w:r>
            <w:r w:rsidR="00EE5A5A" w:rsidRPr="00CB09D5">
              <w:rPr>
                <w:rFonts w:cs="Arial"/>
                <w:lang w:val="en-GB"/>
              </w:rPr>
              <w:t>3</w:t>
            </w:r>
            <w:r w:rsidR="00F12A83" w:rsidRPr="00CB09D5">
              <w:rPr>
                <w:rFonts w:cs="Arial"/>
                <w:lang w:val="en-GB"/>
              </w:rPr>
              <w:t xml:space="preserve">%, </w:t>
            </w:r>
            <w:r w:rsidR="00EA421A" w:rsidRPr="00CB09D5">
              <w:rPr>
                <w:rFonts w:cs="Arial"/>
                <w:lang w:val="en-GB"/>
              </w:rPr>
              <w:t>-</w:t>
            </w:r>
            <w:r w:rsidR="00F12A83" w:rsidRPr="00CB09D5">
              <w:rPr>
                <w:rFonts w:cs="Arial"/>
                <w:lang w:val="en-GB"/>
              </w:rPr>
              <w:t>3</w:t>
            </w:r>
            <w:r w:rsidRPr="00CB09D5">
              <w:rPr>
                <w:rFonts w:cs="Arial"/>
                <w:lang w:val="en-GB"/>
              </w:rPr>
              <w:t>.</w:t>
            </w:r>
            <w:r w:rsidR="00EE5A5A" w:rsidRPr="00CB09D5">
              <w:rPr>
                <w:rFonts w:cs="Arial"/>
                <w:lang w:val="en-GB"/>
              </w:rPr>
              <w:t>7</w:t>
            </w:r>
            <w:r w:rsidR="00F12A83" w:rsidRPr="00CB09D5">
              <w:rPr>
                <w:rFonts w:cs="Arial"/>
                <w:lang w:val="en-GB"/>
              </w:rPr>
              <w:t>% a</w:t>
            </w:r>
            <w:r w:rsidRPr="00CB09D5">
              <w:rPr>
                <w:rFonts w:cs="Arial"/>
                <w:lang w:val="en-GB"/>
              </w:rPr>
              <w:t>nd</w:t>
            </w:r>
            <w:r w:rsidR="004018F7" w:rsidRPr="00CB09D5">
              <w:rPr>
                <w:rFonts w:cs="Arial"/>
                <w:lang w:val="en-GB"/>
              </w:rPr>
              <w:t> </w:t>
            </w:r>
            <w:r w:rsidR="00EA421A" w:rsidRPr="00CB09D5">
              <w:rPr>
                <w:rFonts w:cs="Arial"/>
                <w:lang w:val="en-GB"/>
              </w:rPr>
              <w:noBreakHyphen/>
            </w:r>
            <w:r w:rsidR="00F12A83" w:rsidRPr="00CB09D5">
              <w:rPr>
                <w:rFonts w:cs="Arial"/>
                <w:lang w:val="en-GB"/>
              </w:rPr>
              <w:t>0</w:t>
            </w:r>
            <w:r w:rsidRPr="00CB09D5">
              <w:rPr>
                <w:rFonts w:cs="Arial"/>
                <w:lang w:val="en-GB"/>
              </w:rPr>
              <w:t>.</w:t>
            </w:r>
            <w:r w:rsidR="00F12A83" w:rsidRPr="00CB09D5">
              <w:rPr>
                <w:rFonts w:cs="Arial"/>
                <w:lang w:val="en-GB"/>
              </w:rPr>
              <w:t>4%</w:t>
            </w:r>
            <w:r w:rsidR="00F12A83" w:rsidRPr="00CB09D5">
              <w:rPr>
                <w:lang w:val="en-GB"/>
              </w:rPr>
              <w:t>)</w:t>
            </w:r>
            <w:r w:rsidR="00D24299" w:rsidRPr="00CB09D5">
              <w:rPr>
                <w:lang w:val="en-GB"/>
              </w:rPr>
              <w:t>,</w:t>
            </w:r>
            <w:r w:rsidR="00F12A83" w:rsidRPr="00CB09D5">
              <w:rPr>
                <w:lang w:val="en-GB"/>
              </w:rPr>
              <w:t xml:space="preserve"> </w:t>
            </w:r>
            <w:r w:rsidRPr="00CB09D5">
              <w:rPr>
                <w:lang w:val="en-GB"/>
              </w:rPr>
              <w:t xml:space="preserve">and they presented a significant source of deflationary pressures in the Czech economy mostly in Q1 and </w:t>
            </w:r>
            <w:r w:rsidR="003E42C9">
              <w:rPr>
                <w:lang w:val="en-GB"/>
              </w:rPr>
              <w:t>Q</w:t>
            </w:r>
            <w:r w:rsidRPr="00CB09D5">
              <w:rPr>
                <w:lang w:val="en-GB"/>
              </w:rPr>
              <w:t xml:space="preserve">2. </w:t>
            </w:r>
            <w:r w:rsidR="00F54641" w:rsidRPr="00CB09D5">
              <w:rPr>
                <w:lang w:val="en-GB"/>
              </w:rPr>
              <w:t xml:space="preserve">The decline of prices considerably weakened in the second half of the year and the prices of imports increased for the first time after 18 months year-on-year in December. </w:t>
            </w:r>
            <w:r w:rsidR="000879B9" w:rsidRPr="00CB09D5">
              <w:rPr>
                <w:lang w:val="en-GB"/>
              </w:rPr>
              <w:t xml:space="preserve">Prices of beverages and tobacco </w:t>
            </w:r>
            <w:r w:rsidR="00F12A83" w:rsidRPr="00CB09D5">
              <w:rPr>
                <w:lang w:val="en-GB"/>
              </w:rPr>
              <w:t>(+3</w:t>
            </w:r>
            <w:r w:rsidR="000879B9" w:rsidRPr="00CB09D5">
              <w:rPr>
                <w:lang w:val="en-GB"/>
              </w:rPr>
              <w:t>.</w:t>
            </w:r>
            <w:r w:rsidR="00EE5A5A" w:rsidRPr="00CB09D5">
              <w:rPr>
                <w:lang w:val="en-GB"/>
              </w:rPr>
              <w:t>3</w:t>
            </w:r>
            <w:r w:rsidR="00F12A83" w:rsidRPr="00CB09D5">
              <w:rPr>
                <w:lang w:val="en-GB"/>
              </w:rPr>
              <w:t xml:space="preserve">%), </w:t>
            </w:r>
            <w:r w:rsidR="000879B9" w:rsidRPr="00CB09D5">
              <w:rPr>
                <w:lang w:val="en-GB"/>
              </w:rPr>
              <w:t xml:space="preserve">food and live animals </w:t>
            </w:r>
            <w:r w:rsidR="00F12A83" w:rsidRPr="00CB09D5">
              <w:rPr>
                <w:lang w:val="en-GB"/>
              </w:rPr>
              <w:t>(+2</w:t>
            </w:r>
            <w:r w:rsidR="000879B9" w:rsidRPr="00CB09D5">
              <w:rPr>
                <w:lang w:val="en-GB"/>
              </w:rPr>
              <w:t>.</w:t>
            </w:r>
            <w:r w:rsidR="00EE5A5A" w:rsidRPr="00CB09D5">
              <w:rPr>
                <w:lang w:val="en-GB"/>
              </w:rPr>
              <w:t>8</w:t>
            </w:r>
            <w:r w:rsidR="00F12A83" w:rsidRPr="00CB09D5">
              <w:rPr>
                <w:lang w:val="en-GB"/>
              </w:rPr>
              <w:t>%) a</w:t>
            </w:r>
            <w:r w:rsidR="000879B9" w:rsidRPr="00CB09D5">
              <w:rPr>
                <w:lang w:val="en-GB"/>
              </w:rPr>
              <w:t xml:space="preserve">nd inedible materials </w:t>
            </w:r>
            <w:r w:rsidR="00F12A83" w:rsidRPr="00CB09D5">
              <w:rPr>
                <w:lang w:val="en-GB"/>
              </w:rPr>
              <w:t>(+3</w:t>
            </w:r>
            <w:r w:rsidR="000879B9" w:rsidRPr="00CB09D5">
              <w:rPr>
                <w:lang w:val="en-GB"/>
              </w:rPr>
              <w:t>.</w:t>
            </w:r>
            <w:r w:rsidR="00EE5A5A" w:rsidRPr="00CB09D5">
              <w:rPr>
                <w:lang w:val="en-GB"/>
              </w:rPr>
              <w:t>2</w:t>
            </w:r>
            <w:r w:rsidR="00F12A83" w:rsidRPr="00CB09D5">
              <w:rPr>
                <w:lang w:val="en-GB"/>
              </w:rPr>
              <w:t>%)</w:t>
            </w:r>
            <w:r w:rsidR="000879B9" w:rsidRPr="00CB09D5">
              <w:rPr>
                <w:lang w:val="en-GB"/>
              </w:rPr>
              <w:t xml:space="preserve"> rose more notably in Q4</w:t>
            </w:r>
            <w:r w:rsidR="00F12A83" w:rsidRPr="00CB09D5">
              <w:rPr>
                <w:lang w:val="en-GB"/>
              </w:rPr>
              <w:t xml:space="preserve">. </w:t>
            </w:r>
            <w:r w:rsidR="0049778A" w:rsidRPr="00CB09D5">
              <w:rPr>
                <w:lang w:val="en-GB"/>
              </w:rPr>
              <w:t xml:space="preserve">Prices of imports of mineral fuels and oils considerably fell in first three quarters of </w:t>
            </w:r>
            <w:r w:rsidR="004C2316" w:rsidRPr="00CB09D5">
              <w:rPr>
                <w:lang w:val="en-GB"/>
              </w:rPr>
              <w:t xml:space="preserve">the </w:t>
            </w:r>
            <w:r w:rsidR="0049778A" w:rsidRPr="00CB09D5">
              <w:rPr>
                <w:lang w:val="en-GB"/>
              </w:rPr>
              <w:t xml:space="preserve">year </w:t>
            </w:r>
            <w:r w:rsidR="00F12A83" w:rsidRPr="00CB09D5">
              <w:rPr>
                <w:lang w:val="en-GB"/>
              </w:rPr>
              <w:t>2016 (</w:t>
            </w:r>
            <w:r w:rsidR="00EA421A" w:rsidRPr="00CB09D5">
              <w:rPr>
                <w:lang w:val="en-GB"/>
              </w:rPr>
              <w:t>-32</w:t>
            </w:r>
            <w:r w:rsidR="0049778A" w:rsidRPr="00CB09D5">
              <w:rPr>
                <w:lang w:val="en-GB"/>
              </w:rPr>
              <w:t>.</w:t>
            </w:r>
            <w:r w:rsidR="00EA421A" w:rsidRPr="00CB09D5">
              <w:rPr>
                <w:lang w:val="en-GB"/>
              </w:rPr>
              <w:t>6%, -</w:t>
            </w:r>
            <w:r w:rsidR="00F12A83" w:rsidRPr="00CB09D5">
              <w:rPr>
                <w:lang w:val="en-GB"/>
              </w:rPr>
              <w:t>31</w:t>
            </w:r>
            <w:r w:rsidR="0049778A" w:rsidRPr="00CB09D5">
              <w:rPr>
                <w:lang w:val="en-GB"/>
              </w:rPr>
              <w:t>.</w:t>
            </w:r>
            <w:r w:rsidR="00EE5A5A" w:rsidRPr="00CB09D5">
              <w:rPr>
                <w:lang w:val="en-GB"/>
              </w:rPr>
              <w:t>7</w:t>
            </w:r>
            <w:r w:rsidR="00F12A83" w:rsidRPr="00CB09D5">
              <w:rPr>
                <w:lang w:val="en-GB"/>
              </w:rPr>
              <w:t>% a</w:t>
            </w:r>
            <w:r w:rsidR="0049778A" w:rsidRPr="00CB09D5">
              <w:rPr>
                <w:lang w:val="en-GB"/>
              </w:rPr>
              <w:t>nd</w:t>
            </w:r>
            <w:r w:rsidR="00EA421A" w:rsidRPr="00CB09D5">
              <w:rPr>
                <w:lang w:val="en-GB"/>
              </w:rPr>
              <w:t> -</w:t>
            </w:r>
            <w:r w:rsidR="00F12A83" w:rsidRPr="00CB09D5">
              <w:rPr>
                <w:lang w:val="en-GB"/>
              </w:rPr>
              <w:t>20</w:t>
            </w:r>
            <w:r w:rsidR="0049778A" w:rsidRPr="00CB09D5">
              <w:rPr>
                <w:lang w:val="en-GB"/>
              </w:rPr>
              <w:t>.</w:t>
            </w:r>
            <w:r w:rsidR="00EE5A5A" w:rsidRPr="00CB09D5">
              <w:rPr>
                <w:lang w:val="en-GB"/>
              </w:rPr>
              <w:t>8</w:t>
            </w:r>
            <w:r w:rsidR="00F12A83" w:rsidRPr="00CB09D5">
              <w:rPr>
                <w:lang w:val="en-GB"/>
              </w:rPr>
              <w:t>%)</w:t>
            </w:r>
            <w:r w:rsidR="00D24299" w:rsidRPr="00CB09D5">
              <w:rPr>
                <w:lang w:val="en-GB"/>
              </w:rPr>
              <w:t>, a</w:t>
            </w:r>
            <w:r w:rsidR="0049778A" w:rsidRPr="00CB09D5">
              <w:rPr>
                <w:lang w:val="en-GB"/>
              </w:rPr>
              <w:t xml:space="preserve">nd </w:t>
            </w:r>
            <w:r w:rsidR="006F21A0" w:rsidRPr="00CB09D5">
              <w:rPr>
                <w:lang w:val="en-GB"/>
              </w:rPr>
              <w:t>significantly thus affected the total price level. Their price movement mod</w:t>
            </w:r>
            <w:r w:rsidR="00EE5A5A" w:rsidRPr="00CB09D5">
              <w:rPr>
                <w:lang w:val="en-GB"/>
              </w:rPr>
              <w:t>erated to 1.5</w:t>
            </w:r>
            <w:r w:rsidR="006F21A0" w:rsidRPr="00CB09D5">
              <w:rPr>
                <w:lang w:val="en-GB"/>
              </w:rPr>
              <w:t xml:space="preserve">% decrease in the last quarter, mainly thanks to the December year-on-year increase of </w:t>
            </w:r>
            <w:r w:rsidR="00F12A83" w:rsidRPr="00CB09D5">
              <w:rPr>
                <w:lang w:val="en-GB"/>
              </w:rPr>
              <w:t>12</w:t>
            </w:r>
            <w:r w:rsidR="006F21A0" w:rsidRPr="00CB09D5">
              <w:rPr>
                <w:lang w:val="en-GB"/>
              </w:rPr>
              <w:t>.</w:t>
            </w:r>
            <w:r w:rsidR="00EE5A5A" w:rsidRPr="00CB09D5">
              <w:rPr>
                <w:lang w:val="en-GB"/>
              </w:rPr>
              <w:t>3</w:t>
            </w:r>
            <w:r w:rsidR="00F12A83" w:rsidRPr="00CB09D5">
              <w:rPr>
                <w:lang w:val="en-GB"/>
              </w:rPr>
              <w:t xml:space="preserve">%.  </w:t>
            </w:r>
          </w:p>
          <w:p w:rsidR="00F12A83" w:rsidRPr="00674D93" w:rsidRDefault="00F12A83" w:rsidP="008A03DE">
            <w:pPr>
              <w:pStyle w:val="Textpoznpodarou"/>
              <w:ind w:right="-35"/>
              <w:jc w:val="both"/>
              <w:rPr>
                <w:sz w:val="14"/>
                <w:szCs w:val="14"/>
                <w:lang w:val="en-GB"/>
              </w:rPr>
            </w:pPr>
          </w:p>
        </w:tc>
      </w:tr>
      <w:tr w:rsidR="00F12A83" w:rsidRPr="00CB09D5" w:rsidTr="00CC2A1E">
        <w:tc>
          <w:tcPr>
            <w:tcW w:w="988" w:type="pct"/>
            <w:gridSpan w:val="2"/>
          </w:tcPr>
          <w:p w:rsidR="00F12A83" w:rsidRPr="00CB09D5" w:rsidRDefault="002C7FC5" w:rsidP="002C7FC5">
            <w:pPr>
              <w:spacing w:line="240" w:lineRule="auto"/>
              <w:ind w:right="-19"/>
              <w:rPr>
                <w:sz w:val="16"/>
                <w:szCs w:val="16"/>
                <w:lang w:val="en-GB"/>
              </w:rPr>
            </w:pPr>
            <w:r w:rsidRPr="00CB09D5">
              <w:rPr>
                <w:sz w:val="16"/>
                <w:szCs w:val="16"/>
                <w:lang w:val="en-GB"/>
              </w:rPr>
              <w:t>Terms of trade, which were positive in Q</w:t>
            </w:r>
            <w:r w:rsidR="00DC2FA9" w:rsidRPr="00CB09D5">
              <w:rPr>
                <w:sz w:val="16"/>
                <w:szCs w:val="16"/>
                <w:lang w:val="en-GB"/>
              </w:rPr>
              <w:t>1</w:t>
            </w:r>
            <w:r w:rsidRPr="00CB09D5">
              <w:rPr>
                <w:sz w:val="16"/>
                <w:szCs w:val="16"/>
                <w:lang w:val="en-GB"/>
              </w:rPr>
              <w:t xml:space="preserve"> to </w:t>
            </w:r>
            <w:proofErr w:type="gramStart"/>
            <w:r w:rsidRPr="00CB09D5">
              <w:rPr>
                <w:sz w:val="16"/>
                <w:szCs w:val="16"/>
                <w:lang w:val="en-GB"/>
              </w:rPr>
              <w:t>Q</w:t>
            </w:r>
            <w:r w:rsidR="00DC2FA9" w:rsidRPr="00CB09D5">
              <w:rPr>
                <w:sz w:val="16"/>
                <w:szCs w:val="16"/>
                <w:lang w:val="en-GB"/>
              </w:rPr>
              <w:t>3</w:t>
            </w:r>
            <w:proofErr w:type="gramEnd"/>
            <w:r w:rsidRPr="00CB09D5">
              <w:rPr>
                <w:sz w:val="16"/>
                <w:szCs w:val="16"/>
                <w:lang w:val="en-GB"/>
              </w:rPr>
              <w:t xml:space="preserve"> fell below zero </w:t>
            </w:r>
            <w:r w:rsidRPr="00CB09D5">
              <w:rPr>
                <w:sz w:val="16"/>
                <w:szCs w:val="16"/>
                <w:lang w:val="en-GB"/>
              </w:rPr>
              <w:lastRenderedPageBreak/>
              <w:t xml:space="preserve">towards the year. </w:t>
            </w:r>
            <w:r w:rsidR="00F12A83" w:rsidRPr="00CB09D5">
              <w:rPr>
                <w:sz w:val="16"/>
                <w:szCs w:val="16"/>
                <w:lang w:val="en-GB"/>
              </w:rPr>
              <w:t xml:space="preserve"> </w:t>
            </w:r>
          </w:p>
        </w:tc>
        <w:tc>
          <w:tcPr>
            <w:tcW w:w="144" w:type="pct"/>
          </w:tcPr>
          <w:p w:rsidR="00F12A83" w:rsidRPr="00CB09D5" w:rsidRDefault="00F12A83" w:rsidP="00D94859">
            <w:pPr>
              <w:pStyle w:val="Textpoznpodarou"/>
              <w:jc w:val="both"/>
              <w:rPr>
                <w:lang w:val="en-GB"/>
              </w:rPr>
            </w:pPr>
          </w:p>
        </w:tc>
        <w:tc>
          <w:tcPr>
            <w:tcW w:w="3868" w:type="pct"/>
            <w:gridSpan w:val="4"/>
          </w:tcPr>
          <w:p w:rsidR="00F12A83" w:rsidRPr="00CB09D5" w:rsidRDefault="00F90987" w:rsidP="008A03DE">
            <w:pPr>
              <w:pStyle w:val="Textpoznpodarou"/>
              <w:ind w:right="-35"/>
              <w:jc w:val="both"/>
              <w:rPr>
                <w:sz w:val="16"/>
                <w:szCs w:val="16"/>
                <w:lang w:val="en-GB"/>
              </w:rPr>
            </w:pPr>
            <w:r w:rsidRPr="00CB09D5">
              <w:rPr>
                <w:lang w:val="en-GB"/>
              </w:rPr>
              <w:t xml:space="preserve">Terms of trade were </w:t>
            </w:r>
            <w:r w:rsidR="00CD3469" w:rsidRPr="00CB09D5">
              <w:rPr>
                <w:lang w:val="en-GB"/>
              </w:rPr>
              <w:t>positive</w:t>
            </w:r>
            <w:r w:rsidRPr="00CB09D5">
              <w:rPr>
                <w:lang w:val="en-GB"/>
              </w:rPr>
              <w:t xml:space="preserve"> in the first three quarters of the year (</w:t>
            </w:r>
            <w:r w:rsidR="00F12A83" w:rsidRPr="00CB09D5">
              <w:rPr>
                <w:lang w:val="en-GB"/>
              </w:rPr>
              <w:t>101</w:t>
            </w:r>
            <w:r w:rsidRPr="00CB09D5">
              <w:rPr>
                <w:lang w:val="en-GB"/>
              </w:rPr>
              <w:t>.</w:t>
            </w:r>
            <w:r w:rsidR="00AF2536" w:rsidRPr="00CB09D5">
              <w:rPr>
                <w:lang w:val="en-GB"/>
              </w:rPr>
              <w:t>5</w:t>
            </w:r>
            <w:r w:rsidR="00F12A83" w:rsidRPr="00CB09D5">
              <w:rPr>
                <w:lang w:val="en-GB"/>
              </w:rPr>
              <w:t>, 102</w:t>
            </w:r>
            <w:r w:rsidRPr="00CB09D5">
              <w:rPr>
                <w:lang w:val="en-GB"/>
              </w:rPr>
              <w:t>.</w:t>
            </w:r>
            <w:r w:rsidR="00AF2536" w:rsidRPr="00CB09D5">
              <w:rPr>
                <w:lang w:val="en-GB"/>
              </w:rPr>
              <w:t>1</w:t>
            </w:r>
            <w:r w:rsidR="00F12A83" w:rsidRPr="00CB09D5">
              <w:rPr>
                <w:lang w:val="en-GB"/>
              </w:rPr>
              <w:t xml:space="preserve"> a</w:t>
            </w:r>
            <w:r w:rsidRPr="00CB09D5">
              <w:rPr>
                <w:lang w:val="en-GB"/>
              </w:rPr>
              <w:t>nd</w:t>
            </w:r>
            <w:r w:rsidR="00F12A83" w:rsidRPr="00CB09D5">
              <w:rPr>
                <w:lang w:val="en-GB"/>
              </w:rPr>
              <w:t xml:space="preserve"> 101</w:t>
            </w:r>
            <w:r w:rsidRPr="00CB09D5">
              <w:rPr>
                <w:lang w:val="en-GB"/>
              </w:rPr>
              <w:t>.</w:t>
            </w:r>
            <w:r w:rsidR="00F12A83" w:rsidRPr="00CB09D5">
              <w:rPr>
                <w:lang w:val="en-GB"/>
              </w:rPr>
              <w:t>0)</w:t>
            </w:r>
            <w:proofErr w:type="gramStart"/>
            <w:r w:rsidR="00F12A83" w:rsidRPr="00CB09D5">
              <w:rPr>
                <w:lang w:val="en-GB"/>
              </w:rPr>
              <w:t>,</w:t>
            </w:r>
            <w:proofErr w:type="gramEnd"/>
            <w:r w:rsidR="00F12A83" w:rsidRPr="00CB09D5">
              <w:rPr>
                <w:lang w:val="en-GB"/>
              </w:rPr>
              <w:t xml:space="preserve"> </w:t>
            </w:r>
            <w:r w:rsidRPr="00CB09D5">
              <w:rPr>
                <w:lang w:val="en-GB"/>
              </w:rPr>
              <w:t xml:space="preserve">they were affected the most by the positive terms of trade of the mineral </w:t>
            </w:r>
            <w:r w:rsidRPr="00CB09D5">
              <w:rPr>
                <w:lang w:val="en-GB"/>
              </w:rPr>
              <w:lastRenderedPageBreak/>
              <w:t xml:space="preserve">fuels. However, the situation turned in Q4 and the terms of trade arrived at 99.1. </w:t>
            </w:r>
            <w:r w:rsidR="00CD3469" w:rsidRPr="00CB09D5">
              <w:rPr>
                <w:lang w:val="en-GB"/>
              </w:rPr>
              <w:t xml:space="preserve">Terms of trade of beverages and tobacco (94.3) or food (96.4) worked in the negative direction. The exchange rate of euro was hitting the 27 crown boundary already since the half of </w:t>
            </w:r>
            <w:r w:rsidR="003B5E14" w:rsidRPr="00CB09D5">
              <w:rPr>
                <w:lang w:val="en-GB"/>
              </w:rPr>
              <w:t xml:space="preserve">the </w:t>
            </w:r>
            <w:r w:rsidR="00CD3469" w:rsidRPr="00CB09D5">
              <w:rPr>
                <w:lang w:val="en-GB"/>
              </w:rPr>
              <w:t xml:space="preserve">year 2015 and remained the same. The crown still </w:t>
            </w:r>
            <w:r w:rsidR="00EE5A5A" w:rsidRPr="00CB09D5">
              <w:rPr>
                <w:lang w:val="en-GB"/>
              </w:rPr>
              <w:t>appreciated against euro by 2.2% and 1.3</w:t>
            </w:r>
            <w:r w:rsidR="00CD3469" w:rsidRPr="00CB09D5">
              <w:rPr>
                <w:lang w:val="en-GB"/>
              </w:rPr>
              <w:t xml:space="preserve">% in Q1 and </w:t>
            </w:r>
            <w:r w:rsidR="000E77CC" w:rsidRPr="00CB09D5">
              <w:rPr>
                <w:lang w:val="en-GB"/>
              </w:rPr>
              <w:t>Q</w:t>
            </w:r>
            <w:r w:rsidR="00F12A83" w:rsidRPr="00CB09D5">
              <w:rPr>
                <w:lang w:val="en-GB"/>
              </w:rPr>
              <w:t>2</w:t>
            </w:r>
            <w:r w:rsidR="00CD3469" w:rsidRPr="00CB09D5">
              <w:rPr>
                <w:lang w:val="en-GB"/>
              </w:rPr>
              <w:t xml:space="preserve"> </w:t>
            </w:r>
            <w:r w:rsidR="00F12A83" w:rsidRPr="00CB09D5">
              <w:rPr>
                <w:lang w:val="en-GB"/>
              </w:rPr>
              <w:t>2016</w:t>
            </w:r>
            <w:r w:rsidR="00CD3469" w:rsidRPr="00CB09D5">
              <w:rPr>
                <w:lang w:val="en-GB"/>
              </w:rPr>
              <w:t xml:space="preserve"> year-on-year, but the exchange rate practically did not change towards the previous year in the second half of the year. </w:t>
            </w:r>
            <w:r w:rsidR="00AF2B31" w:rsidRPr="00CB09D5">
              <w:rPr>
                <w:lang w:val="en-GB"/>
              </w:rPr>
              <w:t>Exchange rate of crown fluctuated during the year, more significant movement occurred in Q2, when the crown appreciated against thi</w:t>
            </w:r>
            <w:r w:rsidR="00EE5A5A" w:rsidRPr="00CB09D5">
              <w:rPr>
                <w:lang w:val="en-GB"/>
              </w:rPr>
              <w:t>s currency by 3.5% and depreciated by 1.4</w:t>
            </w:r>
            <w:r w:rsidR="00AF2B31" w:rsidRPr="00CB09D5">
              <w:rPr>
                <w:lang w:val="en-GB"/>
              </w:rPr>
              <w:t xml:space="preserve">% in Q4. </w:t>
            </w:r>
            <w:r w:rsidR="00355B5A" w:rsidRPr="00CB09D5">
              <w:rPr>
                <w:lang w:val="en-GB"/>
              </w:rPr>
              <w:t xml:space="preserve">Marked appreciation of crown towards the British </w:t>
            </w:r>
            <w:r w:rsidR="004C7C5C" w:rsidRPr="00CB09D5">
              <w:rPr>
                <w:lang w:val="en-GB"/>
              </w:rPr>
              <w:t>pound w</w:t>
            </w:r>
            <w:r w:rsidR="00355B5A" w:rsidRPr="00CB09D5">
              <w:rPr>
                <w:lang w:val="en-GB"/>
              </w:rPr>
              <w:t>as reflected unusually strongly in the deflationary pressures.</w:t>
            </w:r>
          </w:p>
          <w:p w:rsidR="00F12A83" w:rsidRPr="00674D93" w:rsidRDefault="00F12A83" w:rsidP="008A03DE">
            <w:pPr>
              <w:pStyle w:val="Textpoznpodarou"/>
              <w:ind w:right="-35"/>
              <w:jc w:val="both"/>
              <w:rPr>
                <w:sz w:val="14"/>
                <w:szCs w:val="14"/>
                <w:lang w:val="en-GB"/>
              </w:rPr>
            </w:pPr>
          </w:p>
        </w:tc>
      </w:tr>
      <w:tr w:rsidR="00F06C6F" w:rsidRPr="00CB09D5" w:rsidTr="00CC2A1E">
        <w:tblPrEx>
          <w:tblLook w:val="04A0"/>
        </w:tblPrEx>
        <w:tc>
          <w:tcPr>
            <w:tcW w:w="574" w:type="pct"/>
          </w:tcPr>
          <w:p w:rsidR="0033229B" w:rsidRPr="00CB09D5" w:rsidRDefault="00914962" w:rsidP="00D94859">
            <w:pPr>
              <w:pStyle w:val="Textpoznpodarou"/>
              <w:rPr>
                <w:sz w:val="18"/>
                <w:szCs w:val="18"/>
                <w:lang w:val="en-GB"/>
              </w:rPr>
            </w:pPr>
            <w:r w:rsidRPr="00CB09D5">
              <w:rPr>
                <w:sz w:val="18"/>
                <w:szCs w:val="18"/>
                <w:lang w:val="en-GB"/>
              </w:rPr>
              <w:lastRenderedPageBreak/>
              <w:t>Chart 11</w:t>
            </w:r>
          </w:p>
        </w:tc>
        <w:tc>
          <w:tcPr>
            <w:tcW w:w="1890" w:type="pct"/>
            <w:gridSpan w:val="3"/>
          </w:tcPr>
          <w:p w:rsidR="0033229B" w:rsidRPr="00CB09D5" w:rsidRDefault="006F3531" w:rsidP="00914962">
            <w:pPr>
              <w:pStyle w:val="Textpoznpodarou"/>
              <w:rPr>
                <w:lang w:val="en-GB"/>
              </w:rPr>
            </w:pPr>
            <w:r w:rsidRPr="00CB09D5">
              <w:rPr>
                <w:b/>
                <w:lang w:val="en-GB"/>
              </w:rPr>
              <w:t xml:space="preserve">Consumer prices for individual types of households </w:t>
            </w:r>
            <w:r w:rsidR="0033229B" w:rsidRPr="00CB09D5">
              <w:rPr>
                <w:lang w:val="en-GB"/>
              </w:rPr>
              <w:t xml:space="preserve">(y/y </w:t>
            </w:r>
            <w:r w:rsidR="00914962" w:rsidRPr="00CB09D5">
              <w:rPr>
                <w:lang w:val="en-GB"/>
              </w:rPr>
              <w:t>in</w:t>
            </w:r>
            <w:r w:rsidR="0033229B" w:rsidRPr="00CB09D5">
              <w:rPr>
                <w:lang w:val="en-GB"/>
              </w:rPr>
              <w:t xml:space="preserve"> %)</w:t>
            </w:r>
          </w:p>
        </w:tc>
        <w:tc>
          <w:tcPr>
            <w:tcW w:w="580" w:type="pct"/>
            <w:gridSpan w:val="2"/>
          </w:tcPr>
          <w:p w:rsidR="007430AB" w:rsidRPr="00CB09D5" w:rsidRDefault="00914962" w:rsidP="00D94859">
            <w:pPr>
              <w:pStyle w:val="Textpoznpodarou"/>
              <w:rPr>
                <w:sz w:val="18"/>
                <w:szCs w:val="18"/>
                <w:lang w:val="en-GB"/>
              </w:rPr>
            </w:pPr>
            <w:r w:rsidRPr="00CB09D5">
              <w:rPr>
                <w:sz w:val="18"/>
                <w:szCs w:val="18"/>
                <w:lang w:val="en-GB"/>
              </w:rPr>
              <w:t>Chart</w:t>
            </w:r>
          </w:p>
          <w:p w:rsidR="0033229B" w:rsidRPr="00CB09D5" w:rsidRDefault="0033229B" w:rsidP="00D94859">
            <w:pPr>
              <w:pStyle w:val="Textpoznpodarou"/>
              <w:rPr>
                <w:sz w:val="18"/>
                <w:szCs w:val="18"/>
                <w:lang w:val="en-GB"/>
              </w:rPr>
            </w:pPr>
            <w:r w:rsidRPr="00CB09D5">
              <w:rPr>
                <w:sz w:val="18"/>
                <w:szCs w:val="18"/>
                <w:lang w:val="en-GB"/>
              </w:rPr>
              <w:t>12</w:t>
            </w:r>
          </w:p>
        </w:tc>
        <w:tc>
          <w:tcPr>
            <w:tcW w:w="1956" w:type="pct"/>
          </w:tcPr>
          <w:p w:rsidR="0033229B" w:rsidRPr="00CB09D5" w:rsidRDefault="006F3531" w:rsidP="00914962">
            <w:pPr>
              <w:pStyle w:val="Textpoznpodarou"/>
              <w:rPr>
                <w:lang w:val="en-GB"/>
              </w:rPr>
            </w:pPr>
            <w:r w:rsidRPr="00CB09D5">
              <w:rPr>
                <w:b/>
                <w:lang w:val="en-GB"/>
              </w:rPr>
              <w:t xml:space="preserve">Prices in selected CPI divisions </w:t>
            </w:r>
            <w:r w:rsidR="0033229B" w:rsidRPr="00CB09D5">
              <w:rPr>
                <w:lang w:val="en-GB"/>
              </w:rPr>
              <w:t>(y/y </w:t>
            </w:r>
            <w:r w:rsidR="00914962" w:rsidRPr="00CB09D5">
              <w:rPr>
                <w:lang w:val="en-GB"/>
              </w:rPr>
              <w:t>in</w:t>
            </w:r>
            <w:r w:rsidR="0033229B" w:rsidRPr="00CB09D5">
              <w:rPr>
                <w:lang w:val="en-GB"/>
              </w:rPr>
              <w:t xml:space="preserve"> %)</w:t>
            </w:r>
          </w:p>
        </w:tc>
      </w:tr>
      <w:tr w:rsidR="007C32B6" w:rsidRPr="00CB09D5" w:rsidTr="00CC2A1E">
        <w:tblPrEx>
          <w:tblLook w:val="04A0"/>
        </w:tblPrEx>
        <w:tc>
          <w:tcPr>
            <w:tcW w:w="2464" w:type="pct"/>
            <w:gridSpan w:val="4"/>
          </w:tcPr>
          <w:p w:rsidR="0033229B" w:rsidRPr="00CB09D5" w:rsidRDefault="0029191C" w:rsidP="00E83DAB">
            <w:pPr>
              <w:pStyle w:val="Textpoznpodarou"/>
              <w:ind w:left="-108"/>
              <w:jc w:val="both"/>
              <w:rPr>
                <w:lang w:val="en-GB"/>
              </w:rPr>
            </w:pPr>
            <w:r>
              <w:rPr>
                <w:noProof/>
              </w:rPr>
              <w:drawing>
                <wp:inline distT="0" distB="0" distL="0" distR="0">
                  <wp:extent cx="3020843" cy="2381250"/>
                  <wp:effectExtent l="19050" t="0" r="8107" b="0"/>
                  <wp:docPr id="1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3019380" cy="2380097"/>
                          </a:xfrm>
                          <a:prstGeom prst="rect">
                            <a:avLst/>
                          </a:prstGeom>
                          <a:noFill/>
                          <a:ln w="9525">
                            <a:noFill/>
                            <a:miter lim="800000"/>
                            <a:headEnd/>
                            <a:tailEnd/>
                          </a:ln>
                        </pic:spPr>
                      </pic:pic>
                    </a:graphicData>
                  </a:graphic>
                </wp:inline>
              </w:drawing>
            </w:r>
          </w:p>
        </w:tc>
        <w:tc>
          <w:tcPr>
            <w:tcW w:w="2536" w:type="pct"/>
            <w:gridSpan w:val="3"/>
          </w:tcPr>
          <w:p w:rsidR="0085188D" w:rsidRPr="00CB09D5" w:rsidRDefault="0029191C" w:rsidP="00CC2A1E">
            <w:pPr>
              <w:pStyle w:val="Textpoznpodarou"/>
              <w:ind w:left="-108"/>
              <w:jc w:val="both"/>
              <w:rPr>
                <w:sz w:val="6"/>
                <w:szCs w:val="6"/>
                <w:lang w:val="en-GB"/>
              </w:rPr>
            </w:pPr>
            <w:r>
              <w:rPr>
                <w:noProof/>
                <w:sz w:val="6"/>
                <w:szCs w:val="6"/>
              </w:rPr>
              <w:drawing>
                <wp:inline distT="0" distB="0" distL="0" distR="0">
                  <wp:extent cx="3009900" cy="2371725"/>
                  <wp:effectExtent l="1905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3009900" cy="2371725"/>
                          </a:xfrm>
                          <a:prstGeom prst="rect">
                            <a:avLst/>
                          </a:prstGeom>
                          <a:noFill/>
                          <a:ln w="9525">
                            <a:noFill/>
                            <a:miter lim="800000"/>
                            <a:headEnd/>
                            <a:tailEnd/>
                          </a:ln>
                        </pic:spPr>
                      </pic:pic>
                    </a:graphicData>
                  </a:graphic>
                </wp:inline>
              </w:drawing>
            </w:r>
          </w:p>
        </w:tc>
      </w:tr>
      <w:tr w:rsidR="00F06C6F" w:rsidRPr="00CB09D5" w:rsidTr="00CC2A1E">
        <w:tblPrEx>
          <w:tblLook w:val="04A0"/>
        </w:tblPrEx>
        <w:tc>
          <w:tcPr>
            <w:tcW w:w="574" w:type="pct"/>
          </w:tcPr>
          <w:p w:rsidR="007430AB" w:rsidRPr="00CB09D5" w:rsidRDefault="009408E8" w:rsidP="00D94859">
            <w:pPr>
              <w:pStyle w:val="Textpoznpodarou"/>
              <w:rPr>
                <w:sz w:val="18"/>
                <w:szCs w:val="18"/>
                <w:lang w:val="en-GB" w:eastAsia="en-US"/>
              </w:rPr>
            </w:pPr>
            <w:r w:rsidRPr="00CB09D5">
              <w:rPr>
                <w:sz w:val="18"/>
                <w:szCs w:val="18"/>
                <w:lang w:val="en-GB" w:eastAsia="en-US"/>
              </w:rPr>
              <w:t>Chart</w:t>
            </w:r>
          </w:p>
          <w:p w:rsidR="0033229B" w:rsidRPr="00CB09D5" w:rsidRDefault="0033229B" w:rsidP="00D94859">
            <w:pPr>
              <w:pStyle w:val="Textpoznpodarou"/>
              <w:rPr>
                <w:sz w:val="18"/>
                <w:szCs w:val="18"/>
                <w:lang w:val="en-GB" w:eastAsia="en-US"/>
              </w:rPr>
            </w:pPr>
            <w:r w:rsidRPr="00CB09D5">
              <w:rPr>
                <w:sz w:val="18"/>
                <w:szCs w:val="18"/>
                <w:lang w:val="en-GB" w:eastAsia="en-US"/>
              </w:rPr>
              <w:t>13</w:t>
            </w:r>
          </w:p>
        </w:tc>
        <w:tc>
          <w:tcPr>
            <w:tcW w:w="1890" w:type="pct"/>
            <w:gridSpan w:val="3"/>
          </w:tcPr>
          <w:p w:rsidR="0033229B" w:rsidRPr="00CB09D5" w:rsidRDefault="0033229B" w:rsidP="009408E8">
            <w:pPr>
              <w:pStyle w:val="Textpoznpodarou"/>
              <w:rPr>
                <w:color w:val="FF0000"/>
                <w:lang w:val="en-GB" w:eastAsia="en-US"/>
              </w:rPr>
            </w:pPr>
            <w:r w:rsidRPr="00CB09D5">
              <w:rPr>
                <w:b/>
                <w:lang w:val="en-GB" w:eastAsia="en-US"/>
              </w:rPr>
              <w:t>Defl</w:t>
            </w:r>
            <w:r w:rsidR="009408E8" w:rsidRPr="00CB09D5">
              <w:rPr>
                <w:b/>
                <w:lang w:val="en-GB" w:eastAsia="en-US"/>
              </w:rPr>
              <w:t xml:space="preserve">ators </w:t>
            </w:r>
            <w:r w:rsidRPr="00CB09D5">
              <w:rPr>
                <w:lang w:val="en-GB" w:eastAsia="en-US"/>
              </w:rPr>
              <w:t>(</w:t>
            </w:r>
            <w:r w:rsidR="009408E8" w:rsidRPr="00CB09D5">
              <w:rPr>
                <w:lang w:val="en-GB" w:eastAsia="en-US"/>
              </w:rPr>
              <w:t>adjusted for seasonal and calendar effects</w:t>
            </w:r>
            <w:r w:rsidRPr="00CB09D5">
              <w:rPr>
                <w:lang w:val="en-GB" w:eastAsia="en-US"/>
              </w:rPr>
              <w:t xml:space="preserve">, y/y </w:t>
            </w:r>
            <w:r w:rsidR="009408E8" w:rsidRPr="00CB09D5">
              <w:rPr>
                <w:lang w:val="en-GB" w:eastAsia="en-US"/>
              </w:rPr>
              <w:t>in</w:t>
            </w:r>
            <w:r w:rsidRPr="00CB09D5">
              <w:rPr>
                <w:lang w:val="en-GB" w:eastAsia="en-US"/>
              </w:rPr>
              <w:t xml:space="preserve"> %)</w:t>
            </w:r>
          </w:p>
        </w:tc>
        <w:tc>
          <w:tcPr>
            <w:tcW w:w="507" w:type="pct"/>
          </w:tcPr>
          <w:p w:rsidR="007430AB" w:rsidRPr="00CB09D5" w:rsidRDefault="009408E8" w:rsidP="005B0262">
            <w:pPr>
              <w:pStyle w:val="Textpoznpodarou"/>
              <w:ind w:left="-77" w:right="-108"/>
              <w:rPr>
                <w:sz w:val="18"/>
                <w:szCs w:val="18"/>
                <w:lang w:val="en-GB" w:eastAsia="en-US"/>
              </w:rPr>
            </w:pPr>
            <w:r w:rsidRPr="00CB09D5">
              <w:rPr>
                <w:sz w:val="18"/>
                <w:szCs w:val="18"/>
                <w:lang w:val="en-GB" w:eastAsia="en-US"/>
              </w:rPr>
              <w:t>Chart</w:t>
            </w:r>
          </w:p>
          <w:p w:rsidR="0033229B" w:rsidRPr="00CB09D5" w:rsidRDefault="0033229B" w:rsidP="005B0262">
            <w:pPr>
              <w:pStyle w:val="Textpoznpodarou"/>
              <w:ind w:left="-77" w:right="-108"/>
              <w:rPr>
                <w:sz w:val="18"/>
                <w:szCs w:val="18"/>
                <w:lang w:val="en-GB" w:eastAsia="en-US"/>
              </w:rPr>
            </w:pPr>
            <w:r w:rsidRPr="00CB09D5">
              <w:rPr>
                <w:sz w:val="18"/>
                <w:szCs w:val="18"/>
                <w:lang w:val="en-GB" w:eastAsia="en-US"/>
              </w:rPr>
              <w:t>14</w:t>
            </w:r>
          </w:p>
        </w:tc>
        <w:tc>
          <w:tcPr>
            <w:tcW w:w="2029" w:type="pct"/>
            <w:gridSpan w:val="2"/>
          </w:tcPr>
          <w:p w:rsidR="0033229B" w:rsidRPr="00CB09D5" w:rsidRDefault="009408E8" w:rsidP="00BE264F">
            <w:pPr>
              <w:pStyle w:val="Textpoznpodarou"/>
              <w:ind w:right="-108"/>
              <w:rPr>
                <w:lang w:val="en-GB" w:eastAsia="en-US"/>
              </w:rPr>
            </w:pPr>
            <w:r w:rsidRPr="00CB09D5">
              <w:rPr>
                <w:b/>
                <w:lang w:val="en-GB" w:eastAsia="en-US"/>
              </w:rPr>
              <w:t xml:space="preserve">Producer prices </w:t>
            </w:r>
            <w:r w:rsidR="004F2A4D" w:rsidRPr="00CB09D5">
              <w:rPr>
                <w:lang w:val="en-GB" w:eastAsia="en-US"/>
              </w:rPr>
              <w:t xml:space="preserve">(y/y </w:t>
            </w:r>
            <w:r w:rsidRPr="00CB09D5">
              <w:rPr>
                <w:lang w:val="en-GB" w:eastAsia="en-US"/>
              </w:rPr>
              <w:t>in</w:t>
            </w:r>
            <w:r w:rsidR="004F2A4D" w:rsidRPr="00CB09D5">
              <w:rPr>
                <w:lang w:val="en-GB" w:eastAsia="en-US"/>
              </w:rPr>
              <w:t xml:space="preserve"> %, </w:t>
            </w:r>
            <w:r w:rsidR="00BE264F" w:rsidRPr="00CB09D5">
              <w:rPr>
                <w:lang w:val="en-GB" w:eastAsia="en-US"/>
              </w:rPr>
              <w:t>agricultural producer prices on the right axis</w:t>
            </w:r>
            <w:r w:rsidR="0033229B" w:rsidRPr="00CB09D5">
              <w:rPr>
                <w:lang w:val="en-GB" w:eastAsia="en-US"/>
              </w:rPr>
              <w:t>, o</w:t>
            </w:r>
            <w:r w:rsidR="00BE264F" w:rsidRPr="00CB09D5">
              <w:rPr>
                <w:lang w:val="en-GB" w:eastAsia="en-US"/>
              </w:rPr>
              <w:t>ther on left axis</w:t>
            </w:r>
            <w:r w:rsidR="0033229B" w:rsidRPr="00CB09D5">
              <w:rPr>
                <w:lang w:val="en-GB" w:eastAsia="en-US"/>
              </w:rPr>
              <w:t>)</w:t>
            </w:r>
          </w:p>
        </w:tc>
      </w:tr>
      <w:tr w:rsidR="00A05B91" w:rsidRPr="00CB09D5" w:rsidTr="00CC2A1E">
        <w:tblPrEx>
          <w:tblLook w:val="04A0"/>
        </w:tblPrEx>
        <w:tc>
          <w:tcPr>
            <w:tcW w:w="2464" w:type="pct"/>
            <w:gridSpan w:val="4"/>
          </w:tcPr>
          <w:p w:rsidR="0033229B" w:rsidRPr="00CB09D5" w:rsidRDefault="0029191C" w:rsidP="00F06C6F">
            <w:pPr>
              <w:pStyle w:val="Textpoznpodarou"/>
              <w:ind w:left="-108"/>
              <w:jc w:val="both"/>
              <w:rPr>
                <w:lang w:val="en-GB" w:eastAsia="en-US"/>
              </w:rPr>
            </w:pPr>
            <w:r>
              <w:rPr>
                <w:noProof/>
              </w:rPr>
              <w:drawing>
                <wp:inline distT="0" distB="0" distL="0" distR="0">
                  <wp:extent cx="3032478" cy="2400300"/>
                  <wp:effectExtent l="19050" t="0" r="0" b="0"/>
                  <wp:docPr id="2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3032478" cy="2400300"/>
                          </a:xfrm>
                          <a:prstGeom prst="rect">
                            <a:avLst/>
                          </a:prstGeom>
                          <a:noFill/>
                          <a:ln w="9525">
                            <a:noFill/>
                            <a:miter lim="800000"/>
                            <a:headEnd/>
                            <a:tailEnd/>
                          </a:ln>
                        </pic:spPr>
                      </pic:pic>
                    </a:graphicData>
                  </a:graphic>
                </wp:inline>
              </w:drawing>
            </w:r>
          </w:p>
        </w:tc>
        <w:tc>
          <w:tcPr>
            <w:tcW w:w="2536" w:type="pct"/>
            <w:gridSpan w:val="3"/>
          </w:tcPr>
          <w:p w:rsidR="0033229B" w:rsidRPr="00CB09D5" w:rsidRDefault="0029191C" w:rsidP="00CC2A1E">
            <w:pPr>
              <w:pStyle w:val="Textpoznpodarou"/>
              <w:ind w:left="-77"/>
              <w:jc w:val="both"/>
              <w:rPr>
                <w:lang w:val="en-GB" w:eastAsia="en-US"/>
              </w:rPr>
            </w:pPr>
            <w:r>
              <w:rPr>
                <w:noProof/>
              </w:rPr>
              <w:drawing>
                <wp:inline distT="0" distB="0" distL="0" distR="0">
                  <wp:extent cx="3009900" cy="2371725"/>
                  <wp:effectExtent l="19050" t="0" r="0" b="0"/>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009900" cy="2371725"/>
                          </a:xfrm>
                          <a:prstGeom prst="rect">
                            <a:avLst/>
                          </a:prstGeom>
                          <a:noFill/>
                          <a:ln w="9525">
                            <a:noFill/>
                            <a:miter lim="800000"/>
                            <a:headEnd/>
                            <a:tailEnd/>
                          </a:ln>
                        </pic:spPr>
                      </pic:pic>
                    </a:graphicData>
                  </a:graphic>
                </wp:inline>
              </w:drawing>
            </w:r>
          </w:p>
        </w:tc>
      </w:tr>
      <w:tr w:rsidR="0033229B" w:rsidRPr="00CB09D5" w:rsidTr="00CC2A1E">
        <w:tblPrEx>
          <w:tblLook w:val="04A0"/>
        </w:tblPrEx>
        <w:tc>
          <w:tcPr>
            <w:tcW w:w="5000" w:type="pct"/>
            <w:gridSpan w:val="7"/>
          </w:tcPr>
          <w:p w:rsidR="0033229B" w:rsidRPr="00CB09D5" w:rsidRDefault="00930CFB" w:rsidP="00D94859">
            <w:pPr>
              <w:pStyle w:val="Textpoznpodarou"/>
              <w:jc w:val="right"/>
              <w:rPr>
                <w:sz w:val="18"/>
                <w:szCs w:val="18"/>
                <w:lang w:val="en-GB" w:eastAsia="en-US"/>
              </w:rPr>
            </w:pPr>
            <w:r w:rsidRPr="00CB09D5">
              <w:rPr>
                <w:sz w:val="18"/>
                <w:szCs w:val="18"/>
                <w:lang w:val="en-GB" w:eastAsia="en-US"/>
              </w:rPr>
              <w:t>Source</w:t>
            </w:r>
            <w:r w:rsidR="0033229B" w:rsidRPr="00CB09D5">
              <w:rPr>
                <w:sz w:val="18"/>
                <w:szCs w:val="18"/>
                <w:lang w:val="en-GB" w:eastAsia="en-US"/>
              </w:rPr>
              <w:t xml:space="preserve">: </w:t>
            </w:r>
            <w:r w:rsidRPr="00CB09D5">
              <w:rPr>
                <w:sz w:val="18"/>
                <w:szCs w:val="18"/>
                <w:lang w:val="en-GB" w:eastAsia="en-US"/>
              </w:rPr>
              <w:t>CZSO</w:t>
            </w:r>
          </w:p>
        </w:tc>
      </w:tr>
      <w:tr w:rsidR="00B128E5" w:rsidRPr="00CB09D5" w:rsidTr="00CC2A1E">
        <w:tblPrEx>
          <w:tblLook w:val="04A0"/>
        </w:tblPrEx>
        <w:tc>
          <w:tcPr>
            <w:tcW w:w="5000" w:type="pct"/>
            <w:gridSpan w:val="7"/>
          </w:tcPr>
          <w:p w:rsidR="00DE37C6" w:rsidRPr="00CB09D5" w:rsidRDefault="00DE37C6" w:rsidP="00A9497A">
            <w:pPr>
              <w:pStyle w:val="Textpoznpodarou"/>
              <w:rPr>
                <w:sz w:val="18"/>
                <w:szCs w:val="18"/>
                <w:lang w:val="en-GB" w:eastAsia="en-US"/>
              </w:rPr>
            </w:pPr>
          </w:p>
        </w:tc>
      </w:tr>
    </w:tbl>
    <w:p w:rsidR="00EB6063" w:rsidRDefault="00EB6063" w:rsidP="00EB6063">
      <w:pPr>
        <w:pStyle w:val="Nadpis1"/>
        <w:rPr>
          <w:sz w:val="20"/>
          <w:szCs w:val="20"/>
          <w:lang w:val="en-GB"/>
        </w:rPr>
      </w:pPr>
      <w:bookmarkStart w:id="13" w:name="_Toc454185153"/>
    </w:p>
    <w:p w:rsidR="00EB6063" w:rsidRDefault="00EB6063" w:rsidP="00EB6063">
      <w:pPr>
        <w:rPr>
          <w:lang w:val="en-GB"/>
        </w:rPr>
      </w:pPr>
    </w:p>
    <w:p w:rsidR="00EB6063" w:rsidRDefault="00EB6063" w:rsidP="00EB6063">
      <w:pPr>
        <w:rPr>
          <w:lang w:val="en-GB"/>
        </w:rPr>
      </w:pPr>
    </w:p>
    <w:p w:rsidR="00EB6063" w:rsidRDefault="00EB6063" w:rsidP="00EB6063">
      <w:pPr>
        <w:rPr>
          <w:lang w:val="en-GB"/>
        </w:rPr>
      </w:pPr>
    </w:p>
    <w:p w:rsidR="00EB6063" w:rsidRDefault="00EB6063" w:rsidP="00EB6063">
      <w:pPr>
        <w:rPr>
          <w:lang w:val="en-GB"/>
        </w:rPr>
      </w:pPr>
    </w:p>
    <w:p w:rsidR="00EB6063" w:rsidRDefault="00930CFB" w:rsidP="00EB6063">
      <w:pPr>
        <w:pStyle w:val="Nadpis1"/>
        <w:numPr>
          <w:ilvl w:val="0"/>
          <w:numId w:val="20"/>
        </w:numPr>
        <w:rPr>
          <w:lang w:val="en-GB"/>
        </w:rPr>
      </w:pPr>
      <w:bookmarkStart w:id="14" w:name="_Toc480800276"/>
      <w:r w:rsidRPr="00CB09D5">
        <w:rPr>
          <w:lang w:val="en-GB"/>
        </w:rPr>
        <w:lastRenderedPageBreak/>
        <w:t>Labour Market</w:t>
      </w:r>
      <w:bookmarkEnd w:id="13"/>
      <w:bookmarkEnd w:id="14"/>
    </w:p>
    <w:tbl>
      <w:tblPr>
        <w:tblW w:w="4986" w:type="pct"/>
        <w:tblLayout w:type="fixed"/>
        <w:tblCellMar>
          <w:left w:w="28" w:type="dxa"/>
          <w:right w:w="28" w:type="dxa"/>
        </w:tblCellMar>
        <w:tblLook w:val="04A0"/>
      </w:tblPr>
      <w:tblGrid>
        <w:gridCol w:w="2043"/>
        <w:gridCol w:w="275"/>
        <w:gridCol w:w="7349"/>
      </w:tblGrid>
      <w:tr w:rsidR="00E90D67" w:rsidRPr="00CB09D5" w:rsidTr="008A03DE">
        <w:tc>
          <w:tcPr>
            <w:tcW w:w="1057" w:type="pct"/>
          </w:tcPr>
          <w:p w:rsidR="00E90D67" w:rsidRPr="00CB09D5" w:rsidRDefault="00C20100"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Properly anchored economic growth further improved the situation on the labour </w:t>
            </w:r>
            <w:proofErr w:type="gramStart"/>
            <w:r w:rsidRPr="00CB09D5">
              <w:rPr>
                <w:rFonts w:cs="Arial"/>
                <w:bCs/>
                <w:iCs/>
                <w:color w:val="0D0D0D"/>
                <w:sz w:val="16"/>
                <w:szCs w:val="16"/>
                <w:lang w:val="en-GB"/>
              </w:rPr>
              <w:t>market,</w:t>
            </w:r>
            <w:proofErr w:type="gramEnd"/>
            <w:r w:rsidRPr="00CB09D5">
              <w:rPr>
                <w:rFonts w:cs="Arial"/>
                <w:bCs/>
                <w:iCs/>
                <w:color w:val="0D0D0D"/>
                <w:sz w:val="16"/>
                <w:szCs w:val="16"/>
                <w:lang w:val="en-GB"/>
              </w:rPr>
              <w:t xml:space="preserve"> the year-on-year growth of employment was highest since </w:t>
            </w:r>
            <w:r w:rsidR="003B5E14" w:rsidRPr="00CB09D5">
              <w:rPr>
                <w:rFonts w:cs="Arial"/>
                <w:bCs/>
                <w:iCs/>
                <w:color w:val="0D0D0D"/>
                <w:sz w:val="16"/>
                <w:szCs w:val="16"/>
                <w:lang w:val="en-GB"/>
              </w:rPr>
              <w:t xml:space="preserve">the </w:t>
            </w:r>
            <w:r w:rsidRPr="00CB09D5">
              <w:rPr>
                <w:rFonts w:cs="Arial"/>
                <w:bCs/>
                <w:iCs/>
                <w:color w:val="0D0D0D"/>
                <w:sz w:val="16"/>
                <w:szCs w:val="16"/>
                <w:lang w:val="en-GB"/>
              </w:rPr>
              <w:t>year 2008 last year</w:t>
            </w:r>
            <w:r w:rsidR="00E90D67" w:rsidRPr="00CB09D5">
              <w:rPr>
                <w:rFonts w:cs="Arial"/>
                <w:bCs/>
                <w:iCs/>
                <w:color w:val="0D0D0D"/>
                <w:sz w:val="16"/>
                <w:szCs w:val="16"/>
                <w:lang w:val="en-GB"/>
              </w:rPr>
              <w:t>.</w:t>
            </w: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E90D67" w:rsidP="008A03DE">
            <w:pPr>
              <w:pStyle w:val="Textpoznpodarou"/>
              <w:jc w:val="both"/>
              <w:rPr>
                <w:rFonts w:cs="Arial"/>
                <w:color w:val="0D0D0D"/>
                <w:spacing w:val="-4"/>
                <w:lang w:val="en-GB"/>
              </w:rPr>
            </w:pPr>
            <w:r w:rsidRPr="00CB09D5">
              <w:rPr>
                <w:rFonts w:cs="Arial"/>
                <w:color w:val="0D0D0D"/>
                <w:spacing w:val="-4"/>
                <w:lang w:val="en-GB"/>
              </w:rPr>
              <w:t>Situa</w:t>
            </w:r>
            <w:r w:rsidR="00F8473C" w:rsidRPr="00CB09D5">
              <w:rPr>
                <w:rFonts w:cs="Arial"/>
                <w:color w:val="0D0D0D"/>
                <w:spacing w:val="-4"/>
                <w:lang w:val="en-GB"/>
              </w:rPr>
              <w:t>tion on the labour market was further improving in 2016 and it had in many respects similar features to the peak period of the past decade. Continuing economic growth generated new job positions. Total employment</w:t>
            </w:r>
            <w:r w:rsidRPr="00CB09D5">
              <w:rPr>
                <w:rStyle w:val="Znakapoznpodarou"/>
                <w:color w:val="0D0D0D"/>
                <w:spacing w:val="-4"/>
                <w:lang w:val="en-GB"/>
              </w:rPr>
              <w:footnoteReference w:id="25"/>
            </w:r>
            <w:r w:rsidRPr="00CB09D5">
              <w:rPr>
                <w:rFonts w:cs="Arial"/>
                <w:color w:val="0D0D0D"/>
                <w:spacing w:val="-4"/>
                <w:lang w:val="en-GB"/>
              </w:rPr>
              <w:t xml:space="preserve"> </w:t>
            </w:r>
            <w:r w:rsidR="00FB3D72" w:rsidRPr="00CB09D5">
              <w:rPr>
                <w:rFonts w:cs="Arial"/>
                <w:color w:val="0D0D0D"/>
                <w:spacing w:val="-4"/>
                <w:lang w:val="en-GB"/>
              </w:rPr>
              <w:t xml:space="preserve">was further </w:t>
            </w:r>
            <w:r w:rsidR="008834D6" w:rsidRPr="00CB09D5">
              <w:rPr>
                <w:rFonts w:cs="Arial"/>
                <w:color w:val="0D0D0D"/>
                <w:spacing w:val="-4"/>
                <w:lang w:val="en-GB"/>
              </w:rPr>
              <w:t>strengthening</w:t>
            </w:r>
            <w:r w:rsidR="00FB3D72" w:rsidRPr="00CB09D5">
              <w:rPr>
                <w:rFonts w:cs="Arial"/>
                <w:color w:val="0D0D0D"/>
                <w:spacing w:val="-4"/>
                <w:lang w:val="en-GB"/>
              </w:rPr>
              <w:t xml:space="preserve"> in the quarter-on-quarter expression during the year (apart from </w:t>
            </w:r>
            <w:r w:rsidR="008834D6" w:rsidRPr="00CB09D5">
              <w:rPr>
                <w:rFonts w:cs="Arial"/>
                <w:color w:val="0D0D0D"/>
                <w:spacing w:val="-4"/>
                <w:lang w:val="en-GB"/>
              </w:rPr>
              <w:t>temporary</w:t>
            </w:r>
            <w:r w:rsidR="00FB3D72" w:rsidRPr="00CB09D5">
              <w:rPr>
                <w:rFonts w:cs="Arial"/>
                <w:color w:val="0D0D0D"/>
                <w:spacing w:val="-4"/>
                <w:lang w:val="en-GB"/>
              </w:rPr>
              <w:t xml:space="preserve"> stagnation in Q3</w:t>
            </w:r>
            <w:r w:rsidRPr="00CB09D5">
              <w:rPr>
                <w:rFonts w:cs="Arial"/>
                <w:color w:val="0D0D0D"/>
                <w:spacing w:val="-4"/>
                <w:lang w:val="en-GB"/>
              </w:rPr>
              <w:t xml:space="preserve">). </w:t>
            </w:r>
            <w:r w:rsidR="00EE5A5A" w:rsidRPr="00CB09D5">
              <w:rPr>
                <w:rFonts w:cs="Arial"/>
                <w:color w:val="0D0D0D"/>
                <w:spacing w:val="-4"/>
                <w:lang w:val="en-GB"/>
              </w:rPr>
              <w:t>More persons by 1.8</w:t>
            </w:r>
            <w:r w:rsidR="008834D6" w:rsidRPr="00CB09D5">
              <w:rPr>
                <w:rFonts w:cs="Arial"/>
                <w:color w:val="0D0D0D"/>
                <w:spacing w:val="-4"/>
                <w:lang w:val="en-GB"/>
              </w:rPr>
              <w:t xml:space="preserve">% worked last year compared to </w:t>
            </w:r>
            <w:r w:rsidR="00CC44C9" w:rsidRPr="00CB09D5">
              <w:rPr>
                <w:rFonts w:cs="Arial"/>
                <w:color w:val="0D0D0D"/>
                <w:spacing w:val="-4"/>
                <w:lang w:val="en-GB"/>
              </w:rPr>
              <w:t xml:space="preserve">the </w:t>
            </w:r>
            <w:r w:rsidR="008834D6" w:rsidRPr="00CB09D5">
              <w:rPr>
                <w:rFonts w:cs="Arial"/>
                <w:color w:val="0D0D0D"/>
                <w:spacing w:val="-4"/>
                <w:lang w:val="en-GB"/>
              </w:rPr>
              <w:t xml:space="preserve">year 2015 </w:t>
            </w:r>
            <w:r w:rsidRPr="00CB09D5">
              <w:rPr>
                <w:rFonts w:cs="Arial"/>
                <w:color w:val="0D0D0D"/>
                <w:spacing w:val="-4"/>
                <w:lang w:val="en-GB"/>
              </w:rPr>
              <w:t>(</w:t>
            </w:r>
            <w:r w:rsidR="008E1FBE" w:rsidRPr="00CB09D5">
              <w:rPr>
                <w:rFonts w:cs="Arial"/>
                <w:color w:val="0D0D0D"/>
                <w:spacing w:val="-4"/>
                <w:lang w:val="en-GB"/>
              </w:rPr>
              <w:t>pace of the year-on-year growth increased for already third yea</w:t>
            </w:r>
            <w:r w:rsidR="00E2245C" w:rsidRPr="00CB09D5">
              <w:rPr>
                <w:rFonts w:cs="Arial"/>
                <w:color w:val="0D0D0D"/>
                <w:spacing w:val="-4"/>
                <w:lang w:val="en-GB"/>
              </w:rPr>
              <w:t xml:space="preserve">r in a row and was the highest since </w:t>
            </w:r>
            <w:r w:rsidRPr="00CB09D5">
              <w:rPr>
                <w:rFonts w:cs="Arial"/>
                <w:color w:val="0D0D0D"/>
                <w:spacing w:val="-4"/>
                <w:lang w:val="en-GB"/>
              </w:rPr>
              <w:t xml:space="preserve">2008). </w:t>
            </w:r>
            <w:r w:rsidR="004010ED" w:rsidRPr="00CB09D5">
              <w:rPr>
                <w:rFonts w:cs="Arial"/>
                <w:color w:val="0D0D0D"/>
                <w:spacing w:val="-4"/>
                <w:lang w:val="en-GB"/>
              </w:rPr>
              <w:t xml:space="preserve">Even though the number of workers crossed the boundary </w:t>
            </w:r>
            <w:proofErr w:type="gramStart"/>
            <w:r w:rsidR="004010ED" w:rsidRPr="00CB09D5">
              <w:rPr>
                <w:rFonts w:cs="Arial"/>
                <w:color w:val="0D0D0D"/>
                <w:spacing w:val="-4"/>
                <w:lang w:val="en-GB"/>
              </w:rPr>
              <w:t>of 5.3 mil</w:t>
            </w:r>
            <w:proofErr w:type="gramEnd"/>
            <w:r w:rsidR="004010ED" w:rsidRPr="00CB09D5">
              <w:rPr>
                <w:rFonts w:cs="Arial"/>
                <w:color w:val="0D0D0D"/>
                <w:spacing w:val="-4"/>
                <w:lang w:val="en-GB"/>
              </w:rPr>
              <w:t xml:space="preserve"> for the first time in the history of the Czech Republic towards the end of the last year, the share of businesses, that considered the lack of labour force as an important barrier to their growth, also markedly rose at the same time. The businesses tried to cover the needed labour force by hiring foreign workers (mainly from the economically less developed EU countries), engaging growing number of prisoners or groups of economically inactive </w:t>
            </w:r>
            <w:r w:rsidR="00A25F1A" w:rsidRPr="00CB09D5">
              <w:rPr>
                <w:rFonts w:cs="Arial"/>
                <w:color w:val="0D0D0D"/>
                <w:spacing w:val="-4"/>
                <w:lang w:val="en-GB"/>
              </w:rPr>
              <w:t xml:space="preserve">persons </w:t>
            </w:r>
            <w:r w:rsidR="004010ED" w:rsidRPr="00CB09D5">
              <w:rPr>
                <w:rFonts w:cs="Arial"/>
                <w:color w:val="0D0D0D"/>
                <w:spacing w:val="-4"/>
                <w:lang w:val="en-GB"/>
              </w:rPr>
              <w:t xml:space="preserve">capable of work. </w:t>
            </w:r>
          </w:p>
          <w:p w:rsidR="00E90D67" w:rsidRPr="00CB09D5" w:rsidRDefault="00BE264F" w:rsidP="008A03DE">
            <w:pPr>
              <w:pStyle w:val="Textpoznpodarou"/>
              <w:jc w:val="both"/>
              <w:rPr>
                <w:rFonts w:cs="Arial"/>
                <w:color w:val="0D0D0D"/>
                <w:sz w:val="14"/>
                <w:szCs w:val="14"/>
                <w:lang w:val="en-GB"/>
              </w:rPr>
            </w:pPr>
            <w:r w:rsidRPr="00CB09D5">
              <w:rPr>
                <w:rFonts w:cs="Arial"/>
                <w:color w:val="0D0D0D"/>
                <w:sz w:val="14"/>
                <w:szCs w:val="14"/>
                <w:lang w:val="en-GB"/>
              </w:rPr>
              <w:t>.</w:t>
            </w:r>
          </w:p>
        </w:tc>
      </w:tr>
      <w:tr w:rsidR="00E90D67" w:rsidRPr="00CB09D5" w:rsidTr="008A03DE">
        <w:tc>
          <w:tcPr>
            <w:tcW w:w="1057" w:type="pct"/>
          </w:tcPr>
          <w:p w:rsidR="00E90D67" w:rsidRPr="00CB09D5" w:rsidRDefault="00BE264F"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 xml:space="preserve">Employment rate </w:t>
            </w:r>
            <w:r w:rsidR="00EE5A5A" w:rsidRPr="00CB09D5">
              <w:rPr>
                <w:rFonts w:cs="Arial"/>
                <w:bCs/>
                <w:iCs/>
                <w:color w:val="0D0D0D"/>
                <w:spacing w:val="-4"/>
                <w:sz w:val="16"/>
                <w:szCs w:val="16"/>
                <w:lang w:val="en-GB"/>
              </w:rPr>
              <w:t>(77</w:t>
            </w:r>
            <w:r w:rsidR="00D177E9">
              <w:rPr>
                <w:rFonts w:cs="Arial"/>
                <w:bCs/>
                <w:iCs/>
                <w:color w:val="0D0D0D"/>
                <w:spacing w:val="-4"/>
                <w:sz w:val="16"/>
                <w:szCs w:val="16"/>
                <w:lang w:val="en-GB"/>
              </w:rPr>
              <w:t>.0</w:t>
            </w:r>
            <w:r w:rsidR="00E90D67" w:rsidRPr="00CB09D5">
              <w:rPr>
                <w:rFonts w:cs="Arial"/>
                <w:bCs/>
                <w:iCs/>
                <w:color w:val="0D0D0D"/>
                <w:spacing w:val="-4"/>
                <w:sz w:val="16"/>
                <w:szCs w:val="16"/>
                <w:lang w:val="en-GB"/>
              </w:rPr>
              <w:t xml:space="preserve">%), </w:t>
            </w:r>
            <w:r w:rsidR="005F76F8" w:rsidRPr="00CB09D5">
              <w:rPr>
                <w:rFonts w:cs="Arial"/>
                <w:bCs/>
                <w:iCs/>
                <w:color w:val="0D0D0D"/>
                <w:spacing w:val="-4"/>
                <w:sz w:val="16"/>
                <w:szCs w:val="16"/>
                <w:lang w:val="en-GB"/>
              </w:rPr>
              <w:t xml:space="preserve">but also its differences between males and females in the CR </w:t>
            </w:r>
            <w:r w:rsidR="00423C04" w:rsidRPr="00CB09D5">
              <w:rPr>
                <w:rFonts w:cs="Arial"/>
                <w:bCs/>
                <w:iCs/>
                <w:color w:val="0D0D0D"/>
                <w:spacing w:val="-4"/>
                <w:sz w:val="16"/>
                <w:szCs w:val="16"/>
                <w:lang w:val="en-GB"/>
              </w:rPr>
              <w:t>(16</w:t>
            </w:r>
            <w:r w:rsidR="005F76F8" w:rsidRPr="00CB09D5">
              <w:rPr>
                <w:rFonts w:cs="Arial"/>
                <w:bCs/>
                <w:iCs/>
                <w:color w:val="0D0D0D"/>
                <w:spacing w:val="-4"/>
                <w:sz w:val="16"/>
                <w:szCs w:val="16"/>
                <w:lang w:val="en-GB"/>
              </w:rPr>
              <w:t>.</w:t>
            </w:r>
            <w:r w:rsidR="00423C04" w:rsidRPr="00CB09D5">
              <w:rPr>
                <w:rFonts w:cs="Arial"/>
                <w:bCs/>
                <w:iCs/>
                <w:color w:val="0D0D0D"/>
                <w:spacing w:val="-4"/>
                <w:sz w:val="16"/>
                <w:szCs w:val="16"/>
                <w:lang w:val="en-GB"/>
              </w:rPr>
              <w:t>3 p.</w:t>
            </w:r>
            <w:r w:rsidR="005F76F8" w:rsidRPr="00CB09D5">
              <w:rPr>
                <w:rFonts w:cs="Arial"/>
                <w:bCs/>
                <w:iCs/>
                <w:color w:val="0D0D0D"/>
                <w:spacing w:val="-4"/>
                <w:sz w:val="16"/>
                <w:szCs w:val="16"/>
                <w:lang w:val="en-GB"/>
              </w:rPr>
              <w:t>p</w:t>
            </w:r>
            <w:r w:rsidR="00423C04" w:rsidRPr="00CB09D5">
              <w:rPr>
                <w:rFonts w:cs="Arial"/>
                <w:bCs/>
                <w:iCs/>
                <w:color w:val="0D0D0D"/>
                <w:spacing w:val="-4"/>
                <w:sz w:val="16"/>
                <w:szCs w:val="16"/>
                <w:lang w:val="en-GB"/>
              </w:rPr>
              <w:t xml:space="preserve">.) </w:t>
            </w:r>
            <w:r w:rsidR="005F76F8" w:rsidRPr="00CB09D5">
              <w:rPr>
                <w:rFonts w:cs="Arial"/>
                <w:bCs/>
                <w:iCs/>
                <w:color w:val="0D0D0D"/>
                <w:spacing w:val="-4"/>
                <w:sz w:val="16"/>
                <w:szCs w:val="16"/>
                <w:lang w:val="en-GB"/>
              </w:rPr>
              <w:t>belonged to the highest among the Union countries</w:t>
            </w:r>
            <w:r w:rsidR="00E90D67" w:rsidRPr="00CB09D5">
              <w:rPr>
                <w:rFonts w:cs="Arial"/>
                <w:bCs/>
                <w:iCs/>
                <w:color w:val="0D0D0D"/>
                <w:spacing w:val="-4"/>
                <w:sz w:val="16"/>
                <w:szCs w:val="16"/>
                <w:lang w:val="en-GB"/>
              </w:rPr>
              <w:t>.</w:t>
            </w:r>
          </w:p>
          <w:p w:rsidR="00E90D67" w:rsidRPr="00CB09D5" w:rsidRDefault="00E90D67" w:rsidP="008A03DE">
            <w:pPr>
              <w:spacing w:line="240" w:lineRule="auto"/>
              <w:rPr>
                <w:rFonts w:cs="Arial"/>
                <w:bCs/>
                <w:iCs/>
                <w:color w:val="0D0D0D"/>
                <w:sz w:val="16"/>
                <w:szCs w:val="16"/>
                <w:lang w:val="en-GB"/>
              </w:rPr>
            </w:pP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BE264F" w:rsidP="008A03DE">
            <w:pPr>
              <w:pStyle w:val="Textpoznpodarou"/>
              <w:jc w:val="both"/>
              <w:rPr>
                <w:rFonts w:cs="Arial"/>
                <w:color w:val="0D0D0D"/>
                <w:sz w:val="14"/>
                <w:szCs w:val="14"/>
                <w:lang w:val="en-GB"/>
              </w:rPr>
            </w:pPr>
            <w:r w:rsidRPr="00CB09D5">
              <w:rPr>
                <w:rFonts w:cs="Arial"/>
                <w:color w:val="0D0D0D"/>
                <w:spacing w:val="-4"/>
                <w:lang w:val="en-GB"/>
              </w:rPr>
              <w:t xml:space="preserve">Employment rate </w:t>
            </w:r>
            <w:r w:rsidR="00261A0F" w:rsidRPr="00CB09D5">
              <w:rPr>
                <w:rFonts w:cs="Arial"/>
                <w:color w:val="0D0D0D"/>
                <w:spacing w:val="-4"/>
                <w:lang w:val="en-GB"/>
              </w:rPr>
              <w:t>(</w:t>
            </w:r>
            <w:r w:rsidRPr="00CB09D5">
              <w:rPr>
                <w:rFonts w:cs="Arial"/>
                <w:color w:val="0D0D0D"/>
                <w:spacing w:val="-4"/>
                <w:lang w:val="en-GB"/>
              </w:rPr>
              <w:t xml:space="preserve">persons aged </w:t>
            </w:r>
            <w:r w:rsidR="00261A0F" w:rsidRPr="00CB09D5">
              <w:rPr>
                <w:rFonts w:cs="Arial"/>
                <w:color w:val="0D0D0D"/>
                <w:spacing w:val="-4"/>
                <w:lang w:val="en-GB"/>
              </w:rPr>
              <w:t>20</w:t>
            </w:r>
            <w:r w:rsidR="00261A0F" w:rsidRPr="00CB09D5">
              <w:rPr>
                <w:rFonts w:cs="Arial"/>
                <w:color w:val="0D0D0D" w:themeColor="text1" w:themeTint="F2"/>
                <w:spacing w:val="-4"/>
                <w:lang w:val="en-GB"/>
              </w:rPr>
              <w:t>–</w:t>
            </w:r>
            <w:r w:rsidR="00E90D67" w:rsidRPr="00CB09D5">
              <w:rPr>
                <w:rFonts w:cs="Arial"/>
                <w:color w:val="0D0D0D"/>
                <w:spacing w:val="-4"/>
                <w:lang w:val="en-GB"/>
              </w:rPr>
              <w:t xml:space="preserve">64) </w:t>
            </w:r>
            <w:r w:rsidR="00EE5A5A" w:rsidRPr="00CB09D5">
              <w:rPr>
                <w:rFonts w:cs="Arial"/>
                <w:color w:val="0D0D0D"/>
                <w:spacing w:val="-4"/>
                <w:lang w:val="en-GB"/>
              </w:rPr>
              <w:t>was according to the LFSS 77</w:t>
            </w:r>
            <w:r w:rsidR="00D177E9">
              <w:rPr>
                <w:rFonts w:cs="Arial"/>
                <w:color w:val="0D0D0D"/>
                <w:spacing w:val="-4"/>
                <w:lang w:val="en-GB"/>
              </w:rPr>
              <w:t>.0</w:t>
            </w:r>
            <w:r w:rsidR="003843F5" w:rsidRPr="00CB09D5">
              <w:rPr>
                <w:rFonts w:cs="Arial"/>
                <w:color w:val="0D0D0D"/>
                <w:spacing w:val="-4"/>
                <w:lang w:val="en-GB"/>
              </w:rPr>
              <w:t xml:space="preserve">% in the CR in Q3 2016 </w:t>
            </w:r>
            <w:r w:rsidR="00E90D67" w:rsidRPr="00CB09D5">
              <w:rPr>
                <w:rFonts w:cs="Arial"/>
                <w:color w:val="0D0D0D"/>
                <w:spacing w:val="-4"/>
                <w:lang w:val="en-GB"/>
              </w:rPr>
              <w:t>(</w:t>
            </w:r>
            <w:r w:rsidRPr="00CB09D5">
              <w:rPr>
                <w:rFonts w:cs="Arial"/>
                <w:color w:val="0D0D0D"/>
                <w:spacing w:val="-4"/>
                <w:lang w:val="en-GB"/>
              </w:rPr>
              <w:t xml:space="preserve">it increased by </w:t>
            </w:r>
            <w:r w:rsidR="00E90D67" w:rsidRPr="00CB09D5">
              <w:rPr>
                <w:rFonts w:cs="Arial"/>
                <w:color w:val="0D0D0D"/>
                <w:spacing w:val="-4"/>
                <w:lang w:val="en-GB"/>
              </w:rPr>
              <w:t>1</w:t>
            </w:r>
            <w:r w:rsidRPr="00CB09D5">
              <w:rPr>
                <w:rFonts w:cs="Arial"/>
                <w:color w:val="0D0D0D"/>
                <w:spacing w:val="-4"/>
                <w:lang w:val="en-GB"/>
              </w:rPr>
              <w:t>.</w:t>
            </w:r>
            <w:r w:rsidR="00E90D67" w:rsidRPr="00CB09D5">
              <w:rPr>
                <w:rFonts w:cs="Arial"/>
                <w:color w:val="0D0D0D"/>
                <w:spacing w:val="-4"/>
                <w:lang w:val="en-GB"/>
              </w:rPr>
              <w:t>9 p.</w:t>
            </w:r>
            <w:r w:rsidRPr="00CB09D5">
              <w:rPr>
                <w:rFonts w:cs="Arial"/>
                <w:color w:val="0D0D0D"/>
                <w:spacing w:val="-4"/>
                <w:lang w:val="en-GB"/>
              </w:rPr>
              <w:t>p</w:t>
            </w:r>
            <w:r w:rsidR="00E90D67" w:rsidRPr="00CB09D5">
              <w:rPr>
                <w:rFonts w:cs="Arial"/>
                <w:color w:val="0D0D0D"/>
                <w:spacing w:val="-4"/>
                <w:lang w:val="en-GB"/>
              </w:rPr>
              <w:t>.</w:t>
            </w:r>
            <w:r w:rsidRPr="00CB09D5">
              <w:rPr>
                <w:rFonts w:cs="Arial"/>
                <w:color w:val="0D0D0D"/>
                <w:spacing w:val="-4"/>
                <w:lang w:val="en-GB"/>
              </w:rPr>
              <w:t xml:space="preserve"> year-on-year, by nearly double pace compared to the EU</w:t>
            </w:r>
            <w:r w:rsidR="003676C4" w:rsidRPr="00CB09D5">
              <w:rPr>
                <w:rFonts w:cs="Arial"/>
                <w:color w:val="0D0D0D"/>
                <w:spacing w:val="-4"/>
                <w:lang w:val="en-GB"/>
              </w:rPr>
              <w:t>)</w:t>
            </w:r>
            <w:r w:rsidR="00E90D67" w:rsidRPr="00CB09D5">
              <w:rPr>
                <w:rFonts w:cs="Arial"/>
                <w:color w:val="0D0D0D"/>
                <w:spacing w:val="-4"/>
                <w:lang w:val="en-GB"/>
              </w:rPr>
              <w:t xml:space="preserve">. </w:t>
            </w:r>
            <w:r w:rsidR="003676C4" w:rsidRPr="00CB09D5">
              <w:rPr>
                <w:rFonts w:cs="Arial"/>
                <w:color w:val="0D0D0D"/>
                <w:spacing w:val="-4"/>
                <w:lang w:val="en-GB"/>
              </w:rPr>
              <w:t xml:space="preserve">While the employment rate of males came to </w:t>
            </w:r>
            <w:r w:rsidR="00EE5A5A" w:rsidRPr="00CB09D5">
              <w:rPr>
                <w:rFonts w:cs="Arial"/>
                <w:color w:val="0D0D0D"/>
                <w:spacing w:val="-4"/>
                <w:lang w:val="en-GB"/>
              </w:rPr>
              <w:t>85</w:t>
            </w:r>
            <w:r w:rsidR="00D177E9">
              <w:rPr>
                <w:rFonts w:cs="Arial"/>
                <w:color w:val="0D0D0D"/>
                <w:spacing w:val="-4"/>
                <w:lang w:val="en-GB"/>
              </w:rPr>
              <w:t>.0</w:t>
            </w:r>
            <w:r w:rsidR="00E90D67" w:rsidRPr="00CB09D5">
              <w:rPr>
                <w:rFonts w:cs="Arial"/>
                <w:color w:val="0D0D0D"/>
                <w:spacing w:val="-4"/>
                <w:lang w:val="en-GB"/>
              </w:rPr>
              <w:t>% (a</w:t>
            </w:r>
            <w:r w:rsidR="003676C4" w:rsidRPr="00CB09D5">
              <w:rPr>
                <w:rFonts w:cs="Arial"/>
                <w:color w:val="0D0D0D"/>
                <w:spacing w:val="-4"/>
                <w:lang w:val="en-GB"/>
              </w:rPr>
              <w:t>nd was the highest among the Union states already eighth quarter in a row</w:t>
            </w:r>
            <w:r w:rsidR="00E90D67" w:rsidRPr="00CB09D5">
              <w:rPr>
                <w:rFonts w:cs="Arial"/>
                <w:color w:val="0D0D0D"/>
                <w:spacing w:val="-4"/>
                <w:lang w:val="en-GB"/>
              </w:rPr>
              <w:t xml:space="preserve">), </w:t>
            </w:r>
            <w:r w:rsidR="003843F5" w:rsidRPr="00CB09D5">
              <w:rPr>
                <w:rFonts w:cs="Arial"/>
                <w:color w:val="0D0D0D"/>
                <w:spacing w:val="-4"/>
                <w:lang w:val="en-GB"/>
              </w:rPr>
              <w:t xml:space="preserve">for females it was </w:t>
            </w:r>
            <w:r w:rsidR="006A5BA8" w:rsidRPr="00CB09D5">
              <w:rPr>
                <w:rFonts w:cs="Arial"/>
                <w:color w:val="0D0D0D"/>
                <w:spacing w:val="-4"/>
                <w:lang w:val="en-GB"/>
              </w:rPr>
              <w:t>“</w:t>
            </w:r>
            <w:r w:rsidR="004010ED" w:rsidRPr="00CB09D5">
              <w:rPr>
                <w:rFonts w:cs="Arial"/>
                <w:color w:val="0D0D0D"/>
                <w:spacing w:val="-4"/>
                <w:lang w:val="en-GB"/>
              </w:rPr>
              <w:t>only</w:t>
            </w:r>
            <w:r w:rsidR="006A5BA8" w:rsidRPr="00CB09D5">
              <w:rPr>
                <w:rFonts w:cs="Arial"/>
                <w:color w:val="0D0D0D"/>
                <w:spacing w:val="-4"/>
                <w:lang w:val="en-GB"/>
              </w:rPr>
              <w:t>”</w:t>
            </w:r>
            <w:r w:rsidR="004010ED" w:rsidRPr="00CB09D5">
              <w:rPr>
                <w:rFonts w:cs="Arial"/>
                <w:color w:val="0D0D0D"/>
                <w:spacing w:val="-4"/>
                <w:lang w:val="en-GB"/>
              </w:rPr>
              <w:t xml:space="preserve"> 68.7</w:t>
            </w:r>
            <w:r w:rsidR="00E90D67" w:rsidRPr="00CB09D5">
              <w:rPr>
                <w:rFonts w:cs="Arial"/>
                <w:color w:val="0D0D0D"/>
                <w:spacing w:val="-4"/>
                <w:lang w:val="en-GB"/>
              </w:rPr>
              <w:t>% (</w:t>
            </w:r>
            <w:r w:rsidR="003C7A95" w:rsidRPr="00CB09D5">
              <w:rPr>
                <w:rFonts w:cs="Arial"/>
                <w:color w:val="0D0D0D"/>
                <w:spacing w:val="-4"/>
                <w:lang w:val="en-GB"/>
              </w:rPr>
              <w:t>the Czech Republic</w:t>
            </w:r>
            <w:r w:rsidR="00D177E9">
              <w:rPr>
                <w:rFonts w:cs="Arial"/>
                <w:color w:val="0D0D0D"/>
                <w:spacing w:val="-4"/>
                <w:lang w:val="en-GB"/>
              </w:rPr>
              <w:t xml:space="preserve"> was</w:t>
            </w:r>
            <w:r w:rsidR="003C7A95" w:rsidRPr="00CB09D5">
              <w:rPr>
                <w:rFonts w:cs="Arial"/>
                <w:color w:val="0D0D0D"/>
                <w:spacing w:val="-4"/>
                <w:lang w:val="en-GB"/>
              </w:rPr>
              <w:t xml:space="preserve"> “pushed” out of the first ten of Union countries not only </w:t>
            </w:r>
            <w:r w:rsidR="00D177E9">
              <w:rPr>
                <w:rFonts w:cs="Arial"/>
                <w:color w:val="0D0D0D"/>
                <w:spacing w:val="-4"/>
                <w:lang w:val="en-GB"/>
              </w:rPr>
              <w:t xml:space="preserve">by </w:t>
            </w:r>
            <w:r w:rsidR="003C7A95" w:rsidRPr="00CB09D5">
              <w:rPr>
                <w:rFonts w:cs="Arial"/>
                <w:color w:val="0D0D0D"/>
                <w:spacing w:val="-4"/>
                <w:lang w:val="en-GB"/>
              </w:rPr>
              <w:t xml:space="preserve">the Nordic states, Germany, Austria, but also </w:t>
            </w:r>
            <w:r w:rsidR="00D177E9">
              <w:rPr>
                <w:rFonts w:cs="Arial"/>
                <w:color w:val="0D0D0D"/>
                <w:spacing w:val="-4"/>
                <w:lang w:val="en-GB"/>
              </w:rPr>
              <w:t xml:space="preserve">by </w:t>
            </w:r>
            <w:r w:rsidR="003C7A95" w:rsidRPr="00CB09D5">
              <w:rPr>
                <w:rFonts w:cs="Arial"/>
                <w:color w:val="0D0D0D"/>
                <w:spacing w:val="-4"/>
                <w:lang w:val="en-GB"/>
              </w:rPr>
              <w:t>the Baltic states</w:t>
            </w:r>
            <w:r w:rsidR="00E90D67" w:rsidRPr="00CB09D5">
              <w:rPr>
                <w:rFonts w:cs="Arial"/>
                <w:color w:val="0D0D0D"/>
                <w:spacing w:val="-4"/>
                <w:lang w:val="en-GB"/>
              </w:rPr>
              <w:t>).</w:t>
            </w:r>
          </w:p>
          <w:p w:rsidR="00E90D67" w:rsidRPr="00CB09D5" w:rsidRDefault="00E90D67" w:rsidP="008A03DE">
            <w:pPr>
              <w:pStyle w:val="Textpoznpodarou"/>
              <w:jc w:val="both"/>
              <w:rPr>
                <w:rFonts w:cs="Arial"/>
                <w:color w:val="0D0D0D"/>
                <w:sz w:val="14"/>
                <w:szCs w:val="14"/>
                <w:lang w:val="en-GB"/>
              </w:rPr>
            </w:pPr>
          </w:p>
        </w:tc>
      </w:tr>
      <w:tr w:rsidR="00E90D67" w:rsidRPr="00CB09D5" w:rsidTr="008A03DE">
        <w:tc>
          <w:tcPr>
            <w:tcW w:w="1057" w:type="pct"/>
          </w:tcPr>
          <w:p w:rsidR="00E90D67" w:rsidRPr="00CB09D5" w:rsidRDefault="00DC18B6"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Manufacturing contributed the most to the year-on-year growth of the total employment already third year in a row, services however also helped noticeably in the last year. </w:t>
            </w: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E90D67" w:rsidP="008A03DE">
            <w:pPr>
              <w:spacing w:line="240" w:lineRule="auto"/>
              <w:rPr>
                <w:rFonts w:cs="Arial"/>
                <w:bCs/>
                <w:iCs/>
                <w:color w:val="0D0D0D"/>
                <w:sz w:val="16"/>
                <w:szCs w:val="16"/>
                <w:lang w:val="en-GB"/>
              </w:rPr>
            </w:pPr>
          </w:p>
          <w:p w:rsidR="00E90D67" w:rsidRPr="00CB09D5" w:rsidRDefault="00DC18B6"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Long term adverse development of employment persisted in construction and non-manufacturing industrial activities. </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2012FC" w:rsidP="008A03DE">
            <w:pPr>
              <w:pStyle w:val="Textpoznpodarou"/>
              <w:jc w:val="both"/>
              <w:rPr>
                <w:rFonts w:cs="Arial"/>
                <w:color w:val="0D0D0D"/>
                <w:spacing w:val="-2"/>
                <w:lang w:val="en-GB"/>
              </w:rPr>
            </w:pPr>
            <w:r w:rsidRPr="00CB09D5">
              <w:rPr>
                <w:rFonts w:cs="Arial"/>
                <w:color w:val="0D0D0D"/>
                <w:spacing w:val="-2"/>
                <w:lang w:val="en-GB"/>
              </w:rPr>
              <w:t>Both em</w:t>
            </w:r>
            <w:r w:rsidR="00EE5A5A" w:rsidRPr="00CB09D5">
              <w:rPr>
                <w:rFonts w:cs="Arial"/>
                <w:color w:val="0D0D0D"/>
                <w:spacing w:val="-2"/>
                <w:lang w:val="en-GB"/>
              </w:rPr>
              <w:t>ployees (with the growth of 1.9</w:t>
            </w:r>
            <w:r w:rsidRPr="00CB09D5">
              <w:rPr>
                <w:rFonts w:cs="Arial"/>
                <w:color w:val="0D0D0D"/>
                <w:spacing w:val="-2"/>
                <w:lang w:val="en-GB"/>
              </w:rPr>
              <w:t>%) and self-emplo</w:t>
            </w:r>
            <w:r w:rsidR="00EE5A5A" w:rsidRPr="00CB09D5">
              <w:rPr>
                <w:rFonts w:cs="Arial"/>
                <w:color w:val="0D0D0D"/>
                <w:spacing w:val="-2"/>
                <w:lang w:val="en-GB"/>
              </w:rPr>
              <w:t>yed (whose levels expanded by 1</w:t>
            </w:r>
            <w:r w:rsidRPr="00CB09D5">
              <w:rPr>
                <w:rFonts w:cs="Arial"/>
                <w:color w:val="0D0D0D"/>
                <w:spacing w:val="-2"/>
                <w:lang w:val="en-GB"/>
              </w:rPr>
              <w:t>% year-on-year, mainly due to the more favourable development in H2)</w:t>
            </w:r>
            <w:r w:rsidR="00E90D67" w:rsidRPr="00CB09D5">
              <w:rPr>
                <w:rStyle w:val="Znakapoznpodarou"/>
                <w:color w:val="0D0D0D"/>
                <w:spacing w:val="-2"/>
                <w:lang w:val="en-GB"/>
              </w:rPr>
              <w:footnoteReference w:id="26"/>
            </w:r>
            <w:r w:rsidRPr="00CB09D5">
              <w:rPr>
                <w:rFonts w:cs="Arial"/>
                <w:color w:val="0D0D0D"/>
                <w:spacing w:val="-2"/>
                <w:lang w:val="en-GB"/>
              </w:rPr>
              <w:t xml:space="preserve"> participated on the last year’s increase of number of workers in the economy for the first time since 2007 last year. From the view of branches, manufacturing added the most to the growth of total </w:t>
            </w:r>
            <w:r w:rsidR="00885891" w:rsidRPr="00CB09D5">
              <w:rPr>
                <w:rFonts w:cs="Arial"/>
                <w:color w:val="0D0D0D"/>
                <w:spacing w:val="-2"/>
                <w:lang w:val="en-GB"/>
              </w:rPr>
              <w:t>employment</w:t>
            </w:r>
            <w:r w:rsidRPr="00CB09D5">
              <w:rPr>
                <w:rFonts w:cs="Arial"/>
                <w:color w:val="0D0D0D"/>
                <w:spacing w:val="-2"/>
                <w:lang w:val="en-GB"/>
              </w:rPr>
              <w:t xml:space="preserve"> already third year in a row</w:t>
            </w:r>
            <w:r w:rsidR="00B34CCE" w:rsidRPr="00CB09D5">
              <w:rPr>
                <w:rFonts w:cs="Arial"/>
                <w:color w:val="0D0D0D"/>
                <w:spacing w:val="-2"/>
                <w:lang w:val="en-GB"/>
              </w:rPr>
              <w:t xml:space="preserve"> </w:t>
            </w:r>
            <w:r w:rsidR="00D6126B" w:rsidRPr="00CB09D5">
              <w:rPr>
                <w:rFonts w:cs="Arial"/>
                <w:color w:val="0D0D0D"/>
                <w:spacing w:val="-2"/>
                <w:lang w:val="en-GB"/>
              </w:rPr>
              <w:t xml:space="preserve">absorbed </w:t>
            </w:r>
            <w:r w:rsidR="00444983" w:rsidRPr="00CB09D5">
              <w:rPr>
                <w:rFonts w:cs="Arial"/>
                <w:color w:val="0D0D0D"/>
                <w:spacing w:val="-2"/>
                <w:lang w:val="en-GB"/>
              </w:rPr>
              <w:t xml:space="preserve">by 40 thousand workers more compared to </w:t>
            </w:r>
            <w:r w:rsidR="00CC44C9" w:rsidRPr="00CB09D5">
              <w:rPr>
                <w:rFonts w:cs="Arial"/>
                <w:color w:val="0D0D0D"/>
                <w:spacing w:val="-2"/>
                <w:lang w:val="en-GB"/>
              </w:rPr>
              <w:t xml:space="preserve">the </w:t>
            </w:r>
            <w:r w:rsidR="00444983" w:rsidRPr="00CB09D5">
              <w:rPr>
                <w:rFonts w:cs="Arial"/>
                <w:color w:val="0D0D0D"/>
                <w:spacing w:val="-2"/>
                <w:lang w:val="en-GB"/>
              </w:rPr>
              <w:t xml:space="preserve">year </w:t>
            </w:r>
            <w:r w:rsidR="00E90D67" w:rsidRPr="00CB09D5">
              <w:rPr>
                <w:rFonts w:cs="Arial"/>
                <w:color w:val="0D0D0D"/>
                <w:spacing w:val="-2"/>
                <w:lang w:val="en-GB"/>
              </w:rPr>
              <w:t>2015</w:t>
            </w:r>
            <w:r w:rsidR="00444983" w:rsidRPr="00CB09D5">
              <w:rPr>
                <w:rFonts w:cs="Arial"/>
                <w:color w:val="0D0D0D"/>
                <w:spacing w:val="-2"/>
                <w:lang w:val="en-GB"/>
              </w:rPr>
              <w:t xml:space="preserve"> (similarly to the preceding year). </w:t>
            </w:r>
            <w:r w:rsidR="00AC556E" w:rsidRPr="00CB09D5">
              <w:rPr>
                <w:rFonts w:cs="Arial"/>
                <w:color w:val="0D0D0D"/>
                <w:spacing w:val="-2"/>
                <w:lang w:val="en-GB"/>
              </w:rPr>
              <w:t xml:space="preserve">Among services, especially the professional, scientific, technical and administrative activities contributed </w:t>
            </w:r>
            <w:r w:rsidR="00E90D67" w:rsidRPr="00CB09D5">
              <w:rPr>
                <w:rFonts w:cs="Arial"/>
                <w:color w:val="0D0D0D"/>
                <w:spacing w:val="-2"/>
                <w:lang w:val="en-GB"/>
              </w:rPr>
              <w:t>(+19 t</w:t>
            </w:r>
            <w:r w:rsidR="00AC556E" w:rsidRPr="00CB09D5">
              <w:rPr>
                <w:rFonts w:cs="Arial"/>
                <w:color w:val="0D0D0D"/>
                <w:spacing w:val="-2"/>
                <w:lang w:val="en-GB"/>
              </w:rPr>
              <w:t>housand persons</w:t>
            </w:r>
            <w:r w:rsidR="00E90D67" w:rsidRPr="00CB09D5">
              <w:rPr>
                <w:rFonts w:cs="Arial"/>
                <w:color w:val="0D0D0D"/>
                <w:spacing w:val="-2"/>
                <w:lang w:val="en-GB"/>
              </w:rPr>
              <w:t xml:space="preserve">). </w:t>
            </w:r>
            <w:r w:rsidR="00DC5BAA" w:rsidRPr="00CB09D5">
              <w:rPr>
                <w:rFonts w:cs="Arial"/>
                <w:color w:val="0D0D0D"/>
                <w:spacing w:val="-2"/>
                <w:lang w:val="en-GB"/>
              </w:rPr>
              <w:t xml:space="preserve">Rate of growth of employment increased also in </w:t>
            </w:r>
            <w:r w:rsidR="00D177E9">
              <w:rPr>
                <w:rFonts w:cs="Arial"/>
                <w:color w:val="0D0D0D"/>
                <w:spacing w:val="-2"/>
                <w:lang w:val="en-GB"/>
              </w:rPr>
              <w:t>(</w:t>
            </w:r>
            <w:r w:rsidR="00DC5BAA" w:rsidRPr="00CB09D5">
              <w:rPr>
                <w:rFonts w:cs="Arial"/>
                <w:color w:val="0D0D0D"/>
                <w:spacing w:val="-2"/>
                <w:lang w:val="en-GB"/>
              </w:rPr>
              <w:t>the group dominant by weight</w:t>
            </w:r>
            <w:r w:rsidR="00D177E9">
              <w:rPr>
                <w:rFonts w:cs="Arial"/>
                <w:color w:val="0D0D0D"/>
                <w:spacing w:val="-2"/>
                <w:lang w:val="en-GB"/>
              </w:rPr>
              <w:t>)</w:t>
            </w:r>
            <w:r w:rsidR="00DC5BAA" w:rsidRPr="00CB09D5">
              <w:rPr>
                <w:rFonts w:cs="Arial"/>
                <w:color w:val="0D0D0D"/>
                <w:spacing w:val="-2"/>
                <w:lang w:val="en-GB"/>
              </w:rPr>
              <w:t xml:space="preserve"> trade, transportation, accommodation and restaurants, as well as in information and communication (where the levels of workers expanded alread</w:t>
            </w:r>
            <w:r w:rsidR="00EE5A5A" w:rsidRPr="00CB09D5">
              <w:rPr>
                <w:rFonts w:cs="Arial"/>
                <w:color w:val="0D0D0D"/>
                <w:spacing w:val="-2"/>
                <w:lang w:val="en-GB"/>
              </w:rPr>
              <w:t>y a fifth year in a row – by 15</w:t>
            </w:r>
            <w:r w:rsidR="00DC5BAA" w:rsidRPr="00CB09D5">
              <w:rPr>
                <w:rFonts w:cs="Arial"/>
                <w:color w:val="0D0D0D"/>
                <w:spacing w:val="-2"/>
                <w:lang w:val="en-GB"/>
              </w:rPr>
              <w:t xml:space="preserve">% in total). </w:t>
            </w:r>
            <w:r w:rsidR="00EE5A5A" w:rsidRPr="00CB09D5">
              <w:rPr>
                <w:rFonts w:cs="Arial"/>
                <w:color w:val="0D0D0D"/>
                <w:spacing w:val="-2"/>
                <w:lang w:val="en-GB"/>
              </w:rPr>
              <w:t>Last year’s 0.7</w:t>
            </w:r>
            <w:r w:rsidR="007268D0" w:rsidRPr="00CB09D5">
              <w:rPr>
                <w:rFonts w:cs="Arial"/>
                <w:color w:val="0D0D0D"/>
                <w:spacing w:val="-2"/>
                <w:lang w:val="en-GB"/>
              </w:rPr>
              <w:t xml:space="preserve">% growth was on the contrary the lowest after </w:t>
            </w:r>
            <w:r w:rsidR="00CC44C9" w:rsidRPr="00CB09D5">
              <w:rPr>
                <w:rFonts w:cs="Arial"/>
                <w:color w:val="0D0D0D"/>
                <w:spacing w:val="-2"/>
                <w:lang w:val="en-GB"/>
              </w:rPr>
              <w:t xml:space="preserve">the </w:t>
            </w:r>
            <w:r w:rsidR="007268D0" w:rsidRPr="00CB09D5">
              <w:rPr>
                <w:rFonts w:cs="Arial"/>
                <w:color w:val="0D0D0D"/>
                <w:spacing w:val="-2"/>
                <w:lang w:val="en-GB"/>
              </w:rPr>
              <w:t xml:space="preserve">year 2012 in branches with the state dominance – public administration, defence, education, health and social </w:t>
            </w:r>
            <w:r w:rsidR="002E5958" w:rsidRPr="00CB09D5">
              <w:rPr>
                <w:rFonts w:cs="Arial"/>
                <w:color w:val="0D0D0D"/>
                <w:spacing w:val="-2"/>
                <w:lang w:val="en-GB"/>
              </w:rPr>
              <w:t>work</w:t>
            </w:r>
            <w:r w:rsidR="007268D0" w:rsidRPr="00CB09D5">
              <w:rPr>
                <w:rFonts w:cs="Arial"/>
                <w:color w:val="0D0D0D"/>
                <w:spacing w:val="-2"/>
                <w:lang w:val="en-GB"/>
              </w:rPr>
              <w:t>.</w:t>
            </w:r>
            <w:r w:rsidR="00E90D67" w:rsidRPr="00CB09D5">
              <w:rPr>
                <w:spacing w:val="-4"/>
                <w:lang w:val="en-GB"/>
              </w:rPr>
              <w:t xml:space="preserve"> </w:t>
            </w:r>
            <w:r w:rsidR="00B34CCE" w:rsidRPr="00CB09D5">
              <w:rPr>
                <w:spacing w:val="-4"/>
                <w:lang w:val="en-GB"/>
              </w:rPr>
              <w:t>Adverse situation continued in construction, which lost nearly 65 thousand positions since</w:t>
            </w:r>
            <w:r w:rsidR="00CC44C9" w:rsidRPr="00CB09D5">
              <w:rPr>
                <w:spacing w:val="-4"/>
                <w:lang w:val="en-GB"/>
              </w:rPr>
              <w:t xml:space="preserve"> the</w:t>
            </w:r>
            <w:r w:rsidR="00B34CCE" w:rsidRPr="00CB09D5">
              <w:rPr>
                <w:spacing w:val="-4"/>
                <w:lang w:val="en-GB"/>
              </w:rPr>
              <w:t xml:space="preserve"> year 2010.</w:t>
            </w:r>
            <w:r w:rsidR="00F608FF" w:rsidRPr="00CB09D5">
              <w:rPr>
                <w:spacing w:val="-4"/>
                <w:lang w:val="en-GB"/>
              </w:rPr>
              <w:t xml:space="preserve"> The number of employees as well as the self-employed was decreasing in this branch in 2016. Employment dropped in total by more than 8 thousand persons in mining and </w:t>
            </w:r>
            <w:proofErr w:type="spellStart"/>
            <w:r w:rsidR="00F608FF" w:rsidRPr="00CB09D5">
              <w:rPr>
                <w:spacing w:val="-4"/>
                <w:lang w:val="en-GB"/>
              </w:rPr>
              <w:t>energetics</w:t>
            </w:r>
            <w:proofErr w:type="spellEnd"/>
            <w:r w:rsidR="00F608FF" w:rsidRPr="00CB09D5">
              <w:rPr>
                <w:spacing w:val="-4"/>
                <w:lang w:val="en-GB"/>
              </w:rPr>
              <w:t xml:space="preserve"> compared to </w:t>
            </w:r>
            <w:r w:rsidR="00B75AC6" w:rsidRPr="00CB09D5">
              <w:rPr>
                <w:spacing w:val="-4"/>
                <w:lang w:val="en-GB"/>
              </w:rPr>
              <w:t xml:space="preserve">the </w:t>
            </w:r>
            <w:r w:rsidR="00F608FF" w:rsidRPr="00CB09D5">
              <w:rPr>
                <w:spacing w:val="-4"/>
                <w:lang w:val="en-GB"/>
              </w:rPr>
              <w:t xml:space="preserve">year 2008. </w:t>
            </w:r>
            <w:r w:rsidR="00B34CCE" w:rsidRPr="00CB09D5">
              <w:rPr>
                <w:spacing w:val="-4"/>
                <w:lang w:val="en-GB"/>
              </w:rPr>
              <w:t xml:space="preserve"> </w:t>
            </w:r>
            <w:r w:rsidR="00E90D67" w:rsidRPr="00CB09D5">
              <w:rPr>
                <w:spacing w:val="-4"/>
                <w:lang w:val="en-GB"/>
              </w:rPr>
              <w:t xml:space="preserve"> </w:t>
            </w:r>
          </w:p>
          <w:p w:rsidR="00E90D67" w:rsidRPr="00CB09D5" w:rsidRDefault="00E90D67" w:rsidP="008A03DE">
            <w:pPr>
              <w:pStyle w:val="Textpoznpodarou"/>
              <w:jc w:val="both"/>
              <w:rPr>
                <w:rFonts w:cs="Arial"/>
                <w:color w:val="0D0D0D"/>
                <w:sz w:val="14"/>
                <w:szCs w:val="14"/>
                <w:lang w:val="en-GB"/>
              </w:rPr>
            </w:pPr>
          </w:p>
        </w:tc>
      </w:tr>
      <w:tr w:rsidR="00E90D67" w:rsidRPr="00CB09D5" w:rsidTr="008A03DE">
        <w:tc>
          <w:tcPr>
            <w:tcW w:w="1057" w:type="pct"/>
          </w:tcPr>
          <w:p w:rsidR="00E90D67" w:rsidRPr="00CB09D5" w:rsidRDefault="00DC18B6"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Growth of the hourly labour productivity from </w:t>
            </w:r>
            <w:r w:rsidR="00B75AC6" w:rsidRPr="00CB09D5">
              <w:rPr>
                <w:rFonts w:cs="Arial"/>
                <w:bCs/>
                <w:iCs/>
                <w:color w:val="0D0D0D"/>
                <w:spacing w:val="-2"/>
                <w:sz w:val="16"/>
                <w:szCs w:val="16"/>
                <w:lang w:val="en-GB"/>
              </w:rPr>
              <w:t xml:space="preserve">the </w:t>
            </w:r>
            <w:r w:rsidRPr="00CB09D5">
              <w:rPr>
                <w:rFonts w:cs="Arial"/>
                <w:bCs/>
                <w:iCs/>
                <w:color w:val="0D0D0D"/>
                <w:spacing w:val="-2"/>
                <w:sz w:val="16"/>
                <w:szCs w:val="16"/>
                <w:lang w:val="en-GB"/>
              </w:rPr>
              <w:t xml:space="preserve">years 2014 and 2015 was not repeated any more mainly due to the </w:t>
            </w:r>
            <w:r w:rsidR="00C726EA" w:rsidRPr="00CB09D5">
              <w:rPr>
                <w:rFonts w:cs="Arial"/>
                <w:bCs/>
                <w:iCs/>
                <w:color w:val="0D0D0D"/>
                <w:spacing w:val="-2"/>
                <w:sz w:val="16"/>
                <w:szCs w:val="16"/>
                <w:lang w:val="en-GB"/>
              </w:rPr>
              <w:t>unfavourable</w:t>
            </w:r>
            <w:r w:rsidRPr="00CB09D5">
              <w:rPr>
                <w:rFonts w:cs="Arial"/>
                <w:bCs/>
                <w:iCs/>
                <w:color w:val="0D0D0D"/>
                <w:spacing w:val="-2"/>
                <w:sz w:val="16"/>
                <w:szCs w:val="16"/>
                <w:lang w:val="en-GB"/>
              </w:rPr>
              <w:t xml:space="preserve"> development in construction but also some services last year. </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D66076" w:rsidP="008A03DE">
            <w:pPr>
              <w:pStyle w:val="Textpoznpodarou"/>
              <w:jc w:val="both"/>
              <w:rPr>
                <w:rFonts w:cs="Arial"/>
                <w:color w:val="0D0D0D"/>
                <w:spacing w:val="-4"/>
                <w:lang w:val="en-GB"/>
              </w:rPr>
            </w:pPr>
            <w:r w:rsidRPr="00CB09D5">
              <w:rPr>
                <w:rFonts w:cs="Arial"/>
                <w:color w:val="0D0D0D"/>
                <w:spacing w:val="-4"/>
                <w:lang w:val="en-GB"/>
              </w:rPr>
              <w:t xml:space="preserve">Only branches with higher value added did not create new job positions in 2016.  It is thus not particularly surprising, that the more significant labour productivity growth from </w:t>
            </w:r>
            <w:r w:rsidR="00B75AC6" w:rsidRPr="00CB09D5">
              <w:rPr>
                <w:rFonts w:cs="Arial"/>
                <w:color w:val="0D0D0D"/>
                <w:spacing w:val="-4"/>
                <w:lang w:val="en-GB"/>
              </w:rPr>
              <w:t xml:space="preserve">the </w:t>
            </w:r>
            <w:r w:rsidRPr="00CB09D5">
              <w:rPr>
                <w:rFonts w:cs="Arial"/>
                <w:color w:val="0D0D0D"/>
                <w:spacing w:val="-4"/>
                <w:lang w:val="en-GB"/>
              </w:rPr>
              <w:t>years 2014 and 2015 was not repeated last year (</w:t>
            </w:r>
            <w:r w:rsidR="00C726EA" w:rsidRPr="00CB09D5">
              <w:rPr>
                <w:rFonts w:cs="Arial"/>
                <w:color w:val="0D0D0D"/>
                <w:spacing w:val="-4"/>
                <w:lang w:val="en-GB"/>
              </w:rPr>
              <w:t>GVA related to</w:t>
            </w:r>
            <w:r w:rsidR="00EE5A5A" w:rsidRPr="00CB09D5">
              <w:rPr>
                <w:rFonts w:cs="Arial"/>
                <w:color w:val="0D0D0D"/>
                <w:spacing w:val="-4"/>
                <w:lang w:val="en-GB"/>
              </w:rPr>
              <w:t xml:space="preserve"> the hour worked lowered by 0.4</w:t>
            </w:r>
            <w:r w:rsidR="00C726EA" w:rsidRPr="00CB09D5">
              <w:rPr>
                <w:rFonts w:cs="Arial"/>
                <w:color w:val="0D0D0D"/>
                <w:spacing w:val="-4"/>
                <w:lang w:val="en-GB"/>
              </w:rPr>
              <w:t>% for the whole year)</w:t>
            </w:r>
            <w:r w:rsidR="00E90D67" w:rsidRPr="00CB09D5">
              <w:rPr>
                <w:rFonts w:cs="Arial"/>
                <w:color w:val="0D0D0D"/>
                <w:spacing w:val="-4"/>
                <w:lang w:val="en-GB"/>
              </w:rPr>
              <w:t xml:space="preserve">. </w:t>
            </w:r>
            <w:r w:rsidR="00223ECF" w:rsidRPr="00CB09D5">
              <w:rPr>
                <w:rFonts w:cs="Arial"/>
                <w:color w:val="0D0D0D"/>
                <w:spacing w:val="-4"/>
                <w:lang w:val="en-GB"/>
              </w:rPr>
              <w:t>Both lower productivi</w:t>
            </w:r>
            <w:r w:rsidR="00EE5A5A" w:rsidRPr="00CB09D5">
              <w:rPr>
                <w:rFonts w:cs="Arial"/>
                <w:color w:val="0D0D0D"/>
                <w:spacing w:val="-4"/>
                <w:lang w:val="en-GB"/>
              </w:rPr>
              <w:t>ty in construction (by 4.7</w:t>
            </w:r>
            <w:r w:rsidR="00223ECF" w:rsidRPr="00CB09D5">
              <w:rPr>
                <w:rFonts w:cs="Arial"/>
                <w:color w:val="0D0D0D"/>
                <w:spacing w:val="-4"/>
                <w:lang w:val="en-GB"/>
              </w:rPr>
              <w:t xml:space="preserve">%) and e.g. also in branch trade, transportation, accommodation and restaurants played a role. </w:t>
            </w:r>
            <w:r w:rsidR="00E1291F" w:rsidRPr="00CB09D5">
              <w:rPr>
                <w:rFonts w:cs="Arial"/>
                <w:color w:val="0D0D0D"/>
                <w:spacing w:val="-4"/>
                <w:lang w:val="en-GB"/>
              </w:rPr>
              <w:t xml:space="preserve">Development was on the contrary more favourable in manufacturing </w:t>
            </w:r>
            <w:r w:rsidR="00E90D67" w:rsidRPr="00CB09D5">
              <w:rPr>
                <w:rFonts w:cs="Arial"/>
                <w:color w:val="0D0D0D"/>
                <w:spacing w:val="-4"/>
                <w:lang w:val="en-GB"/>
              </w:rPr>
              <w:t>(+1</w:t>
            </w:r>
            <w:r w:rsidR="00E1291F" w:rsidRPr="00CB09D5">
              <w:rPr>
                <w:rFonts w:cs="Arial"/>
                <w:color w:val="0D0D0D"/>
                <w:spacing w:val="-4"/>
                <w:lang w:val="en-GB"/>
              </w:rPr>
              <w:t>.</w:t>
            </w:r>
            <w:r w:rsidR="00EE5A5A" w:rsidRPr="00CB09D5">
              <w:rPr>
                <w:rFonts w:cs="Arial"/>
                <w:color w:val="0D0D0D"/>
                <w:spacing w:val="-4"/>
                <w:lang w:val="en-GB"/>
              </w:rPr>
              <w:t>6</w:t>
            </w:r>
            <w:r w:rsidR="00E90D67" w:rsidRPr="00CB09D5">
              <w:rPr>
                <w:rFonts w:cs="Arial"/>
                <w:color w:val="0D0D0D"/>
                <w:spacing w:val="-4"/>
                <w:lang w:val="en-GB"/>
              </w:rPr>
              <w:t xml:space="preserve">%), </w:t>
            </w:r>
            <w:r w:rsidR="00E1291F" w:rsidRPr="00CB09D5">
              <w:rPr>
                <w:rFonts w:cs="Arial"/>
                <w:color w:val="0D0D0D"/>
                <w:spacing w:val="-4"/>
                <w:lang w:val="en-GB"/>
              </w:rPr>
              <w:t>the productivity however grew the most in branch agricultur</w:t>
            </w:r>
            <w:r w:rsidR="00EE5A5A" w:rsidRPr="00CB09D5">
              <w:rPr>
                <w:rFonts w:cs="Arial"/>
                <w:color w:val="0D0D0D"/>
                <w:spacing w:val="-4"/>
                <w:lang w:val="en-GB"/>
              </w:rPr>
              <w:t>e, forestry and fishing (+6.1</w:t>
            </w:r>
            <w:r w:rsidR="00E1291F" w:rsidRPr="00CB09D5">
              <w:rPr>
                <w:rFonts w:cs="Arial"/>
                <w:color w:val="0D0D0D"/>
                <w:spacing w:val="-4"/>
                <w:lang w:val="en-GB"/>
              </w:rPr>
              <w:t>%) last year (similarly to</w:t>
            </w:r>
            <w:r w:rsidR="00B75AC6" w:rsidRPr="00CB09D5">
              <w:rPr>
                <w:rFonts w:cs="Arial"/>
                <w:color w:val="0D0D0D"/>
                <w:spacing w:val="-4"/>
                <w:lang w:val="en-GB"/>
              </w:rPr>
              <w:t xml:space="preserve"> the</w:t>
            </w:r>
            <w:r w:rsidR="00E1291F" w:rsidRPr="00CB09D5">
              <w:rPr>
                <w:rFonts w:cs="Arial"/>
                <w:color w:val="0D0D0D"/>
                <w:spacing w:val="-4"/>
                <w:lang w:val="en-GB"/>
              </w:rPr>
              <w:t xml:space="preserve"> years 201</w:t>
            </w:r>
            <w:r w:rsidR="00632D86" w:rsidRPr="00CB09D5">
              <w:rPr>
                <w:rFonts w:cs="Arial"/>
                <w:color w:val="0D0D0D"/>
                <w:spacing w:val="-4"/>
                <w:lang w:val="en-GB"/>
              </w:rPr>
              <w:t>4</w:t>
            </w:r>
            <w:r w:rsidR="00E1291F" w:rsidRPr="00CB09D5">
              <w:rPr>
                <w:rFonts w:cs="Arial"/>
                <w:color w:val="0D0D0D"/>
                <w:spacing w:val="-4"/>
                <w:lang w:val="en-GB"/>
              </w:rPr>
              <w:t xml:space="preserve"> and 2015).</w:t>
            </w:r>
          </w:p>
          <w:p w:rsidR="00E90D67" w:rsidRPr="00CB09D5" w:rsidRDefault="00E90D67" w:rsidP="008A03DE">
            <w:pPr>
              <w:pStyle w:val="Textpoznpodarou"/>
              <w:jc w:val="both"/>
              <w:rPr>
                <w:rFonts w:cs="Arial"/>
                <w:color w:val="0D0D0D"/>
                <w:spacing w:val="-4"/>
                <w:sz w:val="14"/>
                <w:szCs w:val="14"/>
                <w:lang w:val="en-GB"/>
              </w:rPr>
            </w:pPr>
          </w:p>
        </w:tc>
      </w:tr>
      <w:tr w:rsidR="00E90D67" w:rsidRPr="00CB09D5" w:rsidTr="008A03DE">
        <w:tc>
          <w:tcPr>
            <w:tcW w:w="1057" w:type="pct"/>
          </w:tcPr>
          <w:p w:rsidR="00E90D67" w:rsidRPr="00CB09D5" w:rsidRDefault="00EF7B70"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Pace of decrease of the </w:t>
            </w:r>
            <w:r w:rsidR="005F7A9D" w:rsidRPr="00CB09D5">
              <w:rPr>
                <w:rFonts w:cs="Arial"/>
                <w:bCs/>
                <w:iCs/>
                <w:color w:val="0D0D0D"/>
                <w:spacing w:val="-2"/>
                <w:sz w:val="16"/>
                <w:szCs w:val="16"/>
                <w:lang w:val="en-GB"/>
              </w:rPr>
              <w:t>unemployment</w:t>
            </w:r>
            <w:r w:rsidRPr="00CB09D5">
              <w:rPr>
                <w:rFonts w:cs="Arial"/>
                <w:bCs/>
                <w:iCs/>
                <w:color w:val="0D0D0D"/>
                <w:spacing w:val="-2"/>
                <w:sz w:val="16"/>
                <w:szCs w:val="16"/>
                <w:lang w:val="en-GB"/>
              </w:rPr>
              <w:t xml:space="preserve"> rate of males slowed down last year, for females it was comparable to </w:t>
            </w:r>
            <w:r w:rsidR="00AB2797" w:rsidRPr="00CB09D5">
              <w:rPr>
                <w:rFonts w:cs="Arial"/>
                <w:bCs/>
                <w:iCs/>
                <w:color w:val="0D0D0D"/>
                <w:spacing w:val="-2"/>
                <w:sz w:val="16"/>
                <w:szCs w:val="16"/>
                <w:lang w:val="en-GB"/>
              </w:rPr>
              <w:t xml:space="preserve">the </w:t>
            </w:r>
            <w:r w:rsidRPr="00CB09D5">
              <w:rPr>
                <w:rFonts w:cs="Arial"/>
                <w:bCs/>
                <w:iCs/>
                <w:color w:val="0D0D0D"/>
                <w:spacing w:val="-2"/>
                <w:sz w:val="16"/>
                <w:szCs w:val="16"/>
                <w:lang w:val="en-GB"/>
              </w:rPr>
              <w:t xml:space="preserve">years 2014 and </w:t>
            </w:r>
            <w:r w:rsidR="00E90D67" w:rsidRPr="00CB09D5">
              <w:rPr>
                <w:rFonts w:cs="Arial"/>
                <w:bCs/>
                <w:iCs/>
                <w:color w:val="0D0D0D"/>
                <w:spacing w:val="-2"/>
                <w:sz w:val="16"/>
                <w:szCs w:val="16"/>
                <w:lang w:val="en-GB"/>
              </w:rPr>
              <w:t>2015.</w:t>
            </w:r>
          </w:p>
          <w:p w:rsidR="00E90D67" w:rsidRPr="00CB09D5" w:rsidRDefault="00E90D67" w:rsidP="008A03DE">
            <w:pPr>
              <w:spacing w:line="240" w:lineRule="auto"/>
              <w:rPr>
                <w:rFonts w:cs="Arial"/>
                <w:bCs/>
                <w:iCs/>
                <w:color w:val="0D0D0D"/>
                <w:spacing w:val="-2"/>
                <w:sz w:val="16"/>
                <w:szCs w:val="16"/>
                <w:lang w:val="en-GB"/>
              </w:rPr>
            </w:pPr>
          </w:p>
          <w:p w:rsidR="00E90D67" w:rsidRPr="00CB09D5" w:rsidRDefault="00E90D67" w:rsidP="008A03DE">
            <w:pPr>
              <w:spacing w:line="240" w:lineRule="auto"/>
              <w:rPr>
                <w:rFonts w:cs="Arial"/>
                <w:bCs/>
                <w:iCs/>
                <w:color w:val="0D0D0D"/>
                <w:spacing w:val="-2"/>
                <w:sz w:val="10"/>
                <w:szCs w:val="10"/>
                <w:lang w:val="en-GB"/>
              </w:rPr>
            </w:pPr>
          </w:p>
          <w:p w:rsidR="000D1BFB" w:rsidRPr="00CB09D5" w:rsidRDefault="00515400" w:rsidP="008A03DE">
            <w:pPr>
              <w:spacing w:line="240" w:lineRule="auto"/>
              <w:rPr>
                <w:rFonts w:cs="Arial"/>
                <w:color w:val="0D0D0D"/>
                <w:spacing w:val="-4"/>
                <w:sz w:val="16"/>
                <w:szCs w:val="16"/>
                <w:lang w:val="en-GB"/>
              </w:rPr>
            </w:pPr>
            <w:r w:rsidRPr="00CB09D5">
              <w:rPr>
                <w:rFonts w:cs="Arial"/>
                <w:color w:val="0D0D0D"/>
                <w:spacing w:val="-4"/>
                <w:sz w:val="16"/>
                <w:szCs w:val="16"/>
                <w:lang w:val="en-GB"/>
              </w:rPr>
              <w:t>Job applicants b</w:t>
            </w:r>
            <w:r w:rsidR="00711D33" w:rsidRPr="00CB09D5">
              <w:rPr>
                <w:rFonts w:cs="Arial"/>
                <w:color w:val="0D0D0D"/>
                <w:spacing w:val="-4"/>
                <w:sz w:val="16"/>
                <w:szCs w:val="16"/>
                <w:lang w:val="en-GB"/>
              </w:rPr>
              <w:t xml:space="preserve">eing without job for more than one year </w:t>
            </w:r>
            <w:r w:rsidR="00711D33" w:rsidRPr="00CB09D5">
              <w:rPr>
                <w:rFonts w:cs="Arial"/>
                <w:color w:val="0D0D0D"/>
                <w:spacing w:val="-4"/>
                <w:sz w:val="16"/>
                <w:szCs w:val="16"/>
                <w:lang w:val="en-GB"/>
              </w:rPr>
              <w:lastRenderedPageBreak/>
              <w:t xml:space="preserve">had a major effect on the </w:t>
            </w:r>
            <w:r w:rsidR="005F7A9D" w:rsidRPr="00CB09D5">
              <w:rPr>
                <w:rFonts w:cs="Arial"/>
                <w:color w:val="0D0D0D"/>
                <w:spacing w:val="-4"/>
                <w:sz w:val="16"/>
                <w:szCs w:val="16"/>
                <w:lang w:val="en-GB"/>
              </w:rPr>
              <w:t>unemployment</w:t>
            </w:r>
            <w:r w:rsidR="00711D33" w:rsidRPr="00CB09D5">
              <w:rPr>
                <w:rFonts w:cs="Arial"/>
                <w:color w:val="0D0D0D"/>
                <w:spacing w:val="-4"/>
                <w:sz w:val="16"/>
                <w:szCs w:val="16"/>
                <w:lang w:val="en-GB"/>
              </w:rPr>
              <w:t xml:space="preserve"> decrease last year. </w:t>
            </w:r>
          </w:p>
          <w:p w:rsidR="00711D33" w:rsidRPr="00CB09D5" w:rsidRDefault="00711D33" w:rsidP="008A03DE">
            <w:pPr>
              <w:spacing w:line="240" w:lineRule="auto"/>
              <w:rPr>
                <w:rFonts w:cs="Arial"/>
                <w:bCs/>
                <w:iCs/>
                <w:color w:val="0D0D0D"/>
                <w:spacing w:val="-2"/>
                <w:sz w:val="16"/>
                <w:szCs w:val="16"/>
                <w:lang w:val="en-GB"/>
              </w:rPr>
            </w:pPr>
          </w:p>
          <w:p w:rsidR="00E90D67" w:rsidRPr="00CB09D5" w:rsidRDefault="00E90D67" w:rsidP="008A03DE">
            <w:pPr>
              <w:spacing w:line="240" w:lineRule="auto"/>
              <w:rPr>
                <w:rFonts w:cs="Arial"/>
                <w:bCs/>
                <w:iCs/>
                <w:color w:val="0D0D0D"/>
                <w:spacing w:val="-2"/>
                <w:sz w:val="10"/>
                <w:szCs w:val="10"/>
                <w:lang w:val="en-GB"/>
              </w:rPr>
            </w:pPr>
          </w:p>
          <w:p w:rsidR="00E90D67" w:rsidRPr="00CB09D5" w:rsidRDefault="005F7A9D"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Gener</w:t>
            </w:r>
            <w:r w:rsidR="00EE5A5A" w:rsidRPr="00CB09D5">
              <w:rPr>
                <w:rFonts w:cs="Arial"/>
                <w:bCs/>
                <w:iCs/>
                <w:color w:val="0D0D0D"/>
                <w:spacing w:val="-2"/>
                <w:sz w:val="16"/>
                <w:szCs w:val="16"/>
                <w:lang w:val="en-GB"/>
              </w:rPr>
              <w:t>al unemployment rate fell in 90</w:t>
            </w:r>
            <w:r w:rsidRPr="00CB09D5">
              <w:rPr>
                <w:rFonts w:cs="Arial"/>
                <w:bCs/>
                <w:iCs/>
                <w:color w:val="0D0D0D"/>
                <w:spacing w:val="-2"/>
                <w:sz w:val="16"/>
                <w:szCs w:val="16"/>
                <w:lang w:val="en-GB"/>
              </w:rPr>
              <w:t>% of EU countries in 2016. Large differences between states however did not shrink.</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844AFC" w:rsidP="008A03DE">
            <w:pPr>
              <w:pStyle w:val="Textpoznpodarou"/>
              <w:jc w:val="both"/>
              <w:rPr>
                <w:rFonts w:cs="Arial"/>
                <w:color w:val="0D0D0D"/>
                <w:spacing w:val="-4"/>
                <w:lang w:val="en-GB"/>
              </w:rPr>
            </w:pPr>
            <w:r w:rsidRPr="00CB09D5">
              <w:rPr>
                <w:rFonts w:cs="Arial"/>
                <w:color w:val="0D0D0D"/>
                <w:spacing w:val="-4"/>
                <w:lang w:val="en-GB"/>
              </w:rPr>
              <w:t>General une</w:t>
            </w:r>
            <w:r w:rsidR="007C2C5A">
              <w:rPr>
                <w:rFonts w:cs="Arial"/>
                <w:color w:val="0D0D0D"/>
                <w:spacing w:val="-4"/>
                <w:lang w:val="en-GB"/>
              </w:rPr>
              <w:t>mployment rate (persons aged 15</w:t>
            </w:r>
            <w:r w:rsidR="007C2C5A" w:rsidRPr="00CB09D5">
              <w:rPr>
                <w:rFonts w:cs="Arial"/>
                <w:color w:val="0D0D0D"/>
                <w:spacing w:val="-2"/>
                <w:lang w:val="en-GB"/>
              </w:rPr>
              <w:t>–</w:t>
            </w:r>
            <w:r w:rsidRPr="00CB09D5">
              <w:rPr>
                <w:rFonts w:cs="Arial"/>
                <w:color w:val="0D0D0D"/>
                <w:spacing w:val="-4"/>
                <w:lang w:val="en-GB"/>
              </w:rPr>
              <w:t xml:space="preserve">64) kept further falling throughout </w:t>
            </w:r>
            <w:r w:rsidR="005F7A9D" w:rsidRPr="00CB09D5">
              <w:rPr>
                <w:rFonts w:cs="Arial"/>
                <w:color w:val="0D0D0D"/>
                <w:spacing w:val="-4"/>
                <w:lang w:val="en-GB"/>
              </w:rPr>
              <w:t>the</w:t>
            </w:r>
            <w:r w:rsidRPr="00CB09D5">
              <w:rPr>
                <w:rFonts w:cs="Arial"/>
                <w:color w:val="0D0D0D"/>
                <w:spacing w:val="-4"/>
                <w:lang w:val="en-GB"/>
              </w:rPr>
              <w:t xml:space="preserve"> whole year and it arrived at 3.6</w:t>
            </w:r>
            <w:r w:rsidR="00E90D67" w:rsidRPr="00CB09D5">
              <w:rPr>
                <w:rStyle w:val="Znakapoznpodarou"/>
                <w:color w:val="0D0D0D"/>
                <w:spacing w:val="-4"/>
                <w:lang w:val="en-GB"/>
              </w:rPr>
              <w:footnoteReference w:id="27"/>
            </w:r>
            <w:r w:rsidRPr="00CB09D5">
              <w:rPr>
                <w:rFonts w:cs="Arial"/>
                <w:color w:val="0D0D0D"/>
                <w:spacing w:val="-4"/>
                <w:lang w:val="en-GB"/>
              </w:rPr>
              <w:t xml:space="preserve"> in December 2016</w:t>
            </w:r>
            <w:r w:rsidR="00E90D67" w:rsidRPr="00CB09D5">
              <w:rPr>
                <w:rFonts w:cs="Arial"/>
                <w:color w:val="0D0D0D"/>
                <w:spacing w:val="-4"/>
                <w:lang w:val="en-GB"/>
              </w:rPr>
              <w:t xml:space="preserve"> (</w:t>
            </w:r>
            <w:r w:rsidR="00EE5A5A" w:rsidRPr="00CB09D5">
              <w:rPr>
                <w:rFonts w:cs="Arial"/>
                <w:color w:val="0D0D0D"/>
                <w:spacing w:val="-4"/>
                <w:lang w:val="en-GB"/>
              </w:rPr>
              <w:t>4.5</w:t>
            </w:r>
            <w:r w:rsidRPr="00CB09D5">
              <w:rPr>
                <w:rFonts w:cs="Arial"/>
                <w:color w:val="0D0D0D"/>
                <w:spacing w:val="-4"/>
                <w:lang w:val="en-GB"/>
              </w:rPr>
              <w:t>% a year ago</w:t>
            </w:r>
            <w:r w:rsidR="00E90D67" w:rsidRPr="00CB09D5">
              <w:rPr>
                <w:rFonts w:cs="Arial"/>
                <w:color w:val="0D0D0D"/>
                <w:spacing w:val="-4"/>
                <w:lang w:val="en-GB"/>
              </w:rPr>
              <w:t xml:space="preserve">). </w:t>
            </w:r>
            <w:r w:rsidR="002A3A75" w:rsidRPr="00CB09D5">
              <w:rPr>
                <w:rFonts w:cs="Arial"/>
                <w:color w:val="0D0D0D"/>
                <w:spacing w:val="-4"/>
                <w:lang w:val="en-GB"/>
              </w:rPr>
              <w:t>While for males it hit its limits given by the structural influences (</w:t>
            </w:r>
            <w:r w:rsidR="005F7A9D" w:rsidRPr="00CB09D5">
              <w:rPr>
                <w:rFonts w:cs="Arial"/>
                <w:color w:val="0D0D0D"/>
                <w:spacing w:val="-4"/>
                <w:lang w:val="en-GB"/>
              </w:rPr>
              <w:t xml:space="preserve">decreased “only” </w:t>
            </w:r>
            <w:r w:rsidR="00EE5A5A" w:rsidRPr="00CB09D5">
              <w:rPr>
                <w:rFonts w:cs="Arial"/>
                <w:color w:val="0D0D0D"/>
                <w:spacing w:val="-4"/>
                <w:lang w:val="en-GB"/>
              </w:rPr>
              <w:t>by 0.6 p.p. year-on-year to 3.1</w:t>
            </w:r>
            <w:r w:rsidR="005F7A9D" w:rsidRPr="00CB09D5">
              <w:rPr>
                <w:rFonts w:cs="Arial"/>
                <w:color w:val="0D0D0D"/>
                <w:spacing w:val="-4"/>
                <w:lang w:val="en-GB"/>
              </w:rPr>
              <w:t xml:space="preserve">%), for females the reduction was </w:t>
            </w:r>
            <w:r w:rsidR="00D177E9">
              <w:rPr>
                <w:rFonts w:cs="Arial"/>
                <w:color w:val="0D0D0D"/>
                <w:spacing w:val="-4"/>
                <w:lang w:val="en-GB"/>
              </w:rPr>
              <w:t xml:space="preserve">more </w:t>
            </w:r>
            <w:r w:rsidR="005F7A9D" w:rsidRPr="00CB09D5">
              <w:rPr>
                <w:rFonts w:cs="Arial"/>
                <w:color w:val="0D0D0D"/>
                <w:spacing w:val="-4"/>
                <w:lang w:val="en-GB"/>
              </w:rPr>
              <w:t xml:space="preserve">significant (by 1.3 p.p. similarly to </w:t>
            </w:r>
            <w:r w:rsidR="00AB2797" w:rsidRPr="00CB09D5">
              <w:rPr>
                <w:rFonts w:cs="Arial"/>
                <w:color w:val="0D0D0D"/>
                <w:spacing w:val="-4"/>
                <w:lang w:val="en-GB"/>
              </w:rPr>
              <w:t xml:space="preserve">the </w:t>
            </w:r>
            <w:r w:rsidR="005F7A9D" w:rsidRPr="00CB09D5">
              <w:rPr>
                <w:rFonts w:cs="Arial"/>
                <w:color w:val="0D0D0D"/>
                <w:spacing w:val="-4"/>
                <w:lang w:val="en-GB"/>
              </w:rPr>
              <w:t xml:space="preserve">years 2014 and 2015). Persons that were without a job for more than one year majorly participated on the decrease of </w:t>
            </w:r>
            <w:r w:rsidR="001010CD" w:rsidRPr="00CB09D5">
              <w:rPr>
                <w:rFonts w:cs="Arial"/>
                <w:color w:val="0D0D0D"/>
                <w:spacing w:val="-4"/>
                <w:lang w:val="en-GB"/>
              </w:rPr>
              <w:t>unemployment</w:t>
            </w:r>
            <w:r w:rsidR="005F7A9D" w:rsidRPr="00CB09D5">
              <w:rPr>
                <w:rFonts w:cs="Arial"/>
                <w:color w:val="0D0D0D"/>
                <w:spacing w:val="-4"/>
                <w:lang w:val="en-GB"/>
              </w:rPr>
              <w:t xml:space="preserve">. </w:t>
            </w:r>
            <w:r w:rsidR="001010CD" w:rsidRPr="00CB09D5">
              <w:rPr>
                <w:rFonts w:cs="Arial"/>
                <w:color w:val="0D0D0D"/>
                <w:spacing w:val="-4"/>
                <w:lang w:val="en-GB"/>
              </w:rPr>
              <w:t>The num</w:t>
            </w:r>
            <w:r w:rsidR="00EE5A5A" w:rsidRPr="00CB09D5">
              <w:rPr>
                <w:rFonts w:cs="Arial"/>
                <w:color w:val="0D0D0D"/>
                <w:spacing w:val="-4"/>
                <w:lang w:val="en-GB"/>
              </w:rPr>
              <w:t>ber of these persons fell by 35</w:t>
            </w:r>
            <w:r w:rsidR="001010CD" w:rsidRPr="00CB09D5">
              <w:rPr>
                <w:rFonts w:cs="Arial"/>
                <w:color w:val="0D0D0D"/>
                <w:spacing w:val="-4"/>
                <w:lang w:val="en-GB"/>
              </w:rPr>
              <w:t>% year-o</w:t>
            </w:r>
            <w:r w:rsidR="00EE5A5A" w:rsidRPr="00CB09D5">
              <w:rPr>
                <w:rFonts w:cs="Arial"/>
                <w:color w:val="0D0D0D"/>
                <w:spacing w:val="-4"/>
                <w:lang w:val="en-GB"/>
              </w:rPr>
              <w:t>n-year in Q4 and they formed 39</w:t>
            </w:r>
            <w:r w:rsidR="001010CD" w:rsidRPr="00CB09D5">
              <w:rPr>
                <w:rFonts w:cs="Arial"/>
                <w:color w:val="0D0D0D"/>
                <w:spacing w:val="-4"/>
                <w:lang w:val="en-GB"/>
              </w:rPr>
              <w:t xml:space="preserve">% from the total number of </w:t>
            </w:r>
            <w:r w:rsidR="001010CD" w:rsidRPr="00CB09D5">
              <w:rPr>
                <w:rFonts w:cs="Arial"/>
                <w:color w:val="0D0D0D"/>
                <w:spacing w:val="-4"/>
                <w:lang w:val="en-GB"/>
              </w:rPr>
              <w:lastRenderedPageBreak/>
              <w:t xml:space="preserve">unemployed (the lowest share since Q1 2010). </w:t>
            </w:r>
            <w:r w:rsidR="00E90D67" w:rsidRPr="00CB09D5">
              <w:rPr>
                <w:rFonts w:cs="Arial"/>
                <w:color w:val="0D0D0D"/>
                <w:spacing w:val="-4"/>
                <w:lang w:val="en-GB"/>
              </w:rPr>
              <w:t> </w:t>
            </w:r>
            <w:r w:rsidR="00515400" w:rsidRPr="00CB09D5">
              <w:rPr>
                <w:rFonts w:cs="Arial"/>
                <w:color w:val="0D0D0D"/>
                <w:spacing w:val="-4"/>
                <w:lang w:val="en-GB"/>
              </w:rPr>
              <w:t>Consequently, this was reflected also in the accelerated fall of the unemployment rate of job applicants wi</w:t>
            </w:r>
            <w:r w:rsidR="00EE5A5A" w:rsidRPr="00CB09D5">
              <w:rPr>
                <w:rFonts w:cs="Arial"/>
                <w:color w:val="0D0D0D"/>
                <w:spacing w:val="-4"/>
                <w:lang w:val="en-GB"/>
              </w:rPr>
              <w:t>th primary education (from 22.8% to 18.7</w:t>
            </w:r>
            <w:r w:rsidR="00515400" w:rsidRPr="00CB09D5">
              <w:rPr>
                <w:rFonts w:cs="Arial"/>
                <w:color w:val="0D0D0D"/>
                <w:spacing w:val="-4"/>
                <w:lang w:val="en-GB"/>
              </w:rPr>
              <w:t>%).</w:t>
            </w:r>
            <w:r w:rsidR="00C26D9B" w:rsidRPr="00CB09D5">
              <w:rPr>
                <w:rFonts w:cs="Arial"/>
                <w:color w:val="0D0D0D"/>
                <w:spacing w:val="-4"/>
                <w:lang w:val="en-GB"/>
              </w:rPr>
              <w:t xml:space="preserve"> </w:t>
            </w:r>
            <w:r w:rsidR="00515400" w:rsidRPr="00CB09D5">
              <w:rPr>
                <w:rFonts w:cs="Arial"/>
                <w:color w:val="0D0D0D"/>
                <w:spacing w:val="-4"/>
                <w:lang w:val="en-GB"/>
              </w:rPr>
              <w:t>The Czech Republic maintains the most favourable position with respect to the total unemployment among the EU states</w:t>
            </w:r>
            <w:r w:rsidR="00E90D67" w:rsidRPr="00CB09D5">
              <w:rPr>
                <w:rFonts w:cs="Arial"/>
                <w:color w:val="0D0D0D"/>
                <w:spacing w:val="-4"/>
                <w:lang w:val="en-GB"/>
              </w:rPr>
              <w:t xml:space="preserve"> (</w:t>
            </w:r>
            <w:r w:rsidR="00515400" w:rsidRPr="00CB09D5">
              <w:rPr>
                <w:rFonts w:cs="Arial"/>
                <w:color w:val="0D0D0D"/>
                <w:spacing w:val="-4"/>
                <w:lang w:val="en-GB"/>
              </w:rPr>
              <w:t>thanks to the very low unemployment of males or persons with the secondary education</w:t>
            </w:r>
            <w:r w:rsidR="00E90D67" w:rsidRPr="00CB09D5">
              <w:rPr>
                <w:rFonts w:cs="Arial"/>
                <w:color w:val="0D0D0D"/>
                <w:spacing w:val="-4"/>
                <w:lang w:val="en-GB"/>
              </w:rPr>
              <w:t xml:space="preserve">). </w:t>
            </w:r>
            <w:r w:rsidR="00297C8C" w:rsidRPr="00CB09D5">
              <w:rPr>
                <w:rFonts w:cs="Arial"/>
                <w:color w:val="0D0D0D"/>
                <w:spacing w:val="-4"/>
                <w:lang w:val="en-GB"/>
              </w:rPr>
              <w:t xml:space="preserve">General </w:t>
            </w:r>
            <w:r w:rsidR="00EE5A5A" w:rsidRPr="00CB09D5">
              <w:rPr>
                <w:rFonts w:cs="Arial"/>
                <w:color w:val="0D0D0D"/>
                <w:spacing w:val="-4"/>
                <w:lang w:val="en-GB"/>
              </w:rPr>
              <w:t>unemployment rate dropped in 90</w:t>
            </w:r>
            <w:r w:rsidR="00297C8C" w:rsidRPr="00CB09D5">
              <w:rPr>
                <w:rFonts w:cs="Arial"/>
                <w:color w:val="0D0D0D"/>
                <w:spacing w:val="-4"/>
                <w:lang w:val="en-GB"/>
              </w:rPr>
              <w:t xml:space="preserve">% of the Union states during the year 2016 (the most in Croatia, Spain and Portugal), large regional differences however persisted. High unemployment in some states strongly hit by the recession in the past </w:t>
            </w:r>
            <w:r w:rsidR="00D177E9">
              <w:rPr>
                <w:rFonts w:cs="Arial"/>
                <w:color w:val="0D0D0D"/>
                <w:spacing w:val="-4"/>
                <w:lang w:val="en-GB"/>
              </w:rPr>
              <w:t xml:space="preserve">decade </w:t>
            </w:r>
            <w:r w:rsidR="00297C8C" w:rsidRPr="00CB09D5">
              <w:rPr>
                <w:rFonts w:cs="Arial"/>
                <w:color w:val="0D0D0D"/>
                <w:spacing w:val="-4"/>
                <w:lang w:val="en-GB"/>
              </w:rPr>
              <w:t xml:space="preserve">stagnated (Italy, France), it even grew by 1 p.p. in Cyprus and by contrast it even </w:t>
            </w:r>
            <w:r w:rsidR="00C26D9B" w:rsidRPr="00CB09D5">
              <w:rPr>
                <w:rFonts w:cs="Arial"/>
                <w:color w:val="0D0D0D"/>
                <w:spacing w:val="-4"/>
                <w:lang w:val="en-GB"/>
              </w:rPr>
              <w:t>markedly fell further in many countries with low unemploymen</w:t>
            </w:r>
            <w:r w:rsidR="00EE5A5A" w:rsidRPr="00CB09D5">
              <w:rPr>
                <w:rFonts w:cs="Arial"/>
                <w:color w:val="0D0D0D"/>
                <w:spacing w:val="-4"/>
                <w:lang w:val="en-GB"/>
              </w:rPr>
              <w:t>t rate, e.g. in Hungary (to 4.3%), Poland and Romania (to 5.5</w:t>
            </w:r>
            <w:r w:rsidR="00C26D9B" w:rsidRPr="00CB09D5">
              <w:rPr>
                <w:rFonts w:cs="Arial"/>
                <w:color w:val="0D0D0D"/>
                <w:spacing w:val="-4"/>
                <w:lang w:val="en-GB"/>
              </w:rPr>
              <w:t>%).</w:t>
            </w:r>
          </w:p>
          <w:p w:rsidR="00E90D67" w:rsidRPr="00CB09D5" w:rsidRDefault="00E90D67" w:rsidP="008A03DE">
            <w:pPr>
              <w:pStyle w:val="Textpoznpodarou"/>
              <w:jc w:val="both"/>
              <w:rPr>
                <w:rFonts w:cs="Arial"/>
                <w:color w:val="0D0D0D"/>
                <w:spacing w:val="-2"/>
                <w:sz w:val="13"/>
                <w:szCs w:val="13"/>
                <w:lang w:val="en-GB"/>
              </w:rPr>
            </w:pPr>
          </w:p>
        </w:tc>
      </w:tr>
      <w:tr w:rsidR="00E90D67" w:rsidRPr="00CB09D5" w:rsidTr="008A03DE">
        <w:tc>
          <w:tcPr>
            <w:tcW w:w="1057" w:type="pct"/>
          </w:tcPr>
          <w:p w:rsidR="00E90D67" w:rsidRPr="00CB09D5" w:rsidRDefault="005B2929" w:rsidP="008A03DE">
            <w:pPr>
              <w:spacing w:line="240" w:lineRule="auto"/>
              <w:rPr>
                <w:rFonts w:cs="Arial"/>
                <w:bCs/>
                <w:iCs/>
                <w:color w:val="0D0D0D"/>
                <w:spacing w:val="-2"/>
                <w:sz w:val="12"/>
                <w:szCs w:val="12"/>
                <w:lang w:val="en-GB"/>
              </w:rPr>
            </w:pPr>
            <w:r w:rsidRPr="00CB09D5">
              <w:rPr>
                <w:rFonts w:cs="Arial"/>
                <w:bCs/>
                <w:iCs/>
                <w:color w:val="0D0D0D"/>
                <w:spacing w:val="-2"/>
                <w:sz w:val="16"/>
                <w:szCs w:val="16"/>
                <w:lang w:val="en-GB"/>
              </w:rPr>
              <w:lastRenderedPageBreak/>
              <w:t xml:space="preserve">Supply of job vacancies kept further </w:t>
            </w:r>
            <w:proofErr w:type="gramStart"/>
            <w:r w:rsidRPr="00CB09D5">
              <w:rPr>
                <w:rFonts w:cs="Arial"/>
                <w:bCs/>
                <w:iCs/>
                <w:color w:val="0D0D0D"/>
                <w:spacing w:val="-2"/>
                <w:sz w:val="16"/>
                <w:szCs w:val="16"/>
                <w:lang w:val="en-GB"/>
              </w:rPr>
              <w:t>expanding,</w:t>
            </w:r>
            <w:proofErr w:type="gramEnd"/>
            <w:r w:rsidRPr="00CB09D5">
              <w:rPr>
                <w:rFonts w:cs="Arial"/>
                <w:bCs/>
                <w:iCs/>
                <w:color w:val="0D0D0D"/>
                <w:spacing w:val="-2"/>
                <w:sz w:val="16"/>
                <w:szCs w:val="16"/>
                <w:lang w:val="en-GB"/>
              </w:rPr>
              <w:t xml:space="preserve"> </w:t>
            </w:r>
            <w:r w:rsidR="00D177E9">
              <w:rPr>
                <w:rFonts w:cs="Arial"/>
                <w:bCs/>
                <w:iCs/>
                <w:color w:val="0D0D0D"/>
                <w:spacing w:val="-2"/>
                <w:sz w:val="16"/>
                <w:szCs w:val="16"/>
                <w:lang w:val="en-GB"/>
              </w:rPr>
              <w:t>professional</w:t>
            </w:r>
            <w:r w:rsidRPr="00CB09D5">
              <w:rPr>
                <w:rFonts w:cs="Arial"/>
                <w:bCs/>
                <w:iCs/>
                <w:color w:val="0D0D0D"/>
                <w:spacing w:val="-2"/>
                <w:sz w:val="16"/>
                <w:szCs w:val="16"/>
                <w:lang w:val="en-GB"/>
              </w:rPr>
              <w:t xml:space="preserve">s and qualified manual workers were the most in demand. </w:t>
            </w:r>
          </w:p>
          <w:p w:rsidR="00E90D67" w:rsidRPr="00CB09D5" w:rsidRDefault="00E90D67"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347F1E" w:rsidP="008A03DE">
            <w:pPr>
              <w:pStyle w:val="Textpoznpodarou"/>
              <w:jc w:val="both"/>
              <w:rPr>
                <w:rFonts w:cs="Arial"/>
                <w:color w:val="0D0D0D"/>
                <w:spacing w:val="-4"/>
                <w:lang w:val="en-GB"/>
              </w:rPr>
            </w:pPr>
            <w:r w:rsidRPr="00CB09D5">
              <w:rPr>
                <w:rFonts w:cs="Arial"/>
                <w:color w:val="0D0D0D"/>
                <w:spacing w:val="-2"/>
                <w:lang w:val="en-GB"/>
              </w:rPr>
              <w:t xml:space="preserve">Opportunities of unemployed </w:t>
            </w:r>
            <w:r w:rsidR="00816D15" w:rsidRPr="00CB09D5">
              <w:rPr>
                <w:rFonts w:cs="Arial"/>
                <w:color w:val="0D0D0D"/>
                <w:spacing w:val="-2"/>
                <w:lang w:val="en-GB"/>
              </w:rPr>
              <w:t xml:space="preserve">to find job </w:t>
            </w:r>
            <w:r w:rsidRPr="00CB09D5">
              <w:rPr>
                <w:rFonts w:cs="Arial"/>
                <w:color w:val="0D0D0D"/>
                <w:spacing w:val="-2"/>
                <w:lang w:val="en-GB"/>
              </w:rPr>
              <w:t xml:space="preserve">on the labour market kept further widening. </w:t>
            </w:r>
            <w:r w:rsidR="002A51BD" w:rsidRPr="00CB09D5">
              <w:rPr>
                <w:rFonts w:cs="Arial"/>
                <w:color w:val="0D0D0D"/>
                <w:spacing w:val="-2"/>
                <w:lang w:val="en-GB"/>
              </w:rPr>
              <w:t>Supply of job positions increased via the labour offices (LO) by nearly one third year-on-year, there were 132.5 thousand positions available in December 2016. The ratio was 2.9 applicants per one vacan</w:t>
            </w:r>
            <w:r w:rsidR="0040633F" w:rsidRPr="00CB09D5">
              <w:rPr>
                <w:rFonts w:cs="Arial"/>
                <w:color w:val="0D0D0D"/>
                <w:spacing w:val="-2"/>
                <w:lang w:val="en-GB"/>
              </w:rPr>
              <w:t>c</w:t>
            </w:r>
            <w:r w:rsidR="002A51BD" w:rsidRPr="00CB09D5">
              <w:rPr>
                <w:rFonts w:cs="Arial"/>
                <w:color w:val="0D0D0D"/>
                <w:spacing w:val="-2"/>
                <w:lang w:val="en-GB"/>
              </w:rPr>
              <w:t>y (the most favourable December relation since</w:t>
            </w:r>
            <w:r w:rsidR="00AB2797" w:rsidRPr="00CB09D5">
              <w:rPr>
                <w:rFonts w:cs="Arial"/>
                <w:color w:val="0D0D0D"/>
                <w:spacing w:val="-2"/>
                <w:lang w:val="en-GB"/>
              </w:rPr>
              <w:t xml:space="preserve"> the</w:t>
            </w:r>
            <w:r w:rsidR="002A51BD" w:rsidRPr="00CB09D5">
              <w:rPr>
                <w:rFonts w:cs="Arial"/>
                <w:color w:val="0D0D0D"/>
                <w:spacing w:val="-2"/>
                <w:lang w:val="en-GB"/>
              </w:rPr>
              <w:t xml:space="preserve"> year 2007). </w:t>
            </w:r>
            <w:r w:rsidR="0040633F" w:rsidRPr="00CB09D5">
              <w:rPr>
                <w:rFonts w:cs="Arial"/>
                <w:color w:val="0D0D0D"/>
                <w:spacing w:val="-2"/>
                <w:lang w:val="en-GB"/>
              </w:rPr>
              <w:t xml:space="preserve">This relation improved in all regions during the year 2016, the most visibly in </w:t>
            </w:r>
            <w:r w:rsidR="0094681E">
              <w:rPr>
                <w:rFonts w:cs="Arial"/>
                <w:color w:val="0D0D0D"/>
                <w:spacing w:val="-4"/>
                <w:lang w:val="en-GB"/>
              </w:rPr>
              <w:t xml:space="preserve">the </w:t>
            </w:r>
            <w:proofErr w:type="spellStart"/>
            <w:r w:rsidR="0094681E">
              <w:rPr>
                <w:rFonts w:cs="Arial"/>
                <w:color w:val="0D0D0D"/>
                <w:spacing w:val="-4"/>
                <w:lang w:val="en-GB"/>
              </w:rPr>
              <w:t>Ústecký</w:t>
            </w:r>
            <w:proofErr w:type="spellEnd"/>
            <w:r w:rsidR="0094681E">
              <w:rPr>
                <w:rFonts w:cs="Arial"/>
                <w:color w:val="0D0D0D"/>
                <w:spacing w:val="-4"/>
                <w:lang w:val="en-GB"/>
              </w:rPr>
              <w:t xml:space="preserve"> Region</w:t>
            </w:r>
            <w:r w:rsidR="00E90D67" w:rsidRPr="00CB09D5">
              <w:rPr>
                <w:rFonts w:cs="Arial"/>
                <w:color w:val="0D0D0D"/>
                <w:spacing w:val="-4"/>
                <w:lang w:val="en-GB"/>
              </w:rPr>
              <w:t xml:space="preserve"> (</w:t>
            </w:r>
            <w:r w:rsidR="0040633F" w:rsidRPr="00CB09D5">
              <w:rPr>
                <w:rFonts w:cs="Arial"/>
                <w:color w:val="0D0D0D"/>
                <w:spacing w:val="-4"/>
                <w:lang w:val="en-GB"/>
              </w:rPr>
              <w:t>still there was 5.8 job applicants for one vacancy at the end of the year</w:t>
            </w:r>
            <w:r w:rsidR="00E90D67" w:rsidRPr="00CB09D5">
              <w:rPr>
                <w:rFonts w:cs="Arial"/>
                <w:color w:val="0D0D0D"/>
                <w:spacing w:val="-4"/>
                <w:lang w:val="en-GB"/>
              </w:rPr>
              <w:t xml:space="preserve">, </w:t>
            </w:r>
            <w:r w:rsidR="0094681E">
              <w:rPr>
                <w:rFonts w:cs="Arial"/>
                <w:color w:val="0D0D0D"/>
                <w:spacing w:val="-4"/>
                <w:lang w:val="en-GB"/>
              </w:rPr>
              <w:t xml:space="preserve">together with the </w:t>
            </w:r>
            <w:proofErr w:type="spellStart"/>
            <w:r w:rsidR="0094681E">
              <w:rPr>
                <w:rFonts w:cs="Arial"/>
                <w:color w:val="0D0D0D"/>
                <w:spacing w:val="-4"/>
                <w:lang w:val="en-GB"/>
              </w:rPr>
              <w:t>Moravskoslezský</w:t>
            </w:r>
            <w:proofErr w:type="spellEnd"/>
            <w:r w:rsidR="0094681E">
              <w:rPr>
                <w:rFonts w:cs="Arial"/>
                <w:color w:val="0D0D0D"/>
                <w:spacing w:val="-4"/>
                <w:lang w:val="en-GB"/>
              </w:rPr>
              <w:t xml:space="preserve"> R</w:t>
            </w:r>
            <w:r w:rsidR="0040633F" w:rsidRPr="00CB09D5">
              <w:rPr>
                <w:rFonts w:cs="Arial"/>
                <w:color w:val="0D0D0D"/>
                <w:spacing w:val="-4"/>
                <w:lang w:val="en-GB"/>
              </w:rPr>
              <w:t>egion</w:t>
            </w:r>
            <w:r w:rsidR="00816D15" w:rsidRPr="00CB09D5">
              <w:rPr>
                <w:rFonts w:cs="Arial"/>
                <w:color w:val="0D0D0D"/>
                <w:spacing w:val="-4"/>
                <w:lang w:val="en-GB"/>
              </w:rPr>
              <w:t xml:space="preserve"> t</w:t>
            </w:r>
            <w:r w:rsidR="0040633F" w:rsidRPr="00CB09D5">
              <w:rPr>
                <w:rFonts w:cs="Arial"/>
                <w:color w:val="0D0D0D"/>
                <w:spacing w:val="-4"/>
                <w:lang w:val="en-GB"/>
              </w:rPr>
              <w:t>he most in the CR</w:t>
            </w:r>
            <w:r w:rsidR="00E90D67" w:rsidRPr="00CB09D5">
              <w:rPr>
                <w:rFonts w:cs="Arial"/>
                <w:color w:val="0D0D0D"/>
                <w:spacing w:val="-4"/>
                <w:lang w:val="en-GB"/>
              </w:rPr>
              <w:t xml:space="preserve">). </w:t>
            </w:r>
            <w:r w:rsidR="00C14A8D" w:rsidRPr="00CB09D5">
              <w:rPr>
                <w:rFonts w:cs="Arial"/>
                <w:color w:val="0D0D0D"/>
                <w:spacing w:val="-4"/>
                <w:lang w:val="en-GB"/>
              </w:rPr>
              <w:t xml:space="preserve">Less than two applicants per vacancy </w:t>
            </w:r>
            <w:r w:rsidR="00816D15" w:rsidRPr="00CB09D5">
              <w:rPr>
                <w:rFonts w:cs="Arial"/>
                <w:color w:val="0D0D0D"/>
                <w:spacing w:val="-4"/>
                <w:lang w:val="en-GB"/>
              </w:rPr>
              <w:t xml:space="preserve">were assigned </w:t>
            </w:r>
            <w:r w:rsidR="00C14A8D" w:rsidRPr="00CB09D5">
              <w:rPr>
                <w:rFonts w:cs="Arial"/>
                <w:color w:val="0D0D0D"/>
                <w:spacing w:val="-4"/>
                <w:lang w:val="en-GB"/>
              </w:rPr>
              <w:t xml:space="preserve">in Prague, </w:t>
            </w:r>
            <w:r w:rsidR="00D909FE">
              <w:rPr>
                <w:rFonts w:cs="Arial"/>
                <w:color w:val="0D0D0D"/>
                <w:spacing w:val="-4"/>
                <w:lang w:val="en-GB"/>
              </w:rPr>
              <w:t xml:space="preserve">the </w:t>
            </w:r>
            <w:proofErr w:type="spellStart"/>
            <w:r w:rsidR="00E90D67" w:rsidRPr="00CB09D5">
              <w:rPr>
                <w:rFonts w:cs="Arial"/>
                <w:color w:val="0D0D0D"/>
                <w:spacing w:val="-4"/>
                <w:lang w:val="en-GB"/>
              </w:rPr>
              <w:t>Plzeňsk</w:t>
            </w:r>
            <w:r w:rsidR="00C14A8D" w:rsidRPr="00CB09D5">
              <w:rPr>
                <w:rFonts w:cs="Arial"/>
                <w:color w:val="0D0D0D"/>
                <w:spacing w:val="-4"/>
                <w:lang w:val="en-GB"/>
              </w:rPr>
              <w:t>ý</w:t>
            </w:r>
            <w:proofErr w:type="spellEnd"/>
            <w:r w:rsidR="00C14A8D" w:rsidRPr="00CB09D5">
              <w:rPr>
                <w:rFonts w:cs="Arial"/>
                <w:color w:val="0D0D0D"/>
                <w:spacing w:val="-4"/>
                <w:lang w:val="en-GB"/>
              </w:rPr>
              <w:t xml:space="preserve"> and </w:t>
            </w:r>
            <w:r w:rsidR="00D909FE">
              <w:rPr>
                <w:rFonts w:cs="Arial"/>
                <w:color w:val="0D0D0D"/>
                <w:spacing w:val="-4"/>
                <w:lang w:val="en-GB"/>
              </w:rPr>
              <w:t xml:space="preserve">the </w:t>
            </w:r>
            <w:proofErr w:type="spellStart"/>
            <w:r w:rsidR="00C14A8D" w:rsidRPr="00CB09D5">
              <w:rPr>
                <w:rFonts w:cs="Arial"/>
                <w:color w:val="0D0D0D"/>
                <w:spacing w:val="-4"/>
                <w:lang w:val="en-GB"/>
              </w:rPr>
              <w:t>Pa</w:t>
            </w:r>
            <w:r w:rsidR="00E90D67" w:rsidRPr="00CB09D5">
              <w:rPr>
                <w:rFonts w:cs="Arial"/>
                <w:color w:val="0D0D0D"/>
                <w:spacing w:val="-4"/>
                <w:lang w:val="en-GB"/>
              </w:rPr>
              <w:t>rdubick</w:t>
            </w:r>
            <w:r w:rsidR="00AB2797" w:rsidRPr="00CB09D5">
              <w:rPr>
                <w:rFonts w:cs="Arial"/>
                <w:color w:val="0D0D0D"/>
                <w:spacing w:val="-4"/>
                <w:lang w:val="en-GB"/>
              </w:rPr>
              <w:t>ý</w:t>
            </w:r>
            <w:proofErr w:type="spellEnd"/>
            <w:r w:rsidR="00AB2797" w:rsidRPr="00CB09D5">
              <w:rPr>
                <w:rFonts w:cs="Arial"/>
                <w:color w:val="0D0D0D"/>
                <w:spacing w:val="-4"/>
                <w:lang w:val="en-GB"/>
              </w:rPr>
              <w:t xml:space="preserve"> R</w:t>
            </w:r>
            <w:r w:rsidR="00C14A8D" w:rsidRPr="00CB09D5">
              <w:rPr>
                <w:rFonts w:cs="Arial"/>
                <w:color w:val="0D0D0D"/>
                <w:spacing w:val="-4"/>
                <w:lang w:val="en-GB"/>
              </w:rPr>
              <w:t xml:space="preserve">egion. </w:t>
            </w:r>
            <w:r w:rsidR="00557E36" w:rsidRPr="00CB09D5">
              <w:rPr>
                <w:rFonts w:cs="Arial"/>
                <w:color w:val="0D0D0D"/>
                <w:spacing w:val="-4"/>
                <w:lang w:val="en-GB"/>
              </w:rPr>
              <w:t xml:space="preserve">The highest demand from the view of the qualification </w:t>
            </w:r>
            <w:r w:rsidR="00395A52" w:rsidRPr="00CB09D5">
              <w:rPr>
                <w:rFonts w:cs="Arial"/>
                <w:color w:val="0D0D0D"/>
                <w:spacing w:val="-4"/>
                <w:lang w:val="en-GB"/>
              </w:rPr>
              <w:t>levels was thus for specialists</w:t>
            </w:r>
            <w:r w:rsidR="00D177E9">
              <w:rPr>
                <w:rFonts w:cs="Arial"/>
                <w:color w:val="0D0D0D"/>
                <w:spacing w:val="-4"/>
                <w:lang w:val="en-GB"/>
              </w:rPr>
              <w:t xml:space="preserve"> or professionals</w:t>
            </w:r>
            <w:r w:rsidR="00395A52" w:rsidRPr="00CB09D5">
              <w:rPr>
                <w:rFonts w:cs="Arial"/>
                <w:color w:val="0D0D0D"/>
                <w:spacing w:val="-4"/>
                <w:lang w:val="en-GB"/>
              </w:rPr>
              <w:t xml:space="preserve"> </w:t>
            </w:r>
            <w:r w:rsidR="00E90D67" w:rsidRPr="00CB09D5">
              <w:rPr>
                <w:rFonts w:cs="Arial"/>
                <w:color w:val="0D0D0D"/>
                <w:spacing w:val="-4"/>
                <w:lang w:val="en-GB"/>
              </w:rPr>
              <w:t>(1</w:t>
            </w:r>
            <w:r w:rsidR="00395A52" w:rsidRPr="00CB09D5">
              <w:rPr>
                <w:rFonts w:cs="Arial"/>
                <w:color w:val="0D0D0D"/>
                <w:spacing w:val="-4"/>
                <w:lang w:val="en-GB"/>
              </w:rPr>
              <w:t>.</w:t>
            </w:r>
            <w:r w:rsidR="00E90D67" w:rsidRPr="00CB09D5">
              <w:rPr>
                <w:rFonts w:cs="Arial"/>
                <w:color w:val="0D0D0D"/>
                <w:spacing w:val="-4"/>
                <w:lang w:val="en-GB"/>
              </w:rPr>
              <w:t xml:space="preserve">8), </w:t>
            </w:r>
            <w:r w:rsidR="00395A52" w:rsidRPr="00CB09D5">
              <w:rPr>
                <w:rFonts w:cs="Arial"/>
                <w:color w:val="0D0D0D"/>
                <w:spacing w:val="-4"/>
                <w:lang w:val="en-GB"/>
              </w:rPr>
              <w:t>craft and re</w:t>
            </w:r>
            <w:r w:rsidR="00D177E9">
              <w:rPr>
                <w:rFonts w:cs="Arial"/>
                <w:color w:val="0D0D0D"/>
                <w:spacing w:val="-4"/>
                <w:lang w:val="en-GB"/>
              </w:rPr>
              <w:t>lated trades workers</w:t>
            </w:r>
            <w:r w:rsidR="00395A52" w:rsidRPr="00CB09D5">
              <w:rPr>
                <w:rFonts w:cs="Arial"/>
                <w:color w:val="0D0D0D"/>
                <w:spacing w:val="-4"/>
                <w:lang w:val="en-GB"/>
              </w:rPr>
              <w:t xml:space="preserve"> </w:t>
            </w:r>
            <w:r w:rsidR="00E90D67" w:rsidRPr="00CB09D5">
              <w:rPr>
                <w:rFonts w:cs="Arial"/>
                <w:color w:val="0D0D0D"/>
                <w:spacing w:val="-4"/>
                <w:lang w:val="en-GB"/>
              </w:rPr>
              <w:t>(1</w:t>
            </w:r>
            <w:r w:rsidR="00395A52" w:rsidRPr="00CB09D5">
              <w:rPr>
                <w:rFonts w:cs="Arial"/>
                <w:color w:val="0D0D0D"/>
                <w:spacing w:val="-4"/>
                <w:lang w:val="en-GB"/>
              </w:rPr>
              <w:t>.</w:t>
            </w:r>
            <w:r w:rsidR="00E90D67" w:rsidRPr="00CB09D5">
              <w:rPr>
                <w:rFonts w:cs="Arial"/>
                <w:color w:val="0D0D0D"/>
                <w:spacing w:val="-4"/>
                <w:lang w:val="en-GB"/>
              </w:rPr>
              <w:t>7) a</w:t>
            </w:r>
            <w:r w:rsidR="00395A52" w:rsidRPr="00CB09D5">
              <w:rPr>
                <w:rFonts w:cs="Arial"/>
                <w:color w:val="0D0D0D"/>
                <w:spacing w:val="-4"/>
                <w:lang w:val="en-GB"/>
              </w:rPr>
              <w:t xml:space="preserve">nd </w:t>
            </w:r>
            <w:r w:rsidR="00D177E9">
              <w:rPr>
                <w:rFonts w:cs="Arial"/>
                <w:color w:val="0D0D0D"/>
                <w:spacing w:val="-4"/>
                <w:lang w:val="en-GB"/>
              </w:rPr>
              <w:t xml:space="preserve">plant </w:t>
            </w:r>
            <w:r w:rsidR="00395A52" w:rsidRPr="00CB09D5">
              <w:rPr>
                <w:lang w:val="en-GB"/>
              </w:rPr>
              <w:t>machine</w:t>
            </w:r>
            <w:r w:rsidR="00D177E9">
              <w:rPr>
                <w:lang w:val="en-GB"/>
              </w:rPr>
              <w:t xml:space="preserve"> </w:t>
            </w:r>
            <w:r w:rsidR="00395A52" w:rsidRPr="00CB09D5">
              <w:rPr>
                <w:lang w:val="en-GB"/>
              </w:rPr>
              <w:t>operators,</w:t>
            </w:r>
            <w:r w:rsidR="00536BCA" w:rsidRPr="00CB09D5">
              <w:rPr>
                <w:lang w:val="en-GB"/>
              </w:rPr>
              <w:t xml:space="preserve"> incl. assemblers (1.2</w:t>
            </w:r>
            <w:r w:rsidR="00395A52" w:rsidRPr="00CB09D5">
              <w:rPr>
                <w:lang w:val="en-GB"/>
              </w:rPr>
              <w:t xml:space="preserve">%). The situation of </w:t>
            </w:r>
            <w:r w:rsidR="00D62CB2" w:rsidRPr="00CB09D5">
              <w:rPr>
                <w:lang w:val="en-GB"/>
              </w:rPr>
              <w:t xml:space="preserve">assisting and unskilled workers </w:t>
            </w:r>
            <w:r w:rsidR="00D177E9">
              <w:rPr>
                <w:lang w:val="en-GB"/>
              </w:rPr>
              <w:t xml:space="preserve">in elementary occupations </w:t>
            </w:r>
            <w:r w:rsidR="00D62CB2" w:rsidRPr="00CB09D5">
              <w:rPr>
                <w:lang w:val="en-GB"/>
              </w:rPr>
              <w:t>also improved year-on-year, despite their share on the total job app</w:t>
            </w:r>
            <w:r w:rsidR="00536BCA" w:rsidRPr="00CB09D5">
              <w:rPr>
                <w:lang w:val="en-GB"/>
              </w:rPr>
              <w:t>licants increasing to nearly 30</w:t>
            </w:r>
            <w:r w:rsidR="00D62CB2" w:rsidRPr="00CB09D5">
              <w:rPr>
                <w:lang w:val="en-GB"/>
              </w:rPr>
              <w:t xml:space="preserve">%. </w:t>
            </w:r>
            <w:r w:rsidR="00E90D67" w:rsidRPr="00CB09D5">
              <w:rPr>
                <w:rFonts w:cs="Arial"/>
                <w:color w:val="0D0D0D"/>
                <w:spacing w:val="-4"/>
                <w:lang w:val="en-GB"/>
              </w:rPr>
              <w:t xml:space="preserve"> </w:t>
            </w:r>
          </w:p>
          <w:p w:rsidR="00E90D67" w:rsidRPr="00CB09D5" w:rsidRDefault="00E90D67" w:rsidP="008A03DE">
            <w:pPr>
              <w:pStyle w:val="Textpoznpodarou"/>
              <w:jc w:val="both"/>
              <w:rPr>
                <w:rFonts w:cs="Arial"/>
                <w:color w:val="0D0D0D"/>
                <w:spacing w:val="-2"/>
                <w:sz w:val="13"/>
                <w:szCs w:val="13"/>
                <w:lang w:val="en-GB"/>
              </w:rPr>
            </w:pPr>
          </w:p>
        </w:tc>
      </w:tr>
      <w:tr w:rsidR="00E90D67" w:rsidRPr="00CB09D5" w:rsidTr="008A03DE">
        <w:tc>
          <w:tcPr>
            <w:tcW w:w="1057" w:type="pct"/>
          </w:tcPr>
          <w:p w:rsidR="00E90D67" w:rsidRPr="00CB09D5" w:rsidRDefault="00DD10F4"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Good financial situation of businesses as well as the growing obstacles </w:t>
            </w:r>
            <w:r w:rsidR="00056A90" w:rsidRPr="00CB09D5">
              <w:rPr>
                <w:rFonts w:cs="Arial"/>
                <w:bCs/>
                <w:iCs/>
                <w:color w:val="0D0D0D"/>
                <w:spacing w:val="-2"/>
                <w:sz w:val="16"/>
                <w:szCs w:val="16"/>
                <w:lang w:val="en-GB"/>
              </w:rPr>
              <w:t>to find new workers pressed on the incr</w:t>
            </w:r>
            <w:r w:rsidR="00536BCA" w:rsidRPr="00CB09D5">
              <w:rPr>
                <w:rFonts w:cs="Arial"/>
                <w:bCs/>
                <w:iCs/>
                <w:color w:val="0D0D0D"/>
                <w:spacing w:val="-2"/>
                <w:sz w:val="16"/>
                <w:szCs w:val="16"/>
                <w:lang w:val="en-GB"/>
              </w:rPr>
              <w:t>ease of wages. They rose by 4.2</w:t>
            </w:r>
            <w:r w:rsidR="00056A90" w:rsidRPr="00CB09D5">
              <w:rPr>
                <w:rFonts w:cs="Arial"/>
                <w:bCs/>
                <w:iCs/>
                <w:color w:val="0D0D0D"/>
                <w:spacing w:val="-2"/>
                <w:sz w:val="16"/>
                <w:szCs w:val="16"/>
                <w:lang w:val="en-GB"/>
              </w:rPr>
              <w:t xml:space="preserve">% last year, the most since </w:t>
            </w:r>
            <w:r w:rsidR="00AB2797" w:rsidRPr="00CB09D5">
              <w:rPr>
                <w:rFonts w:cs="Arial"/>
                <w:bCs/>
                <w:iCs/>
                <w:color w:val="0D0D0D"/>
                <w:spacing w:val="-2"/>
                <w:sz w:val="16"/>
                <w:szCs w:val="16"/>
                <w:lang w:val="en-GB"/>
              </w:rPr>
              <w:t xml:space="preserve">the </w:t>
            </w:r>
            <w:r w:rsidR="00056A90" w:rsidRPr="00CB09D5">
              <w:rPr>
                <w:rFonts w:cs="Arial"/>
                <w:bCs/>
                <w:iCs/>
                <w:color w:val="0D0D0D"/>
                <w:spacing w:val="-2"/>
                <w:sz w:val="16"/>
                <w:szCs w:val="16"/>
                <w:lang w:val="en-GB"/>
              </w:rPr>
              <w:t>year 2008</w:t>
            </w:r>
            <w:r w:rsidR="00E90D67" w:rsidRPr="00CB09D5">
              <w:rPr>
                <w:rFonts w:cs="Arial"/>
                <w:bCs/>
                <w:iCs/>
                <w:color w:val="0D0D0D"/>
                <w:spacing w:val="-2"/>
                <w:sz w:val="16"/>
                <w:szCs w:val="16"/>
                <w:lang w:val="en-GB"/>
              </w:rPr>
              <w:t>.</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8A1662" w:rsidP="008A03DE">
            <w:pPr>
              <w:pStyle w:val="Textpoznpodarou"/>
              <w:jc w:val="both"/>
              <w:rPr>
                <w:rFonts w:cs="Arial"/>
                <w:color w:val="0D0D0D"/>
                <w:spacing w:val="-4"/>
                <w:lang w:val="en-GB"/>
              </w:rPr>
            </w:pPr>
            <w:r w:rsidRPr="00CB09D5">
              <w:rPr>
                <w:rFonts w:cs="Arial"/>
                <w:color w:val="0D0D0D"/>
                <w:spacing w:val="-4"/>
                <w:lang w:val="en-GB"/>
              </w:rPr>
              <w:t xml:space="preserve">Continuing growth of the economy, lasting positive outlook in key branches, loose budget policy of the state and last but not least, the growing lack of labour </w:t>
            </w:r>
            <w:r w:rsidR="00423C04" w:rsidRPr="00CB09D5">
              <w:rPr>
                <w:rFonts w:cs="Arial"/>
                <w:color w:val="0D0D0D"/>
                <w:spacing w:val="-4"/>
                <w:lang w:val="en-GB"/>
              </w:rPr>
              <w:t>(</w:t>
            </w:r>
            <w:r w:rsidR="00E23DA4" w:rsidRPr="00CB09D5">
              <w:rPr>
                <w:rFonts w:cs="Arial"/>
                <w:color w:val="0D0D0D"/>
                <w:spacing w:val="-4"/>
                <w:lang w:val="en-GB"/>
              </w:rPr>
              <w:t xml:space="preserve">due to the low and still falling unemployment) pushed the growth of the earnings up. The average gross wage (reflecting the length of employee </w:t>
            </w:r>
            <w:r w:rsidR="00536BCA" w:rsidRPr="00CB09D5">
              <w:rPr>
                <w:rFonts w:cs="Arial"/>
                <w:color w:val="0D0D0D"/>
                <w:spacing w:val="-4"/>
                <w:lang w:val="en-GB"/>
              </w:rPr>
              <w:t>job contracts) increased by 4.2</w:t>
            </w:r>
            <w:r w:rsidR="00E23DA4" w:rsidRPr="00CB09D5">
              <w:rPr>
                <w:rFonts w:cs="Arial"/>
                <w:color w:val="0D0D0D"/>
                <w:spacing w:val="-4"/>
                <w:lang w:val="en-GB"/>
              </w:rPr>
              <w:t xml:space="preserve">% last year compared to </w:t>
            </w:r>
            <w:r w:rsidR="00AB2797" w:rsidRPr="00CB09D5">
              <w:rPr>
                <w:rFonts w:cs="Arial"/>
                <w:color w:val="0D0D0D"/>
                <w:spacing w:val="-4"/>
                <w:lang w:val="en-GB"/>
              </w:rPr>
              <w:t xml:space="preserve">the </w:t>
            </w:r>
            <w:r w:rsidR="00E23DA4" w:rsidRPr="00CB09D5">
              <w:rPr>
                <w:rFonts w:cs="Arial"/>
                <w:color w:val="0D0D0D"/>
                <w:spacing w:val="-4"/>
                <w:lang w:val="en-GB"/>
              </w:rPr>
              <w:t xml:space="preserve">year 2015 </w:t>
            </w:r>
            <w:r w:rsidR="00E90D67" w:rsidRPr="00CB09D5">
              <w:rPr>
                <w:rFonts w:cs="Arial"/>
                <w:color w:val="0D0D0D"/>
                <w:spacing w:val="-4"/>
                <w:lang w:val="en-GB"/>
              </w:rPr>
              <w:t>(nomin</w:t>
            </w:r>
            <w:r w:rsidR="00E23DA4" w:rsidRPr="00CB09D5">
              <w:rPr>
                <w:rFonts w:cs="Arial"/>
                <w:color w:val="0D0D0D"/>
                <w:spacing w:val="-4"/>
                <w:lang w:val="en-GB"/>
              </w:rPr>
              <w:t>al growth of wage stayed closely below th</w:t>
            </w:r>
            <w:r w:rsidR="00536BCA" w:rsidRPr="00CB09D5">
              <w:rPr>
                <w:rFonts w:cs="Arial"/>
                <w:color w:val="0D0D0D"/>
                <w:spacing w:val="-4"/>
                <w:lang w:val="en-GB"/>
              </w:rPr>
              <w:t>e 3</w:t>
            </w:r>
            <w:r w:rsidR="00E23DA4" w:rsidRPr="00CB09D5">
              <w:rPr>
                <w:rFonts w:cs="Arial"/>
                <w:color w:val="0D0D0D"/>
                <w:spacing w:val="-4"/>
                <w:lang w:val="en-GB"/>
              </w:rPr>
              <w:t xml:space="preserve">% in </w:t>
            </w:r>
            <w:r w:rsidR="00AB2797" w:rsidRPr="00CB09D5">
              <w:rPr>
                <w:rFonts w:cs="Arial"/>
                <w:color w:val="0D0D0D"/>
                <w:spacing w:val="-4"/>
                <w:lang w:val="en-GB"/>
              </w:rPr>
              <w:t xml:space="preserve">the </w:t>
            </w:r>
            <w:r w:rsidR="00E23DA4" w:rsidRPr="00CB09D5">
              <w:rPr>
                <w:rFonts w:cs="Arial"/>
                <w:color w:val="0D0D0D"/>
                <w:spacing w:val="-4"/>
                <w:lang w:val="en-GB"/>
              </w:rPr>
              <w:t>years 2014 and 2015 at the same time</w:t>
            </w:r>
            <w:r w:rsidR="008173D2">
              <w:rPr>
                <w:rFonts w:cs="Arial"/>
                <w:color w:val="0D0D0D"/>
                <w:spacing w:val="-4"/>
                <w:lang w:val="en-GB"/>
              </w:rPr>
              <w:t>)</w:t>
            </w:r>
            <w:r w:rsidR="00E23DA4" w:rsidRPr="00CB09D5">
              <w:rPr>
                <w:rFonts w:cs="Arial"/>
                <w:color w:val="0D0D0D"/>
                <w:spacing w:val="-4"/>
                <w:lang w:val="en-GB"/>
              </w:rPr>
              <w:t xml:space="preserve">. Year-on-year rates of growth of wages however did not signal an upward trend anymore within the last </w:t>
            </w:r>
            <w:r w:rsidR="00536BCA" w:rsidRPr="00CB09D5">
              <w:rPr>
                <w:rFonts w:cs="Arial"/>
                <w:color w:val="0D0D0D"/>
                <w:spacing w:val="-4"/>
                <w:lang w:val="en-GB"/>
              </w:rPr>
              <w:t>year (the growth arrived at 4.2</w:t>
            </w:r>
            <w:r w:rsidR="00E23DA4" w:rsidRPr="00CB09D5">
              <w:rPr>
                <w:rFonts w:cs="Arial"/>
                <w:color w:val="0D0D0D"/>
                <w:spacing w:val="-4"/>
                <w:lang w:val="en-GB"/>
              </w:rPr>
              <w:t xml:space="preserve">% in the Q4 itself). </w:t>
            </w:r>
            <w:r w:rsidR="00732F10" w:rsidRPr="00CB09D5">
              <w:rPr>
                <w:rFonts w:cs="Arial"/>
                <w:color w:val="0D0D0D"/>
                <w:spacing w:val="-4"/>
                <w:lang w:val="en-GB"/>
              </w:rPr>
              <w:t xml:space="preserve">High growth </w:t>
            </w:r>
            <w:r w:rsidR="00536BCA" w:rsidRPr="00CB09D5">
              <w:rPr>
                <w:rFonts w:cs="Arial"/>
                <w:color w:val="0D0D0D"/>
                <w:spacing w:val="-4"/>
                <w:lang w:val="en-GB"/>
              </w:rPr>
              <w:t>of the number of employees (1.8</w:t>
            </w:r>
            <w:r w:rsidR="00732F10" w:rsidRPr="00CB09D5">
              <w:rPr>
                <w:rFonts w:cs="Arial"/>
                <w:color w:val="0D0D0D"/>
                <w:spacing w:val="-4"/>
                <w:lang w:val="en-GB"/>
              </w:rPr>
              <w:t>%) prevented the acceleration of the average wages, with a significant part being concentrated into the branches with the below</w:t>
            </w:r>
            <w:r w:rsidR="003460E3" w:rsidRPr="00CB09D5">
              <w:rPr>
                <w:rFonts w:cs="Arial"/>
                <w:color w:val="0D0D0D"/>
                <w:spacing w:val="-4"/>
                <w:lang w:val="en-GB"/>
              </w:rPr>
              <w:t xml:space="preserve"> </w:t>
            </w:r>
            <w:r w:rsidR="00732F10" w:rsidRPr="00CB09D5">
              <w:rPr>
                <w:rFonts w:cs="Arial"/>
                <w:color w:val="0D0D0D"/>
                <w:spacing w:val="-4"/>
                <w:lang w:val="en-GB"/>
              </w:rPr>
              <w:t>average level of wages (trade,</w:t>
            </w:r>
            <w:r w:rsidR="003E6EB0" w:rsidRPr="00CB09D5">
              <w:rPr>
                <w:rFonts w:cs="Arial"/>
                <w:color w:val="0D0D0D"/>
                <w:spacing w:val="-4"/>
                <w:lang w:val="en-GB"/>
              </w:rPr>
              <w:t xml:space="preserve"> transportation and </w:t>
            </w:r>
            <w:r w:rsidR="003460E3" w:rsidRPr="00CB09D5">
              <w:rPr>
                <w:rFonts w:cs="Arial"/>
                <w:color w:val="0D0D0D"/>
                <w:spacing w:val="-4"/>
                <w:lang w:val="en-GB"/>
              </w:rPr>
              <w:t>storage</w:t>
            </w:r>
            <w:r w:rsidR="00E90D67" w:rsidRPr="00CB09D5">
              <w:rPr>
                <w:rFonts w:cs="Arial"/>
                <w:color w:val="0D0D0D"/>
                <w:spacing w:val="-4"/>
                <w:lang w:val="en-GB"/>
              </w:rPr>
              <w:t xml:space="preserve">, </w:t>
            </w:r>
            <w:r w:rsidR="003E6EB0" w:rsidRPr="00CB09D5">
              <w:rPr>
                <w:rFonts w:cs="Arial"/>
                <w:color w:val="0D0D0D"/>
                <w:spacing w:val="-4"/>
                <w:lang w:val="en-GB"/>
              </w:rPr>
              <w:t xml:space="preserve">real estate activities, </w:t>
            </w:r>
            <w:r w:rsidR="00E90D67" w:rsidRPr="00CB09D5">
              <w:rPr>
                <w:rFonts w:cs="Arial"/>
                <w:color w:val="0D0D0D"/>
                <w:spacing w:val="-4"/>
                <w:lang w:val="en-GB"/>
              </w:rPr>
              <w:t>administrativ</w:t>
            </w:r>
            <w:r w:rsidR="003460E3" w:rsidRPr="00CB09D5">
              <w:rPr>
                <w:rFonts w:cs="Arial"/>
                <w:color w:val="0D0D0D"/>
                <w:spacing w:val="-4"/>
                <w:lang w:val="en-GB"/>
              </w:rPr>
              <w:t>e and support service activities</w:t>
            </w:r>
            <w:r w:rsidR="00E90D67" w:rsidRPr="00CB09D5">
              <w:rPr>
                <w:rFonts w:cs="Arial"/>
                <w:color w:val="0D0D0D"/>
                <w:spacing w:val="-4"/>
                <w:lang w:val="en-GB"/>
              </w:rPr>
              <w:t xml:space="preserve">). </w:t>
            </w:r>
          </w:p>
          <w:p w:rsidR="00E90D67" w:rsidRPr="00CB09D5" w:rsidRDefault="00E90D67" w:rsidP="008A03DE">
            <w:pPr>
              <w:pStyle w:val="Textpoznpodarou"/>
              <w:jc w:val="both"/>
              <w:rPr>
                <w:rFonts w:cs="Arial"/>
                <w:color w:val="0D0D0D"/>
                <w:spacing w:val="-2"/>
                <w:sz w:val="13"/>
                <w:szCs w:val="13"/>
                <w:lang w:val="en-GB"/>
              </w:rPr>
            </w:pPr>
          </w:p>
        </w:tc>
      </w:tr>
      <w:tr w:rsidR="00E90D67" w:rsidRPr="00CB09D5" w:rsidTr="008A03DE">
        <w:tc>
          <w:tcPr>
            <w:tcW w:w="1057" w:type="pct"/>
          </w:tcPr>
          <w:p w:rsidR="00E90D67" w:rsidRPr="00CB09D5" w:rsidRDefault="00775219"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Vast majority of branches recorded a more favourable year-on-year rate of growth of the average wages than in 2015, with the exception of mining and quarrying, construction and also the real estate activities.</w:t>
            </w:r>
          </w:p>
          <w:p w:rsidR="00E90D67" w:rsidRPr="00CB09D5" w:rsidRDefault="00E90D67" w:rsidP="008A03DE">
            <w:pPr>
              <w:spacing w:line="240" w:lineRule="auto"/>
              <w:rPr>
                <w:rFonts w:cs="Arial"/>
                <w:bCs/>
                <w:iCs/>
                <w:color w:val="0D0D0D"/>
                <w:spacing w:val="-4"/>
                <w:sz w:val="16"/>
                <w:szCs w:val="16"/>
                <w:lang w:val="en-GB"/>
              </w:rPr>
            </w:pPr>
          </w:p>
          <w:p w:rsidR="00E90D67" w:rsidRPr="00CB09D5" w:rsidRDefault="00E90D67" w:rsidP="008A03DE">
            <w:pPr>
              <w:spacing w:line="240" w:lineRule="auto"/>
              <w:rPr>
                <w:rFonts w:cs="Arial"/>
                <w:bCs/>
                <w:iCs/>
                <w:color w:val="0D0D0D"/>
                <w:spacing w:val="-4"/>
                <w:sz w:val="10"/>
                <w:szCs w:val="10"/>
                <w:lang w:val="en-GB"/>
              </w:rPr>
            </w:pPr>
          </w:p>
          <w:p w:rsidR="00E90D67" w:rsidRPr="00CB09D5" w:rsidRDefault="00E90D67"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0E4241" w:rsidRPr="00CB09D5" w:rsidRDefault="000E4241" w:rsidP="008A03DE">
            <w:pPr>
              <w:spacing w:line="240" w:lineRule="auto"/>
              <w:rPr>
                <w:rFonts w:cs="Arial"/>
                <w:bCs/>
                <w:iCs/>
                <w:color w:val="0D0D0D"/>
                <w:spacing w:val="-4"/>
                <w:sz w:val="16"/>
                <w:szCs w:val="16"/>
                <w:lang w:val="en-GB"/>
              </w:rPr>
            </w:pPr>
          </w:p>
          <w:p w:rsidR="00E90D67" w:rsidRPr="00CB09D5" w:rsidRDefault="00E90D67" w:rsidP="008A03DE">
            <w:pPr>
              <w:spacing w:line="240" w:lineRule="auto"/>
              <w:rPr>
                <w:rFonts w:cs="Arial"/>
                <w:bCs/>
                <w:iCs/>
                <w:color w:val="0D0D0D"/>
                <w:spacing w:val="-4"/>
                <w:sz w:val="10"/>
                <w:szCs w:val="10"/>
                <w:lang w:val="en-GB"/>
              </w:rPr>
            </w:pPr>
          </w:p>
          <w:p w:rsidR="00E90D67" w:rsidRPr="00CB09D5" w:rsidRDefault="0086405D"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 xml:space="preserve">Wage median grew more dynamically than the average wage already sixth quarter in a row. </w:t>
            </w:r>
          </w:p>
        </w:tc>
        <w:tc>
          <w:tcPr>
            <w:tcW w:w="142" w:type="pct"/>
          </w:tcPr>
          <w:p w:rsidR="00E90D67" w:rsidRPr="00CB09D5" w:rsidRDefault="00E90D67" w:rsidP="008A03DE">
            <w:pPr>
              <w:pStyle w:val="Textpoznpodarou"/>
              <w:jc w:val="both"/>
              <w:rPr>
                <w:color w:val="0D0D0D"/>
                <w:lang w:val="en-GB"/>
              </w:rPr>
            </w:pPr>
          </w:p>
        </w:tc>
        <w:tc>
          <w:tcPr>
            <w:tcW w:w="3801" w:type="pct"/>
          </w:tcPr>
          <w:p w:rsidR="00E90D67" w:rsidRPr="00CB09D5" w:rsidRDefault="00176C72" w:rsidP="008173D2">
            <w:pPr>
              <w:pStyle w:val="Textpoznpodarou"/>
              <w:jc w:val="both"/>
              <w:rPr>
                <w:color w:val="0D0D0D"/>
                <w:spacing w:val="-4"/>
                <w:lang w:val="en-GB"/>
              </w:rPr>
            </w:pPr>
            <w:r w:rsidRPr="00CB09D5">
              <w:rPr>
                <w:rFonts w:cs="Arial"/>
                <w:color w:val="0D0D0D"/>
                <w:spacing w:val="-4"/>
                <w:lang w:val="en-GB"/>
              </w:rPr>
              <w:t>Average wage increased</w:t>
            </w:r>
            <w:r w:rsidR="008173D2">
              <w:rPr>
                <w:rFonts w:cs="Arial"/>
                <w:color w:val="0D0D0D"/>
                <w:spacing w:val="-4"/>
                <w:lang w:val="en-GB"/>
              </w:rPr>
              <w:t xml:space="preserve"> in </w:t>
            </w:r>
            <w:r w:rsidRPr="00CB09D5">
              <w:rPr>
                <w:rFonts w:cs="Arial"/>
                <w:color w:val="0D0D0D"/>
                <w:spacing w:val="-4"/>
                <w:lang w:val="en-GB"/>
              </w:rPr>
              <w:t>all branc</w:t>
            </w:r>
            <w:r w:rsidR="00004CAA" w:rsidRPr="00CB09D5">
              <w:rPr>
                <w:rFonts w:cs="Arial"/>
                <w:color w:val="0D0D0D"/>
                <w:spacing w:val="-4"/>
                <w:lang w:val="en-GB"/>
              </w:rPr>
              <w:t>h</w:t>
            </w:r>
            <w:r w:rsidRPr="00CB09D5">
              <w:rPr>
                <w:rFonts w:cs="Arial"/>
                <w:color w:val="0D0D0D"/>
                <w:spacing w:val="-4"/>
                <w:lang w:val="en-GB"/>
              </w:rPr>
              <w:t>es except for</w:t>
            </w:r>
            <w:r w:rsidR="00536BCA" w:rsidRPr="00CB09D5">
              <w:rPr>
                <w:rFonts w:cs="Arial"/>
                <w:color w:val="0D0D0D"/>
                <w:spacing w:val="-4"/>
                <w:lang w:val="en-GB"/>
              </w:rPr>
              <w:t xml:space="preserve"> the mining and quarrying (-0.5</w:t>
            </w:r>
            <w:r w:rsidRPr="00CB09D5">
              <w:rPr>
                <w:rFonts w:cs="Arial"/>
                <w:color w:val="0D0D0D"/>
                <w:spacing w:val="-4"/>
                <w:lang w:val="en-GB"/>
              </w:rPr>
              <w:t xml:space="preserve">%) last year, where it was in addition accompanied by a </w:t>
            </w:r>
            <w:r w:rsidR="009C41EA" w:rsidRPr="00CB09D5">
              <w:rPr>
                <w:rFonts w:cs="Arial"/>
                <w:color w:val="0D0D0D"/>
                <w:spacing w:val="-4"/>
                <w:lang w:val="en-GB"/>
              </w:rPr>
              <w:t xml:space="preserve">considerable </w:t>
            </w:r>
            <w:r w:rsidRPr="00CB09D5">
              <w:rPr>
                <w:rFonts w:cs="Arial"/>
                <w:color w:val="0D0D0D"/>
                <w:spacing w:val="-4"/>
                <w:lang w:val="en-GB"/>
              </w:rPr>
              <w:t>reduction o</w:t>
            </w:r>
            <w:r w:rsidR="00536BCA" w:rsidRPr="00CB09D5">
              <w:rPr>
                <w:rFonts w:cs="Arial"/>
                <w:color w:val="0D0D0D"/>
                <w:spacing w:val="-4"/>
                <w:lang w:val="en-GB"/>
              </w:rPr>
              <w:t>f the number of employees (by 6</w:t>
            </w:r>
            <w:r w:rsidRPr="00CB09D5">
              <w:rPr>
                <w:rFonts w:cs="Arial"/>
                <w:color w:val="0D0D0D"/>
                <w:spacing w:val="-4"/>
                <w:lang w:val="en-GB"/>
              </w:rPr>
              <w:t xml:space="preserve">%). </w:t>
            </w:r>
            <w:r w:rsidR="003138E0" w:rsidRPr="00CB09D5">
              <w:rPr>
                <w:rFonts w:cs="Arial"/>
                <w:color w:val="0D0D0D"/>
                <w:spacing w:val="-4"/>
                <w:lang w:val="en-GB"/>
              </w:rPr>
              <w:t>The strongest growth of wages occurred in accommodation</w:t>
            </w:r>
            <w:r w:rsidR="008173D2">
              <w:rPr>
                <w:rFonts w:cs="Arial"/>
                <w:color w:val="0D0D0D"/>
                <w:spacing w:val="-4"/>
                <w:lang w:val="en-GB"/>
              </w:rPr>
              <w:t xml:space="preserve"> and</w:t>
            </w:r>
            <w:r w:rsidR="003138E0" w:rsidRPr="00CB09D5">
              <w:rPr>
                <w:rFonts w:cs="Arial"/>
                <w:color w:val="0D0D0D"/>
                <w:spacing w:val="-4"/>
                <w:lang w:val="en-GB"/>
              </w:rPr>
              <w:t xml:space="preserve"> food service activities </w:t>
            </w:r>
            <w:r w:rsidR="00E90D67" w:rsidRPr="00CB09D5">
              <w:rPr>
                <w:rFonts w:cs="Arial"/>
                <w:color w:val="0D0D0D"/>
                <w:spacing w:val="-4"/>
                <w:lang w:val="en-GB"/>
              </w:rPr>
              <w:t>(+7</w:t>
            </w:r>
            <w:r w:rsidR="003138E0" w:rsidRPr="00CB09D5">
              <w:rPr>
                <w:rFonts w:cs="Arial"/>
                <w:color w:val="0D0D0D"/>
                <w:spacing w:val="-4"/>
                <w:lang w:val="en-GB"/>
              </w:rPr>
              <w:t>.</w:t>
            </w:r>
            <w:r w:rsidR="00215CC3" w:rsidRPr="00CB09D5">
              <w:rPr>
                <w:rFonts w:cs="Arial"/>
                <w:color w:val="0D0D0D"/>
                <w:spacing w:val="-4"/>
                <w:lang w:val="en-GB"/>
              </w:rPr>
              <w:t>2</w:t>
            </w:r>
            <w:r w:rsidR="00E90D67" w:rsidRPr="00CB09D5">
              <w:rPr>
                <w:rFonts w:cs="Arial"/>
                <w:color w:val="0D0D0D"/>
                <w:spacing w:val="-4"/>
                <w:lang w:val="en-GB"/>
              </w:rPr>
              <w:t xml:space="preserve">%) </w:t>
            </w:r>
            <w:r w:rsidR="003138E0" w:rsidRPr="00CB09D5">
              <w:rPr>
                <w:rFonts w:cs="Arial"/>
                <w:color w:val="0D0D0D"/>
                <w:spacing w:val="-4"/>
                <w:lang w:val="en-GB"/>
              </w:rPr>
              <w:t xml:space="preserve">pulled for the most part by the growth of the minimal wage (by </w:t>
            </w:r>
            <w:r w:rsidR="00E90D67" w:rsidRPr="00CB09D5">
              <w:rPr>
                <w:rFonts w:cs="Arial"/>
                <w:color w:val="0D0D0D"/>
                <w:spacing w:val="-4"/>
                <w:lang w:val="en-GB"/>
              </w:rPr>
              <w:t xml:space="preserve">1100 </w:t>
            </w:r>
            <w:r w:rsidR="003138E0" w:rsidRPr="00CB09D5">
              <w:rPr>
                <w:rFonts w:cs="Arial"/>
                <w:color w:val="0D0D0D"/>
                <w:spacing w:val="-4"/>
                <w:lang w:val="en-GB"/>
              </w:rPr>
              <w:t>crowns</w:t>
            </w:r>
            <w:r w:rsidR="00E90D67" w:rsidRPr="00CB09D5">
              <w:rPr>
                <w:rFonts w:cs="Arial"/>
                <w:color w:val="0D0D0D"/>
                <w:spacing w:val="-4"/>
                <w:lang w:val="en-GB"/>
              </w:rPr>
              <w:t xml:space="preserve">). </w:t>
            </w:r>
            <w:r w:rsidR="003138E0" w:rsidRPr="00CB09D5">
              <w:rPr>
                <w:rFonts w:cs="Arial"/>
                <w:color w:val="0D0D0D"/>
                <w:spacing w:val="-4"/>
                <w:lang w:val="en-GB"/>
              </w:rPr>
              <w:t>In the absolute expression, the wages of employees in information and communication improved the most (by 1687 crowns)</w:t>
            </w:r>
            <w:proofErr w:type="gramStart"/>
            <w:r w:rsidR="003138E0" w:rsidRPr="00CB09D5">
              <w:rPr>
                <w:rFonts w:cs="Arial"/>
                <w:color w:val="0D0D0D"/>
                <w:spacing w:val="-4"/>
                <w:lang w:val="en-GB"/>
              </w:rPr>
              <w:t>,</w:t>
            </w:r>
            <w:proofErr w:type="gramEnd"/>
            <w:r w:rsidR="003138E0" w:rsidRPr="00CB09D5">
              <w:rPr>
                <w:rFonts w:cs="Arial"/>
                <w:color w:val="0D0D0D"/>
                <w:spacing w:val="-4"/>
                <w:lang w:val="en-GB"/>
              </w:rPr>
              <w:t xml:space="preserve"> the average wage here crossed the 50 thousand boundary similarly to the</w:t>
            </w:r>
            <w:r w:rsidR="00004CAA" w:rsidRPr="00CB09D5">
              <w:rPr>
                <w:rFonts w:cs="Arial"/>
                <w:color w:val="0D0D0D"/>
                <w:spacing w:val="-4"/>
                <w:lang w:val="en-GB"/>
              </w:rPr>
              <w:t xml:space="preserve"> </w:t>
            </w:r>
            <w:r w:rsidR="00AE76E4" w:rsidRPr="00CB09D5">
              <w:rPr>
                <w:rFonts w:cs="Arial"/>
                <w:color w:val="0D0D0D"/>
                <w:spacing w:val="-4"/>
                <w:lang w:val="en-GB"/>
              </w:rPr>
              <w:t>financial and insurance</w:t>
            </w:r>
            <w:r w:rsidR="008173D2">
              <w:rPr>
                <w:rFonts w:cs="Arial"/>
                <w:color w:val="0D0D0D"/>
                <w:spacing w:val="-4"/>
                <w:lang w:val="en-GB"/>
              </w:rPr>
              <w:t xml:space="preserve"> activities</w:t>
            </w:r>
            <w:r w:rsidR="00E90D67" w:rsidRPr="00CB09D5">
              <w:rPr>
                <w:rFonts w:cs="Arial"/>
                <w:color w:val="0D0D0D"/>
                <w:spacing w:val="-4"/>
                <w:lang w:val="en-GB"/>
              </w:rPr>
              <w:t xml:space="preserve">. </w:t>
            </w:r>
            <w:r w:rsidR="00004CAA" w:rsidRPr="00CB09D5">
              <w:rPr>
                <w:rFonts w:cs="Arial"/>
                <w:color w:val="0D0D0D"/>
                <w:spacing w:val="-4"/>
                <w:lang w:val="en-GB"/>
              </w:rPr>
              <w:t>In the weight significant manufacturing the growth of wages copied (</w:t>
            </w:r>
            <w:r w:rsidR="00A23DE5" w:rsidRPr="00CB09D5">
              <w:rPr>
                <w:rFonts w:cs="Arial"/>
                <w:color w:val="0D0D0D"/>
                <w:spacing w:val="-4"/>
                <w:lang w:val="en-GB"/>
              </w:rPr>
              <w:t>similarly</w:t>
            </w:r>
            <w:r w:rsidR="00004CAA" w:rsidRPr="00CB09D5">
              <w:rPr>
                <w:rFonts w:cs="Arial"/>
                <w:color w:val="0D0D0D"/>
                <w:spacing w:val="-4"/>
                <w:lang w:val="en-GB"/>
              </w:rPr>
              <w:t xml:space="preserve"> to </w:t>
            </w:r>
            <w:r w:rsidR="00AB2797" w:rsidRPr="00CB09D5">
              <w:rPr>
                <w:rFonts w:cs="Arial"/>
                <w:color w:val="0D0D0D"/>
                <w:spacing w:val="-4"/>
                <w:lang w:val="en-GB"/>
              </w:rPr>
              <w:t xml:space="preserve">the </w:t>
            </w:r>
            <w:r w:rsidR="00004CAA" w:rsidRPr="00CB09D5">
              <w:rPr>
                <w:rFonts w:cs="Arial"/>
                <w:color w:val="0D0D0D"/>
                <w:spacing w:val="-4"/>
                <w:lang w:val="en-GB"/>
              </w:rPr>
              <w:t xml:space="preserve">year 2015) the rates of growth in the whole economy, this branch however still intensively hired new workers. </w:t>
            </w:r>
            <w:r w:rsidR="002907F1" w:rsidRPr="00CB09D5">
              <w:rPr>
                <w:rFonts w:cs="Arial"/>
                <w:color w:val="0D0D0D"/>
                <w:spacing w:val="-4"/>
                <w:lang w:val="en-GB"/>
              </w:rPr>
              <w:t xml:space="preserve">Average wages in the branches with a dominant share of the state grew swiftly, however they did not create (apart from the health and social care) new job positions to any significant extent. </w:t>
            </w:r>
            <w:r w:rsidR="004B30E2" w:rsidRPr="00CB09D5">
              <w:rPr>
                <w:rFonts w:cs="Arial"/>
                <w:color w:val="0D0D0D"/>
                <w:spacing w:val="-4"/>
                <w:lang w:val="en-GB"/>
              </w:rPr>
              <w:t xml:space="preserve">Higher earnings of the </w:t>
            </w:r>
            <w:r w:rsidR="000760AE" w:rsidRPr="00CB09D5">
              <w:rPr>
                <w:rFonts w:cs="Arial"/>
                <w:color w:val="0D0D0D"/>
                <w:spacing w:val="-4"/>
                <w:lang w:val="en-GB"/>
              </w:rPr>
              <w:t xml:space="preserve">members of the armed forces </w:t>
            </w:r>
            <w:r w:rsidR="004B30E2" w:rsidRPr="00CB09D5">
              <w:rPr>
                <w:rFonts w:cs="Arial"/>
                <w:color w:val="0D0D0D"/>
                <w:spacing w:val="-4"/>
                <w:lang w:val="en-GB"/>
              </w:rPr>
              <w:t>also contr</w:t>
            </w:r>
            <w:r w:rsidR="00215CC3" w:rsidRPr="00CB09D5">
              <w:rPr>
                <w:rFonts w:cs="Arial"/>
                <w:color w:val="0D0D0D"/>
                <w:spacing w:val="-4"/>
                <w:lang w:val="en-GB"/>
              </w:rPr>
              <w:t>ibuted to the wage growth (+5.6</w:t>
            </w:r>
            <w:r w:rsidR="004B30E2" w:rsidRPr="00CB09D5">
              <w:rPr>
                <w:rFonts w:cs="Arial"/>
                <w:color w:val="0D0D0D"/>
                <w:spacing w:val="-4"/>
                <w:lang w:val="en-GB"/>
              </w:rPr>
              <w:t xml:space="preserve">%) in the public </w:t>
            </w:r>
            <w:r w:rsidR="000760AE" w:rsidRPr="00CB09D5">
              <w:rPr>
                <w:rFonts w:cs="Arial"/>
                <w:color w:val="0D0D0D"/>
                <w:spacing w:val="-4"/>
                <w:lang w:val="en-GB"/>
              </w:rPr>
              <w:t xml:space="preserve">administration, defence and social security. </w:t>
            </w:r>
            <w:r w:rsidR="00A84179" w:rsidRPr="00CB09D5">
              <w:rPr>
                <w:rFonts w:cs="Arial"/>
                <w:color w:val="0D0D0D"/>
                <w:spacing w:val="-4"/>
                <w:lang w:val="en-GB"/>
              </w:rPr>
              <w:t xml:space="preserve">Wages in education displayed </w:t>
            </w:r>
            <w:r w:rsidR="003D15C3" w:rsidRPr="00CB09D5">
              <w:rPr>
                <w:rFonts w:cs="Arial"/>
                <w:color w:val="0D0D0D"/>
                <w:spacing w:val="-4"/>
                <w:lang w:val="en-GB"/>
              </w:rPr>
              <w:t>weaker dynamics</w:t>
            </w:r>
            <w:r w:rsidR="00A84179" w:rsidRPr="00CB09D5">
              <w:rPr>
                <w:rFonts w:cs="Arial"/>
                <w:color w:val="0D0D0D"/>
                <w:spacing w:val="-4"/>
                <w:lang w:val="en-GB"/>
              </w:rPr>
              <w:t xml:space="preserve"> throughout the whole year </w:t>
            </w:r>
            <w:r w:rsidR="00E90D67" w:rsidRPr="00CB09D5">
              <w:rPr>
                <w:rFonts w:cs="Arial"/>
                <w:color w:val="0D0D0D"/>
                <w:spacing w:val="-4"/>
                <w:lang w:val="en-GB"/>
              </w:rPr>
              <w:t>(+4</w:t>
            </w:r>
            <w:r w:rsidR="00A84179" w:rsidRPr="00CB09D5">
              <w:rPr>
                <w:rFonts w:cs="Arial"/>
                <w:color w:val="0D0D0D"/>
                <w:spacing w:val="-4"/>
                <w:lang w:val="en-GB"/>
              </w:rPr>
              <w:t>.</w:t>
            </w:r>
            <w:r w:rsidR="00215CC3" w:rsidRPr="00CB09D5">
              <w:rPr>
                <w:rFonts w:cs="Arial"/>
                <w:color w:val="0D0D0D"/>
                <w:spacing w:val="-4"/>
                <w:lang w:val="en-GB"/>
              </w:rPr>
              <w:t>1</w:t>
            </w:r>
            <w:r w:rsidR="00E90D67" w:rsidRPr="00CB09D5">
              <w:rPr>
                <w:rFonts w:cs="Arial"/>
                <w:color w:val="0D0D0D"/>
                <w:spacing w:val="-4"/>
                <w:lang w:val="en-GB"/>
              </w:rPr>
              <w:t xml:space="preserve">%), </w:t>
            </w:r>
            <w:r w:rsidR="001F1C99" w:rsidRPr="00CB09D5">
              <w:rPr>
                <w:rFonts w:cs="Arial"/>
                <w:color w:val="0D0D0D"/>
                <w:spacing w:val="-4"/>
                <w:lang w:val="en-GB"/>
              </w:rPr>
              <w:t xml:space="preserve">the growth however accelerated due to the increase of the wage </w:t>
            </w:r>
            <w:r w:rsidR="000760AE" w:rsidRPr="00CB09D5">
              <w:rPr>
                <w:rFonts w:cs="Arial"/>
                <w:color w:val="0D0D0D"/>
                <w:spacing w:val="-4"/>
                <w:lang w:val="en-GB"/>
              </w:rPr>
              <w:t>tariffs</w:t>
            </w:r>
            <w:r w:rsidR="00215CC3" w:rsidRPr="00CB09D5">
              <w:rPr>
                <w:rFonts w:cs="Arial"/>
                <w:color w:val="0D0D0D"/>
                <w:spacing w:val="-4"/>
                <w:lang w:val="en-GB"/>
              </w:rPr>
              <w:t xml:space="preserve"> to 7.4</w:t>
            </w:r>
            <w:r w:rsidR="001F1C99" w:rsidRPr="00CB09D5">
              <w:rPr>
                <w:rFonts w:cs="Arial"/>
                <w:color w:val="0D0D0D"/>
                <w:spacing w:val="-4"/>
                <w:lang w:val="en-GB"/>
              </w:rPr>
              <w:t xml:space="preserve">% in the Q4 itself. </w:t>
            </w:r>
            <w:r w:rsidR="006F1A67" w:rsidRPr="00CB09D5">
              <w:rPr>
                <w:rFonts w:cs="Arial"/>
                <w:color w:val="0D0D0D"/>
                <w:spacing w:val="-4"/>
                <w:lang w:val="en-GB"/>
              </w:rPr>
              <w:t xml:space="preserve">More favourable development of the average earnings in the branches with the dominant share of state </w:t>
            </w:r>
            <w:r w:rsidR="001F1C99" w:rsidRPr="00CB09D5">
              <w:rPr>
                <w:rFonts w:cs="Arial"/>
                <w:color w:val="0D0D0D"/>
                <w:spacing w:val="-4"/>
                <w:lang w:val="en-GB"/>
              </w:rPr>
              <w:t>was reflected in the high growth of the wage median (</w:t>
            </w:r>
            <w:r w:rsidR="00215CC3" w:rsidRPr="00CB09D5">
              <w:rPr>
                <w:rFonts w:cs="Arial"/>
                <w:color w:val="0D0D0D"/>
                <w:spacing w:val="-4"/>
                <w:lang w:val="en-GB"/>
              </w:rPr>
              <w:t>by 6.0% in Q4, by 6.7</w:t>
            </w:r>
            <w:r w:rsidR="00290870" w:rsidRPr="00CB09D5">
              <w:rPr>
                <w:rFonts w:cs="Arial"/>
                <w:color w:val="0D0D0D"/>
                <w:spacing w:val="-4"/>
                <w:lang w:val="en-GB"/>
              </w:rPr>
              <w:t>% for females</w:t>
            </w:r>
            <w:r w:rsidR="00220838" w:rsidRPr="00CB09D5">
              <w:rPr>
                <w:color w:val="0D0D0D"/>
                <w:spacing w:val="-5"/>
                <w:lang w:val="en-GB"/>
              </w:rPr>
              <w:t xml:space="preserve">). </w:t>
            </w:r>
            <w:r w:rsidR="00BC00E5" w:rsidRPr="00CB09D5">
              <w:rPr>
                <w:color w:val="0D0D0D"/>
                <w:spacing w:val="-5"/>
                <w:lang w:val="en-GB"/>
              </w:rPr>
              <w:t xml:space="preserve">It exceeded the dynamics of the average wages already six quarters in a </w:t>
            </w:r>
            <w:proofErr w:type="gramStart"/>
            <w:r w:rsidR="00BC00E5" w:rsidRPr="00CB09D5">
              <w:rPr>
                <w:color w:val="0D0D0D"/>
                <w:spacing w:val="-5"/>
                <w:lang w:val="en-GB"/>
              </w:rPr>
              <w:t>row,</w:t>
            </w:r>
            <w:proofErr w:type="gramEnd"/>
            <w:r w:rsidR="00BC00E5" w:rsidRPr="00CB09D5">
              <w:rPr>
                <w:color w:val="0D0D0D"/>
                <w:spacing w:val="-5"/>
                <w:lang w:val="en-GB"/>
              </w:rPr>
              <w:t xml:space="preserve"> both direct and indirect impacts of the repeated increases of the minimal wages had an effect here. </w:t>
            </w:r>
            <w:r w:rsidR="0005171C" w:rsidRPr="00CB09D5">
              <w:rPr>
                <w:color w:val="0D0D0D"/>
                <w:spacing w:val="-5"/>
                <w:lang w:val="en-GB"/>
              </w:rPr>
              <w:t>A</w:t>
            </w:r>
            <w:r w:rsidR="00215CC3" w:rsidRPr="00CB09D5">
              <w:rPr>
                <w:color w:val="0D0D0D"/>
                <w:spacing w:val="-5"/>
                <w:lang w:val="en-GB"/>
              </w:rPr>
              <w:t>verage real wage grew by 3.5</w:t>
            </w:r>
            <w:r w:rsidR="0005171C" w:rsidRPr="00CB09D5">
              <w:rPr>
                <w:color w:val="0D0D0D"/>
                <w:spacing w:val="-5"/>
                <w:lang w:val="en-GB"/>
              </w:rPr>
              <w:t>% last year (the most sin</w:t>
            </w:r>
            <w:r w:rsidR="00215CC3" w:rsidRPr="00CB09D5">
              <w:rPr>
                <w:color w:val="0D0D0D"/>
                <w:spacing w:val="-5"/>
                <w:lang w:val="en-GB"/>
              </w:rPr>
              <w:t>ce 2007)</w:t>
            </w:r>
            <w:proofErr w:type="gramStart"/>
            <w:r w:rsidR="00215CC3" w:rsidRPr="00CB09D5">
              <w:rPr>
                <w:color w:val="0D0D0D"/>
                <w:spacing w:val="-5"/>
                <w:lang w:val="en-GB"/>
              </w:rPr>
              <w:t>,</w:t>
            </w:r>
            <w:proofErr w:type="gramEnd"/>
            <w:r w:rsidR="00215CC3" w:rsidRPr="00CB09D5">
              <w:rPr>
                <w:color w:val="0D0D0D"/>
                <w:spacing w:val="-5"/>
                <w:lang w:val="en-GB"/>
              </w:rPr>
              <w:t xml:space="preserve"> it slowed down to 2.8</w:t>
            </w:r>
            <w:r w:rsidR="0005171C" w:rsidRPr="00CB09D5">
              <w:rPr>
                <w:color w:val="0D0D0D"/>
                <w:spacing w:val="-5"/>
                <w:lang w:val="en-GB"/>
              </w:rPr>
              <w:t xml:space="preserve">% due to a growing inflation in Q4. </w:t>
            </w:r>
            <w:r w:rsidR="00E90D67" w:rsidRPr="00CB09D5">
              <w:rPr>
                <w:color w:val="0D0D0D"/>
                <w:spacing w:val="-4"/>
                <w:lang w:val="en-GB"/>
              </w:rPr>
              <w:t xml:space="preserve"> </w:t>
            </w:r>
          </w:p>
        </w:tc>
      </w:tr>
    </w:tbl>
    <w:p w:rsidR="00E90D67" w:rsidRPr="00CB09D5" w:rsidRDefault="00E90D67" w:rsidP="00E90D67">
      <w:pPr>
        <w:rPr>
          <w:sz w:val="8"/>
          <w:szCs w:val="8"/>
          <w:lang w:val="en-GB"/>
        </w:rPr>
      </w:pPr>
    </w:p>
    <w:tbl>
      <w:tblPr>
        <w:tblW w:w="4986" w:type="pct"/>
        <w:tblLayout w:type="fixed"/>
        <w:tblCellMar>
          <w:left w:w="28" w:type="dxa"/>
          <w:right w:w="28" w:type="dxa"/>
        </w:tblCellMar>
        <w:tblLook w:val="04A0"/>
      </w:tblPr>
      <w:tblGrid>
        <w:gridCol w:w="760"/>
        <w:gridCol w:w="4089"/>
        <w:gridCol w:w="708"/>
        <w:gridCol w:w="4110"/>
      </w:tblGrid>
      <w:tr w:rsidR="00E90D67" w:rsidRPr="00CB09D5" w:rsidTr="008A03DE">
        <w:tc>
          <w:tcPr>
            <w:tcW w:w="393" w:type="pct"/>
          </w:tcPr>
          <w:p w:rsidR="00E90D67" w:rsidRPr="00CB09D5" w:rsidRDefault="00DE5ABD" w:rsidP="008A03DE">
            <w:pPr>
              <w:pStyle w:val="Textpoznpodarou"/>
              <w:rPr>
                <w:lang w:val="en-GB" w:eastAsia="en-US"/>
              </w:rPr>
            </w:pPr>
            <w:r w:rsidRPr="00CB09D5">
              <w:rPr>
                <w:lang w:val="en-GB" w:eastAsia="en-US"/>
              </w:rPr>
              <w:lastRenderedPageBreak/>
              <w:t xml:space="preserve">Chart </w:t>
            </w:r>
            <w:r w:rsidR="00E90D67" w:rsidRPr="00CB09D5">
              <w:rPr>
                <w:lang w:val="en-GB" w:eastAsia="en-US"/>
              </w:rPr>
              <w:t>15</w:t>
            </w:r>
          </w:p>
        </w:tc>
        <w:tc>
          <w:tcPr>
            <w:tcW w:w="2115" w:type="pct"/>
          </w:tcPr>
          <w:p w:rsidR="00E90D67" w:rsidRPr="00CB09D5" w:rsidRDefault="00B00724" w:rsidP="00C4341C">
            <w:pPr>
              <w:pStyle w:val="Textpoznpodarou"/>
              <w:rPr>
                <w:lang w:val="en-GB" w:eastAsia="en-US"/>
              </w:rPr>
            </w:pPr>
            <w:r>
              <w:rPr>
                <w:b/>
                <w:lang w:val="en-GB" w:eastAsia="en-US"/>
              </w:rPr>
              <w:t>Total n</w:t>
            </w:r>
            <w:r w:rsidR="00E17233" w:rsidRPr="00CB09D5">
              <w:rPr>
                <w:b/>
                <w:lang w:val="en-GB" w:eastAsia="en-US"/>
              </w:rPr>
              <w:t>umber of employed persons and employees</w:t>
            </w:r>
            <w:r w:rsidR="00E17233" w:rsidRPr="00CB09D5">
              <w:rPr>
                <w:spacing w:val="-4"/>
                <w:lang w:val="en-GB" w:eastAsia="en-US"/>
              </w:rPr>
              <w:t xml:space="preserve"> </w:t>
            </w:r>
            <w:r w:rsidR="00E90D67" w:rsidRPr="00CB09D5">
              <w:rPr>
                <w:spacing w:val="-4"/>
                <w:lang w:val="en-GB" w:eastAsia="en-US"/>
              </w:rPr>
              <w:t>(</w:t>
            </w:r>
            <w:r w:rsidR="00E17233" w:rsidRPr="00CB09D5">
              <w:rPr>
                <w:lang w:val="en-GB" w:eastAsia="en-US"/>
              </w:rPr>
              <w:t xml:space="preserve">national accounts data, </w:t>
            </w:r>
            <w:r w:rsidR="00E90D67" w:rsidRPr="00CB09D5">
              <w:rPr>
                <w:spacing w:val="-4"/>
                <w:lang w:val="en-GB" w:eastAsia="en-US"/>
              </w:rPr>
              <w:t>se</w:t>
            </w:r>
            <w:r w:rsidR="00C4341C" w:rsidRPr="00CB09D5">
              <w:rPr>
                <w:spacing w:val="-4"/>
                <w:lang w:val="en-GB" w:eastAsia="en-US"/>
              </w:rPr>
              <w:t>asonally adj.</w:t>
            </w:r>
            <w:r w:rsidR="00E90D67" w:rsidRPr="00CB09D5">
              <w:rPr>
                <w:spacing w:val="-4"/>
                <w:lang w:val="en-GB" w:eastAsia="en-US"/>
              </w:rPr>
              <w:t xml:space="preserve">, y/y </w:t>
            </w:r>
            <w:r w:rsidR="00C4341C" w:rsidRPr="00CB09D5">
              <w:rPr>
                <w:spacing w:val="-4"/>
                <w:lang w:val="en-GB" w:eastAsia="en-US"/>
              </w:rPr>
              <w:t>in</w:t>
            </w:r>
            <w:r w:rsidR="00E90D67" w:rsidRPr="00CB09D5">
              <w:rPr>
                <w:spacing w:val="-4"/>
                <w:lang w:val="en-GB" w:eastAsia="en-US"/>
              </w:rPr>
              <w:t xml:space="preserve"> %)</w:t>
            </w:r>
          </w:p>
        </w:tc>
        <w:tc>
          <w:tcPr>
            <w:tcW w:w="366" w:type="pct"/>
          </w:tcPr>
          <w:p w:rsidR="00E90D67" w:rsidRPr="00CB09D5" w:rsidRDefault="00C4341C" w:rsidP="008A03DE">
            <w:pPr>
              <w:pStyle w:val="Textpoznpodarou"/>
              <w:rPr>
                <w:lang w:val="en-GB" w:eastAsia="en-US"/>
              </w:rPr>
            </w:pPr>
            <w:r w:rsidRPr="00CB09D5">
              <w:rPr>
                <w:lang w:val="en-GB" w:eastAsia="en-US"/>
              </w:rPr>
              <w:t>Chart</w:t>
            </w:r>
            <w:r w:rsidR="00E90D67" w:rsidRPr="00CB09D5">
              <w:rPr>
                <w:lang w:val="en-GB" w:eastAsia="en-US"/>
              </w:rPr>
              <w:t xml:space="preserve"> 16</w:t>
            </w:r>
          </w:p>
        </w:tc>
        <w:tc>
          <w:tcPr>
            <w:tcW w:w="2126" w:type="pct"/>
          </w:tcPr>
          <w:p w:rsidR="00E90D67" w:rsidRPr="00CB09D5" w:rsidRDefault="00C4341C" w:rsidP="00F92347">
            <w:pPr>
              <w:pStyle w:val="Textpoznpodarou"/>
              <w:rPr>
                <w:spacing w:val="-2"/>
                <w:lang w:val="en-GB" w:eastAsia="en-US"/>
              </w:rPr>
            </w:pPr>
            <w:r w:rsidRPr="00CB09D5">
              <w:rPr>
                <w:b/>
                <w:spacing w:val="-2"/>
                <w:lang w:val="en-GB" w:eastAsia="en-US"/>
              </w:rPr>
              <w:t xml:space="preserve">Gross monthly </w:t>
            </w:r>
            <w:r w:rsidR="0058621A">
              <w:rPr>
                <w:b/>
                <w:spacing w:val="-2"/>
                <w:lang w:val="en-GB" w:eastAsia="en-US"/>
              </w:rPr>
              <w:t xml:space="preserve">wage </w:t>
            </w:r>
            <w:r w:rsidR="00EB6063" w:rsidRPr="00EB6063">
              <w:rPr>
                <w:b/>
                <w:spacing w:val="-2"/>
                <w:lang w:val="en-GB" w:eastAsia="en-US"/>
              </w:rPr>
              <w:t>of employees</w:t>
            </w:r>
            <w:r w:rsidR="009757E6">
              <w:rPr>
                <w:spacing w:val="-2"/>
                <w:lang w:val="en-GB" w:eastAsia="en-US"/>
              </w:rPr>
              <w:t xml:space="preserve"> (in full-time equivalent</w:t>
            </w:r>
            <w:r w:rsidR="00E90D67" w:rsidRPr="00CB09D5">
              <w:rPr>
                <w:spacing w:val="-6"/>
                <w:lang w:val="en-GB" w:eastAsia="en-US"/>
              </w:rPr>
              <w:t xml:space="preserve">, y/y </w:t>
            </w:r>
            <w:r w:rsidR="00F92347" w:rsidRPr="00CB09D5">
              <w:rPr>
                <w:spacing w:val="-6"/>
                <w:lang w:val="en-GB" w:eastAsia="en-US"/>
              </w:rPr>
              <w:t>in</w:t>
            </w:r>
            <w:r w:rsidR="00E90D67" w:rsidRPr="00CB09D5">
              <w:rPr>
                <w:spacing w:val="-6"/>
                <w:lang w:val="en-GB" w:eastAsia="en-US"/>
              </w:rPr>
              <w:t xml:space="preserve"> %) a</w:t>
            </w:r>
            <w:r w:rsidR="00F92347" w:rsidRPr="00CB09D5">
              <w:rPr>
                <w:spacing w:val="-6"/>
                <w:lang w:val="en-GB" w:eastAsia="en-US"/>
              </w:rPr>
              <w:t>nd</w:t>
            </w:r>
            <w:r w:rsidR="00E90D67" w:rsidRPr="00CB09D5">
              <w:rPr>
                <w:spacing w:val="-6"/>
                <w:lang w:val="en-GB" w:eastAsia="en-US"/>
              </w:rPr>
              <w:t xml:space="preserve"> </w:t>
            </w:r>
            <w:r w:rsidR="00F92347" w:rsidRPr="00CB09D5">
              <w:rPr>
                <w:b/>
                <w:spacing w:val="-6"/>
                <w:lang w:val="en-GB" w:eastAsia="en-US"/>
              </w:rPr>
              <w:t>labour productivity</w:t>
            </w:r>
            <w:r w:rsidR="00B00724">
              <w:rPr>
                <w:b/>
                <w:spacing w:val="-6"/>
                <w:lang w:val="en-GB" w:eastAsia="en-US"/>
              </w:rPr>
              <w:t xml:space="preserve"> </w:t>
            </w:r>
            <w:r w:rsidR="00EB6063" w:rsidRPr="00EB6063">
              <w:rPr>
                <w:spacing w:val="-6"/>
                <w:lang w:val="en-GB" w:eastAsia="en-US"/>
              </w:rPr>
              <w:t>(</w:t>
            </w:r>
            <w:r w:rsidR="00B00724" w:rsidRPr="00CB09D5">
              <w:rPr>
                <w:spacing w:val="-6"/>
                <w:lang w:val="en-GB" w:eastAsia="en-US"/>
              </w:rPr>
              <w:t>y/y in %)</w:t>
            </w:r>
          </w:p>
        </w:tc>
      </w:tr>
      <w:tr w:rsidR="00E90D67" w:rsidRPr="00CB09D5" w:rsidTr="0098121F">
        <w:trPr>
          <w:trHeight w:val="3662"/>
        </w:trPr>
        <w:tc>
          <w:tcPr>
            <w:tcW w:w="2508" w:type="pct"/>
            <w:gridSpan w:val="2"/>
          </w:tcPr>
          <w:p w:rsidR="00E90D67" w:rsidRPr="00CB09D5" w:rsidRDefault="0029191C" w:rsidP="008A03DE">
            <w:pPr>
              <w:pStyle w:val="Textpoznpodarou"/>
              <w:jc w:val="both"/>
              <w:rPr>
                <w:lang w:val="en-GB"/>
              </w:rPr>
            </w:pPr>
            <w:r>
              <w:rPr>
                <w:noProof/>
              </w:rPr>
              <w:drawing>
                <wp:inline distT="0" distB="0" distL="0" distR="0">
                  <wp:extent cx="3042920" cy="2319020"/>
                  <wp:effectExtent l="19050" t="0" r="5080" b="0"/>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3042920" cy="2319020"/>
                          </a:xfrm>
                          <a:prstGeom prst="rect">
                            <a:avLst/>
                          </a:prstGeom>
                          <a:noFill/>
                          <a:ln w="9525">
                            <a:noFill/>
                            <a:miter lim="800000"/>
                            <a:headEnd/>
                            <a:tailEnd/>
                          </a:ln>
                        </pic:spPr>
                      </pic:pic>
                    </a:graphicData>
                  </a:graphic>
                </wp:inline>
              </w:drawing>
            </w:r>
          </w:p>
        </w:tc>
        <w:tc>
          <w:tcPr>
            <w:tcW w:w="2492" w:type="pct"/>
            <w:gridSpan w:val="2"/>
          </w:tcPr>
          <w:p w:rsidR="00E90D67" w:rsidRPr="00CB09D5" w:rsidRDefault="0029191C" w:rsidP="008A03DE">
            <w:pPr>
              <w:pStyle w:val="Textpoznpodarou"/>
              <w:jc w:val="both"/>
              <w:rPr>
                <w:lang w:val="en-GB"/>
              </w:rPr>
            </w:pPr>
            <w:r>
              <w:rPr>
                <w:noProof/>
              </w:rPr>
              <w:drawing>
                <wp:inline distT="0" distB="0" distL="0" distR="0">
                  <wp:extent cx="3021297" cy="2318918"/>
                  <wp:effectExtent l="19050" t="0" r="7653" b="0"/>
                  <wp:docPr id="2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3021330" cy="2318944"/>
                          </a:xfrm>
                          <a:prstGeom prst="rect">
                            <a:avLst/>
                          </a:prstGeom>
                          <a:noFill/>
                          <a:ln w="9525">
                            <a:noFill/>
                            <a:miter lim="800000"/>
                            <a:headEnd/>
                            <a:tailEnd/>
                          </a:ln>
                        </pic:spPr>
                      </pic:pic>
                    </a:graphicData>
                  </a:graphic>
                </wp:inline>
              </w:drawing>
            </w:r>
          </w:p>
        </w:tc>
      </w:tr>
      <w:tr w:rsidR="00E90D67" w:rsidRPr="00CB09D5" w:rsidTr="008A03DE">
        <w:tc>
          <w:tcPr>
            <w:tcW w:w="5000" w:type="pct"/>
            <w:gridSpan w:val="4"/>
          </w:tcPr>
          <w:p w:rsidR="00EB6063" w:rsidRDefault="00DE5ABD" w:rsidP="00EB6063">
            <w:pPr>
              <w:tabs>
                <w:tab w:val="left" w:pos="822"/>
              </w:tabs>
              <w:autoSpaceDE w:val="0"/>
              <w:autoSpaceDN w:val="0"/>
              <w:adjustRightInd w:val="0"/>
              <w:spacing w:line="240" w:lineRule="auto"/>
              <w:jc w:val="right"/>
              <w:rPr>
                <w:lang w:val="en-GB"/>
              </w:rPr>
            </w:pPr>
            <w:r w:rsidRPr="00CB09D5">
              <w:rPr>
                <w:sz w:val="18"/>
                <w:szCs w:val="18"/>
                <w:lang w:val="en-GB" w:eastAsia="en-US"/>
              </w:rPr>
              <w:t>Source</w:t>
            </w:r>
            <w:r w:rsidR="00E90D67" w:rsidRPr="00CB09D5">
              <w:rPr>
                <w:sz w:val="18"/>
                <w:szCs w:val="18"/>
                <w:lang w:val="en-GB" w:eastAsia="en-US"/>
              </w:rPr>
              <w:t xml:space="preserve">: </w:t>
            </w:r>
            <w:r w:rsidRPr="00CB09D5">
              <w:rPr>
                <w:sz w:val="18"/>
                <w:szCs w:val="18"/>
                <w:lang w:val="en-GB" w:eastAsia="en-US"/>
              </w:rPr>
              <w:t>CZSO</w:t>
            </w:r>
          </w:p>
        </w:tc>
      </w:tr>
    </w:tbl>
    <w:p w:rsidR="00492991" w:rsidRPr="00CB09D5" w:rsidRDefault="00492991" w:rsidP="00D94859">
      <w:pPr>
        <w:rPr>
          <w:sz w:val="2"/>
          <w:szCs w:val="2"/>
          <w:lang w:val="en-GB" w:eastAsia="ar-SA"/>
        </w:rPr>
      </w:pPr>
    </w:p>
    <w:p w:rsidR="005752EB" w:rsidRPr="00CB09D5" w:rsidRDefault="005752EB"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Default="00E17233" w:rsidP="00D94859">
      <w:pPr>
        <w:rPr>
          <w:sz w:val="2"/>
          <w:szCs w:val="2"/>
          <w:lang w:val="en-GB" w:eastAsia="ar-SA"/>
        </w:rPr>
      </w:pPr>
    </w:p>
    <w:p w:rsidR="007A7EA4" w:rsidRPr="00CB09D5" w:rsidRDefault="007A7EA4"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17233" w:rsidRPr="00CB09D5" w:rsidRDefault="00E17233" w:rsidP="00D94859">
      <w:pPr>
        <w:rPr>
          <w:sz w:val="2"/>
          <w:szCs w:val="2"/>
          <w:lang w:val="en-GB" w:eastAsia="ar-SA"/>
        </w:rPr>
      </w:pPr>
    </w:p>
    <w:p w:rsidR="00EB6063" w:rsidRDefault="00576A3E" w:rsidP="00EB6063">
      <w:pPr>
        <w:pStyle w:val="Nadpis1"/>
        <w:numPr>
          <w:ilvl w:val="0"/>
          <w:numId w:val="20"/>
        </w:numPr>
        <w:ind w:left="709"/>
        <w:jc w:val="both"/>
        <w:rPr>
          <w:lang w:val="en-GB"/>
        </w:rPr>
      </w:pPr>
      <w:bookmarkStart w:id="15" w:name="_Toc469299935"/>
      <w:bookmarkStart w:id="16" w:name="_Toc480800277"/>
      <w:r w:rsidRPr="00CB09D5">
        <w:rPr>
          <w:lang w:val="en-GB"/>
        </w:rPr>
        <w:t>M</w:t>
      </w:r>
      <w:r w:rsidR="00A65E41" w:rsidRPr="00CB09D5">
        <w:rPr>
          <w:lang w:val="en-GB"/>
        </w:rPr>
        <w:t>onetary Conditions</w:t>
      </w:r>
      <w:bookmarkEnd w:id="15"/>
      <w:bookmarkEnd w:id="16"/>
    </w:p>
    <w:tbl>
      <w:tblPr>
        <w:tblW w:w="4995" w:type="pct"/>
        <w:tblInd w:w="108" w:type="dxa"/>
        <w:tblLayout w:type="fixed"/>
        <w:tblLook w:val="00A0"/>
      </w:tblPr>
      <w:tblGrid>
        <w:gridCol w:w="1134"/>
        <w:gridCol w:w="866"/>
        <w:gridCol w:w="284"/>
        <w:gridCol w:w="2589"/>
        <w:gridCol w:w="1150"/>
        <w:gridCol w:w="3821"/>
      </w:tblGrid>
      <w:tr w:rsidR="007E6588" w:rsidRPr="00CB09D5" w:rsidTr="00DD3867">
        <w:trPr>
          <w:trHeight w:val="145"/>
        </w:trPr>
        <w:tc>
          <w:tcPr>
            <w:tcW w:w="1016" w:type="pct"/>
            <w:gridSpan w:val="2"/>
          </w:tcPr>
          <w:p w:rsidR="007E6588" w:rsidRPr="00CB09D5" w:rsidRDefault="00C5076B" w:rsidP="00C5076B">
            <w:pPr>
              <w:spacing w:line="240" w:lineRule="auto"/>
              <w:rPr>
                <w:color w:val="000000"/>
                <w:sz w:val="16"/>
                <w:szCs w:val="16"/>
                <w:highlight w:val="yellow"/>
                <w:lang w:val="en-GB"/>
              </w:rPr>
            </w:pPr>
            <w:r w:rsidRPr="00CB09D5">
              <w:rPr>
                <w:color w:val="000000"/>
                <w:sz w:val="16"/>
                <w:szCs w:val="16"/>
                <w:lang w:val="en-GB"/>
              </w:rPr>
              <w:t xml:space="preserve">The Czech National Bank continued in loose monetary policy. Sustaining of the exchange rate </w:t>
            </w:r>
            <w:r w:rsidR="00BD65BF" w:rsidRPr="00CB09D5">
              <w:rPr>
                <w:color w:val="000000"/>
                <w:sz w:val="16"/>
                <w:szCs w:val="16"/>
                <w:lang w:val="en-GB"/>
              </w:rPr>
              <w:t xml:space="preserve">commitment required active CNB </w:t>
            </w:r>
            <w:proofErr w:type="spellStart"/>
            <w:r w:rsidR="00BD65BF" w:rsidRPr="00CB09D5">
              <w:rPr>
                <w:color w:val="000000"/>
                <w:sz w:val="16"/>
                <w:szCs w:val="16"/>
                <w:lang w:val="en-GB"/>
              </w:rPr>
              <w:t>forex</w:t>
            </w:r>
            <w:proofErr w:type="spellEnd"/>
            <w:r w:rsidR="00BD65BF" w:rsidRPr="00CB09D5">
              <w:rPr>
                <w:color w:val="000000"/>
                <w:sz w:val="16"/>
                <w:szCs w:val="16"/>
                <w:lang w:val="en-GB"/>
              </w:rPr>
              <w:t xml:space="preserve"> </w:t>
            </w:r>
            <w:r w:rsidR="002E5958" w:rsidRPr="00CB09D5">
              <w:rPr>
                <w:color w:val="000000"/>
                <w:sz w:val="16"/>
                <w:szCs w:val="16"/>
                <w:lang w:val="en-GB"/>
              </w:rPr>
              <w:t>i</w:t>
            </w:r>
            <w:r w:rsidRPr="00CB09D5">
              <w:rPr>
                <w:color w:val="000000"/>
                <w:sz w:val="16"/>
                <w:szCs w:val="16"/>
                <w:lang w:val="en-GB"/>
              </w:rPr>
              <w:t>nterventions on the foreign exchange market. The pressure on the crown appreciation grew by the end of the year.</w:t>
            </w:r>
            <w:r w:rsidR="007E6588" w:rsidRPr="00CB09D5">
              <w:rPr>
                <w:color w:val="000000"/>
                <w:sz w:val="16"/>
                <w:szCs w:val="16"/>
                <w:lang w:val="en-GB"/>
              </w:rPr>
              <w:t xml:space="preserve"> </w:t>
            </w:r>
          </w:p>
        </w:tc>
        <w:tc>
          <w:tcPr>
            <w:tcW w:w="144" w:type="pct"/>
          </w:tcPr>
          <w:p w:rsidR="007E6588" w:rsidRPr="00CB09D5" w:rsidRDefault="007E6588" w:rsidP="00D94859">
            <w:pPr>
              <w:pStyle w:val="Textpoznpodarou"/>
              <w:jc w:val="both"/>
              <w:rPr>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The overall setting of the monetary policy did not change during the year 2016. Monetary-policy interest rates remained at a constant level since December 2012. Sustaining of the exchange rate commitment, which the Czech National Bank (CNB) uses as a further instrument of easing the monetary conditions, required a series of transactions on the foreign exchange market. The exchange rate of crown against euro thus held just above the level of 27 crowns for the whole year. The exchange rate of crown against dollar mildly fluctuated during the year. The national currency strengthened from the January average of 24.89 crowns per dollar below the 24 crowns boundary during the first half of the year</w:t>
            </w:r>
            <w:r w:rsidRPr="00EB6063">
              <w:rPr>
                <w:rStyle w:val="Znakapoznpodarou"/>
                <w:spacing w:val="-2"/>
                <w:lang w:val="en-GB"/>
              </w:rPr>
              <w:footnoteReference w:id="28"/>
            </w:r>
            <w:r w:rsidRPr="00EB6063">
              <w:rPr>
                <w:spacing w:val="-2"/>
                <w:lang w:val="en-GB"/>
              </w:rPr>
              <w:t xml:space="preserve">. The exchange rate oscillated in the relatively narrow range around the 24.30 crowns per dollar in Q3. The crown depreciated more noticeably only at the end of the ear and it reached an average exchange rate of 25.64 crowns per dollar in December.   </w:t>
            </w:r>
          </w:p>
          <w:p w:rsidR="007E6588" w:rsidRPr="007A7EA4" w:rsidRDefault="007E6588" w:rsidP="008A03DE">
            <w:pPr>
              <w:pStyle w:val="Textpoznpodarou"/>
              <w:jc w:val="both"/>
              <w:rPr>
                <w:spacing w:val="-2"/>
                <w:sz w:val="14"/>
                <w:szCs w:val="14"/>
                <w:lang w:val="en-GB"/>
              </w:rPr>
            </w:pPr>
          </w:p>
        </w:tc>
      </w:tr>
      <w:tr w:rsidR="007E6588" w:rsidRPr="00CB09D5" w:rsidTr="00DD3867">
        <w:trPr>
          <w:trHeight w:val="145"/>
        </w:trPr>
        <w:tc>
          <w:tcPr>
            <w:tcW w:w="1016" w:type="pct"/>
            <w:gridSpan w:val="2"/>
            <w:shd w:val="clear" w:color="auto" w:fill="auto"/>
          </w:tcPr>
          <w:p w:rsidR="007E6588" w:rsidRPr="00CB09D5" w:rsidRDefault="00996D79" w:rsidP="00996D79">
            <w:pPr>
              <w:spacing w:line="240" w:lineRule="auto"/>
              <w:rPr>
                <w:color w:val="000000"/>
                <w:sz w:val="16"/>
                <w:szCs w:val="16"/>
                <w:lang w:val="en-GB"/>
              </w:rPr>
            </w:pPr>
            <w:r w:rsidRPr="00CB09D5">
              <w:rPr>
                <w:color w:val="000000"/>
                <w:sz w:val="16"/>
                <w:szCs w:val="16"/>
                <w:lang w:val="en-GB"/>
              </w:rPr>
              <w:t xml:space="preserve">Growth of the monetary aggregate </w:t>
            </w:r>
            <w:r w:rsidR="007E6588" w:rsidRPr="00CB09D5">
              <w:rPr>
                <w:color w:val="000000"/>
                <w:sz w:val="16"/>
                <w:szCs w:val="16"/>
                <w:lang w:val="en-GB"/>
              </w:rPr>
              <w:t xml:space="preserve">M3 </w:t>
            </w:r>
            <w:r w:rsidRPr="00CB09D5">
              <w:rPr>
                <w:color w:val="000000"/>
                <w:sz w:val="16"/>
                <w:szCs w:val="16"/>
                <w:lang w:val="en-GB"/>
              </w:rPr>
              <w:t xml:space="preserve">was relatively high in the first half of the year, nevertheless slowed down at the end of the year. </w:t>
            </w:r>
          </w:p>
        </w:tc>
        <w:tc>
          <w:tcPr>
            <w:tcW w:w="144" w:type="pct"/>
          </w:tcPr>
          <w:p w:rsidR="007E6588" w:rsidRPr="00CB09D5" w:rsidRDefault="007E6588" w:rsidP="00D94859">
            <w:pPr>
              <w:pStyle w:val="Textpoznpodarou"/>
              <w:jc w:val="both"/>
              <w:rPr>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Growth of the volume of money in the economy</w:t>
            </w:r>
            <w:r w:rsidRPr="00EB6063">
              <w:rPr>
                <w:rStyle w:val="Znakapoznpodarou"/>
                <w:spacing w:val="-2"/>
                <w:lang w:val="en-GB"/>
              </w:rPr>
              <w:footnoteReference w:id="29"/>
            </w:r>
            <w:r w:rsidRPr="00EB6063">
              <w:rPr>
                <w:spacing w:val="-2"/>
                <w:lang w:val="en-GB"/>
              </w:rPr>
              <w:t xml:space="preserve"> accelerated during the years 2014 and 2015 and the year-on-year addition remained above 9% in the first half of 2016. This rate of growth dropped to the 8% boundary in the second half of the year and it arrived at 6.5% in December, which returned it to the values of the first half of 2015. The volume of deposits with agreed maturity was decreasing throughout the whole year. Growth of the money stock was thus concentrated into the increase of amount of currency and deposits on current accounts. Monetary aggregate M1, which includes just these two items, comprises 89.4% of the total volume of money in the economy. </w:t>
            </w:r>
          </w:p>
          <w:p w:rsidR="007E6588" w:rsidRPr="007A7EA4" w:rsidRDefault="00EB6063" w:rsidP="008A03DE">
            <w:pPr>
              <w:pStyle w:val="Textpoznpodarou"/>
              <w:jc w:val="both"/>
              <w:rPr>
                <w:spacing w:val="-2"/>
                <w:sz w:val="14"/>
                <w:szCs w:val="14"/>
                <w:lang w:val="en-GB"/>
              </w:rPr>
            </w:pPr>
            <w:r w:rsidRPr="00EB6063">
              <w:rPr>
                <w:spacing w:val="-2"/>
                <w:lang w:val="en-GB"/>
              </w:rPr>
              <w:t xml:space="preserve">  </w:t>
            </w:r>
          </w:p>
        </w:tc>
      </w:tr>
      <w:tr w:rsidR="007E6588" w:rsidRPr="00CB09D5" w:rsidTr="00DD3867">
        <w:trPr>
          <w:trHeight w:val="145"/>
        </w:trPr>
        <w:tc>
          <w:tcPr>
            <w:tcW w:w="1016" w:type="pct"/>
            <w:gridSpan w:val="2"/>
            <w:shd w:val="clear" w:color="auto" w:fill="auto"/>
          </w:tcPr>
          <w:p w:rsidR="007E6588" w:rsidRPr="00CB09D5" w:rsidRDefault="00C40F33" w:rsidP="008A03DE">
            <w:pPr>
              <w:spacing w:line="240" w:lineRule="auto"/>
              <w:rPr>
                <w:color w:val="000000"/>
                <w:sz w:val="16"/>
                <w:szCs w:val="16"/>
                <w:lang w:val="en-GB"/>
              </w:rPr>
            </w:pPr>
            <w:r w:rsidRPr="00CB09D5">
              <w:rPr>
                <w:color w:val="000000"/>
                <w:sz w:val="16"/>
                <w:szCs w:val="16"/>
                <w:lang w:val="en-GB"/>
              </w:rPr>
              <w:t>Inte</w:t>
            </w:r>
            <w:r w:rsidR="00661416" w:rsidRPr="00CB09D5">
              <w:rPr>
                <w:color w:val="000000"/>
                <w:sz w:val="16"/>
                <w:szCs w:val="16"/>
                <w:lang w:val="en-GB"/>
              </w:rPr>
              <w:t>rb</w:t>
            </w:r>
            <w:r w:rsidRPr="00CB09D5">
              <w:rPr>
                <w:color w:val="000000"/>
                <w:sz w:val="16"/>
                <w:szCs w:val="16"/>
                <w:lang w:val="en-GB"/>
              </w:rPr>
              <w:t xml:space="preserve">ank interest rates stayed the same during the year. Yields from short-term state bonds fell to record minimums. </w:t>
            </w:r>
            <w:r w:rsidR="007E6588" w:rsidRPr="00CB09D5">
              <w:rPr>
                <w:color w:val="000000"/>
                <w:sz w:val="16"/>
                <w:szCs w:val="16"/>
                <w:lang w:val="en-GB"/>
              </w:rPr>
              <w:t xml:space="preserve">  </w:t>
            </w:r>
          </w:p>
          <w:p w:rsidR="007E6588" w:rsidRPr="00CB09D5" w:rsidRDefault="007E6588" w:rsidP="008A03DE">
            <w:pPr>
              <w:spacing w:line="240" w:lineRule="auto"/>
              <w:rPr>
                <w:color w:val="000000"/>
                <w:sz w:val="16"/>
                <w:szCs w:val="16"/>
                <w:lang w:val="en-GB"/>
              </w:rPr>
            </w:pPr>
          </w:p>
        </w:tc>
        <w:tc>
          <w:tcPr>
            <w:tcW w:w="144" w:type="pct"/>
          </w:tcPr>
          <w:p w:rsidR="007E6588" w:rsidRPr="00CB09D5" w:rsidRDefault="007E6588" w:rsidP="00D94859">
            <w:pPr>
              <w:pStyle w:val="Textpoznpodarou"/>
              <w:jc w:val="both"/>
              <w:rPr>
                <w:highlight w:val="yellow"/>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 xml:space="preserve">Market interest rates remained the same during the year. Three-month interbank rate PRIBOR kept at 0.29% and the one-year PRIBOR was at the level of 0.45% the whole time. The situation on the market with state bonds was different. Yields of medium term bonds (with maturity from 2 to 5 years) got above zero in Q2 2016, but it subsequently fell and oscillated around the value of -0.20% towards the end of the year. Yields of bonds with short-term maturity (up to 2 years) did not climb above zero since July 2015. Similarly to the medium-term bonds, its yields increased in Q2 2016 and reached to -0.04%, it fell down to -0.5% during Q3 and it arrived at historically the lowest value of -0.81% in December 2016. The interest rate on the long-term bonds attained the lowest value in September 2016 and it rose in contrast to the other two types of bonds in Q4 – it was 0.53% in December. </w:t>
            </w:r>
          </w:p>
          <w:p w:rsidR="007E6588" w:rsidRPr="007A7EA4" w:rsidRDefault="007E6588" w:rsidP="008A03DE">
            <w:pPr>
              <w:pStyle w:val="Textpoznpodarou"/>
              <w:jc w:val="both"/>
              <w:rPr>
                <w:spacing w:val="-2"/>
                <w:sz w:val="14"/>
                <w:szCs w:val="14"/>
                <w:highlight w:val="yellow"/>
                <w:lang w:val="en-GB"/>
              </w:rPr>
            </w:pPr>
          </w:p>
        </w:tc>
      </w:tr>
      <w:tr w:rsidR="007E6588" w:rsidRPr="00CB09D5" w:rsidTr="00DD3867">
        <w:trPr>
          <w:trHeight w:val="145"/>
        </w:trPr>
        <w:tc>
          <w:tcPr>
            <w:tcW w:w="1016" w:type="pct"/>
            <w:gridSpan w:val="2"/>
            <w:shd w:val="clear" w:color="auto" w:fill="auto"/>
          </w:tcPr>
          <w:p w:rsidR="007E6588" w:rsidRPr="00CB09D5" w:rsidRDefault="00977A58" w:rsidP="00977A58">
            <w:pPr>
              <w:spacing w:line="240" w:lineRule="auto"/>
              <w:rPr>
                <w:color w:val="000000"/>
                <w:sz w:val="16"/>
                <w:szCs w:val="16"/>
                <w:highlight w:val="yellow"/>
                <w:lang w:val="en-GB"/>
              </w:rPr>
            </w:pPr>
            <w:r w:rsidRPr="00CB09D5">
              <w:rPr>
                <w:color w:val="000000"/>
                <w:sz w:val="16"/>
                <w:szCs w:val="16"/>
                <w:lang w:val="en-GB"/>
              </w:rPr>
              <w:lastRenderedPageBreak/>
              <w:t>Interest rates on deposits were further falling and they tightly touch</w:t>
            </w:r>
            <w:r w:rsidR="006660BB" w:rsidRPr="00CB09D5">
              <w:rPr>
                <w:color w:val="000000"/>
                <w:sz w:val="16"/>
                <w:szCs w:val="16"/>
                <w:lang w:val="en-GB"/>
              </w:rPr>
              <w:t>ed</w:t>
            </w:r>
            <w:r w:rsidRPr="00CB09D5">
              <w:rPr>
                <w:color w:val="000000"/>
                <w:sz w:val="16"/>
                <w:szCs w:val="16"/>
                <w:lang w:val="en-GB"/>
              </w:rPr>
              <w:t xml:space="preserve"> zero in case of non-financial businesses. </w:t>
            </w:r>
          </w:p>
        </w:tc>
        <w:tc>
          <w:tcPr>
            <w:tcW w:w="144" w:type="pct"/>
          </w:tcPr>
          <w:p w:rsidR="007E6588" w:rsidRPr="00CB09D5" w:rsidRDefault="007E6588" w:rsidP="00D94859">
            <w:pPr>
              <w:pStyle w:val="Textpoznpodarou"/>
              <w:jc w:val="both"/>
              <w:rPr>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Interest rates on deposits were decreasing throughout the whole year 2016 or remained at a constant level regardless of the type or deposit or client. Household deposits with agreed maturity up to 1 year represented a partial exception and fluctuated between 1.31% and 0.53% and they finished at the same level at the end of the year as in January. Households had the largest volume of funds deposited on one day deposits (77.6% as of 31</w:t>
            </w:r>
            <w:r w:rsidRPr="00EB6063">
              <w:rPr>
                <w:spacing w:val="-2"/>
                <w:vertAlign w:val="superscript"/>
                <w:lang w:val="en-GB"/>
              </w:rPr>
              <w:t>st</w:t>
            </w:r>
            <w:r w:rsidRPr="00EB6063">
              <w:rPr>
                <w:spacing w:val="-2"/>
                <w:lang w:val="en-GB"/>
              </w:rPr>
              <w:t xml:space="preserve"> December 2016). The average interest rate fell from 0.21% in January to 0.11% in December 2016. The situation was similar for non-financial businesses. The vast majority of their monetary resources (93.9% as of 31</w:t>
            </w:r>
            <w:r w:rsidRPr="00EB6063">
              <w:rPr>
                <w:spacing w:val="-2"/>
                <w:vertAlign w:val="superscript"/>
                <w:lang w:val="en-GB"/>
              </w:rPr>
              <w:t>st</w:t>
            </w:r>
            <w:r w:rsidRPr="00EB6063">
              <w:rPr>
                <w:spacing w:val="-2"/>
                <w:lang w:val="en-GB"/>
              </w:rPr>
              <w:t xml:space="preserve"> December 2016) </w:t>
            </w:r>
            <w:proofErr w:type="gramStart"/>
            <w:r w:rsidRPr="00EB6063">
              <w:rPr>
                <w:spacing w:val="-2"/>
                <w:lang w:val="en-GB"/>
              </w:rPr>
              <w:t>is</w:t>
            </w:r>
            <w:proofErr w:type="gramEnd"/>
            <w:r w:rsidRPr="00EB6063">
              <w:rPr>
                <w:spacing w:val="-2"/>
                <w:lang w:val="en-GB"/>
              </w:rPr>
              <w:t xml:space="preserve"> deposited as one day deposits, whose interest rates did not have much room any more for the decrease to zero, since they reached 0.08% in January 2016. Their average rate came to 0.04% in December. Rates on the deposits with agreed maturity for non-financial businesses reached the level of current accounts in December.  </w:t>
            </w:r>
          </w:p>
          <w:p w:rsidR="007E6588" w:rsidRPr="007A7EA4" w:rsidRDefault="007E6588" w:rsidP="008A03DE">
            <w:pPr>
              <w:pStyle w:val="Textpoznpodarou"/>
              <w:jc w:val="both"/>
              <w:rPr>
                <w:spacing w:val="-2"/>
                <w:sz w:val="14"/>
                <w:szCs w:val="14"/>
                <w:lang w:val="en-GB"/>
              </w:rPr>
            </w:pPr>
          </w:p>
        </w:tc>
      </w:tr>
      <w:tr w:rsidR="007E6588" w:rsidRPr="00CB09D5" w:rsidTr="00DD3867">
        <w:trPr>
          <w:trHeight w:val="145"/>
        </w:trPr>
        <w:tc>
          <w:tcPr>
            <w:tcW w:w="1016" w:type="pct"/>
            <w:gridSpan w:val="2"/>
            <w:shd w:val="clear" w:color="auto" w:fill="auto"/>
          </w:tcPr>
          <w:p w:rsidR="007E6588" w:rsidRPr="00CB09D5" w:rsidRDefault="00FF5250" w:rsidP="00FF5250">
            <w:pPr>
              <w:spacing w:line="240" w:lineRule="auto"/>
              <w:rPr>
                <w:color w:val="000000"/>
                <w:sz w:val="16"/>
                <w:szCs w:val="16"/>
                <w:highlight w:val="yellow"/>
                <w:lang w:val="en-GB"/>
              </w:rPr>
            </w:pPr>
            <w:r w:rsidRPr="00CB09D5">
              <w:rPr>
                <w:color w:val="000000"/>
                <w:sz w:val="16"/>
                <w:szCs w:val="16"/>
                <w:lang w:val="en-GB"/>
              </w:rPr>
              <w:t xml:space="preserve">The long-term outflow of funds from term deposits continues, with their interests falling below the level of inflation. </w:t>
            </w:r>
          </w:p>
        </w:tc>
        <w:tc>
          <w:tcPr>
            <w:tcW w:w="144" w:type="pct"/>
          </w:tcPr>
          <w:p w:rsidR="007E6588" w:rsidRPr="00CB09D5" w:rsidRDefault="007E6588" w:rsidP="00D94859">
            <w:pPr>
              <w:pStyle w:val="Textpoznpodarou"/>
              <w:jc w:val="both"/>
              <w:rPr>
                <w:highlight w:val="yellow"/>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 xml:space="preserve">The practically zero interest rates led to a notable outflow of funds from term accounts of non-financial businesses. The volume of deposits with agreed maturity lowered by 22.8 bn for 2016, which represents a 32.3% fall. The rates on term deposits of households remained slightly above the level of inflation (until November), but even the private savers deposit still larger proportion of their funds on current accounts. The volume of one day deposits of households increased by 221.5 CZK bn (+14.4%) for 2016. </w:t>
            </w:r>
          </w:p>
          <w:p w:rsidR="007E6588" w:rsidRPr="007A7EA4" w:rsidRDefault="00EB6063" w:rsidP="008A03DE">
            <w:pPr>
              <w:pStyle w:val="Textpoznpodarou"/>
              <w:jc w:val="both"/>
              <w:rPr>
                <w:spacing w:val="-2"/>
                <w:sz w:val="14"/>
                <w:szCs w:val="14"/>
                <w:highlight w:val="yellow"/>
                <w:lang w:val="en-GB"/>
              </w:rPr>
            </w:pPr>
            <w:r w:rsidRPr="00EB6063">
              <w:rPr>
                <w:spacing w:val="-2"/>
                <w:lang w:val="en-GB"/>
              </w:rPr>
              <w:t xml:space="preserve"> </w:t>
            </w:r>
          </w:p>
        </w:tc>
      </w:tr>
      <w:tr w:rsidR="007E6588" w:rsidRPr="00CB09D5" w:rsidTr="00DD3867">
        <w:trPr>
          <w:trHeight w:val="145"/>
        </w:trPr>
        <w:tc>
          <w:tcPr>
            <w:tcW w:w="1016" w:type="pct"/>
            <w:gridSpan w:val="2"/>
          </w:tcPr>
          <w:p w:rsidR="007E6588" w:rsidRPr="00CB09D5" w:rsidRDefault="00EC0C89" w:rsidP="008A03DE">
            <w:pPr>
              <w:spacing w:line="240" w:lineRule="auto"/>
              <w:rPr>
                <w:color w:val="000000"/>
                <w:sz w:val="16"/>
                <w:szCs w:val="16"/>
                <w:lang w:val="en-GB"/>
              </w:rPr>
            </w:pPr>
            <w:r w:rsidRPr="00CB09D5">
              <w:rPr>
                <w:color w:val="000000"/>
                <w:sz w:val="16"/>
                <w:szCs w:val="16"/>
                <w:lang w:val="en-GB"/>
              </w:rPr>
              <w:t>Rates both on consumer credit and mortgages were falling</w:t>
            </w:r>
            <w:r w:rsidR="007E6588" w:rsidRPr="00CB09D5">
              <w:rPr>
                <w:color w:val="000000"/>
                <w:sz w:val="16"/>
                <w:szCs w:val="16"/>
                <w:lang w:val="en-GB"/>
              </w:rPr>
              <w:t xml:space="preserve">. </w:t>
            </w:r>
          </w:p>
          <w:p w:rsidR="00DD3867" w:rsidRPr="00CB09D5" w:rsidRDefault="00DD3867" w:rsidP="008A03DE">
            <w:pPr>
              <w:spacing w:line="240" w:lineRule="auto"/>
              <w:rPr>
                <w:color w:val="000000"/>
                <w:sz w:val="16"/>
                <w:szCs w:val="16"/>
                <w:lang w:val="en-GB"/>
              </w:rPr>
            </w:pPr>
          </w:p>
          <w:p w:rsidR="00DD3867" w:rsidRPr="00CB09D5" w:rsidRDefault="00DD3867" w:rsidP="008A03DE">
            <w:pPr>
              <w:spacing w:line="240" w:lineRule="auto"/>
              <w:rPr>
                <w:color w:val="000000"/>
                <w:sz w:val="16"/>
                <w:szCs w:val="16"/>
                <w:lang w:val="en-GB"/>
              </w:rPr>
            </w:pPr>
          </w:p>
          <w:p w:rsidR="007E6588" w:rsidRPr="00CB09D5" w:rsidRDefault="007E6588" w:rsidP="008A03DE">
            <w:pPr>
              <w:spacing w:line="240" w:lineRule="auto"/>
              <w:rPr>
                <w:color w:val="000000"/>
                <w:sz w:val="16"/>
                <w:szCs w:val="16"/>
                <w:lang w:val="en-GB"/>
              </w:rPr>
            </w:pPr>
          </w:p>
          <w:p w:rsidR="007E6588" w:rsidRPr="00CB09D5" w:rsidRDefault="00FA7132" w:rsidP="00FA7132">
            <w:pPr>
              <w:spacing w:line="240" w:lineRule="auto"/>
              <w:rPr>
                <w:color w:val="000000"/>
                <w:sz w:val="16"/>
                <w:szCs w:val="16"/>
                <w:highlight w:val="yellow"/>
                <w:lang w:val="en-GB"/>
              </w:rPr>
            </w:pPr>
            <w:r w:rsidRPr="00CB09D5">
              <w:rPr>
                <w:color w:val="000000"/>
                <w:sz w:val="16"/>
                <w:szCs w:val="16"/>
                <w:lang w:val="en-GB"/>
              </w:rPr>
              <w:t xml:space="preserve">Credit financing for non-financial businesses stayed at the level of the preceding year. </w:t>
            </w:r>
          </w:p>
        </w:tc>
        <w:tc>
          <w:tcPr>
            <w:tcW w:w="144" w:type="pct"/>
          </w:tcPr>
          <w:p w:rsidR="007E6588" w:rsidRPr="00CB09D5" w:rsidRDefault="007E6588" w:rsidP="00D94859">
            <w:pPr>
              <w:pStyle w:val="Textpoznpodarou"/>
              <w:jc w:val="both"/>
              <w:rPr>
                <w:highlight w:val="yellow"/>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Most of the rates on credit to households were decreasing during the year 2016. The interest rates on consumer credit fell by 1.6 p.p. during the year. The decline manifested mainly for medium and long term fixed rate credit. Interest rates on mortgages were also declining during the year. Rates on medium term fixed rate credit were falling at a stable rate. The most common fixed rate credit with term above 1 year and within 5 years charged on average interest of 2.35% in December 2015 and the rate fell by 0.15 p.p. during the year. The drop of rates for fixed rate credit with term between 5 and 10 years was more pronounced (</w:t>
            </w:r>
            <w:r w:rsidRPr="00EB6063">
              <w:rPr>
                <w:spacing w:val="-2"/>
                <w:lang w:val="en-GB"/>
              </w:rPr>
              <w:noBreakHyphen/>
              <w:t>0.5 p.p.). The situation on the credit market did not change much for non-financial businesses during the year 2016.</w:t>
            </w:r>
          </w:p>
          <w:p w:rsidR="007E6588" w:rsidRPr="007A7EA4" w:rsidRDefault="00EB6063" w:rsidP="008A03DE">
            <w:pPr>
              <w:pStyle w:val="Textpoznpodarou"/>
              <w:jc w:val="both"/>
              <w:rPr>
                <w:spacing w:val="-2"/>
                <w:sz w:val="14"/>
                <w:szCs w:val="14"/>
                <w:highlight w:val="yellow"/>
                <w:lang w:val="en-GB"/>
              </w:rPr>
            </w:pPr>
            <w:r w:rsidRPr="00EB6063">
              <w:rPr>
                <w:spacing w:val="-2"/>
                <w:lang w:val="en-GB"/>
              </w:rPr>
              <w:t xml:space="preserve">  </w:t>
            </w:r>
          </w:p>
        </w:tc>
      </w:tr>
      <w:tr w:rsidR="007E6588" w:rsidRPr="00CB09D5" w:rsidTr="00DD3867">
        <w:tc>
          <w:tcPr>
            <w:tcW w:w="1016" w:type="pct"/>
            <w:gridSpan w:val="2"/>
          </w:tcPr>
          <w:p w:rsidR="007E6588" w:rsidRPr="00CB09D5" w:rsidRDefault="003C2809" w:rsidP="003C2809">
            <w:pPr>
              <w:spacing w:line="240" w:lineRule="auto"/>
              <w:rPr>
                <w:color w:val="000000"/>
                <w:sz w:val="16"/>
                <w:szCs w:val="16"/>
                <w:highlight w:val="yellow"/>
                <w:lang w:val="en-GB"/>
              </w:rPr>
            </w:pPr>
            <w:r w:rsidRPr="00CB09D5">
              <w:rPr>
                <w:color w:val="000000"/>
                <w:sz w:val="16"/>
                <w:szCs w:val="16"/>
                <w:lang w:val="en-GB"/>
              </w:rPr>
              <w:t>The volume of provided consumer credit markedly rose in the first half of the year</w:t>
            </w:r>
            <w:r w:rsidR="007E6588" w:rsidRPr="00CB09D5">
              <w:rPr>
                <w:color w:val="000000"/>
                <w:sz w:val="16"/>
                <w:szCs w:val="16"/>
                <w:lang w:val="en-GB"/>
              </w:rPr>
              <w:t>.</w:t>
            </w:r>
            <w:r w:rsidRPr="00CB09D5">
              <w:rPr>
                <w:color w:val="000000"/>
                <w:sz w:val="16"/>
                <w:szCs w:val="16"/>
                <w:lang w:val="en-GB"/>
              </w:rPr>
              <w:t xml:space="preserve"> Growth of the volume of mortgages fastened in the last quarter. </w:t>
            </w:r>
            <w:r w:rsidR="007E6588" w:rsidRPr="00CB09D5">
              <w:rPr>
                <w:color w:val="000000"/>
                <w:sz w:val="16"/>
                <w:szCs w:val="16"/>
                <w:lang w:val="en-GB"/>
              </w:rPr>
              <w:t xml:space="preserve"> </w:t>
            </w:r>
          </w:p>
        </w:tc>
        <w:tc>
          <w:tcPr>
            <w:tcW w:w="144" w:type="pct"/>
          </w:tcPr>
          <w:p w:rsidR="007E6588" w:rsidRPr="00CB09D5" w:rsidRDefault="007E6588" w:rsidP="00D94859">
            <w:pPr>
              <w:pStyle w:val="Textpoznpodarou"/>
              <w:jc w:val="both"/>
              <w:rPr>
                <w:highlight w:val="yellow"/>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With respect to the favourable conditions, the volume of provided consumer credit was growing. The largest increase eventuated in February till May, when these credits swelled by more than 10% rate of growth year-on-year. The increase moderated in Q3 and settled at 6.3%. The year-on-year additions increased to 8.2% in the last quarter of the year. Mortgages formed the largest part of the total volume of provided credit (66.5% as of 31</w:t>
            </w:r>
            <w:r w:rsidRPr="00EB6063">
              <w:rPr>
                <w:spacing w:val="-2"/>
                <w:vertAlign w:val="superscript"/>
                <w:lang w:val="en-GB"/>
              </w:rPr>
              <w:t>st</w:t>
            </w:r>
            <w:r w:rsidRPr="00EB6063">
              <w:rPr>
                <w:spacing w:val="-2"/>
                <w:lang w:val="en-GB"/>
              </w:rPr>
              <w:t xml:space="preserve"> December 2016). Their year-on-year growth was more than 8% throughout the whole year 2016, while it gained pace in the last quarter and crossed 9% in November. The new fixed rate mortgages with term between 5 and 10 years accrued the fastest, having the most advantageous interest conditions in 2016.</w:t>
            </w:r>
          </w:p>
          <w:p w:rsidR="007E6588" w:rsidRPr="007A7EA4" w:rsidRDefault="007E6588" w:rsidP="008A03DE">
            <w:pPr>
              <w:pStyle w:val="Textpoznpodarou"/>
              <w:jc w:val="both"/>
              <w:rPr>
                <w:spacing w:val="-2"/>
                <w:sz w:val="14"/>
                <w:szCs w:val="14"/>
                <w:lang w:val="en-GB"/>
              </w:rPr>
            </w:pPr>
          </w:p>
        </w:tc>
      </w:tr>
      <w:tr w:rsidR="007E6588" w:rsidRPr="00CB09D5" w:rsidTr="00DD3867">
        <w:tc>
          <w:tcPr>
            <w:tcW w:w="1016" w:type="pct"/>
            <w:gridSpan w:val="2"/>
          </w:tcPr>
          <w:p w:rsidR="007E6588" w:rsidRPr="00CB09D5" w:rsidRDefault="007E6588" w:rsidP="00B05E75">
            <w:pPr>
              <w:spacing w:line="240" w:lineRule="auto"/>
              <w:rPr>
                <w:color w:val="000000"/>
                <w:sz w:val="16"/>
                <w:szCs w:val="16"/>
                <w:highlight w:val="yellow"/>
                <w:lang w:val="en-GB"/>
              </w:rPr>
            </w:pPr>
            <w:r w:rsidRPr="00CB09D5">
              <w:rPr>
                <w:color w:val="000000"/>
                <w:sz w:val="16"/>
                <w:szCs w:val="16"/>
                <w:lang w:val="en-GB"/>
              </w:rPr>
              <w:t>N</w:t>
            </w:r>
            <w:r w:rsidR="00B05E75" w:rsidRPr="00CB09D5">
              <w:rPr>
                <w:color w:val="000000"/>
                <w:sz w:val="16"/>
                <w:szCs w:val="16"/>
                <w:lang w:val="en-GB"/>
              </w:rPr>
              <w:t xml:space="preserve">on-financial businesses voted especially credit </w:t>
            </w:r>
            <w:r w:rsidR="00AF581A" w:rsidRPr="00CB09D5">
              <w:rPr>
                <w:color w:val="000000"/>
                <w:sz w:val="16"/>
                <w:szCs w:val="16"/>
                <w:lang w:val="en-GB"/>
              </w:rPr>
              <w:t>f</w:t>
            </w:r>
            <w:r w:rsidR="00B05E75" w:rsidRPr="00CB09D5">
              <w:rPr>
                <w:color w:val="000000"/>
                <w:sz w:val="16"/>
                <w:szCs w:val="16"/>
                <w:lang w:val="en-GB"/>
              </w:rPr>
              <w:t xml:space="preserve">inancing with long-term maturity. Growth of volume of credit was driven mostly by the increase of credit denominated in foreign currencies. </w:t>
            </w:r>
          </w:p>
        </w:tc>
        <w:tc>
          <w:tcPr>
            <w:tcW w:w="144" w:type="pct"/>
          </w:tcPr>
          <w:p w:rsidR="007E6588" w:rsidRPr="00CB09D5" w:rsidRDefault="007E6588" w:rsidP="00D94859">
            <w:pPr>
              <w:pStyle w:val="Textpoznpodarou"/>
              <w:jc w:val="both"/>
              <w:rPr>
                <w:highlight w:val="yellow"/>
                <w:lang w:val="en-GB"/>
              </w:rPr>
            </w:pPr>
          </w:p>
        </w:tc>
        <w:tc>
          <w:tcPr>
            <w:tcW w:w="3840" w:type="pct"/>
            <w:gridSpan w:val="3"/>
          </w:tcPr>
          <w:p w:rsidR="007E6588" w:rsidRPr="007A7EA4" w:rsidRDefault="00EB6063" w:rsidP="008A03DE">
            <w:pPr>
              <w:pStyle w:val="Textpoznpodarou"/>
              <w:jc w:val="both"/>
              <w:rPr>
                <w:spacing w:val="-4"/>
                <w:sz w:val="16"/>
                <w:szCs w:val="16"/>
                <w:lang w:val="en-GB"/>
              </w:rPr>
            </w:pPr>
            <w:r w:rsidRPr="00EB6063">
              <w:rPr>
                <w:spacing w:val="-4"/>
                <w:lang w:val="en-GB"/>
              </w:rPr>
              <w:t>The volume of credit provided to non-financial businesses grew in the first three quarters of 2016 similarly to the year 2015 and it dropped in the last quarter. It increased from 922 CZK bn to 1001 bn during January till November and it fell to 976 CZK bn during December. The volume of long term credit (with maturity longer than 5 years) grew the fastest. These credits comprise more than 50% of the total volume of credit to non-financial businesses already several years and their share stably grows. The currency composition of credits presents a relatively interesting detail. The credits denominated in foreign currency participated in 22.7% from the total volume at the beginning of the year 2016 and this share arrived at 27.8% as of 31</w:t>
            </w:r>
            <w:r w:rsidRPr="00EB6063">
              <w:rPr>
                <w:spacing w:val="-4"/>
                <w:vertAlign w:val="superscript"/>
                <w:lang w:val="en-GB"/>
              </w:rPr>
              <w:t>st</w:t>
            </w:r>
            <w:r w:rsidRPr="00EB6063">
              <w:rPr>
                <w:spacing w:val="-4"/>
                <w:lang w:val="en-GB"/>
              </w:rPr>
              <w:t xml:space="preserve"> December 2016. Practically only these credits contributed to the total growth of credit in Q3 and Q4. From the view of the branch structure</w:t>
            </w:r>
            <w:r w:rsidRPr="00EB6063">
              <w:rPr>
                <w:rStyle w:val="Znakapoznpodarou"/>
                <w:spacing w:val="-4"/>
                <w:lang w:val="en-GB"/>
              </w:rPr>
              <w:footnoteReference w:id="30"/>
            </w:r>
            <w:r w:rsidRPr="00EB6063">
              <w:rPr>
                <w:spacing w:val="-4"/>
                <w:lang w:val="en-GB"/>
              </w:rPr>
              <w:t xml:space="preserve">, the largest and fastest growing volume of credit was provided to businesses, which operate in the real estate activities. Financial and insurance activities were </w:t>
            </w:r>
            <w:proofErr w:type="gramStart"/>
            <w:r w:rsidRPr="00EB6063">
              <w:rPr>
                <w:spacing w:val="-4"/>
                <w:lang w:val="en-GB"/>
              </w:rPr>
              <w:t>another</w:t>
            </w:r>
            <w:proofErr w:type="gramEnd"/>
            <w:r w:rsidRPr="00EB6063">
              <w:rPr>
                <w:spacing w:val="-4"/>
                <w:lang w:val="en-GB"/>
              </w:rPr>
              <w:t xml:space="preserve"> branches, where the credits were significantly rising in the last year. On the contrary, the volume of credit provided to businesses in manufacturing stagnated and the volume of credit continued in decline for pro manufacturing and distribution of electricity, gas, heat, air, water and waste water.     </w:t>
            </w:r>
          </w:p>
          <w:p w:rsidR="007E6588" w:rsidRPr="007A7EA4" w:rsidRDefault="00EB6063" w:rsidP="008A03DE">
            <w:pPr>
              <w:pStyle w:val="Textpoznpodarou"/>
              <w:jc w:val="both"/>
              <w:rPr>
                <w:spacing w:val="-2"/>
                <w:sz w:val="14"/>
                <w:szCs w:val="14"/>
                <w:highlight w:val="yellow"/>
                <w:lang w:val="en-GB"/>
              </w:rPr>
            </w:pPr>
            <w:r w:rsidRPr="00EB6063">
              <w:rPr>
                <w:spacing w:val="-2"/>
                <w:lang w:val="en-GB"/>
              </w:rPr>
              <w:t xml:space="preserve">  </w:t>
            </w:r>
          </w:p>
        </w:tc>
      </w:tr>
      <w:tr w:rsidR="007E6588" w:rsidRPr="00CB09D5" w:rsidTr="00DD3867">
        <w:trPr>
          <w:trHeight w:val="1390"/>
        </w:trPr>
        <w:tc>
          <w:tcPr>
            <w:tcW w:w="1016" w:type="pct"/>
            <w:gridSpan w:val="2"/>
          </w:tcPr>
          <w:p w:rsidR="007E6588" w:rsidRPr="00CB09D5" w:rsidRDefault="007175F6" w:rsidP="007175F6">
            <w:pPr>
              <w:spacing w:line="240" w:lineRule="auto"/>
              <w:rPr>
                <w:color w:val="000000"/>
                <w:sz w:val="16"/>
                <w:szCs w:val="16"/>
                <w:highlight w:val="yellow"/>
                <w:lang w:val="en-GB"/>
              </w:rPr>
            </w:pPr>
            <w:r w:rsidRPr="00CB09D5">
              <w:rPr>
                <w:color w:val="000000"/>
                <w:sz w:val="16"/>
                <w:szCs w:val="16"/>
                <w:lang w:val="en-GB"/>
              </w:rPr>
              <w:lastRenderedPageBreak/>
              <w:t xml:space="preserve">Household debt stably increases and mortgages represented the main contribution in </w:t>
            </w:r>
            <w:r w:rsidR="007E6588" w:rsidRPr="00CB09D5">
              <w:rPr>
                <w:color w:val="000000"/>
                <w:sz w:val="16"/>
                <w:szCs w:val="16"/>
                <w:lang w:val="en-GB"/>
              </w:rPr>
              <w:t>2016.</w:t>
            </w:r>
          </w:p>
        </w:tc>
        <w:tc>
          <w:tcPr>
            <w:tcW w:w="144" w:type="pct"/>
          </w:tcPr>
          <w:p w:rsidR="007E6588" w:rsidRPr="00CB09D5" w:rsidRDefault="007E6588" w:rsidP="00D94859">
            <w:pPr>
              <w:pStyle w:val="Textpoznpodarou"/>
              <w:jc w:val="both"/>
              <w:rPr>
                <w:color w:val="FF0000"/>
                <w:highlight w:val="yellow"/>
                <w:lang w:val="en-GB"/>
              </w:rPr>
            </w:pPr>
          </w:p>
        </w:tc>
        <w:tc>
          <w:tcPr>
            <w:tcW w:w="3840" w:type="pct"/>
            <w:gridSpan w:val="3"/>
          </w:tcPr>
          <w:p w:rsidR="007E6588" w:rsidRPr="007A7EA4" w:rsidRDefault="00EB6063" w:rsidP="008A03DE">
            <w:pPr>
              <w:pStyle w:val="Textpoznpodarou"/>
              <w:jc w:val="both"/>
              <w:rPr>
                <w:spacing w:val="-2"/>
                <w:sz w:val="16"/>
                <w:szCs w:val="16"/>
                <w:lang w:val="en-GB"/>
              </w:rPr>
            </w:pPr>
            <w:r w:rsidRPr="00EB6063">
              <w:rPr>
                <w:spacing w:val="-2"/>
                <w:lang w:val="en-GB"/>
              </w:rPr>
              <w:t>Household indebtedness increased by 96 CZK bn since the beginning of 2016 and arrived at 1428 CZK bn as of 31</w:t>
            </w:r>
            <w:r w:rsidRPr="00EB6063">
              <w:rPr>
                <w:spacing w:val="-2"/>
                <w:vertAlign w:val="superscript"/>
                <w:lang w:val="en-GB"/>
              </w:rPr>
              <w:t>st</w:t>
            </w:r>
            <w:r w:rsidRPr="00EB6063">
              <w:rPr>
                <w:spacing w:val="-2"/>
                <w:lang w:val="en-GB"/>
              </w:rPr>
              <w:t xml:space="preserve"> December 2016. Mortgages comprised the majority of this increase (81.7 bn) and formed 74.2% of the total household debt as of 31</w:t>
            </w:r>
            <w:r w:rsidRPr="00EB6063">
              <w:rPr>
                <w:spacing w:val="-2"/>
                <w:vertAlign w:val="superscript"/>
                <w:lang w:val="en-GB"/>
              </w:rPr>
              <w:t>st</w:t>
            </w:r>
            <w:r w:rsidRPr="00EB6063">
              <w:rPr>
                <w:spacing w:val="-2"/>
                <w:lang w:val="en-GB"/>
              </w:rPr>
              <w:t xml:space="preserve"> December 2016. The year-on-year increase of their volume fastened during the year from 7.7% in Q1 to 8.5% in Q4. Debt for the consumption purposes grew by a year-on-year pace of 10.1% in the first five months of the year, but the rise slowed down in Q3 and Q4 (2.4% and 4.0%). </w:t>
            </w:r>
          </w:p>
          <w:p w:rsidR="007E6588" w:rsidRPr="007A7EA4" w:rsidRDefault="00EB6063" w:rsidP="008A03DE">
            <w:pPr>
              <w:pStyle w:val="Textpoznpodarou"/>
              <w:jc w:val="both"/>
              <w:rPr>
                <w:spacing w:val="-2"/>
                <w:highlight w:val="yellow"/>
                <w:lang w:val="en-GB"/>
              </w:rPr>
            </w:pPr>
            <w:r w:rsidRPr="00EB6063">
              <w:rPr>
                <w:spacing w:val="-2"/>
                <w:lang w:val="en-GB"/>
              </w:rPr>
              <w:t xml:space="preserve">   </w:t>
            </w:r>
          </w:p>
        </w:tc>
      </w:tr>
      <w:tr w:rsidR="000F74B6" w:rsidRPr="00CB09D5" w:rsidTr="00DD3867">
        <w:tblPrEx>
          <w:tblLook w:val="04A0"/>
        </w:tblPrEx>
        <w:trPr>
          <w:trHeight w:val="541"/>
        </w:trPr>
        <w:tc>
          <w:tcPr>
            <w:tcW w:w="576" w:type="pct"/>
          </w:tcPr>
          <w:p w:rsidR="007430AB" w:rsidRPr="00CB09D5" w:rsidRDefault="00F72638" w:rsidP="00D94859">
            <w:pPr>
              <w:pStyle w:val="Textpoznpodarou"/>
              <w:rPr>
                <w:color w:val="000000"/>
                <w:lang w:val="en-GB"/>
              </w:rPr>
            </w:pPr>
            <w:r w:rsidRPr="00CB09D5">
              <w:rPr>
                <w:color w:val="000000"/>
                <w:lang w:val="en-GB"/>
              </w:rPr>
              <w:t>Chart</w:t>
            </w:r>
          </w:p>
          <w:p w:rsidR="000F74B6" w:rsidRPr="00CB09D5" w:rsidRDefault="000F74B6" w:rsidP="00D94859">
            <w:pPr>
              <w:pStyle w:val="Textpoznpodarou"/>
              <w:rPr>
                <w:color w:val="000000"/>
                <w:lang w:val="en-GB"/>
              </w:rPr>
            </w:pPr>
            <w:r w:rsidRPr="00CB09D5">
              <w:rPr>
                <w:color w:val="000000"/>
                <w:lang w:val="en-GB"/>
              </w:rPr>
              <w:t>17</w:t>
            </w:r>
          </w:p>
        </w:tc>
        <w:tc>
          <w:tcPr>
            <w:tcW w:w="1899" w:type="pct"/>
            <w:gridSpan w:val="3"/>
          </w:tcPr>
          <w:p w:rsidR="000F74B6" w:rsidRPr="00CB09D5" w:rsidRDefault="000F74B6" w:rsidP="00F72638">
            <w:pPr>
              <w:pStyle w:val="Textpoznpodarou"/>
              <w:rPr>
                <w:color w:val="FF0000"/>
                <w:lang w:val="en-GB"/>
              </w:rPr>
            </w:pPr>
            <w:r w:rsidRPr="00CB09D5">
              <w:rPr>
                <w:b/>
                <w:color w:val="000000"/>
                <w:lang w:val="en-GB"/>
              </w:rPr>
              <w:t>M</w:t>
            </w:r>
            <w:r w:rsidR="00F72638" w:rsidRPr="00CB09D5">
              <w:rPr>
                <w:b/>
                <w:color w:val="000000"/>
                <w:lang w:val="en-GB"/>
              </w:rPr>
              <w:t xml:space="preserve">onetary aggregates and gross domestic product </w:t>
            </w:r>
            <w:r w:rsidRPr="00CB09D5">
              <w:rPr>
                <w:color w:val="000000"/>
                <w:lang w:val="en-GB"/>
              </w:rPr>
              <w:t xml:space="preserve">(y/y </w:t>
            </w:r>
            <w:r w:rsidR="00F72638" w:rsidRPr="00CB09D5">
              <w:rPr>
                <w:color w:val="000000"/>
                <w:lang w:val="en-GB"/>
              </w:rPr>
              <w:t>in</w:t>
            </w:r>
            <w:r w:rsidRPr="00CB09D5">
              <w:rPr>
                <w:color w:val="000000"/>
                <w:lang w:val="en-GB"/>
              </w:rPr>
              <w:t xml:space="preserve"> %)</w:t>
            </w:r>
          </w:p>
        </w:tc>
        <w:tc>
          <w:tcPr>
            <w:tcW w:w="584" w:type="pct"/>
          </w:tcPr>
          <w:p w:rsidR="000F74B6" w:rsidRPr="00CB09D5" w:rsidRDefault="00092BD9" w:rsidP="00092BD9">
            <w:pPr>
              <w:pStyle w:val="Textpoznpodarou"/>
              <w:rPr>
                <w:lang w:val="en-GB"/>
              </w:rPr>
            </w:pPr>
            <w:r w:rsidRPr="00CB09D5">
              <w:rPr>
                <w:lang w:val="en-GB"/>
              </w:rPr>
              <w:t>Chart 1</w:t>
            </w:r>
            <w:r w:rsidR="000F74B6" w:rsidRPr="00CB09D5">
              <w:rPr>
                <w:lang w:val="en-GB"/>
              </w:rPr>
              <w:t>8</w:t>
            </w:r>
          </w:p>
        </w:tc>
        <w:tc>
          <w:tcPr>
            <w:tcW w:w="1941" w:type="pct"/>
          </w:tcPr>
          <w:p w:rsidR="000F74B6" w:rsidRPr="00CB09D5" w:rsidRDefault="00092BD9" w:rsidP="00D94859">
            <w:pPr>
              <w:pStyle w:val="Textpoznpodarou"/>
              <w:rPr>
                <w:lang w:val="en-GB"/>
              </w:rPr>
            </w:pPr>
            <w:r w:rsidRPr="00CB09D5">
              <w:rPr>
                <w:b/>
                <w:lang w:val="en-GB"/>
              </w:rPr>
              <w:t xml:space="preserve">Market interest rates </w:t>
            </w:r>
            <w:r w:rsidR="000F74B6" w:rsidRPr="00CB09D5">
              <w:rPr>
                <w:lang w:val="en-GB"/>
              </w:rPr>
              <w:t>(</w:t>
            </w:r>
            <w:r w:rsidRPr="00CB09D5">
              <w:rPr>
                <w:lang w:val="en-GB"/>
              </w:rPr>
              <w:t>in</w:t>
            </w:r>
            <w:r w:rsidR="000F74B6" w:rsidRPr="00CB09D5">
              <w:rPr>
                <w:lang w:val="en-GB"/>
              </w:rPr>
              <w:t xml:space="preserve"> %)</w:t>
            </w:r>
          </w:p>
        </w:tc>
      </w:tr>
      <w:tr w:rsidR="000F74B6" w:rsidRPr="00CB09D5" w:rsidTr="00DD3867">
        <w:tblPrEx>
          <w:tblCellMar>
            <w:left w:w="70" w:type="dxa"/>
            <w:right w:w="70" w:type="dxa"/>
          </w:tblCellMar>
          <w:tblLook w:val="04A0"/>
        </w:tblPrEx>
        <w:trPr>
          <w:trHeight w:val="3641"/>
        </w:trPr>
        <w:tc>
          <w:tcPr>
            <w:tcW w:w="2475" w:type="pct"/>
            <w:gridSpan w:val="4"/>
          </w:tcPr>
          <w:p w:rsidR="000F74B6" w:rsidRPr="00CB09D5" w:rsidRDefault="0029191C" w:rsidP="00F06C6F">
            <w:pPr>
              <w:pStyle w:val="Textpoznpodarou"/>
              <w:ind w:left="-70"/>
              <w:jc w:val="both"/>
              <w:rPr>
                <w:lang w:val="en-GB"/>
              </w:rPr>
            </w:pPr>
            <w:r>
              <w:rPr>
                <w:noProof/>
              </w:rPr>
              <w:drawing>
                <wp:inline distT="0" distB="0" distL="0" distR="0">
                  <wp:extent cx="3087000" cy="2469600"/>
                  <wp:effectExtent l="19050" t="0" r="0" b="0"/>
                  <wp:docPr id="3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3087000" cy="2469600"/>
                          </a:xfrm>
                          <a:prstGeom prst="rect">
                            <a:avLst/>
                          </a:prstGeom>
                          <a:noFill/>
                          <a:ln w="9525">
                            <a:noFill/>
                            <a:miter lim="800000"/>
                            <a:headEnd/>
                            <a:tailEnd/>
                          </a:ln>
                        </pic:spPr>
                      </pic:pic>
                    </a:graphicData>
                  </a:graphic>
                </wp:inline>
              </w:drawing>
            </w:r>
          </w:p>
        </w:tc>
        <w:tc>
          <w:tcPr>
            <w:tcW w:w="2525" w:type="pct"/>
            <w:gridSpan w:val="2"/>
          </w:tcPr>
          <w:p w:rsidR="000F74B6" w:rsidRPr="00CB09D5" w:rsidRDefault="0029191C" w:rsidP="001D3787">
            <w:pPr>
              <w:pStyle w:val="Textpoznpodarou"/>
              <w:jc w:val="both"/>
              <w:rPr>
                <w:lang w:val="en-GB"/>
              </w:rPr>
            </w:pPr>
            <w:r>
              <w:rPr>
                <w:noProof/>
              </w:rPr>
              <w:drawing>
                <wp:inline distT="0" distB="0" distL="0" distR="0">
                  <wp:extent cx="3140100" cy="2469600"/>
                  <wp:effectExtent l="19050" t="0" r="3150" b="0"/>
                  <wp:docPr id="3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3140100" cy="2469600"/>
                          </a:xfrm>
                          <a:prstGeom prst="rect">
                            <a:avLst/>
                          </a:prstGeom>
                          <a:noFill/>
                          <a:ln w="9525">
                            <a:noFill/>
                            <a:miter lim="800000"/>
                            <a:headEnd/>
                            <a:tailEnd/>
                          </a:ln>
                        </pic:spPr>
                      </pic:pic>
                    </a:graphicData>
                  </a:graphic>
                </wp:inline>
              </w:drawing>
            </w:r>
          </w:p>
        </w:tc>
      </w:tr>
      <w:tr w:rsidR="000F74B6" w:rsidRPr="00CB09D5" w:rsidTr="00DD3867">
        <w:tblPrEx>
          <w:tblLook w:val="04A0"/>
        </w:tblPrEx>
        <w:trPr>
          <w:trHeight w:val="211"/>
        </w:trPr>
        <w:tc>
          <w:tcPr>
            <w:tcW w:w="2475" w:type="pct"/>
            <w:gridSpan w:val="4"/>
          </w:tcPr>
          <w:p w:rsidR="000F74B6" w:rsidRPr="00CB09D5" w:rsidRDefault="000F74B6" w:rsidP="00D94859">
            <w:pPr>
              <w:pStyle w:val="Textpoznpodarou"/>
              <w:rPr>
                <w:noProof/>
                <w:sz w:val="18"/>
                <w:szCs w:val="18"/>
                <w:lang w:val="en-GB"/>
              </w:rPr>
            </w:pPr>
          </w:p>
        </w:tc>
        <w:tc>
          <w:tcPr>
            <w:tcW w:w="2525" w:type="pct"/>
            <w:gridSpan w:val="2"/>
          </w:tcPr>
          <w:p w:rsidR="00624198" w:rsidRPr="00CB09D5" w:rsidRDefault="00092BD9" w:rsidP="00B00724">
            <w:pPr>
              <w:pStyle w:val="Textpoznpodarou"/>
              <w:jc w:val="right"/>
              <w:rPr>
                <w:sz w:val="18"/>
                <w:szCs w:val="18"/>
                <w:lang w:val="en-GB"/>
              </w:rPr>
            </w:pPr>
            <w:r w:rsidRPr="00CB09D5">
              <w:rPr>
                <w:sz w:val="18"/>
                <w:szCs w:val="18"/>
                <w:lang w:val="en-GB"/>
              </w:rPr>
              <w:t>Source</w:t>
            </w:r>
            <w:r w:rsidR="000F74B6" w:rsidRPr="00CB09D5">
              <w:rPr>
                <w:sz w:val="18"/>
                <w:szCs w:val="18"/>
                <w:lang w:val="en-GB"/>
              </w:rPr>
              <w:t xml:space="preserve">: </w:t>
            </w:r>
            <w:r w:rsidRPr="00CB09D5">
              <w:rPr>
                <w:sz w:val="18"/>
                <w:szCs w:val="18"/>
                <w:lang w:val="en-GB"/>
              </w:rPr>
              <w:t>CZSO</w:t>
            </w:r>
            <w:r w:rsidR="000F74B6" w:rsidRPr="00CB09D5">
              <w:rPr>
                <w:sz w:val="18"/>
                <w:szCs w:val="18"/>
                <w:lang w:val="en-GB"/>
              </w:rPr>
              <w:t xml:space="preserve">, </w:t>
            </w:r>
            <w:r w:rsidRPr="00CB09D5">
              <w:rPr>
                <w:sz w:val="18"/>
                <w:szCs w:val="18"/>
                <w:lang w:val="en-GB"/>
              </w:rPr>
              <w:t>CNB</w:t>
            </w:r>
          </w:p>
        </w:tc>
      </w:tr>
    </w:tbl>
    <w:p w:rsidR="00ED3A94" w:rsidRPr="00CB09D5" w:rsidRDefault="00ED3A94"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624198" w:rsidRPr="00CB09D5" w:rsidRDefault="00624198" w:rsidP="00D94859">
      <w:pPr>
        <w:rPr>
          <w:sz w:val="2"/>
          <w:szCs w:val="2"/>
          <w:lang w:val="en-GB"/>
        </w:rPr>
      </w:pPr>
    </w:p>
    <w:p w:rsidR="00EB6063" w:rsidRDefault="00092BD9" w:rsidP="00EB6063">
      <w:pPr>
        <w:pStyle w:val="Nadpis1"/>
        <w:numPr>
          <w:ilvl w:val="0"/>
          <w:numId w:val="20"/>
        </w:numPr>
        <w:ind w:left="709"/>
        <w:jc w:val="both"/>
        <w:rPr>
          <w:lang w:val="en-GB"/>
        </w:rPr>
      </w:pPr>
      <w:bookmarkStart w:id="17" w:name="_Toc469299936"/>
      <w:bookmarkStart w:id="18" w:name="_Toc480800278"/>
      <w:r w:rsidRPr="00CB09D5">
        <w:rPr>
          <w:lang w:val="en-GB"/>
        </w:rPr>
        <w:t>State Budget</w:t>
      </w:r>
      <w:bookmarkEnd w:id="17"/>
      <w:bookmarkEnd w:id="18"/>
    </w:p>
    <w:tbl>
      <w:tblPr>
        <w:tblW w:w="5000" w:type="pct"/>
        <w:tblCellMar>
          <w:left w:w="28" w:type="dxa"/>
          <w:right w:w="28" w:type="dxa"/>
        </w:tblCellMar>
        <w:tblLook w:val="04A0"/>
      </w:tblPr>
      <w:tblGrid>
        <w:gridCol w:w="2044"/>
        <w:gridCol w:w="275"/>
        <w:gridCol w:w="7375"/>
      </w:tblGrid>
      <w:tr w:rsidR="008A03DE" w:rsidRPr="00CB09D5" w:rsidTr="008A03DE">
        <w:tc>
          <w:tcPr>
            <w:tcW w:w="1054" w:type="pct"/>
          </w:tcPr>
          <w:p w:rsidR="008A03DE" w:rsidRPr="00CB09D5" w:rsidRDefault="00FE5BCA" w:rsidP="00FE5BCA">
            <w:pPr>
              <w:spacing w:line="240" w:lineRule="auto"/>
              <w:rPr>
                <w:rFonts w:cs="Arial"/>
                <w:color w:val="0D0D0D"/>
                <w:spacing w:val="-4"/>
                <w:sz w:val="16"/>
                <w:szCs w:val="16"/>
                <w:lang w:val="en-GB"/>
              </w:rPr>
            </w:pPr>
            <w:r w:rsidRPr="00CB09D5">
              <w:rPr>
                <w:rFonts w:cs="Arial"/>
                <w:color w:val="0D0D0D"/>
                <w:spacing w:val="-4"/>
                <w:sz w:val="16"/>
                <w:szCs w:val="16"/>
                <w:lang w:val="en-GB"/>
              </w:rPr>
              <w:t xml:space="preserve">The state budget </w:t>
            </w:r>
            <w:r w:rsidR="008A03DE" w:rsidRPr="00CB09D5">
              <w:rPr>
                <w:rFonts w:cs="Arial"/>
                <w:color w:val="0D0D0D"/>
                <w:spacing w:val="-4"/>
                <w:sz w:val="16"/>
                <w:szCs w:val="16"/>
                <w:lang w:val="en-GB"/>
              </w:rPr>
              <w:t>(S</w:t>
            </w:r>
            <w:r w:rsidRPr="00CB09D5">
              <w:rPr>
                <w:rFonts w:cs="Arial"/>
                <w:color w:val="0D0D0D"/>
                <w:spacing w:val="-4"/>
                <w:sz w:val="16"/>
                <w:szCs w:val="16"/>
                <w:lang w:val="en-GB"/>
              </w:rPr>
              <w:t>B</w:t>
            </w:r>
            <w:r w:rsidR="008A03DE" w:rsidRPr="00CB09D5">
              <w:rPr>
                <w:rFonts w:cs="Arial"/>
                <w:color w:val="0D0D0D"/>
                <w:spacing w:val="-4"/>
                <w:sz w:val="16"/>
                <w:szCs w:val="16"/>
                <w:lang w:val="en-GB"/>
              </w:rPr>
              <w:t>)</w:t>
            </w:r>
            <w:r w:rsidRPr="00CB09D5">
              <w:rPr>
                <w:rFonts w:cs="Arial"/>
                <w:color w:val="0D0D0D"/>
                <w:spacing w:val="-4"/>
                <w:sz w:val="16"/>
                <w:szCs w:val="16"/>
                <w:lang w:val="en-GB"/>
              </w:rPr>
              <w:t xml:space="preserve"> was driven to the record surplus by the income from the EU (mostly due to strong completion of drawing on funds in </w:t>
            </w:r>
            <w:r w:rsidR="00AB2797" w:rsidRPr="00CB09D5">
              <w:rPr>
                <w:rFonts w:cs="Arial"/>
                <w:color w:val="0D0D0D"/>
                <w:spacing w:val="-4"/>
                <w:sz w:val="16"/>
                <w:szCs w:val="16"/>
                <w:lang w:val="en-GB"/>
              </w:rPr>
              <w:t xml:space="preserve">the </w:t>
            </w:r>
            <w:r w:rsidRPr="00CB09D5">
              <w:rPr>
                <w:rFonts w:cs="Arial"/>
                <w:color w:val="0D0D0D"/>
                <w:spacing w:val="-4"/>
                <w:sz w:val="16"/>
                <w:szCs w:val="16"/>
                <w:lang w:val="en-GB"/>
              </w:rPr>
              <w:t xml:space="preserve">year 2015) accompanied by the effects of continuing economic growth last year.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FE5BCA" w:rsidP="008A03DE">
            <w:pPr>
              <w:pStyle w:val="Textpoznpodarou"/>
              <w:jc w:val="both"/>
              <w:rPr>
                <w:rFonts w:cs="Arial"/>
                <w:color w:val="0D0D0D"/>
                <w:spacing w:val="-4"/>
                <w:lang w:val="en-GB"/>
              </w:rPr>
            </w:pPr>
            <w:r w:rsidRPr="00CB09D5">
              <w:rPr>
                <w:rFonts w:cs="Arial"/>
                <w:color w:val="0D0D0D"/>
                <w:spacing w:val="-4"/>
                <w:lang w:val="en-GB"/>
              </w:rPr>
              <w:t xml:space="preserve">The state budget (SB) ended </w:t>
            </w:r>
            <w:r w:rsidR="008C2BDA" w:rsidRPr="00CB09D5">
              <w:rPr>
                <w:rFonts w:cs="Arial"/>
                <w:color w:val="0D0D0D"/>
                <w:spacing w:val="-4"/>
                <w:lang w:val="en-GB"/>
              </w:rPr>
              <w:t>according</w:t>
            </w:r>
            <w:r w:rsidRPr="00CB09D5">
              <w:rPr>
                <w:rFonts w:cs="Arial"/>
                <w:color w:val="0D0D0D"/>
                <w:spacing w:val="-4"/>
                <w:lang w:val="en-GB"/>
              </w:rPr>
              <w:t xml:space="preserve"> to the cash fulfilment in surplus in the amount of </w:t>
            </w:r>
            <w:r w:rsidR="000A68A7" w:rsidRPr="00CB09D5">
              <w:rPr>
                <w:rFonts w:cs="Arial"/>
                <w:color w:val="0D0D0D"/>
                <w:spacing w:val="-4"/>
                <w:lang w:val="en-GB"/>
              </w:rPr>
              <w:t>61</w:t>
            </w:r>
            <w:r w:rsidR="00705CA7">
              <w:rPr>
                <w:rFonts w:cs="Arial"/>
                <w:color w:val="0D0D0D"/>
                <w:spacing w:val="-4"/>
                <w:lang w:val="en-GB"/>
              </w:rPr>
              <w:t>.</w:t>
            </w:r>
            <w:r w:rsidR="000A68A7" w:rsidRPr="00CB09D5">
              <w:rPr>
                <w:rFonts w:cs="Arial"/>
                <w:color w:val="0D0D0D"/>
                <w:spacing w:val="-4"/>
                <w:lang w:val="en-GB"/>
              </w:rPr>
              <w:t xml:space="preserve">8 </w:t>
            </w:r>
            <w:r w:rsidR="00C4216C" w:rsidRPr="00CB09D5">
              <w:rPr>
                <w:rFonts w:cs="Arial"/>
                <w:color w:val="0D0D0D"/>
                <w:spacing w:val="-4"/>
                <w:lang w:val="en-GB"/>
              </w:rPr>
              <w:t>CZK bn</w:t>
            </w:r>
            <w:r w:rsidR="00D75E60" w:rsidRPr="00CB09D5">
              <w:rPr>
                <w:rFonts w:cs="Arial"/>
                <w:color w:val="0D0D0D"/>
                <w:spacing w:val="-4"/>
                <w:lang w:val="en-GB"/>
              </w:rPr>
              <w:t xml:space="preserve"> in 2016 </w:t>
            </w:r>
            <w:r w:rsidR="000A68A7" w:rsidRPr="00CB09D5">
              <w:rPr>
                <w:rFonts w:cs="Arial"/>
                <w:color w:val="0D0D0D"/>
                <w:spacing w:val="-4"/>
                <w:lang w:val="en-GB"/>
              </w:rPr>
              <w:t>(</w:t>
            </w:r>
            <w:r w:rsidR="00FD419D" w:rsidRPr="00CB09D5">
              <w:rPr>
                <w:rFonts w:cs="Arial"/>
                <w:color w:val="0D0D0D"/>
                <w:spacing w:val="-4"/>
                <w:lang w:val="en-GB"/>
              </w:rPr>
              <w:t xml:space="preserve">it was a deficit of 62.8 bn in </w:t>
            </w:r>
            <w:r w:rsidR="000A68A7" w:rsidRPr="00CB09D5">
              <w:rPr>
                <w:rFonts w:cs="Arial"/>
                <w:color w:val="0D0D0D"/>
                <w:spacing w:val="-4"/>
                <w:lang w:val="en-GB"/>
              </w:rPr>
              <w:t>2015</w:t>
            </w:r>
            <w:r w:rsidR="008A03DE" w:rsidRPr="00CB09D5">
              <w:rPr>
                <w:rFonts w:cs="Arial"/>
                <w:color w:val="0D0D0D"/>
                <w:spacing w:val="-4"/>
                <w:lang w:val="en-GB"/>
              </w:rPr>
              <w:t xml:space="preserve">). </w:t>
            </w:r>
            <w:r w:rsidR="00F164A8" w:rsidRPr="00CB09D5">
              <w:rPr>
                <w:rFonts w:cs="Arial"/>
                <w:color w:val="0D0D0D"/>
                <w:spacing w:val="-4"/>
                <w:lang w:val="en-GB"/>
              </w:rPr>
              <w:t>The budget surplus was last achieved in the history of the independ</w:t>
            </w:r>
            <w:r w:rsidR="008C2BDA" w:rsidRPr="00CB09D5">
              <w:rPr>
                <w:rFonts w:cs="Arial"/>
                <w:color w:val="0D0D0D"/>
                <w:spacing w:val="-4"/>
                <w:lang w:val="en-GB"/>
              </w:rPr>
              <w:t>ent</w:t>
            </w:r>
            <w:r w:rsidR="00F164A8" w:rsidRPr="00CB09D5">
              <w:rPr>
                <w:rFonts w:cs="Arial"/>
                <w:color w:val="0D0D0D"/>
                <w:spacing w:val="-4"/>
                <w:lang w:val="en-GB"/>
              </w:rPr>
              <w:t xml:space="preserve"> CR in th</w:t>
            </w:r>
            <w:r w:rsidR="008C2BDA" w:rsidRPr="00CB09D5">
              <w:rPr>
                <w:rFonts w:cs="Arial"/>
                <w:color w:val="0D0D0D"/>
                <w:spacing w:val="-4"/>
                <w:lang w:val="en-GB"/>
              </w:rPr>
              <w:t>e</w:t>
            </w:r>
            <w:r w:rsidR="00F164A8" w:rsidRPr="00CB09D5">
              <w:rPr>
                <w:rFonts w:cs="Arial"/>
                <w:color w:val="0D0D0D"/>
                <w:spacing w:val="-4"/>
                <w:lang w:val="en-GB"/>
              </w:rPr>
              <w:t xml:space="preserve"> period of </w:t>
            </w:r>
            <w:r w:rsidR="00AB2797" w:rsidRPr="00CB09D5">
              <w:rPr>
                <w:rFonts w:cs="Arial"/>
                <w:color w:val="0D0D0D"/>
                <w:spacing w:val="-4"/>
                <w:lang w:val="en-GB"/>
              </w:rPr>
              <w:t xml:space="preserve">the </w:t>
            </w:r>
            <w:r w:rsidR="00F164A8" w:rsidRPr="00CB09D5">
              <w:rPr>
                <w:rFonts w:cs="Arial"/>
                <w:color w:val="0D0D0D"/>
                <w:spacing w:val="-4"/>
                <w:lang w:val="en-GB"/>
              </w:rPr>
              <w:t xml:space="preserve">years </w:t>
            </w:r>
            <w:r w:rsidR="00494AAB" w:rsidRPr="00CB09D5">
              <w:rPr>
                <w:rFonts w:cs="Arial"/>
                <w:color w:val="0D0D0D"/>
                <w:spacing w:val="-4"/>
                <w:lang w:val="en-GB"/>
              </w:rPr>
              <w:t>1993</w:t>
            </w:r>
            <w:r w:rsidR="00494AAB" w:rsidRPr="00CB09D5">
              <w:rPr>
                <w:rFonts w:cs="Arial"/>
                <w:color w:val="0D0D0D" w:themeColor="text1" w:themeTint="F2"/>
                <w:spacing w:val="-4"/>
                <w:lang w:val="en-GB"/>
              </w:rPr>
              <w:t>–</w:t>
            </w:r>
            <w:r w:rsidR="008A03DE" w:rsidRPr="00CB09D5">
              <w:rPr>
                <w:rFonts w:cs="Arial"/>
                <w:color w:val="0D0D0D"/>
                <w:spacing w:val="-4"/>
                <w:lang w:val="en-GB"/>
              </w:rPr>
              <w:t>1995.</w:t>
            </w:r>
            <w:r w:rsidR="00F164A8" w:rsidRPr="00CB09D5">
              <w:rPr>
                <w:rFonts w:cs="Arial"/>
                <w:color w:val="0D0D0D"/>
                <w:spacing w:val="-4"/>
                <w:lang w:val="en-GB"/>
              </w:rPr>
              <w:t xml:space="preserve"> </w:t>
            </w:r>
            <w:r w:rsidR="00C975FC" w:rsidRPr="00CB09D5">
              <w:rPr>
                <w:rFonts w:cs="Arial"/>
                <w:color w:val="0D0D0D"/>
                <w:spacing w:val="-4"/>
                <w:lang w:val="en-GB"/>
              </w:rPr>
              <w:t>The irregularities in the drawing on European funds</w:t>
            </w:r>
            <w:r w:rsidR="00D50ED8" w:rsidRPr="00CB09D5">
              <w:rPr>
                <w:rFonts w:cs="Arial"/>
                <w:color w:val="0D0D0D"/>
                <w:spacing w:val="-4"/>
                <w:lang w:val="en-GB"/>
              </w:rPr>
              <w:t xml:space="preserve"> at the turn of th</w:t>
            </w:r>
            <w:r w:rsidR="00C975FC" w:rsidRPr="00CB09D5">
              <w:rPr>
                <w:rFonts w:cs="Arial"/>
                <w:color w:val="0D0D0D"/>
                <w:spacing w:val="-4"/>
                <w:lang w:val="en-GB"/>
              </w:rPr>
              <w:t xml:space="preserve">e EU programme periods were majorly reflected in the last year’s result. On the </w:t>
            </w:r>
            <w:r w:rsidRPr="00CB09D5">
              <w:rPr>
                <w:rFonts w:cs="Arial"/>
                <w:color w:val="000000"/>
                <w:spacing w:val="-4"/>
                <w:lang w:val="en-GB"/>
              </w:rPr>
              <w:t>income</w:t>
            </w:r>
            <w:r w:rsidR="00C975FC" w:rsidRPr="00CB09D5">
              <w:rPr>
                <w:rFonts w:cs="Arial"/>
                <w:color w:val="000000"/>
                <w:spacing w:val="-4"/>
                <w:lang w:val="en-GB"/>
              </w:rPr>
              <w:t xml:space="preserve"> side </w:t>
            </w:r>
            <w:r w:rsidR="008A03DE" w:rsidRPr="00CB09D5">
              <w:rPr>
                <w:rFonts w:cs="Arial"/>
                <w:color w:val="000000"/>
                <w:spacing w:val="-4"/>
                <w:lang w:val="en-GB"/>
              </w:rPr>
              <w:t>(157</w:t>
            </w:r>
            <w:r w:rsidR="00C975FC" w:rsidRPr="00CB09D5">
              <w:rPr>
                <w:rFonts w:cs="Arial"/>
                <w:color w:val="000000"/>
                <w:spacing w:val="-4"/>
                <w:lang w:val="en-GB"/>
              </w:rPr>
              <w:t>.</w:t>
            </w:r>
            <w:r w:rsidR="008A03DE" w:rsidRPr="00CB09D5">
              <w:rPr>
                <w:rFonts w:cs="Arial"/>
                <w:color w:val="000000"/>
                <w:spacing w:val="-4"/>
                <w:lang w:val="en-GB"/>
              </w:rPr>
              <w:t xml:space="preserve">8 </w:t>
            </w:r>
            <w:r w:rsidR="00C4216C" w:rsidRPr="00CB09D5">
              <w:rPr>
                <w:rFonts w:cs="Arial"/>
                <w:color w:val="000000"/>
                <w:spacing w:val="-4"/>
                <w:lang w:val="en-GB"/>
              </w:rPr>
              <w:t>CZK bn</w:t>
            </w:r>
            <w:r w:rsidR="008A03DE" w:rsidRPr="00CB09D5">
              <w:rPr>
                <w:rFonts w:cs="Arial"/>
                <w:color w:val="000000"/>
                <w:spacing w:val="-4"/>
                <w:lang w:val="en-GB"/>
              </w:rPr>
              <w:t>)</w:t>
            </w:r>
            <w:r w:rsidR="00C975FC" w:rsidRPr="00CB09D5">
              <w:rPr>
                <w:rFonts w:cs="Arial"/>
                <w:color w:val="000000"/>
                <w:spacing w:val="-4"/>
                <w:lang w:val="en-GB"/>
              </w:rPr>
              <w:t>, it presented for the most part funds still bound to the</w:t>
            </w:r>
            <w:r w:rsidR="00D50ED8" w:rsidRPr="00CB09D5">
              <w:rPr>
                <w:rFonts w:cs="Arial"/>
                <w:color w:val="000000"/>
                <w:spacing w:val="-4"/>
                <w:lang w:val="en-GB"/>
              </w:rPr>
              <w:t xml:space="preserve"> expiring</w:t>
            </w:r>
            <w:r w:rsidR="00C975FC" w:rsidRPr="00CB09D5">
              <w:rPr>
                <w:rFonts w:cs="Arial"/>
                <w:color w:val="000000"/>
                <w:spacing w:val="-4"/>
                <w:lang w:val="en-GB"/>
              </w:rPr>
              <w:t xml:space="preserve"> programme period </w:t>
            </w:r>
            <w:r w:rsidR="00494AAB" w:rsidRPr="00CB09D5">
              <w:rPr>
                <w:rFonts w:cs="Arial"/>
                <w:color w:val="000000"/>
                <w:spacing w:val="-4"/>
                <w:lang w:val="en-GB"/>
              </w:rPr>
              <w:t>(2007</w:t>
            </w:r>
            <w:r w:rsidR="00494AAB" w:rsidRPr="00CB09D5">
              <w:rPr>
                <w:rFonts w:cs="Arial"/>
                <w:color w:val="0D0D0D" w:themeColor="text1" w:themeTint="F2"/>
                <w:spacing w:val="-4"/>
                <w:lang w:val="en-GB"/>
              </w:rPr>
              <w:t>–</w:t>
            </w:r>
            <w:r w:rsidR="008A03DE" w:rsidRPr="00CB09D5">
              <w:rPr>
                <w:rFonts w:cs="Arial"/>
                <w:color w:val="000000"/>
                <w:spacing w:val="-4"/>
                <w:lang w:val="en-GB"/>
              </w:rPr>
              <w:t xml:space="preserve">2013), </w:t>
            </w:r>
            <w:r w:rsidR="00C975FC" w:rsidRPr="00CB09D5">
              <w:rPr>
                <w:rFonts w:cs="Arial"/>
                <w:color w:val="000000"/>
                <w:spacing w:val="-4"/>
                <w:lang w:val="en-GB"/>
              </w:rPr>
              <w:t xml:space="preserve">while among the investment expenditure of the SB </w:t>
            </w:r>
            <w:r w:rsidR="008A03DE" w:rsidRPr="00CB09D5">
              <w:rPr>
                <w:rFonts w:cs="Arial"/>
                <w:color w:val="000000"/>
                <w:spacing w:val="-4"/>
                <w:lang w:val="en-GB"/>
              </w:rPr>
              <w:t>(84</w:t>
            </w:r>
            <w:r w:rsidR="00C975FC" w:rsidRPr="00CB09D5">
              <w:rPr>
                <w:rFonts w:cs="Arial"/>
                <w:color w:val="000000"/>
                <w:spacing w:val="-4"/>
                <w:lang w:val="en-GB"/>
              </w:rPr>
              <w:t>.</w:t>
            </w:r>
            <w:r w:rsidR="008A03DE" w:rsidRPr="00CB09D5">
              <w:rPr>
                <w:rFonts w:cs="Arial"/>
                <w:color w:val="000000"/>
                <w:spacing w:val="-4"/>
                <w:lang w:val="en-GB"/>
              </w:rPr>
              <w:t xml:space="preserve">7 </w:t>
            </w:r>
            <w:r w:rsidR="00C975FC" w:rsidRPr="00CB09D5">
              <w:rPr>
                <w:rFonts w:cs="Arial"/>
                <w:color w:val="000000"/>
                <w:spacing w:val="-4"/>
                <w:lang w:val="en-GB"/>
              </w:rPr>
              <w:t>bn</w:t>
            </w:r>
            <w:r w:rsidR="008A03DE" w:rsidRPr="00CB09D5">
              <w:rPr>
                <w:rFonts w:cs="Arial"/>
                <w:color w:val="000000"/>
                <w:spacing w:val="-4"/>
                <w:lang w:val="en-GB"/>
              </w:rPr>
              <w:t>)</w:t>
            </w:r>
            <w:r w:rsidR="00C975FC" w:rsidRPr="00CB09D5">
              <w:rPr>
                <w:rFonts w:cs="Arial"/>
                <w:color w:val="000000"/>
                <w:spacing w:val="-4"/>
                <w:lang w:val="en-GB"/>
              </w:rPr>
              <w:t xml:space="preserve"> the lower total readiness of projects on the start of the new programme period had an impact. </w:t>
            </w:r>
            <w:r w:rsidR="0081100A" w:rsidRPr="00CB09D5">
              <w:rPr>
                <w:rFonts w:cs="Arial"/>
                <w:color w:val="000000"/>
                <w:spacing w:val="-4"/>
                <w:lang w:val="en-GB"/>
              </w:rPr>
              <w:t xml:space="preserve">The continuing expansion of the economy also played a role in the last year SB balance, when all the tax incomes </w:t>
            </w:r>
            <w:r w:rsidR="008A03DE" w:rsidRPr="00CB09D5">
              <w:rPr>
                <w:rFonts w:cs="Arial"/>
                <w:color w:val="000000"/>
                <w:spacing w:val="-4"/>
                <w:lang w:val="en-GB"/>
              </w:rPr>
              <w:t>(</w:t>
            </w:r>
            <w:r w:rsidR="0081100A" w:rsidRPr="00CB09D5">
              <w:rPr>
                <w:rFonts w:cs="Arial"/>
                <w:color w:val="000000"/>
                <w:spacing w:val="-4"/>
                <w:lang w:val="en-GB"/>
              </w:rPr>
              <w:t>excluding insurance</w:t>
            </w:r>
            <w:r w:rsidR="008A03DE" w:rsidRPr="00CB09D5">
              <w:rPr>
                <w:rFonts w:cs="Arial"/>
                <w:color w:val="000000"/>
                <w:spacing w:val="-4"/>
                <w:lang w:val="en-GB"/>
              </w:rPr>
              <w:t xml:space="preserve">) </w:t>
            </w:r>
            <w:r w:rsidR="0081100A" w:rsidRPr="00CB09D5">
              <w:rPr>
                <w:rFonts w:cs="Arial"/>
                <w:color w:val="000000"/>
                <w:spacing w:val="-4"/>
                <w:lang w:val="en-GB"/>
              </w:rPr>
              <w:t xml:space="preserve">strengthened by </w:t>
            </w:r>
            <w:r w:rsidR="008A03DE" w:rsidRPr="00CB09D5">
              <w:rPr>
                <w:rFonts w:cs="Arial"/>
                <w:color w:val="000000"/>
                <w:spacing w:val="-4"/>
                <w:lang w:val="en-GB"/>
              </w:rPr>
              <w:t>7</w:t>
            </w:r>
            <w:r w:rsidR="0081100A" w:rsidRPr="00CB09D5">
              <w:rPr>
                <w:rFonts w:cs="Arial"/>
                <w:color w:val="000000"/>
                <w:spacing w:val="-4"/>
                <w:lang w:val="en-GB"/>
              </w:rPr>
              <w:t>.</w:t>
            </w:r>
            <w:r w:rsidR="00DD003B" w:rsidRPr="00CB09D5">
              <w:rPr>
                <w:rFonts w:cs="Arial"/>
                <w:color w:val="000000"/>
                <w:spacing w:val="-4"/>
                <w:lang w:val="en-GB"/>
              </w:rPr>
              <w:t>5</w:t>
            </w:r>
            <w:r w:rsidR="008A03DE" w:rsidRPr="00CB09D5">
              <w:rPr>
                <w:rFonts w:cs="Arial"/>
                <w:color w:val="000000"/>
                <w:spacing w:val="-4"/>
                <w:lang w:val="en-GB"/>
              </w:rPr>
              <w:t>%</w:t>
            </w:r>
            <w:r w:rsidR="008A03DE" w:rsidRPr="00CB09D5">
              <w:rPr>
                <w:rStyle w:val="Znakapoznpodarou"/>
                <w:color w:val="000000"/>
                <w:spacing w:val="-4"/>
                <w:lang w:val="en-GB"/>
              </w:rPr>
              <w:footnoteReference w:id="31"/>
            </w:r>
            <w:r w:rsidR="008A03DE" w:rsidRPr="00CB09D5">
              <w:rPr>
                <w:rFonts w:cs="Arial"/>
                <w:color w:val="000000"/>
                <w:spacing w:val="-4"/>
                <w:lang w:val="en-GB"/>
              </w:rPr>
              <w:t xml:space="preserve"> </w:t>
            </w:r>
            <w:r w:rsidR="0081100A" w:rsidRPr="00CB09D5">
              <w:rPr>
                <w:rFonts w:cs="Arial"/>
                <w:color w:val="000000"/>
                <w:spacing w:val="-4"/>
                <w:lang w:val="en-GB"/>
              </w:rPr>
              <w:t>year-on-ye</w:t>
            </w:r>
            <w:r w:rsidR="006325CC" w:rsidRPr="00CB09D5">
              <w:rPr>
                <w:rFonts w:cs="Arial"/>
                <w:color w:val="000000"/>
                <w:spacing w:val="-4"/>
                <w:lang w:val="en-GB"/>
              </w:rPr>
              <w:t>a</w:t>
            </w:r>
            <w:r w:rsidR="0081100A" w:rsidRPr="00CB09D5">
              <w:rPr>
                <w:rFonts w:cs="Arial"/>
                <w:color w:val="000000"/>
                <w:spacing w:val="-4"/>
                <w:lang w:val="en-GB"/>
              </w:rPr>
              <w:t xml:space="preserve">r and were by 22.3 </w:t>
            </w:r>
            <w:r w:rsidR="00C4216C" w:rsidRPr="00CB09D5">
              <w:rPr>
                <w:rFonts w:cs="Arial"/>
                <w:color w:val="000000"/>
                <w:spacing w:val="-4"/>
                <w:lang w:val="en-GB"/>
              </w:rPr>
              <w:t>CZK bn</w:t>
            </w:r>
            <w:r w:rsidR="0081100A" w:rsidRPr="00CB09D5">
              <w:rPr>
                <w:rFonts w:cs="Arial"/>
                <w:color w:val="000000"/>
                <w:spacing w:val="-4"/>
                <w:lang w:val="en-GB"/>
              </w:rPr>
              <w:t xml:space="preserve"> higher in comparison to the budget anticipations </w:t>
            </w:r>
            <w:r w:rsidR="008A03DE" w:rsidRPr="00CB09D5">
              <w:rPr>
                <w:rFonts w:cs="Arial"/>
                <w:color w:val="000000"/>
                <w:spacing w:val="-4"/>
                <w:lang w:val="en-GB"/>
              </w:rPr>
              <w:t>(</w:t>
            </w:r>
            <w:r w:rsidR="0081100A" w:rsidRPr="00CB09D5">
              <w:rPr>
                <w:rFonts w:cs="Arial"/>
                <w:color w:val="000000"/>
                <w:spacing w:val="-4"/>
                <w:lang w:val="en-GB"/>
              </w:rPr>
              <w:t>i.e. the approved budget</w:t>
            </w:r>
            <w:r w:rsidR="008A03DE" w:rsidRPr="00CB09D5">
              <w:rPr>
                <w:rFonts w:cs="Arial"/>
                <w:color w:val="000000"/>
                <w:spacing w:val="-4"/>
                <w:lang w:val="en-GB"/>
              </w:rPr>
              <w:t xml:space="preserve">). </w:t>
            </w:r>
            <w:r w:rsidR="00F164A8" w:rsidRPr="00CB09D5">
              <w:rPr>
                <w:rFonts w:cs="Arial"/>
                <w:color w:val="000000"/>
                <w:spacing w:val="-4"/>
                <w:lang w:val="en-GB"/>
              </w:rPr>
              <w:t xml:space="preserve">The SB balance in relation to the nominal GDP arrived at </w:t>
            </w:r>
            <w:r w:rsidR="008A03DE" w:rsidRPr="00CB09D5">
              <w:rPr>
                <w:rFonts w:cs="Arial"/>
                <w:color w:val="000000"/>
                <w:spacing w:val="-4"/>
                <w:lang w:val="en-GB"/>
              </w:rPr>
              <w:t>+1</w:t>
            </w:r>
            <w:r w:rsidR="00F164A8" w:rsidRPr="00CB09D5">
              <w:rPr>
                <w:rFonts w:cs="Arial"/>
                <w:color w:val="000000"/>
                <w:spacing w:val="-4"/>
                <w:lang w:val="en-GB"/>
              </w:rPr>
              <w:t>.</w:t>
            </w:r>
            <w:r w:rsidR="008A03DE" w:rsidRPr="00CB09D5">
              <w:rPr>
                <w:rFonts w:cs="Arial"/>
                <w:color w:val="000000"/>
                <w:spacing w:val="-4"/>
                <w:lang w:val="en-GB"/>
              </w:rPr>
              <w:t>3%</w:t>
            </w:r>
            <w:r w:rsidR="00F164A8" w:rsidRPr="00CB09D5">
              <w:rPr>
                <w:rFonts w:cs="Arial"/>
                <w:color w:val="000000"/>
                <w:spacing w:val="-4"/>
                <w:lang w:val="en-GB"/>
              </w:rPr>
              <w:t xml:space="preserve"> last year and was nearly double compared to the so far record year </w:t>
            </w:r>
            <w:r w:rsidR="008A03DE" w:rsidRPr="00CB09D5">
              <w:rPr>
                <w:rFonts w:cs="Arial"/>
                <w:color w:val="000000"/>
                <w:spacing w:val="-4"/>
                <w:lang w:val="en-GB"/>
              </w:rPr>
              <w:t>1994.</w:t>
            </w:r>
          </w:p>
          <w:p w:rsidR="008A03DE" w:rsidRPr="00CB09D5" w:rsidRDefault="008A03DE" w:rsidP="008A03DE">
            <w:pPr>
              <w:pStyle w:val="Textpoznpodarou"/>
              <w:jc w:val="both"/>
              <w:rPr>
                <w:rFonts w:cs="Arial"/>
                <w:color w:val="0D0D0D"/>
                <w:spacing w:val="-4"/>
                <w:sz w:val="13"/>
                <w:szCs w:val="13"/>
                <w:lang w:val="en-GB"/>
              </w:rPr>
            </w:pPr>
          </w:p>
        </w:tc>
      </w:tr>
      <w:tr w:rsidR="008A03DE" w:rsidRPr="00CB09D5" w:rsidTr="008A03DE">
        <w:tc>
          <w:tcPr>
            <w:tcW w:w="1054" w:type="pct"/>
          </w:tcPr>
          <w:p w:rsidR="008A03DE" w:rsidRPr="00CB09D5" w:rsidRDefault="00D006AD" w:rsidP="00D006AD">
            <w:pPr>
              <w:spacing w:line="240" w:lineRule="auto"/>
              <w:rPr>
                <w:rFonts w:cs="Arial"/>
                <w:bCs/>
                <w:iCs/>
                <w:color w:val="0D0D0D"/>
                <w:spacing w:val="-2"/>
                <w:szCs w:val="20"/>
                <w:lang w:val="en-GB"/>
              </w:rPr>
            </w:pPr>
            <w:r w:rsidRPr="00CB09D5">
              <w:rPr>
                <w:rFonts w:cs="Arial"/>
                <w:bCs/>
                <w:iCs/>
                <w:color w:val="0D0D0D"/>
                <w:spacing w:val="-2"/>
                <w:sz w:val="16"/>
                <w:szCs w:val="16"/>
                <w:lang w:val="en-GB"/>
              </w:rPr>
              <w:t xml:space="preserve">High year-on-year growth of total final consumption expenditure was reflected in the VAT collection.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8C0595" w:rsidP="008A03DE">
            <w:pPr>
              <w:pStyle w:val="Textpoznpodarou"/>
              <w:jc w:val="both"/>
              <w:rPr>
                <w:rFonts w:cs="Arial"/>
                <w:color w:val="0D0D0D"/>
                <w:spacing w:val="-4"/>
                <w:lang w:val="en-GB"/>
              </w:rPr>
            </w:pPr>
            <w:r w:rsidRPr="00CB09D5">
              <w:rPr>
                <w:rFonts w:cs="Arial"/>
                <w:color w:val="0D0D0D"/>
                <w:spacing w:val="-4"/>
                <w:lang w:val="en-GB"/>
              </w:rPr>
              <w:t>State wide</w:t>
            </w:r>
            <w:r w:rsidR="00D006AD" w:rsidRPr="00CB09D5">
              <w:rPr>
                <w:rFonts w:cs="Arial"/>
                <w:color w:val="0D0D0D"/>
                <w:spacing w:val="-4"/>
                <w:lang w:val="en-GB"/>
              </w:rPr>
              <w:t xml:space="preserve"> VAT collection </w:t>
            </w:r>
            <w:r w:rsidRPr="00CB09D5">
              <w:rPr>
                <w:rFonts w:cs="Arial"/>
                <w:color w:val="0D0D0D"/>
                <w:spacing w:val="-4"/>
                <w:lang w:val="en-GB"/>
              </w:rPr>
              <w:t>strengthened</w:t>
            </w:r>
            <w:r w:rsidR="00D006AD" w:rsidRPr="00CB09D5">
              <w:rPr>
                <w:rFonts w:cs="Arial"/>
                <w:color w:val="0D0D0D"/>
                <w:spacing w:val="-4"/>
                <w:lang w:val="en-GB"/>
              </w:rPr>
              <w:t xml:space="preserve"> by </w:t>
            </w:r>
            <w:r w:rsidR="008A03DE" w:rsidRPr="00CB09D5">
              <w:rPr>
                <w:rFonts w:cs="Arial"/>
                <w:color w:val="0D0D0D"/>
                <w:spacing w:val="-4"/>
                <w:lang w:val="en-GB"/>
              </w:rPr>
              <w:t>5</w:t>
            </w:r>
            <w:r w:rsidR="00D006AD" w:rsidRPr="00CB09D5">
              <w:rPr>
                <w:rFonts w:cs="Arial"/>
                <w:color w:val="0D0D0D"/>
                <w:spacing w:val="-4"/>
                <w:lang w:val="en-GB"/>
              </w:rPr>
              <w:t>.</w:t>
            </w:r>
            <w:r w:rsidR="00DD003B" w:rsidRPr="00CB09D5">
              <w:rPr>
                <w:rFonts w:cs="Arial"/>
                <w:color w:val="0D0D0D"/>
                <w:spacing w:val="-4"/>
                <w:lang w:val="en-GB"/>
              </w:rPr>
              <w:t>4</w:t>
            </w:r>
            <w:r w:rsidR="008A03DE" w:rsidRPr="00CB09D5">
              <w:rPr>
                <w:rFonts w:cs="Arial"/>
                <w:color w:val="0D0D0D"/>
                <w:spacing w:val="-4"/>
                <w:lang w:val="en-GB"/>
              </w:rPr>
              <w:t>%</w:t>
            </w:r>
            <w:r w:rsidR="00D006AD" w:rsidRPr="00CB09D5">
              <w:rPr>
                <w:rFonts w:cs="Arial"/>
                <w:color w:val="0D0D0D"/>
                <w:spacing w:val="-4"/>
                <w:lang w:val="en-GB"/>
              </w:rPr>
              <w:t xml:space="preserve"> last year</w:t>
            </w:r>
            <w:r w:rsidR="008A03DE" w:rsidRPr="00CB09D5">
              <w:rPr>
                <w:rFonts w:cs="Arial"/>
                <w:color w:val="0D0D0D"/>
                <w:spacing w:val="-4"/>
                <w:lang w:val="en-GB"/>
              </w:rPr>
              <w:t xml:space="preserve">. </w:t>
            </w:r>
            <w:r w:rsidR="00DF2847" w:rsidRPr="00CB09D5">
              <w:rPr>
                <w:rFonts w:cs="Arial"/>
                <w:color w:val="0D0D0D"/>
                <w:spacing w:val="-4"/>
                <w:lang w:val="en-GB"/>
              </w:rPr>
              <w:t xml:space="preserve">Even though the year-on-year rate of growth of the collection </w:t>
            </w:r>
            <w:r w:rsidR="00705CA7">
              <w:rPr>
                <w:rFonts w:cs="Arial"/>
                <w:color w:val="0D0D0D"/>
                <w:spacing w:val="-4"/>
                <w:lang w:val="en-GB"/>
              </w:rPr>
              <w:t>(</w:t>
            </w:r>
            <w:r w:rsidR="00DF2847" w:rsidRPr="00CB09D5">
              <w:rPr>
                <w:rFonts w:cs="Arial"/>
                <w:color w:val="0D0D0D"/>
                <w:spacing w:val="-4"/>
                <w:lang w:val="en-GB"/>
              </w:rPr>
              <w:t>of this most significant tax by weight</w:t>
            </w:r>
            <w:r w:rsidR="00705CA7">
              <w:rPr>
                <w:rFonts w:cs="Arial"/>
                <w:color w:val="0D0D0D"/>
                <w:spacing w:val="-4"/>
                <w:lang w:val="en-GB"/>
              </w:rPr>
              <w:t>)</w:t>
            </w:r>
            <w:r w:rsidR="00DF2847" w:rsidRPr="00CB09D5">
              <w:rPr>
                <w:rFonts w:cs="Arial"/>
                <w:color w:val="0D0D0D"/>
                <w:spacing w:val="-4"/>
                <w:lang w:val="en-GB"/>
              </w:rPr>
              <w:t xml:space="preserve"> nearly doubled compared to the preceding year, its last year’s collection </w:t>
            </w:r>
            <w:r w:rsidR="008A03DE" w:rsidRPr="00CB09D5">
              <w:rPr>
                <w:rFonts w:cs="Arial"/>
                <w:color w:val="0D0D0D"/>
                <w:spacing w:val="-4"/>
                <w:lang w:val="en-GB"/>
              </w:rPr>
              <w:t xml:space="preserve">– </w:t>
            </w:r>
            <w:r w:rsidR="00DF2847" w:rsidRPr="00CB09D5">
              <w:rPr>
                <w:rFonts w:cs="Arial"/>
                <w:color w:val="0D0D0D"/>
                <w:spacing w:val="-4"/>
                <w:lang w:val="en-GB"/>
              </w:rPr>
              <w:t xml:space="preserve">in contrast to all other taxes significant in volume </w:t>
            </w:r>
            <w:r w:rsidR="008A03DE" w:rsidRPr="00CB09D5">
              <w:rPr>
                <w:rFonts w:cs="Arial"/>
                <w:color w:val="0D0D0D"/>
                <w:spacing w:val="-4"/>
                <w:lang w:val="en-GB"/>
              </w:rPr>
              <w:t xml:space="preserve">– </w:t>
            </w:r>
            <w:r w:rsidR="00DF2847" w:rsidRPr="00CB09D5">
              <w:rPr>
                <w:rFonts w:cs="Arial"/>
                <w:color w:val="0D0D0D"/>
                <w:spacing w:val="-4"/>
                <w:lang w:val="en-GB"/>
              </w:rPr>
              <w:t xml:space="preserve">stayed mildly </w:t>
            </w:r>
            <w:r w:rsidR="008A03DE" w:rsidRPr="00CB09D5">
              <w:rPr>
                <w:rFonts w:cs="Arial"/>
                <w:color w:val="0D0D0D"/>
                <w:spacing w:val="-4"/>
                <w:lang w:val="en-GB"/>
              </w:rPr>
              <w:t>(</w:t>
            </w:r>
            <w:r w:rsidR="00DF2847" w:rsidRPr="00CB09D5">
              <w:rPr>
                <w:rFonts w:cs="Arial"/>
                <w:color w:val="0D0D0D"/>
                <w:spacing w:val="-4"/>
                <w:lang w:val="en-GB"/>
              </w:rPr>
              <w:t>by</w:t>
            </w:r>
            <w:r w:rsidR="008A03DE" w:rsidRPr="00CB09D5">
              <w:rPr>
                <w:color w:val="0D0D0D"/>
                <w:spacing w:val="-4"/>
                <w:lang w:val="en-GB"/>
              </w:rPr>
              <w:t> </w:t>
            </w:r>
            <w:r w:rsidR="008A03DE" w:rsidRPr="00CB09D5">
              <w:rPr>
                <w:rFonts w:cs="Arial"/>
                <w:color w:val="0D0D0D"/>
                <w:spacing w:val="-4"/>
                <w:lang w:val="en-GB"/>
              </w:rPr>
              <w:t>0</w:t>
            </w:r>
            <w:r w:rsidR="00DF2847" w:rsidRPr="00CB09D5">
              <w:rPr>
                <w:rFonts w:cs="Arial"/>
                <w:color w:val="0D0D0D"/>
                <w:spacing w:val="-4"/>
                <w:lang w:val="en-GB"/>
              </w:rPr>
              <w:t>.</w:t>
            </w:r>
            <w:r w:rsidR="00DD003B" w:rsidRPr="00CB09D5">
              <w:rPr>
                <w:rFonts w:cs="Arial"/>
                <w:color w:val="0D0D0D"/>
                <w:spacing w:val="-4"/>
                <w:lang w:val="en-GB"/>
              </w:rPr>
              <w:t>8</w:t>
            </w:r>
            <w:r w:rsidR="008A03DE" w:rsidRPr="00CB09D5">
              <w:rPr>
                <w:rFonts w:cs="Arial"/>
                <w:color w:val="0D0D0D"/>
                <w:spacing w:val="-4"/>
                <w:lang w:val="en-GB"/>
              </w:rPr>
              <w:t xml:space="preserve">%) </w:t>
            </w:r>
            <w:r w:rsidR="00DF2847" w:rsidRPr="00CB09D5">
              <w:rPr>
                <w:rFonts w:cs="Arial"/>
                <w:color w:val="0D0D0D"/>
                <w:spacing w:val="-4"/>
                <w:lang w:val="en-GB"/>
              </w:rPr>
              <w:t xml:space="preserve">behind the budget anticipations. </w:t>
            </w:r>
            <w:r w:rsidRPr="00CB09D5">
              <w:rPr>
                <w:rFonts w:cs="Arial"/>
                <w:color w:val="0D0D0D"/>
                <w:spacing w:val="-4"/>
                <w:lang w:val="en-GB"/>
              </w:rPr>
              <w:t xml:space="preserve">Higher collection reflected the nominal growth of final consumption expenditure </w:t>
            </w:r>
            <w:r w:rsidR="008A03DE" w:rsidRPr="00CB09D5">
              <w:rPr>
                <w:rFonts w:cs="Arial"/>
                <w:color w:val="0D0D0D"/>
                <w:spacing w:val="-4"/>
                <w:lang w:val="en-GB"/>
              </w:rPr>
              <w:t>(</w:t>
            </w:r>
            <w:r w:rsidR="00DD003B" w:rsidRPr="00CB09D5">
              <w:rPr>
                <w:rFonts w:cs="Arial"/>
                <w:color w:val="0D0D0D"/>
                <w:spacing w:val="-4"/>
                <w:lang w:val="en-GB"/>
              </w:rPr>
              <w:t>by 3.5% for households in, by 3.4</w:t>
            </w:r>
            <w:r w:rsidRPr="00CB09D5">
              <w:rPr>
                <w:rFonts w:cs="Arial"/>
                <w:color w:val="0D0D0D"/>
                <w:spacing w:val="-4"/>
                <w:lang w:val="en-GB"/>
              </w:rPr>
              <w:t>% for government institutions</w:t>
            </w:r>
            <w:r w:rsidR="008A03DE" w:rsidRPr="00CB09D5">
              <w:rPr>
                <w:rFonts w:cs="Arial"/>
                <w:color w:val="0D0D0D"/>
                <w:spacing w:val="-4"/>
                <w:lang w:val="en-GB"/>
              </w:rPr>
              <w:t>).</w:t>
            </w:r>
          </w:p>
          <w:p w:rsidR="008A03DE" w:rsidRPr="00CB09D5" w:rsidRDefault="008A03DE" w:rsidP="008A03DE">
            <w:pPr>
              <w:pStyle w:val="Textpoznpodarou"/>
              <w:jc w:val="both"/>
              <w:rPr>
                <w:rFonts w:cs="Arial"/>
                <w:color w:val="0D0D0D"/>
                <w:spacing w:val="-4"/>
                <w:sz w:val="13"/>
                <w:szCs w:val="13"/>
                <w:lang w:val="en-GB"/>
              </w:rPr>
            </w:pPr>
          </w:p>
        </w:tc>
      </w:tr>
      <w:tr w:rsidR="008A03DE" w:rsidRPr="00CB09D5" w:rsidTr="008A03DE">
        <w:tc>
          <w:tcPr>
            <w:tcW w:w="1054" w:type="pct"/>
          </w:tcPr>
          <w:p w:rsidR="008A03DE" w:rsidRPr="00CB09D5" w:rsidRDefault="008C0595" w:rsidP="008A03DE">
            <w:pPr>
              <w:spacing w:line="240" w:lineRule="auto"/>
              <w:rPr>
                <w:rFonts w:cs="Arial"/>
                <w:color w:val="0D0D0D"/>
                <w:spacing w:val="-4"/>
                <w:sz w:val="16"/>
                <w:szCs w:val="16"/>
                <w:lang w:val="en-GB"/>
              </w:rPr>
            </w:pPr>
            <w:r w:rsidRPr="00CB09D5">
              <w:rPr>
                <w:rFonts w:cs="Arial"/>
                <w:color w:val="0D0D0D"/>
                <w:spacing w:val="-4"/>
                <w:sz w:val="16"/>
                <w:szCs w:val="16"/>
                <w:lang w:val="en-GB"/>
              </w:rPr>
              <w:t xml:space="preserve">Taxes on tobacco products and taxes on mineral oils both contributed equally to the higher collection of </w:t>
            </w:r>
            <w:r w:rsidRPr="00CB09D5">
              <w:rPr>
                <w:rFonts w:cs="Arial"/>
                <w:color w:val="0D0D0D"/>
                <w:spacing w:val="-4"/>
                <w:sz w:val="16"/>
                <w:szCs w:val="16"/>
                <w:lang w:val="en-GB"/>
              </w:rPr>
              <w:lastRenderedPageBreak/>
              <w:t>consum</w:t>
            </w:r>
            <w:r w:rsidR="00994C29" w:rsidRPr="00CB09D5">
              <w:rPr>
                <w:rFonts w:cs="Arial"/>
                <w:color w:val="0D0D0D"/>
                <w:spacing w:val="-4"/>
                <w:sz w:val="16"/>
                <w:szCs w:val="16"/>
                <w:lang w:val="en-GB"/>
              </w:rPr>
              <w:t>ption</w:t>
            </w:r>
            <w:r w:rsidRPr="00CB09D5">
              <w:rPr>
                <w:rFonts w:cs="Arial"/>
                <w:color w:val="0D0D0D"/>
                <w:spacing w:val="-4"/>
                <w:sz w:val="16"/>
                <w:szCs w:val="16"/>
                <w:lang w:val="en-GB"/>
              </w:rPr>
              <w:t xml:space="preserve"> taxes year-on-year. </w:t>
            </w:r>
          </w:p>
          <w:p w:rsidR="008A03DE" w:rsidRPr="00CB09D5" w:rsidRDefault="008A03DE" w:rsidP="008A03DE">
            <w:pPr>
              <w:spacing w:line="240" w:lineRule="auto"/>
              <w:rPr>
                <w:rFonts w:cs="Arial"/>
                <w:color w:val="0D0D0D"/>
                <w:spacing w:val="-4"/>
                <w:sz w:val="16"/>
                <w:szCs w:val="16"/>
                <w:lang w:val="en-GB"/>
              </w:rPr>
            </w:pP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E2196F" w:rsidP="008A03DE">
            <w:pPr>
              <w:pStyle w:val="Textpoznpodarou"/>
              <w:jc w:val="both"/>
              <w:rPr>
                <w:rFonts w:cs="Arial"/>
                <w:color w:val="0D0D0D"/>
                <w:spacing w:val="-4"/>
                <w:lang w:val="en-GB"/>
              </w:rPr>
            </w:pPr>
            <w:r w:rsidRPr="00CB09D5">
              <w:rPr>
                <w:rFonts w:cs="Arial"/>
                <w:color w:val="0D0D0D"/>
                <w:spacing w:val="-4"/>
                <w:lang w:val="en-GB"/>
              </w:rPr>
              <w:t xml:space="preserve">Income </w:t>
            </w:r>
            <w:r w:rsidR="00C42F9C" w:rsidRPr="00CB09D5">
              <w:rPr>
                <w:rFonts w:cs="Arial"/>
                <w:color w:val="0D0D0D"/>
                <w:spacing w:val="-4"/>
                <w:lang w:val="en-GB"/>
              </w:rPr>
              <w:t>inflow from the consum</w:t>
            </w:r>
            <w:r w:rsidR="002B1AA2" w:rsidRPr="00CB09D5">
              <w:rPr>
                <w:rFonts w:cs="Arial"/>
                <w:color w:val="0D0D0D"/>
                <w:spacing w:val="-4"/>
                <w:lang w:val="en-GB"/>
              </w:rPr>
              <w:t>ption</w:t>
            </w:r>
            <w:r w:rsidR="00DD003B" w:rsidRPr="00CB09D5">
              <w:rPr>
                <w:rFonts w:cs="Arial"/>
                <w:color w:val="0D0D0D"/>
                <w:spacing w:val="-4"/>
                <w:lang w:val="en-GB"/>
              </w:rPr>
              <w:t xml:space="preserve"> taxes to the SB was by 5.2</w:t>
            </w:r>
            <w:r w:rsidR="00C42F9C" w:rsidRPr="00CB09D5">
              <w:rPr>
                <w:rFonts w:cs="Arial"/>
                <w:color w:val="0D0D0D"/>
                <w:spacing w:val="-4"/>
                <w:lang w:val="en-GB"/>
              </w:rPr>
              <w:t>% higher year-on-year. Both stronger collection o</w:t>
            </w:r>
            <w:r w:rsidR="00DD003B" w:rsidRPr="00CB09D5">
              <w:rPr>
                <w:rFonts w:cs="Arial"/>
                <w:color w:val="0D0D0D"/>
                <w:spacing w:val="-4"/>
                <w:lang w:val="en-GB"/>
              </w:rPr>
              <w:t>f taxes on tobacco products (+7</w:t>
            </w:r>
            <w:r w:rsidR="00C42F9C" w:rsidRPr="00CB09D5">
              <w:rPr>
                <w:rFonts w:cs="Arial"/>
                <w:color w:val="0D0D0D"/>
                <w:spacing w:val="-4"/>
                <w:lang w:val="en-GB"/>
              </w:rPr>
              <w:t xml:space="preserve">%, driven mostly by the increase of the tax rate) and the higher income </w:t>
            </w:r>
            <w:r w:rsidR="009D2958" w:rsidRPr="00CB09D5">
              <w:rPr>
                <w:rFonts w:cs="Arial"/>
                <w:color w:val="0D0D0D"/>
                <w:spacing w:val="-4"/>
                <w:lang w:val="en-GB"/>
              </w:rPr>
              <w:t>from</w:t>
            </w:r>
            <w:r w:rsidR="00C42F9C" w:rsidRPr="00CB09D5">
              <w:rPr>
                <w:rFonts w:cs="Arial"/>
                <w:color w:val="0D0D0D"/>
                <w:spacing w:val="-4"/>
                <w:lang w:val="en-GB"/>
              </w:rPr>
              <w:t xml:space="preserve"> the tax on the mineral oil</w:t>
            </w:r>
            <w:r w:rsidR="00DD003B" w:rsidRPr="00CB09D5">
              <w:rPr>
                <w:rFonts w:cs="Arial"/>
                <w:color w:val="0D0D0D"/>
                <w:spacing w:val="-4"/>
                <w:lang w:val="en-GB"/>
              </w:rPr>
              <w:t xml:space="preserve">s, whose </w:t>
            </w:r>
            <w:r w:rsidR="00DD003B" w:rsidRPr="00CB09D5">
              <w:rPr>
                <w:rFonts w:cs="Arial"/>
                <w:color w:val="0D0D0D"/>
                <w:spacing w:val="-4"/>
                <w:lang w:val="en-GB"/>
              </w:rPr>
              <w:lastRenderedPageBreak/>
              <w:t>collection grew by 4.7</w:t>
            </w:r>
            <w:r w:rsidR="00C42F9C" w:rsidRPr="00CB09D5">
              <w:rPr>
                <w:rFonts w:cs="Arial"/>
                <w:color w:val="0D0D0D"/>
                <w:spacing w:val="-4"/>
                <w:lang w:val="en-GB"/>
              </w:rPr>
              <w:t>% year-on-year, were behind this rise</w:t>
            </w:r>
            <w:r w:rsidR="008A03DE" w:rsidRPr="00CB09D5">
              <w:rPr>
                <w:rFonts w:cs="Arial"/>
                <w:color w:val="0D0D0D"/>
                <w:spacing w:val="-4"/>
                <w:lang w:val="en-GB"/>
              </w:rPr>
              <w:t xml:space="preserve">. </w:t>
            </w:r>
            <w:r w:rsidR="00C42F9C" w:rsidRPr="00CB09D5">
              <w:rPr>
                <w:rFonts w:cs="Arial"/>
                <w:color w:val="0D0D0D"/>
                <w:spacing w:val="-4"/>
                <w:lang w:val="en-GB"/>
              </w:rPr>
              <w:t>It was caused by the growing consumption of</w:t>
            </w:r>
            <w:r w:rsidR="00705CA7">
              <w:rPr>
                <w:rFonts w:cs="Arial"/>
                <w:color w:val="0D0D0D"/>
                <w:spacing w:val="-4"/>
                <w:lang w:val="en-GB"/>
              </w:rPr>
              <w:t xml:space="preserve"> motor gasoline</w:t>
            </w:r>
            <w:r w:rsidR="00A80E64" w:rsidRPr="00CB09D5">
              <w:rPr>
                <w:rFonts w:cs="Arial"/>
                <w:color w:val="0D0D0D"/>
                <w:spacing w:val="-4"/>
                <w:lang w:val="en-GB"/>
              </w:rPr>
              <w:t xml:space="preserve"> </w:t>
            </w:r>
            <w:r w:rsidR="00C42F9C" w:rsidRPr="00CB09D5">
              <w:rPr>
                <w:rFonts w:cs="Arial"/>
                <w:color w:val="0D0D0D"/>
                <w:spacing w:val="-4"/>
                <w:lang w:val="en-GB"/>
              </w:rPr>
              <w:t xml:space="preserve">as well as the </w:t>
            </w:r>
            <w:r w:rsidR="00A80E64" w:rsidRPr="00CB09D5">
              <w:rPr>
                <w:rFonts w:cs="Arial"/>
                <w:color w:val="0D0D0D"/>
                <w:spacing w:val="-4"/>
                <w:lang w:val="en-GB"/>
              </w:rPr>
              <w:t xml:space="preserve">diesel </w:t>
            </w:r>
            <w:r w:rsidR="00705CA7">
              <w:rPr>
                <w:rFonts w:cs="Arial"/>
                <w:color w:val="0D0D0D"/>
                <w:spacing w:val="-4"/>
                <w:lang w:val="en-GB"/>
              </w:rPr>
              <w:t>oil</w:t>
            </w:r>
            <w:r w:rsidR="008A03DE" w:rsidRPr="00CB09D5">
              <w:rPr>
                <w:rStyle w:val="Znakapoznpodarou"/>
                <w:color w:val="0D0D0D"/>
                <w:spacing w:val="-4"/>
                <w:lang w:val="en-GB"/>
              </w:rPr>
              <w:footnoteReference w:id="32"/>
            </w:r>
            <w:r w:rsidR="00C42F9C" w:rsidRPr="00CB09D5">
              <w:rPr>
                <w:rFonts w:cs="Arial"/>
                <w:color w:val="0D0D0D"/>
                <w:spacing w:val="-4"/>
                <w:lang w:val="en-GB"/>
              </w:rPr>
              <w:t xml:space="preserve"> stimulated by th</w:t>
            </w:r>
            <w:r w:rsidR="00280E67" w:rsidRPr="00CB09D5">
              <w:rPr>
                <w:rFonts w:cs="Arial"/>
                <w:color w:val="0D0D0D"/>
                <w:spacing w:val="-4"/>
                <w:lang w:val="en-GB"/>
              </w:rPr>
              <w:t>e</w:t>
            </w:r>
            <w:r w:rsidR="00C42F9C" w:rsidRPr="00CB09D5">
              <w:rPr>
                <w:rFonts w:cs="Arial"/>
                <w:color w:val="0D0D0D"/>
                <w:spacing w:val="-4"/>
                <w:lang w:val="en-GB"/>
              </w:rPr>
              <w:t xml:space="preserve"> favourable prices of automotive fuels (esp</w:t>
            </w:r>
            <w:r w:rsidR="00124430" w:rsidRPr="00CB09D5">
              <w:rPr>
                <w:rFonts w:cs="Arial"/>
                <w:color w:val="0D0D0D"/>
                <w:spacing w:val="-4"/>
                <w:lang w:val="en-GB"/>
              </w:rPr>
              <w:t>ecially in the first half of the year</w:t>
            </w:r>
            <w:r w:rsidR="008A03DE" w:rsidRPr="00CB09D5">
              <w:rPr>
                <w:rFonts w:cs="Arial"/>
                <w:color w:val="0D0D0D"/>
                <w:spacing w:val="-4"/>
                <w:lang w:val="en-GB"/>
              </w:rPr>
              <w:t xml:space="preserve">) </w:t>
            </w:r>
            <w:r w:rsidR="00280E67" w:rsidRPr="00CB09D5">
              <w:rPr>
                <w:rFonts w:cs="Arial"/>
                <w:color w:val="0D0D0D"/>
                <w:spacing w:val="-4"/>
                <w:lang w:val="en-GB"/>
              </w:rPr>
              <w:t xml:space="preserve">as well as the long-term growth of demand for transportation with the continuing economic expansion. </w:t>
            </w:r>
          </w:p>
          <w:p w:rsidR="008A03DE" w:rsidRPr="00CB09D5" w:rsidRDefault="008A03DE" w:rsidP="008A03DE">
            <w:pPr>
              <w:pStyle w:val="Textpoznpodarou"/>
              <w:jc w:val="both"/>
              <w:rPr>
                <w:rFonts w:cs="Arial"/>
                <w:color w:val="0D0D0D"/>
                <w:spacing w:val="-4"/>
                <w:sz w:val="13"/>
                <w:szCs w:val="13"/>
                <w:lang w:val="en-GB"/>
              </w:rPr>
            </w:pPr>
          </w:p>
        </w:tc>
      </w:tr>
      <w:tr w:rsidR="008A03DE" w:rsidRPr="00CB09D5" w:rsidTr="008A03DE">
        <w:tc>
          <w:tcPr>
            <w:tcW w:w="1054" w:type="pct"/>
          </w:tcPr>
          <w:p w:rsidR="008A03DE" w:rsidRPr="00CB09D5" w:rsidRDefault="00A950B5" w:rsidP="008A03DE">
            <w:pPr>
              <w:spacing w:line="240" w:lineRule="auto"/>
              <w:rPr>
                <w:rFonts w:cs="Arial"/>
                <w:bCs/>
                <w:iCs/>
                <w:color w:val="0D0D0D"/>
                <w:sz w:val="16"/>
                <w:szCs w:val="16"/>
                <w:lang w:val="en-GB"/>
              </w:rPr>
            </w:pPr>
            <w:r w:rsidRPr="00CB09D5">
              <w:rPr>
                <w:rFonts w:cs="Arial"/>
                <w:bCs/>
                <w:iCs/>
                <w:color w:val="0D0D0D"/>
                <w:sz w:val="16"/>
                <w:szCs w:val="16"/>
                <w:lang w:val="en-GB"/>
              </w:rPr>
              <w:lastRenderedPageBreak/>
              <w:t xml:space="preserve">Collection of </w:t>
            </w:r>
            <w:r w:rsidR="002B1AA2" w:rsidRPr="00CB09D5">
              <w:rPr>
                <w:rFonts w:cs="Arial"/>
                <w:bCs/>
                <w:iCs/>
                <w:color w:val="0D0D0D"/>
                <w:sz w:val="16"/>
                <w:szCs w:val="16"/>
                <w:lang w:val="en-GB"/>
              </w:rPr>
              <w:t xml:space="preserve">corporate taxes </w:t>
            </w:r>
            <w:r w:rsidR="008A03DE" w:rsidRPr="00CB09D5">
              <w:rPr>
                <w:rFonts w:cs="Arial"/>
                <w:bCs/>
                <w:iCs/>
                <w:color w:val="0D0D0D"/>
                <w:sz w:val="16"/>
                <w:szCs w:val="16"/>
                <w:lang w:val="en-GB"/>
              </w:rPr>
              <w:t>ro</w:t>
            </w:r>
            <w:r w:rsidRPr="00CB09D5">
              <w:rPr>
                <w:rFonts w:cs="Arial"/>
                <w:bCs/>
                <w:iCs/>
                <w:color w:val="0D0D0D"/>
                <w:sz w:val="16"/>
                <w:szCs w:val="16"/>
                <w:lang w:val="en-GB"/>
              </w:rPr>
              <w:t xml:space="preserve">se the fastest since the peak year </w:t>
            </w:r>
            <w:r w:rsidR="008A03DE" w:rsidRPr="00CB09D5">
              <w:rPr>
                <w:rFonts w:cs="Arial"/>
                <w:bCs/>
                <w:iCs/>
                <w:color w:val="0D0D0D"/>
                <w:sz w:val="16"/>
                <w:szCs w:val="16"/>
                <w:lang w:val="en-GB"/>
              </w:rPr>
              <w:t xml:space="preserve">2008, </w:t>
            </w:r>
            <w:r w:rsidRPr="00CB09D5">
              <w:rPr>
                <w:rFonts w:cs="Arial"/>
                <w:bCs/>
                <w:iCs/>
                <w:color w:val="0D0D0D"/>
                <w:sz w:val="16"/>
                <w:szCs w:val="16"/>
                <w:lang w:val="en-GB"/>
              </w:rPr>
              <w:t xml:space="preserve">benefited mainly from the strengthening profits of businesses in </w:t>
            </w:r>
            <w:r w:rsidR="00AB2797" w:rsidRPr="00CB09D5">
              <w:rPr>
                <w:rFonts w:cs="Arial"/>
                <w:bCs/>
                <w:iCs/>
                <w:color w:val="0D0D0D"/>
                <w:sz w:val="16"/>
                <w:szCs w:val="16"/>
                <w:lang w:val="en-GB"/>
              </w:rPr>
              <w:t xml:space="preserve">the </w:t>
            </w:r>
            <w:r w:rsidRPr="00CB09D5">
              <w:rPr>
                <w:rFonts w:cs="Arial"/>
                <w:bCs/>
                <w:iCs/>
                <w:color w:val="0D0D0D"/>
                <w:sz w:val="16"/>
                <w:szCs w:val="16"/>
                <w:lang w:val="en-GB"/>
              </w:rPr>
              <w:t xml:space="preserve">years </w:t>
            </w:r>
            <w:r w:rsidR="008A03DE" w:rsidRPr="00CB09D5">
              <w:rPr>
                <w:rFonts w:cs="Arial"/>
                <w:spacing w:val="-4"/>
                <w:sz w:val="16"/>
                <w:szCs w:val="16"/>
                <w:lang w:val="en-GB"/>
              </w:rPr>
              <w:t>2014</w:t>
            </w:r>
            <w:r w:rsidRPr="00CB09D5">
              <w:rPr>
                <w:rFonts w:cs="Arial"/>
                <w:spacing w:val="-4"/>
                <w:sz w:val="16"/>
                <w:szCs w:val="16"/>
                <w:lang w:val="en-GB"/>
              </w:rPr>
              <w:t xml:space="preserve"> and </w:t>
            </w:r>
            <w:r w:rsidR="008A03DE" w:rsidRPr="00CB09D5">
              <w:rPr>
                <w:rFonts w:cs="Arial"/>
                <w:spacing w:val="-4"/>
                <w:sz w:val="16"/>
                <w:szCs w:val="16"/>
                <w:lang w:val="en-GB"/>
              </w:rPr>
              <w:t>2015.</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124430" w:rsidP="008A03DE">
            <w:pPr>
              <w:pStyle w:val="Textpoznpodarou"/>
              <w:jc w:val="both"/>
              <w:rPr>
                <w:rFonts w:cs="Arial"/>
                <w:color w:val="0D0D0D"/>
                <w:spacing w:val="-4"/>
                <w:lang w:val="en-GB"/>
              </w:rPr>
            </w:pPr>
            <w:r w:rsidRPr="00CB09D5">
              <w:rPr>
                <w:rFonts w:cs="Arial"/>
                <w:color w:val="0D0D0D"/>
                <w:spacing w:val="-4"/>
                <w:lang w:val="en-GB"/>
              </w:rPr>
              <w:t xml:space="preserve">State wide collection of the corporate taxes continued to grow by a swift pace. It </w:t>
            </w:r>
            <w:r w:rsidR="00612192" w:rsidRPr="00CB09D5">
              <w:rPr>
                <w:rFonts w:cs="Arial"/>
                <w:color w:val="0D0D0D"/>
                <w:spacing w:val="-4"/>
                <w:lang w:val="en-GB"/>
              </w:rPr>
              <w:t>further</w:t>
            </w:r>
            <w:r w:rsidRPr="00CB09D5">
              <w:rPr>
                <w:rFonts w:cs="Arial"/>
                <w:color w:val="0D0D0D"/>
                <w:spacing w:val="-4"/>
                <w:lang w:val="en-GB"/>
              </w:rPr>
              <w:t xml:space="preserve"> accelerated to </w:t>
            </w:r>
            <w:r w:rsidR="008A03DE" w:rsidRPr="00CB09D5">
              <w:rPr>
                <w:rFonts w:cs="Arial"/>
                <w:color w:val="0D0D0D"/>
                <w:spacing w:val="-4"/>
                <w:lang w:val="en-GB"/>
              </w:rPr>
              <w:t>11</w:t>
            </w:r>
            <w:r w:rsidRPr="00CB09D5">
              <w:rPr>
                <w:rFonts w:cs="Arial"/>
                <w:color w:val="0D0D0D"/>
                <w:spacing w:val="-4"/>
                <w:lang w:val="en-GB"/>
              </w:rPr>
              <w:t>.</w:t>
            </w:r>
            <w:r w:rsidR="00DD003B" w:rsidRPr="00CB09D5">
              <w:rPr>
                <w:rFonts w:cs="Arial"/>
                <w:color w:val="0D0D0D"/>
                <w:spacing w:val="-4"/>
                <w:lang w:val="en-GB"/>
              </w:rPr>
              <w:t>7</w:t>
            </w:r>
            <w:r w:rsidR="008A03DE" w:rsidRPr="00CB09D5">
              <w:rPr>
                <w:rFonts w:cs="Arial"/>
                <w:color w:val="0D0D0D"/>
                <w:spacing w:val="-4"/>
                <w:lang w:val="en-GB"/>
              </w:rPr>
              <w:t>%</w:t>
            </w:r>
            <w:r w:rsidRPr="00CB09D5">
              <w:rPr>
                <w:rFonts w:cs="Arial"/>
                <w:color w:val="0D0D0D"/>
                <w:spacing w:val="-4"/>
                <w:lang w:val="en-GB"/>
              </w:rPr>
              <w:t xml:space="preserve"> in 2016</w:t>
            </w:r>
            <w:r w:rsidR="008A03DE" w:rsidRPr="00CB09D5">
              <w:rPr>
                <w:rFonts w:cs="Arial"/>
                <w:color w:val="0D0D0D"/>
                <w:spacing w:val="-4"/>
                <w:lang w:val="en-GB"/>
              </w:rPr>
              <w:t xml:space="preserve"> (</w:t>
            </w:r>
            <w:r w:rsidR="00DD003B" w:rsidRPr="00CB09D5">
              <w:rPr>
                <w:rFonts w:cs="Arial"/>
                <w:color w:val="0D0D0D"/>
                <w:spacing w:val="-4"/>
                <w:lang w:val="en-GB"/>
              </w:rPr>
              <w:t>from 11.4</w:t>
            </w:r>
            <w:r w:rsidRPr="00CB09D5">
              <w:rPr>
                <w:rFonts w:cs="Arial"/>
                <w:color w:val="0D0D0D"/>
                <w:spacing w:val="-4"/>
                <w:lang w:val="en-GB"/>
              </w:rPr>
              <w:t>% in</w:t>
            </w:r>
            <w:r w:rsidR="00705CA7">
              <w:rPr>
                <w:rFonts w:cs="Arial"/>
                <w:color w:val="0D0D0D"/>
                <w:spacing w:val="-4"/>
                <w:lang w:val="en-GB"/>
              </w:rPr>
              <w:t xml:space="preserve"> 2015</w:t>
            </w:r>
            <w:r w:rsidRPr="00CB09D5">
              <w:rPr>
                <w:rFonts w:cs="Arial"/>
                <w:color w:val="0D0D0D"/>
                <w:spacing w:val="-4"/>
                <w:lang w:val="en-GB"/>
              </w:rPr>
              <w:t>) and it exceeded the budget anticipations by nearly one tenth (14.</w:t>
            </w:r>
            <w:r w:rsidR="008A03DE" w:rsidRPr="00CB09D5">
              <w:rPr>
                <w:rFonts w:cs="Arial"/>
                <w:color w:val="0D0D0D"/>
                <w:spacing w:val="-4"/>
                <w:lang w:val="en-GB"/>
              </w:rPr>
              <w:t xml:space="preserve">5 </w:t>
            </w:r>
            <w:r w:rsidR="00C4216C" w:rsidRPr="00CB09D5">
              <w:rPr>
                <w:rFonts w:cs="Arial"/>
                <w:color w:val="0D0D0D"/>
                <w:spacing w:val="-4"/>
                <w:lang w:val="en-GB"/>
              </w:rPr>
              <w:t>CZK bn</w:t>
            </w:r>
            <w:r w:rsidR="008A03DE" w:rsidRPr="00CB09D5">
              <w:rPr>
                <w:rFonts w:cs="Arial"/>
                <w:color w:val="0D0D0D"/>
                <w:spacing w:val="-4"/>
                <w:lang w:val="en-GB"/>
              </w:rPr>
              <w:t xml:space="preserve">). </w:t>
            </w:r>
            <w:r w:rsidR="00612192" w:rsidRPr="00CB09D5">
              <w:rPr>
                <w:rFonts w:cs="Arial"/>
                <w:color w:val="0D0D0D"/>
                <w:spacing w:val="-4"/>
                <w:lang w:val="en-GB"/>
              </w:rPr>
              <w:t xml:space="preserve">In contrast to other types of taxes, it was not significantly affected by the legislative effects in the last five years and more clearly thus reflected the favourable development of the profit rate of businesses after </w:t>
            </w:r>
            <w:r w:rsidR="005703D0" w:rsidRPr="00CB09D5">
              <w:rPr>
                <w:rFonts w:cs="Arial"/>
                <w:color w:val="0D0D0D"/>
                <w:spacing w:val="-4"/>
                <w:lang w:val="en-GB"/>
              </w:rPr>
              <w:t xml:space="preserve">the </w:t>
            </w:r>
            <w:r w:rsidR="00612192" w:rsidRPr="00CB09D5">
              <w:rPr>
                <w:rFonts w:cs="Arial"/>
                <w:color w:val="0D0D0D"/>
                <w:spacing w:val="-4"/>
                <w:lang w:val="en-GB"/>
              </w:rPr>
              <w:t xml:space="preserve">year </w:t>
            </w:r>
            <w:r w:rsidR="008A03DE" w:rsidRPr="00CB09D5">
              <w:rPr>
                <w:rFonts w:cs="Arial"/>
                <w:color w:val="0D0D0D"/>
                <w:spacing w:val="-4"/>
                <w:lang w:val="en-GB"/>
              </w:rPr>
              <w:t xml:space="preserve">2013. </w:t>
            </w:r>
            <w:r w:rsidR="00410FF4" w:rsidRPr="00CB09D5">
              <w:rPr>
                <w:rFonts w:cs="Arial"/>
                <w:color w:val="0D0D0D"/>
                <w:spacing w:val="-4"/>
                <w:lang w:val="en-GB"/>
              </w:rPr>
              <w:t xml:space="preserve">Despite of this development, the last year’s collection of taxes </w:t>
            </w:r>
            <w:r w:rsidR="008A03DE" w:rsidRPr="00CB09D5">
              <w:rPr>
                <w:rFonts w:cs="Arial"/>
                <w:color w:val="0D0D0D"/>
                <w:spacing w:val="-4"/>
                <w:lang w:val="en-GB"/>
              </w:rPr>
              <w:t>(164</w:t>
            </w:r>
            <w:r w:rsidR="00410FF4" w:rsidRPr="00CB09D5">
              <w:rPr>
                <w:rFonts w:cs="Arial"/>
                <w:color w:val="0D0D0D"/>
                <w:spacing w:val="-4"/>
                <w:lang w:val="en-GB"/>
              </w:rPr>
              <w:t>.</w:t>
            </w:r>
            <w:r w:rsidR="008A03DE" w:rsidRPr="00CB09D5">
              <w:rPr>
                <w:rFonts w:cs="Arial"/>
                <w:color w:val="0D0D0D"/>
                <w:spacing w:val="-4"/>
                <w:lang w:val="en-GB"/>
              </w:rPr>
              <w:t xml:space="preserve">7 </w:t>
            </w:r>
            <w:r w:rsidR="00410FF4" w:rsidRPr="00CB09D5">
              <w:rPr>
                <w:rFonts w:cs="Arial"/>
                <w:color w:val="0D0D0D"/>
                <w:spacing w:val="-4"/>
                <w:lang w:val="en-GB"/>
              </w:rPr>
              <w:t>bn</w:t>
            </w:r>
            <w:r w:rsidR="008A03DE" w:rsidRPr="00CB09D5">
              <w:rPr>
                <w:rFonts w:cs="Arial"/>
                <w:color w:val="0D0D0D"/>
                <w:spacing w:val="-4"/>
                <w:lang w:val="en-GB"/>
              </w:rPr>
              <w:t xml:space="preserve">) </w:t>
            </w:r>
            <w:r w:rsidR="00277C94" w:rsidRPr="00CB09D5">
              <w:rPr>
                <w:rFonts w:cs="Arial"/>
                <w:color w:val="0D0D0D"/>
                <w:spacing w:val="-4"/>
                <w:lang w:val="en-GB"/>
              </w:rPr>
              <w:t xml:space="preserve">still hovered one tenth below its pre-crisis maximum from </w:t>
            </w:r>
            <w:r w:rsidR="005703D0" w:rsidRPr="00CB09D5">
              <w:rPr>
                <w:rFonts w:cs="Arial"/>
                <w:color w:val="0D0D0D"/>
                <w:spacing w:val="-4"/>
                <w:lang w:val="en-GB"/>
              </w:rPr>
              <w:t xml:space="preserve">the </w:t>
            </w:r>
            <w:r w:rsidR="00277C94" w:rsidRPr="00CB09D5">
              <w:rPr>
                <w:rFonts w:cs="Arial"/>
                <w:color w:val="0D0D0D"/>
                <w:spacing w:val="-4"/>
                <w:lang w:val="en-GB"/>
              </w:rPr>
              <w:t>year 2</w:t>
            </w:r>
            <w:r w:rsidR="008A03DE" w:rsidRPr="00CB09D5">
              <w:rPr>
                <w:rFonts w:cs="Arial"/>
                <w:color w:val="0D0D0D"/>
                <w:spacing w:val="-4"/>
                <w:lang w:val="en-GB"/>
              </w:rPr>
              <w:t>008</w:t>
            </w:r>
            <w:r w:rsidR="008A03DE" w:rsidRPr="00CB09D5">
              <w:rPr>
                <w:rStyle w:val="Znakapoznpodarou"/>
                <w:color w:val="0D0D0D"/>
                <w:spacing w:val="-4"/>
                <w:lang w:val="en-GB"/>
              </w:rPr>
              <w:footnoteReference w:id="33"/>
            </w:r>
            <w:r w:rsidR="008A03DE" w:rsidRPr="00CB09D5">
              <w:rPr>
                <w:rFonts w:cs="Arial"/>
                <w:color w:val="0D0D0D"/>
                <w:spacing w:val="-4"/>
                <w:lang w:val="en-GB"/>
              </w:rPr>
              <w:t>.</w:t>
            </w:r>
          </w:p>
          <w:p w:rsidR="008A03DE" w:rsidRPr="00CB09D5" w:rsidRDefault="008A03DE" w:rsidP="008A03DE">
            <w:pPr>
              <w:pStyle w:val="Textpoznpodarou"/>
              <w:jc w:val="both"/>
              <w:rPr>
                <w:rFonts w:cs="Arial"/>
                <w:color w:val="0D0D0D"/>
                <w:spacing w:val="-4"/>
                <w:sz w:val="13"/>
                <w:szCs w:val="13"/>
                <w:lang w:val="en-GB"/>
              </w:rPr>
            </w:pPr>
          </w:p>
        </w:tc>
      </w:tr>
      <w:tr w:rsidR="008A03DE" w:rsidRPr="00CB09D5" w:rsidTr="008A03DE">
        <w:tc>
          <w:tcPr>
            <w:tcW w:w="1054" w:type="pct"/>
          </w:tcPr>
          <w:p w:rsidR="008A03DE" w:rsidRPr="00CB09D5" w:rsidRDefault="008F2342"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Collection of</w:t>
            </w:r>
            <w:r w:rsidR="00650260" w:rsidRPr="00CB09D5">
              <w:rPr>
                <w:rFonts w:cs="Arial"/>
                <w:bCs/>
                <w:iCs/>
                <w:color w:val="0D0D0D"/>
                <w:spacing w:val="-4"/>
                <w:sz w:val="16"/>
                <w:szCs w:val="16"/>
                <w:lang w:val="en-GB"/>
              </w:rPr>
              <w:t xml:space="preserve"> ITNP f</w:t>
            </w:r>
            <w:r w:rsidRPr="00CB09D5">
              <w:rPr>
                <w:rFonts w:cs="Arial"/>
                <w:bCs/>
                <w:iCs/>
                <w:color w:val="0D0D0D"/>
                <w:spacing w:val="-4"/>
                <w:sz w:val="16"/>
                <w:szCs w:val="16"/>
                <w:lang w:val="en-GB"/>
              </w:rPr>
              <w:t xml:space="preserve">rom the dependent </w:t>
            </w:r>
            <w:r w:rsidR="00B9183E" w:rsidRPr="00CB09D5">
              <w:rPr>
                <w:rFonts w:cs="Arial"/>
                <w:bCs/>
                <w:iCs/>
                <w:color w:val="0D0D0D"/>
                <w:spacing w:val="-4"/>
                <w:sz w:val="16"/>
                <w:szCs w:val="16"/>
                <w:lang w:val="en-GB"/>
              </w:rPr>
              <w:t>activity</w:t>
            </w:r>
            <w:r w:rsidRPr="00CB09D5">
              <w:rPr>
                <w:rFonts w:cs="Arial"/>
                <w:bCs/>
                <w:iCs/>
                <w:color w:val="0D0D0D"/>
                <w:spacing w:val="-4"/>
                <w:sz w:val="16"/>
                <w:szCs w:val="16"/>
                <w:lang w:val="en-GB"/>
              </w:rPr>
              <w:t xml:space="preserve"> grew the most since </w:t>
            </w:r>
            <w:r w:rsidR="005703D0" w:rsidRPr="00CB09D5">
              <w:rPr>
                <w:rFonts w:cs="Arial"/>
                <w:bCs/>
                <w:iCs/>
                <w:color w:val="0D0D0D"/>
                <w:spacing w:val="-4"/>
                <w:sz w:val="16"/>
                <w:szCs w:val="16"/>
                <w:lang w:val="en-GB"/>
              </w:rPr>
              <w:t xml:space="preserve">the </w:t>
            </w:r>
            <w:r w:rsidRPr="00CB09D5">
              <w:rPr>
                <w:rFonts w:cs="Arial"/>
                <w:bCs/>
                <w:iCs/>
                <w:color w:val="0D0D0D"/>
                <w:spacing w:val="-4"/>
                <w:sz w:val="16"/>
                <w:szCs w:val="16"/>
                <w:lang w:val="en-GB"/>
              </w:rPr>
              <w:t xml:space="preserve">year </w:t>
            </w:r>
            <w:r w:rsidR="008A03DE" w:rsidRPr="00CB09D5">
              <w:rPr>
                <w:rFonts w:cs="Arial"/>
                <w:bCs/>
                <w:iCs/>
                <w:color w:val="0D0D0D"/>
                <w:spacing w:val="-4"/>
                <w:sz w:val="16"/>
                <w:szCs w:val="16"/>
                <w:lang w:val="en-GB"/>
              </w:rPr>
              <w:t xml:space="preserve">2007 </w:t>
            </w:r>
            <w:r w:rsidRPr="00CB09D5">
              <w:rPr>
                <w:rFonts w:cs="Arial"/>
                <w:bCs/>
                <w:iCs/>
                <w:color w:val="0D0D0D"/>
                <w:spacing w:val="-4"/>
                <w:sz w:val="16"/>
                <w:szCs w:val="16"/>
                <w:lang w:val="en-GB"/>
              </w:rPr>
              <w:t xml:space="preserve">due to a </w:t>
            </w:r>
            <w:r w:rsidR="00705CA7">
              <w:rPr>
                <w:rFonts w:cs="Arial"/>
                <w:bCs/>
                <w:iCs/>
                <w:color w:val="0D0D0D"/>
                <w:spacing w:val="-4"/>
                <w:sz w:val="16"/>
                <w:szCs w:val="16"/>
                <w:lang w:val="en-GB"/>
              </w:rPr>
              <w:t>favourable</w:t>
            </w:r>
            <w:r w:rsidRPr="00CB09D5">
              <w:rPr>
                <w:rFonts w:cs="Arial"/>
                <w:bCs/>
                <w:iCs/>
                <w:color w:val="0D0D0D"/>
                <w:spacing w:val="-4"/>
                <w:sz w:val="16"/>
                <w:szCs w:val="16"/>
                <w:lang w:val="en-GB"/>
              </w:rPr>
              <w:t xml:space="preserve"> condition of the labour market, the collection of taxes from self-employed natural persons</w:t>
            </w:r>
            <w:r w:rsidR="00B9183E" w:rsidRPr="00CB09D5">
              <w:rPr>
                <w:rFonts w:cs="Arial"/>
                <w:bCs/>
                <w:iCs/>
                <w:color w:val="0D0D0D"/>
                <w:spacing w:val="-4"/>
                <w:sz w:val="16"/>
                <w:szCs w:val="16"/>
                <w:lang w:val="en-GB"/>
              </w:rPr>
              <w:t xml:space="preserve"> </w:t>
            </w:r>
            <w:r w:rsidRPr="00CB09D5">
              <w:rPr>
                <w:rFonts w:cs="Arial"/>
                <w:bCs/>
                <w:iCs/>
                <w:color w:val="0D0D0D"/>
                <w:spacing w:val="-4"/>
                <w:sz w:val="16"/>
                <w:szCs w:val="16"/>
                <w:lang w:val="en-GB"/>
              </w:rPr>
              <w:t>also increased</w:t>
            </w:r>
            <w:r w:rsidR="008A03DE" w:rsidRPr="00CB09D5">
              <w:rPr>
                <w:rFonts w:cs="Arial"/>
                <w:bCs/>
                <w:iCs/>
                <w:color w:val="0D0D0D"/>
                <w:spacing w:val="-4"/>
                <w:sz w:val="16"/>
                <w:szCs w:val="16"/>
                <w:lang w:val="en-GB"/>
              </w:rPr>
              <w:t>…</w:t>
            </w:r>
          </w:p>
          <w:p w:rsidR="008A03DE" w:rsidRPr="00CB09D5" w:rsidRDefault="008A03DE" w:rsidP="008A03DE">
            <w:pPr>
              <w:spacing w:line="240" w:lineRule="auto"/>
              <w:rPr>
                <w:rFonts w:cs="Arial"/>
                <w:bCs/>
                <w:iCs/>
                <w:color w:val="0D0D0D"/>
                <w:spacing w:val="-4"/>
                <w:sz w:val="16"/>
                <w:szCs w:val="16"/>
                <w:lang w:val="en-GB"/>
              </w:rPr>
            </w:pPr>
          </w:p>
          <w:p w:rsidR="008A03DE" w:rsidRPr="00CB09D5" w:rsidRDefault="008A03DE" w:rsidP="008A03DE">
            <w:pPr>
              <w:spacing w:line="240" w:lineRule="auto"/>
              <w:rPr>
                <w:rFonts w:cs="Arial"/>
                <w:bCs/>
                <w:iCs/>
                <w:color w:val="0D0D0D"/>
                <w:spacing w:val="-2"/>
                <w:sz w:val="16"/>
                <w:szCs w:val="16"/>
                <w:lang w:val="en-GB"/>
              </w:rPr>
            </w:pPr>
            <w:r w:rsidRPr="00CB09D5">
              <w:rPr>
                <w:rFonts w:cs="Arial"/>
                <w:bCs/>
                <w:iCs/>
                <w:color w:val="0D0D0D"/>
                <w:spacing w:val="-4"/>
                <w:sz w:val="16"/>
                <w:szCs w:val="16"/>
                <w:lang w:val="en-GB"/>
              </w:rPr>
              <w:t>…</w:t>
            </w:r>
            <w:r w:rsidR="00576B86" w:rsidRPr="00CB09D5">
              <w:rPr>
                <w:rFonts w:cs="Arial"/>
                <w:bCs/>
                <w:iCs/>
                <w:color w:val="0D0D0D"/>
                <w:spacing w:val="-4"/>
                <w:sz w:val="16"/>
                <w:szCs w:val="16"/>
                <w:lang w:val="en-GB"/>
              </w:rPr>
              <w:t xml:space="preserve">on the </w:t>
            </w:r>
            <w:r w:rsidR="004A2A16" w:rsidRPr="00CB09D5">
              <w:rPr>
                <w:rFonts w:cs="Arial"/>
                <w:bCs/>
                <w:iCs/>
                <w:color w:val="0D0D0D"/>
                <w:spacing w:val="-4"/>
                <w:sz w:val="16"/>
                <w:szCs w:val="16"/>
                <w:lang w:val="en-GB"/>
              </w:rPr>
              <w:t>contrary,</w:t>
            </w:r>
            <w:r w:rsidR="00576B86" w:rsidRPr="00CB09D5">
              <w:rPr>
                <w:rFonts w:cs="Arial"/>
                <w:bCs/>
                <w:iCs/>
                <w:color w:val="0D0D0D"/>
                <w:spacing w:val="-4"/>
                <w:sz w:val="16"/>
                <w:szCs w:val="16"/>
                <w:lang w:val="en-GB"/>
              </w:rPr>
              <w:t xml:space="preserve"> the dynamics for </w:t>
            </w:r>
            <w:r w:rsidR="00650260" w:rsidRPr="00CB09D5">
              <w:rPr>
                <w:rFonts w:cs="Arial"/>
                <w:bCs/>
                <w:iCs/>
                <w:color w:val="0D0D0D"/>
                <w:spacing w:val="-4"/>
                <w:sz w:val="16"/>
                <w:szCs w:val="16"/>
                <w:lang w:val="en-GB"/>
              </w:rPr>
              <w:t>ITNP</w:t>
            </w:r>
            <w:r w:rsidR="00576B86" w:rsidRPr="00CB09D5">
              <w:rPr>
                <w:rFonts w:cs="Arial"/>
                <w:bCs/>
                <w:iCs/>
                <w:color w:val="0D0D0D"/>
                <w:spacing w:val="-4"/>
                <w:sz w:val="16"/>
                <w:szCs w:val="16"/>
                <w:lang w:val="en-GB"/>
              </w:rPr>
              <w:t xml:space="preserve"> from capital yields was modest and remained tight</w:t>
            </w:r>
            <w:r w:rsidR="00AF581A" w:rsidRPr="00CB09D5">
              <w:rPr>
                <w:rFonts w:cs="Arial"/>
                <w:bCs/>
                <w:iCs/>
                <w:color w:val="0D0D0D"/>
                <w:spacing w:val="-4"/>
                <w:sz w:val="16"/>
                <w:szCs w:val="16"/>
                <w:lang w:val="en-GB"/>
              </w:rPr>
              <w:t>ly</w:t>
            </w:r>
            <w:r w:rsidR="00576B86" w:rsidRPr="00CB09D5">
              <w:rPr>
                <w:rFonts w:cs="Arial"/>
                <w:bCs/>
                <w:iCs/>
                <w:color w:val="0D0D0D"/>
                <w:spacing w:val="-4"/>
                <w:sz w:val="16"/>
                <w:szCs w:val="16"/>
                <w:lang w:val="en-GB"/>
              </w:rPr>
              <w:t xml:space="preserve"> behind the budget anticipations. </w:t>
            </w:r>
          </w:p>
        </w:tc>
        <w:tc>
          <w:tcPr>
            <w:tcW w:w="142" w:type="pct"/>
          </w:tcPr>
          <w:p w:rsidR="008A03DE" w:rsidRPr="00CB09D5" w:rsidRDefault="008A03DE" w:rsidP="008A03DE">
            <w:pPr>
              <w:pStyle w:val="Textpoznpodarou"/>
              <w:jc w:val="both"/>
              <w:rPr>
                <w:rFonts w:cs="Arial"/>
                <w:color w:val="0D0D0D"/>
                <w:spacing w:val="-4"/>
                <w:lang w:val="en-GB"/>
              </w:rPr>
            </w:pPr>
          </w:p>
        </w:tc>
        <w:tc>
          <w:tcPr>
            <w:tcW w:w="3804" w:type="pct"/>
          </w:tcPr>
          <w:p w:rsidR="008A03DE" w:rsidRPr="00CB09D5" w:rsidRDefault="007B58A7" w:rsidP="008A03DE">
            <w:pPr>
              <w:pStyle w:val="Textpoznpodarou"/>
              <w:jc w:val="both"/>
              <w:rPr>
                <w:rFonts w:cs="Arial"/>
                <w:spacing w:val="-4"/>
                <w:lang w:val="en-GB"/>
              </w:rPr>
            </w:pPr>
            <w:r w:rsidRPr="00CB09D5">
              <w:rPr>
                <w:rFonts w:cs="Arial"/>
                <w:spacing w:val="-4"/>
                <w:lang w:val="en-GB"/>
              </w:rPr>
              <w:t xml:space="preserve">Year-on-year rate of growth of the </w:t>
            </w:r>
            <w:r w:rsidR="00421E7A" w:rsidRPr="00CB09D5">
              <w:rPr>
                <w:rFonts w:cs="Arial"/>
                <w:spacing w:val="-4"/>
                <w:lang w:val="en-GB"/>
              </w:rPr>
              <w:t>state-wide</w:t>
            </w:r>
            <w:r w:rsidRPr="00CB09D5">
              <w:rPr>
                <w:rFonts w:cs="Arial"/>
                <w:spacing w:val="-4"/>
                <w:lang w:val="en-GB"/>
              </w:rPr>
              <w:t xml:space="preserve"> collection of </w:t>
            </w:r>
            <w:r w:rsidR="00724428" w:rsidRPr="00CB09D5">
              <w:rPr>
                <w:lang w:val="en-GB"/>
              </w:rPr>
              <w:t xml:space="preserve">income taxes of natural persons (ITNP) </w:t>
            </w:r>
            <w:r w:rsidR="006F69A1" w:rsidRPr="00CB09D5">
              <w:rPr>
                <w:rFonts w:cs="Arial"/>
                <w:spacing w:val="-4"/>
                <w:lang w:val="en-GB"/>
              </w:rPr>
              <w:t xml:space="preserve">more than doubled </w:t>
            </w:r>
            <w:r w:rsidR="008A03DE" w:rsidRPr="00CB09D5">
              <w:rPr>
                <w:rFonts w:cs="Arial"/>
                <w:spacing w:val="-4"/>
                <w:lang w:val="en-GB"/>
              </w:rPr>
              <w:t>(</w:t>
            </w:r>
            <w:r w:rsidR="006F69A1" w:rsidRPr="00CB09D5">
              <w:rPr>
                <w:rFonts w:cs="Arial"/>
                <w:spacing w:val="-4"/>
                <w:lang w:val="en-GB"/>
              </w:rPr>
              <w:t xml:space="preserve">to </w:t>
            </w:r>
            <w:r w:rsidR="008A03DE" w:rsidRPr="00CB09D5">
              <w:rPr>
                <w:rFonts w:cs="Arial"/>
                <w:spacing w:val="-4"/>
                <w:lang w:val="en-GB"/>
              </w:rPr>
              <w:t>11</w:t>
            </w:r>
            <w:r w:rsidR="006F69A1" w:rsidRPr="00CB09D5">
              <w:rPr>
                <w:rFonts w:cs="Arial"/>
                <w:spacing w:val="-4"/>
                <w:lang w:val="en-GB"/>
              </w:rPr>
              <w:t>.</w:t>
            </w:r>
            <w:r w:rsidR="00DD003B" w:rsidRPr="00CB09D5">
              <w:rPr>
                <w:rFonts w:cs="Arial"/>
                <w:spacing w:val="-4"/>
                <w:lang w:val="en-GB"/>
              </w:rPr>
              <w:t>7</w:t>
            </w:r>
            <w:r w:rsidR="008A03DE" w:rsidRPr="00CB09D5">
              <w:rPr>
                <w:rFonts w:cs="Arial"/>
                <w:spacing w:val="-4"/>
                <w:lang w:val="en-GB"/>
              </w:rPr>
              <w:t>%), prim</w:t>
            </w:r>
            <w:r w:rsidR="006F69A1" w:rsidRPr="00CB09D5">
              <w:rPr>
                <w:rFonts w:cs="Arial"/>
                <w:spacing w:val="-4"/>
                <w:lang w:val="en-GB"/>
              </w:rPr>
              <w:t xml:space="preserve">arily due to the tax </w:t>
            </w:r>
            <w:r w:rsidR="00A80E64" w:rsidRPr="00CB09D5">
              <w:rPr>
                <w:rFonts w:cs="Arial"/>
                <w:spacing w:val="-4"/>
                <w:lang w:val="en-GB"/>
              </w:rPr>
              <w:t xml:space="preserve">payments </w:t>
            </w:r>
            <w:r w:rsidR="006F69A1" w:rsidRPr="00CB09D5">
              <w:rPr>
                <w:rFonts w:cs="Arial"/>
                <w:spacing w:val="-4"/>
                <w:lang w:val="en-GB"/>
              </w:rPr>
              <w:t>from the dependent activity</w:t>
            </w:r>
            <w:r w:rsidR="008A03DE" w:rsidRPr="00CB09D5">
              <w:rPr>
                <w:rFonts w:cs="Arial"/>
                <w:spacing w:val="-4"/>
                <w:lang w:val="en-GB"/>
              </w:rPr>
              <w:t xml:space="preserve">. </w:t>
            </w:r>
            <w:r w:rsidR="00AB6383" w:rsidRPr="00CB09D5">
              <w:rPr>
                <w:rFonts w:cs="Arial"/>
                <w:spacing w:val="-4"/>
                <w:lang w:val="en-GB"/>
              </w:rPr>
              <w:t>Record number of employed persons as well as the continuing reduction of the number of unemployed contributed to this development, as well as the strengthening wage dynamics in most branches</w:t>
            </w:r>
            <w:r w:rsidR="008A03DE" w:rsidRPr="00CB09D5">
              <w:rPr>
                <w:rStyle w:val="Znakapoznpodarou"/>
                <w:spacing w:val="-4"/>
                <w:lang w:val="en-GB"/>
              </w:rPr>
              <w:footnoteReference w:id="34"/>
            </w:r>
            <w:r w:rsidR="000916B1" w:rsidRPr="00CB09D5">
              <w:rPr>
                <w:rFonts w:cs="Arial"/>
                <w:spacing w:val="-4"/>
                <w:lang w:val="en-GB"/>
              </w:rPr>
              <w:t>.</w:t>
            </w:r>
            <w:r w:rsidR="008A03DE" w:rsidRPr="00CB09D5">
              <w:rPr>
                <w:rFonts w:cs="Arial"/>
                <w:spacing w:val="-4"/>
                <w:lang w:val="en-GB"/>
              </w:rPr>
              <w:t xml:space="preserve"> </w:t>
            </w:r>
            <w:r w:rsidR="00F968ED" w:rsidRPr="00CB09D5">
              <w:rPr>
                <w:rFonts w:cs="Arial"/>
                <w:spacing w:val="-4"/>
                <w:lang w:val="en-GB"/>
              </w:rPr>
              <w:t>The collection of</w:t>
            </w:r>
            <w:r w:rsidR="00724428" w:rsidRPr="00CB09D5">
              <w:rPr>
                <w:rFonts w:cs="Arial"/>
                <w:spacing w:val="-4"/>
                <w:lang w:val="en-GB"/>
              </w:rPr>
              <w:t xml:space="preserve"> </w:t>
            </w:r>
            <w:r w:rsidR="00724428" w:rsidRPr="00CB09D5">
              <w:rPr>
                <w:lang w:val="en-GB"/>
              </w:rPr>
              <w:t xml:space="preserve">income taxes of natural persons (ITNP) </w:t>
            </w:r>
            <w:r w:rsidR="00F968ED" w:rsidRPr="00CB09D5">
              <w:rPr>
                <w:rFonts w:cs="Arial"/>
                <w:spacing w:val="-4"/>
                <w:lang w:val="en-GB"/>
              </w:rPr>
              <w:t xml:space="preserve">based on the </w:t>
            </w:r>
            <w:r w:rsidR="00A80E64" w:rsidRPr="00CB09D5">
              <w:rPr>
                <w:rFonts w:cs="Arial"/>
                <w:spacing w:val="-4"/>
                <w:lang w:val="en-GB"/>
              </w:rPr>
              <w:t xml:space="preserve">tax returns </w:t>
            </w:r>
            <w:r w:rsidR="00F968ED" w:rsidRPr="00CB09D5">
              <w:rPr>
                <w:rFonts w:cs="Arial"/>
                <w:spacing w:val="-4"/>
                <w:lang w:val="en-GB"/>
              </w:rPr>
              <w:t xml:space="preserve">significantly increased in the last year </w:t>
            </w:r>
            <w:r w:rsidR="008A03DE" w:rsidRPr="00CB09D5">
              <w:rPr>
                <w:rFonts w:cs="Arial"/>
                <w:spacing w:val="-4"/>
                <w:lang w:val="en-GB"/>
              </w:rPr>
              <w:t>(</w:t>
            </w:r>
            <w:r w:rsidR="00F968ED" w:rsidRPr="00CB09D5">
              <w:rPr>
                <w:rFonts w:cs="Arial"/>
                <w:spacing w:val="-4"/>
                <w:lang w:val="en-GB"/>
              </w:rPr>
              <w:t>to nearly 7 bn</w:t>
            </w:r>
            <w:r w:rsidR="008A03DE" w:rsidRPr="00CB09D5">
              <w:rPr>
                <w:rFonts w:cs="Arial"/>
                <w:spacing w:val="-4"/>
                <w:lang w:val="en-GB"/>
              </w:rPr>
              <w:t xml:space="preserve">, </w:t>
            </w:r>
            <w:r w:rsidR="004A2A16" w:rsidRPr="00CB09D5">
              <w:rPr>
                <w:rFonts w:cs="Arial"/>
                <w:spacing w:val="-4"/>
                <w:lang w:val="en-GB"/>
              </w:rPr>
              <w:t xml:space="preserve">the highest collection since </w:t>
            </w:r>
            <w:r w:rsidR="005703D0" w:rsidRPr="00CB09D5">
              <w:rPr>
                <w:rFonts w:cs="Arial"/>
                <w:spacing w:val="-4"/>
                <w:lang w:val="en-GB"/>
              </w:rPr>
              <w:t xml:space="preserve">the </w:t>
            </w:r>
            <w:r w:rsidR="004A2A16" w:rsidRPr="00CB09D5">
              <w:rPr>
                <w:rFonts w:cs="Arial"/>
                <w:spacing w:val="-4"/>
                <w:lang w:val="en-GB"/>
              </w:rPr>
              <w:t>year 2</w:t>
            </w:r>
            <w:r w:rsidR="008A03DE" w:rsidRPr="00CB09D5">
              <w:rPr>
                <w:rFonts w:cs="Arial"/>
                <w:spacing w:val="-4"/>
                <w:lang w:val="en-GB"/>
              </w:rPr>
              <w:t xml:space="preserve">010), </w:t>
            </w:r>
            <w:r w:rsidR="004A2A16" w:rsidRPr="00CB09D5">
              <w:rPr>
                <w:rFonts w:cs="Arial"/>
                <w:spacing w:val="-4"/>
                <w:lang w:val="en-GB"/>
              </w:rPr>
              <w:t xml:space="preserve">which was associated not only with the profitability of the self-employed natural persons but also with the limitation of the size of </w:t>
            </w:r>
            <w:r w:rsidR="00A80E64" w:rsidRPr="00CB09D5">
              <w:rPr>
                <w:rFonts w:cs="Arial"/>
                <w:spacing w:val="-4"/>
                <w:lang w:val="en-GB"/>
              </w:rPr>
              <w:t>expense rates</w:t>
            </w:r>
            <w:r w:rsidR="008A03DE" w:rsidRPr="00CB09D5">
              <w:rPr>
                <w:rFonts w:cs="Arial"/>
                <w:spacing w:val="-4"/>
                <w:lang w:val="en-GB"/>
              </w:rPr>
              <w:t xml:space="preserve">. </w:t>
            </w:r>
            <w:r w:rsidR="00A00476" w:rsidRPr="00CB09D5">
              <w:rPr>
                <w:rFonts w:cs="Arial"/>
                <w:spacing w:val="-4"/>
                <w:lang w:val="en-GB"/>
              </w:rPr>
              <w:t xml:space="preserve">The </w:t>
            </w:r>
            <w:r w:rsidR="00A80E64" w:rsidRPr="00CB09D5">
              <w:rPr>
                <w:rFonts w:cs="Arial"/>
                <w:spacing w:val="-4"/>
                <w:lang w:val="en-GB"/>
              </w:rPr>
              <w:t>double-digit</w:t>
            </w:r>
            <w:r w:rsidR="00A00476" w:rsidRPr="00CB09D5">
              <w:rPr>
                <w:rFonts w:cs="Arial"/>
                <w:spacing w:val="-4"/>
                <w:lang w:val="en-GB"/>
              </w:rPr>
              <w:t xml:space="preserve"> growth of the collection of tax </w:t>
            </w:r>
            <w:r w:rsidR="00A80E64" w:rsidRPr="00CB09D5">
              <w:rPr>
                <w:rFonts w:cs="Arial"/>
                <w:spacing w:val="-4"/>
                <w:lang w:val="en-GB"/>
              </w:rPr>
              <w:t xml:space="preserve">from the property acquisition </w:t>
            </w:r>
            <w:r w:rsidR="00A00476" w:rsidRPr="00CB09D5">
              <w:rPr>
                <w:rFonts w:cs="Arial"/>
                <w:spacing w:val="-4"/>
                <w:lang w:val="en-GB"/>
              </w:rPr>
              <w:t xml:space="preserve">continued last year similarly to </w:t>
            </w:r>
            <w:r w:rsidR="005703D0" w:rsidRPr="00CB09D5">
              <w:rPr>
                <w:rFonts w:cs="Arial"/>
                <w:spacing w:val="-4"/>
                <w:lang w:val="en-GB"/>
              </w:rPr>
              <w:t xml:space="preserve">the </w:t>
            </w:r>
            <w:r w:rsidR="00A00476" w:rsidRPr="00CB09D5">
              <w:rPr>
                <w:rFonts w:cs="Arial"/>
                <w:spacing w:val="-4"/>
                <w:lang w:val="en-GB"/>
              </w:rPr>
              <w:t xml:space="preserve">year 2015, </w:t>
            </w:r>
            <w:r w:rsidR="00A80E64" w:rsidRPr="00CB09D5">
              <w:rPr>
                <w:rFonts w:cs="Arial"/>
                <w:spacing w:val="-4"/>
                <w:lang w:val="en-GB"/>
              </w:rPr>
              <w:t xml:space="preserve">indicating the </w:t>
            </w:r>
            <w:r w:rsidR="0091174F" w:rsidRPr="00CB09D5">
              <w:rPr>
                <w:rFonts w:cs="Arial"/>
                <w:spacing w:val="-4"/>
                <w:lang w:val="en-GB"/>
              </w:rPr>
              <w:t>further revival of the real estate market due to the growing disposable income of households as well as the prevailing low interest rates.</w:t>
            </w:r>
          </w:p>
          <w:p w:rsidR="008A03DE" w:rsidRPr="00CB09D5" w:rsidRDefault="008A03DE" w:rsidP="008A03DE">
            <w:pPr>
              <w:pStyle w:val="Textpoznpodarou"/>
              <w:jc w:val="both"/>
              <w:rPr>
                <w:rFonts w:cs="Arial"/>
                <w:spacing w:val="-4"/>
                <w:sz w:val="14"/>
                <w:szCs w:val="14"/>
                <w:lang w:val="en-GB"/>
              </w:rPr>
            </w:pPr>
          </w:p>
        </w:tc>
      </w:tr>
      <w:tr w:rsidR="008A03DE" w:rsidRPr="00CB09D5" w:rsidTr="008A03DE">
        <w:tc>
          <w:tcPr>
            <w:tcW w:w="1054" w:type="pct"/>
          </w:tcPr>
          <w:p w:rsidR="008A03DE" w:rsidRPr="00CB09D5" w:rsidRDefault="008A03DE"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R</w:t>
            </w:r>
            <w:r w:rsidR="00AF581A" w:rsidRPr="00CB09D5">
              <w:rPr>
                <w:rFonts w:cs="Arial"/>
                <w:bCs/>
                <w:iCs/>
                <w:color w:val="0D0D0D"/>
                <w:spacing w:val="-2"/>
                <w:sz w:val="16"/>
                <w:szCs w:val="16"/>
                <w:lang w:val="en-GB"/>
              </w:rPr>
              <w:t xml:space="preserve">ecord depth of the fall of total SB expenditure due to year-on-year slump of investment, </w:t>
            </w:r>
            <w:r w:rsidR="00727457" w:rsidRPr="00CB09D5">
              <w:rPr>
                <w:rFonts w:cs="Arial"/>
                <w:bCs/>
                <w:iCs/>
                <w:color w:val="0D0D0D"/>
                <w:spacing w:val="-2"/>
                <w:sz w:val="16"/>
                <w:szCs w:val="16"/>
                <w:lang w:val="en-GB"/>
              </w:rPr>
              <w:t xml:space="preserve">but a modest growth of current expenditure as well. </w:t>
            </w:r>
          </w:p>
        </w:tc>
        <w:tc>
          <w:tcPr>
            <w:tcW w:w="142" w:type="pct"/>
          </w:tcPr>
          <w:p w:rsidR="008A03DE" w:rsidRPr="00CB09D5" w:rsidRDefault="008A03DE" w:rsidP="008A03DE">
            <w:pPr>
              <w:pStyle w:val="Textpoznpodarou"/>
              <w:jc w:val="both"/>
              <w:rPr>
                <w:rFonts w:cs="Arial"/>
                <w:color w:val="0D0D0D"/>
                <w:spacing w:val="-4"/>
                <w:lang w:val="en-GB"/>
              </w:rPr>
            </w:pPr>
          </w:p>
        </w:tc>
        <w:tc>
          <w:tcPr>
            <w:tcW w:w="3804" w:type="pct"/>
          </w:tcPr>
          <w:p w:rsidR="001857D6" w:rsidRPr="00CB09D5" w:rsidRDefault="00CB1F9F" w:rsidP="008A03DE">
            <w:pPr>
              <w:pStyle w:val="Textpoznpodarou"/>
              <w:jc w:val="both"/>
              <w:rPr>
                <w:rFonts w:cs="Arial"/>
                <w:color w:val="0D0D0D"/>
                <w:spacing w:val="-4"/>
                <w:lang w:val="en-GB"/>
              </w:rPr>
            </w:pPr>
            <w:r w:rsidRPr="00CB09D5">
              <w:rPr>
                <w:rFonts w:cs="Arial"/>
                <w:color w:val="0D0D0D"/>
                <w:spacing w:val="-4"/>
                <w:lang w:val="en-GB"/>
              </w:rPr>
              <w:t xml:space="preserve">Total SB expenditure decreased by </w:t>
            </w:r>
            <w:r w:rsidR="008A03DE" w:rsidRPr="00CB09D5">
              <w:rPr>
                <w:rFonts w:cs="Arial"/>
                <w:color w:val="0D0D0D"/>
                <w:spacing w:val="-4"/>
                <w:lang w:val="en-GB"/>
              </w:rPr>
              <w:t>6</w:t>
            </w:r>
            <w:r w:rsidRPr="00CB09D5">
              <w:rPr>
                <w:rFonts w:cs="Arial"/>
                <w:color w:val="0D0D0D"/>
                <w:spacing w:val="-4"/>
                <w:lang w:val="en-GB"/>
              </w:rPr>
              <w:t>.</w:t>
            </w:r>
            <w:r w:rsidR="00DD003B" w:rsidRPr="00CB09D5">
              <w:rPr>
                <w:rFonts w:cs="Arial"/>
                <w:color w:val="0D0D0D"/>
                <w:spacing w:val="-4"/>
                <w:lang w:val="en-GB"/>
              </w:rPr>
              <w:t>0</w:t>
            </w:r>
            <w:r w:rsidR="008A03DE" w:rsidRPr="00CB09D5">
              <w:rPr>
                <w:rFonts w:cs="Arial"/>
                <w:color w:val="0D0D0D"/>
                <w:spacing w:val="-4"/>
                <w:lang w:val="en-GB"/>
              </w:rPr>
              <w:t>%</w:t>
            </w:r>
            <w:r w:rsidRPr="00CB09D5">
              <w:rPr>
                <w:rFonts w:cs="Arial"/>
                <w:color w:val="0D0D0D"/>
                <w:spacing w:val="-4"/>
                <w:lang w:val="en-GB"/>
              </w:rPr>
              <w:t xml:space="preserve"> last year</w:t>
            </w:r>
            <w:r w:rsidR="008A03DE" w:rsidRPr="00CB09D5">
              <w:rPr>
                <w:rFonts w:cs="Arial"/>
                <w:color w:val="0D0D0D"/>
                <w:spacing w:val="-4"/>
                <w:lang w:val="en-GB"/>
              </w:rPr>
              <w:t xml:space="preserve">. </w:t>
            </w:r>
            <w:r w:rsidRPr="00CB09D5">
              <w:rPr>
                <w:rFonts w:cs="Arial"/>
                <w:color w:val="0D0D0D"/>
                <w:spacing w:val="-4"/>
                <w:lang w:val="en-GB"/>
              </w:rPr>
              <w:t xml:space="preserve">It represented the deepest year-on-year fall of expenditure in the </w:t>
            </w:r>
            <w:r w:rsidR="00A80E64" w:rsidRPr="00CB09D5">
              <w:rPr>
                <w:rFonts w:cs="Arial"/>
                <w:color w:val="0D0D0D"/>
                <w:spacing w:val="-4"/>
                <w:lang w:val="en-GB"/>
              </w:rPr>
              <w:t xml:space="preserve">era </w:t>
            </w:r>
            <w:r w:rsidRPr="00CB09D5">
              <w:rPr>
                <w:rFonts w:cs="Arial"/>
                <w:color w:val="0D0D0D"/>
                <w:spacing w:val="-4"/>
                <w:lang w:val="en-GB"/>
              </w:rPr>
              <w:t xml:space="preserve">of the independent CR. </w:t>
            </w:r>
            <w:r w:rsidR="001A4A37" w:rsidRPr="00CB09D5">
              <w:rPr>
                <w:rFonts w:cs="Arial"/>
                <w:color w:val="0D0D0D"/>
                <w:spacing w:val="-4"/>
                <w:lang w:val="en-GB"/>
              </w:rPr>
              <w:t xml:space="preserve">Sharp, however expected slump of investment </w:t>
            </w:r>
            <w:r w:rsidR="008A03DE" w:rsidRPr="00CB09D5">
              <w:rPr>
                <w:rFonts w:cs="Arial"/>
                <w:color w:val="0D0D0D"/>
                <w:spacing w:val="-4"/>
                <w:lang w:val="en-GB"/>
              </w:rPr>
              <w:t>(</w:t>
            </w:r>
            <w:r w:rsidR="001A4A37" w:rsidRPr="00CB09D5">
              <w:rPr>
                <w:rFonts w:cs="Arial"/>
                <w:color w:val="0D0D0D"/>
                <w:spacing w:val="-4"/>
                <w:lang w:val="en-GB"/>
              </w:rPr>
              <w:t xml:space="preserve">by </w:t>
            </w:r>
            <w:r w:rsidR="00DD003B" w:rsidRPr="00CB09D5">
              <w:rPr>
                <w:rFonts w:cs="Arial"/>
                <w:color w:val="0D0D0D"/>
                <w:spacing w:val="-4"/>
                <w:lang w:val="en-GB"/>
              </w:rPr>
              <w:t>52</w:t>
            </w:r>
            <w:r w:rsidR="008A03DE" w:rsidRPr="00CB09D5">
              <w:rPr>
                <w:rFonts w:cs="Arial"/>
                <w:color w:val="0D0D0D"/>
                <w:spacing w:val="-4"/>
                <w:lang w:val="en-GB"/>
              </w:rPr>
              <w:t>%</w:t>
            </w:r>
            <w:r w:rsidR="001A4A37" w:rsidRPr="00CB09D5">
              <w:rPr>
                <w:rFonts w:cs="Arial"/>
                <w:color w:val="0D0D0D"/>
                <w:spacing w:val="-4"/>
                <w:lang w:val="en-GB"/>
              </w:rPr>
              <w:t xml:space="preserve"> year-on-year</w:t>
            </w:r>
            <w:r w:rsidR="008A03DE" w:rsidRPr="00CB09D5">
              <w:rPr>
                <w:rFonts w:cs="Arial"/>
                <w:color w:val="0D0D0D"/>
                <w:spacing w:val="-4"/>
                <w:lang w:val="en-GB"/>
              </w:rPr>
              <w:t xml:space="preserve">) </w:t>
            </w:r>
            <w:r w:rsidR="001A4A37" w:rsidRPr="00CB09D5">
              <w:rPr>
                <w:rFonts w:cs="Arial"/>
                <w:color w:val="0D0D0D"/>
                <w:spacing w:val="-4"/>
                <w:lang w:val="en-GB"/>
              </w:rPr>
              <w:t xml:space="preserve">was not compensated by a corresponding growth of the current expenditure </w:t>
            </w:r>
            <w:r w:rsidR="008A03DE" w:rsidRPr="00CB09D5">
              <w:rPr>
                <w:rFonts w:cs="Arial"/>
                <w:color w:val="0D0D0D"/>
                <w:spacing w:val="-4"/>
                <w:lang w:val="en-GB"/>
              </w:rPr>
              <w:t>– t</w:t>
            </w:r>
            <w:r w:rsidR="001A4A37" w:rsidRPr="00CB09D5">
              <w:rPr>
                <w:rFonts w:cs="Arial"/>
                <w:color w:val="0D0D0D"/>
                <w:spacing w:val="-4"/>
                <w:lang w:val="en-GB"/>
              </w:rPr>
              <w:t xml:space="preserve">hese </w:t>
            </w:r>
            <w:r w:rsidR="003A57A4" w:rsidRPr="00CB09D5">
              <w:rPr>
                <w:rFonts w:cs="Arial"/>
                <w:color w:val="0D0D0D"/>
                <w:spacing w:val="-4"/>
                <w:lang w:val="en-GB"/>
              </w:rPr>
              <w:t>strengthened</w:t>
            </w:r>
            <w:r w:rsidR="001A4A37" w:rsidRPr="00CB09D5">
              <w:rPr>
                <w:rFonts w:cs="Arial"/>
                <w:color w:val="0D0D0D"/>
                <w:spacing w:val="-4"/>
                <w:lang w:val="en-GB"/>
              </w:rPr>
              <w:t xml:space="preserve"> by </w:t>
            </w:r>
            <w:r w:rsidR="008A03DE" w:rsidRPr="00CB09D5">
              <w:rPr>
                <w:rFonts w:cs="Arial"/>
                <w:color w:val="0D0D0D"/>
                <w:spacing w:val="-4"/>
                <w:lang w:val="en-GB"/>
              </w:rPr>
              <w:t>1</w:t>
            </w:r>
            <w:r w:rsidR="001A4A37" w:rsidRPr="00CB09D5">
              <w:rPr>
                <w:rFonts w:cs="Arial"/>
                <w:color w:val="0D0D0D"/>
                <w:spacing w:val="-4"/>
                <w:lang w:val="en-GB"/>
              </w:rPr>
              <w:t>.</w:t>
            </w:r>
            <w:r w:rsidR="00DD003B" w:rsidRPr="00CB09D5">
              <w:rPr>
                <w:rFonts w:cs="Arial"/>
                <w:color w:val="0D0D0D"/>
                <w:spacing w:val="-4"/>
                <w:lang w:val="en-GB"/>
              </w:rPr>
              <w:t>2</w:t>
            </w:r>
            <w:r w:rsidR="008A03DE" w:rsidRPr="00CB09D5">
              <w:rPr>
                <w:rFonts w:cs="Arial"/>
                <w:color w:val="0D0D0D"/>
                <w:spacing w:val="-4"/>
                <w:lang w:val="en-GB"/>
              </w:rPr>
              <w:t>% (</w:t>
            </w:r>
            <w:r w:rsidR="001A4A37" w:rsidRPr="00CB09D5">
              <w:rPr>
                <w:rFonts w:cs="Arial"/>
                <w:color w:val="0D0D0D"/>
                <w:spacing w:val="-4"/>
                <w:lang w:val="en-GB"/>
              </w:rPr>
              <w:t>the least in the last four years</w:t>
            </w:r>
            <w:r w:rsidR="008A03DE" w:rsidRPr="00CB09D5">
              <w:rPr>
                <w:rFonts w:cs="Arial"/>
                <w:color w:val="0D0D0D"/>
                <w:spacing w:val="-4"/>
                <w:lang w:val="en-GB"/>
              </w:rPr>
              <w:t xml:space="preserve">), </w:t>
            </w:r>
            <w:r w:rsidR="003A57A4" w:rsidRPr="00CB09D5">
              <w:rPr>
                <w:rFonts w:cs="Arial"/>
                <w:color w:val="0D0D0D"/>
                <w:spacing w:val="-4"/>
                <w:lang w:val="en-GB"/>
              </w:rPr>
              <w:t xml:space="preserve">when the vast majority of </w:t>
            </w:r>
            <w:r w:rsidR="000A7C02">
              <w:rPr>
                <w:rFonts w:cs="Arial"/>
                <w:color w:val="0D0D0D"/>
                <w:spacing w:val="-4"/>
                <w:lang w:val="en-GB"/>
              </w:rPr>
              <w:t>current</w:t>
            </w:r>
            <w:r w:rsidR="003A57A4" w:rsidRPr="00CB09D5">
              <w:rPr>
                <w:rFonts w:cs="Arial"/>
                <w:color w:val="0D0D0D"/>
                <w:spacing w:val="-4"/>
                <w:lang w:val="en-GB"/>
              </w:rPr>
              <w:t xml:space="preserve"> expenditure </w:t>
            </w:r>
            <w:r w:rsidR="008A03DE" w:rsidRPr="00CB09D5">
              <w:rPr>
                <w:rFonts w:cs="Arial"/>
                <w:color w:val="0D0D0D"/>
                <w:spacing w:val="-4"/>
                <w:lang w:val="en-GB"/>
              </w:rPr>
              <w:t>(</w:t>
            </w:r>
            <w:r w:rsidR="003A57A4" w:rsidRPr="00CB09D5">
              <w:rPr>
                <w:rFonts w:cs="Arial"/>
                <w:color w:val="0D0D0D"/>
                <w:spacing w:val="-4"/>
                <w:lang w:val="en-GB"/>
              </w:rPr>
              <w:t>incl. pensions or other social benefits</w:t>
            </w:r>
            <w:r w:rsidR="008A03DE" w:rsidRPr="00CB09D5">
              <w:rPr>
                <w:rFonts w:cs="Arial"/>
                <w:color w:val="0D0D0D"/>
                <w:spacing w:val="-4"/>
                <w:lang w:val="en-GB"/>
              </w:rPr>
              <w:t xml:space="preserve">) </w:t>
            </w:r>
            <w:r w:rsidR="003A57A4" w:rsidRPr="00CB09D5">
              <w:rPr>
                <w:rFonts w:cs="Arial"/>
                <w:color w:val="0D0D0D"/>
                <w:spacing w:val="-4"/>
                <w:lang w:val="en-GB"/>
              </w:rPr>
              <w:t xml:space="preserve">did not fulfil the budget anticipations. </w:t>
            </w:r>
          </w:p>
          <w:p w:rsidR="008A03DE" w:rsidRPr="00CB09D5" w:rsidRDefault="008A03DE" w:rsidP="008A03DE">
            <w:pPr>
              <w:pStyle w:val="Textpoznpodarou"/>
              <w:jc w:val="both"/>
              <w:rPr>
                <w:rFonts w:cs="Arial"/>
                <w:color w:val="0D0D0D"/>
                <w:spacing w:val="-4"/>
                <w:lang w:val="en-GB"/>
              </w:rPr>
            </w:pPr>
            <w:r w:rsidRPr="00CB09D5">
              <w:rPr>
                <w:rFonts w:cs="Arial"/>
                <w:color w:val="0D0D0D"/>
                <w:spacing w:val="-4"/>
                <w:lang w:val="en-GB"/>
              </w:rPr>
              <w:t xml:space="preserve"> </w:t>
            </w:r>
          </w:p>
        </w:tc>
      </w:tr>
      <w:tr w:rsidR="008A03DE" w:rsidRPr="00CB09D5" w:rsidTr="008A03DE">
        <w:tc>
          <w:tcPr>
            <w:tcW w:w="1054" w:type="pct"/>
          </w:tcPr>
          <w:p w:rsidR="008A03DE" w:rsidRPr="00CB09D5" w:rsidRDefault="007A4FAF" w:rsidP="008A03DE">
            <w:pPr>
              <w:spacing w:line="240" w:lineRule="auto"/>
              <w:rPr>
                <w:rFonts w:cs="Arial"/>
                <w:bCs/>
                <w:iCs/>
                <w:color w:val="0D0D0D"/>
                <w:spacing w:val="-4"/>
                <w:sz w:val="16"/>
                <w:szCs w:val="16"/>
                <w:lang w:val="en-GB"/>
              </w:rPr>
            </w:pPr>
            <w:r w:rsidRPr="00CB09D5">
              <w:rPr>
                <w:rFonts w:cs="Arial"/>
                <w:bCs/>
                <w:iCs/>
                <w:color w:val="0D0D0D"/>
                <w:spacing w:val="-4"/>
                <w:sz w:val="16"/>
                <w:szCs w:val="16"/>
                <w:lang w:val="en-GB"/>
              </w:rPr>
              <w:t xml:space="preserve">Share of investment on all </w:t>
            </w:r>
            <w:r w:rsidR="00DD003B" w:rsidRPr="00CB09D5">
              <w:rPr>
                <w:rFonts w:cs="Arial"/>
                <w:bCs/>
                <w:iCs/>
                <w:color w:val="0D0D0D"/>
                <w:spacing w:val="-4"/>
                <w:sz w:val="16"/>
                <w:szCs w:val="16"/>
                <w:lang w:val="en-GB"/>
              </w:rPr>
              <w:t>SB expenditures dropped below 7</w:t>
            </w:r>
            <w:r w:rsidRPr="00CB09D5">
              <w:rPr>
                <w:rFonts w:cs="Arial"/>
                <w:bCs/>
                <w:iCs/>
                <w:color w:val="0D0D0D"/>
                <w:spacing w:val="-4"/>
                <w:sz w:val="16"/>
                <w:szCs w:val="16"/>
                <w:lang w:val="en-GB"/>
              </w:rPr>
              <w:t xml:space="preserve">% last year, taking into </w:t>
            </w:r>
            <w:r w:rsidR="00A12F7C" w:rsidRPr="00CB09D5">
              <w:rPr>
                <w:rFonts w:cs="Arial"/>
                <w:bCs/>
                <w:iCs/>
                <w:color w:val="0D0D0D"/>
                <w:spacing w:val="-4"/>
                <w:sz w:val="16"/>
                <w:szCs w:val="16"/>
                <w:lang w:val="en-GB"/>
              </w:rPr>
              <w:t>account</w:t>
            </w:r>
            <w:r w:rsidRPr="00CB09D5">
              <w:rPr>
                <w:rFonts w:cs="Arial"/>
                <w:bCs/>
                <w:iCs/>
                <w:color w:val="0D0D0D"/>
                <w:spacing w:val="-4"/>
                <w:sz w:val="16"/>
                <w:szCs w:val="16"/>
                <w:lang w:val="en-GB"/>
              </w:rPr>
              <w:t xml:space="preserve"> the extraordinary year 2015 it however fully fits into the </w:t>
            </w:r>
            <w:r w:rsidR="00A12F7C" w:rsidRPr="00CB09D5">
              <w:rPr>
                <w:rFonts w:cs="Arial"/>
                <w:bCs/>
                <w:iCs/>
                <w:color w:val="0D0D0D"/>
                <w:spacing w:val="-4"/>
                <w:sz w:val="16"/>
                <w:szCs w:val="16"/>
                <w:lang w:val="en-GB"/>
              </w:rPr>
              <w:t>long-term</w:t>
            </w:r>
            <w:r w:rsidRPr="00CB09D5">
              <w:rPr>
                <w:rFonts w:cs="Arial"/>
                <w:bCs/>
                <w:iCs/>
                <w:color w:val="0D0D0D"/>
                <w:spacing w:val="-4"/>
                <w:sz w:val="16"/>
                <w:szCs w:val="16"/>
                <w:lang w:val="en-GB"/>
              </w:rPr>
              <w:t xml:space="preserve"> development. </w:t>
            </w:r>
          </w:p>
        </w:tc>
        <w:tc>
          <w:tcPr>
            <w:tcW w:w="142" w:type="pct"/>
          </w:tcPr>
          <w:p w:rsidR="008A03DE" w:rsidRPr="00CB09D5" w:rsidRDefault="008A03DE" w:rsidP="008A03DE">
            <w:pPr>
              <w:pStyle w:val="Textpoznpodarou"/>
              <w:jc w:val="both"/>
              <w:rPr>
                <w:rFonts w:cs="Arial"/>
                <w:color w:val="000000"/>
                <w:spacing w:val="-4"/>
                <w:lang w:val="en-GB"/>
              </w:rPr>
            </w:pPr>
          </w:p>
        </w:tc>
        <w:tc>
          <w:tcPr>
            <w:tcW w:w="3804" w:type="pct"/>
          </w:tcPr>
          <w:p w:rsidR="008A03DE" w:rsidRPr="00CB09D5" w:rsidRDefault="007A4FAF" w:rsidP="008A03DE">
            <w:pPr>
              <w:pStyle w:val="Textpoznpodarou"/>
              <w:jc w:val="both"/>
              <w:rPr>
                <w:rFonts w:cs="Arial"/>
                <w:color w:val="000000"/>
                <w:spacing w:val="-4"/>
                <w:lang w:val="en-GB"/>
              </w:rPr>
            </w:pPr>
            <w:r w:rsidRPr="00CB09D5">
              <w:rPr>
                <w:rFonts w:cs="Arial"/>
                <w:color w:val="000000"/>
                <w:spacing w:val="-4"/>
                <w:lang w:val="en-GB"/>
              </w:rPr>
              <w:t xml:space="preserve">Sharp fall of the capital outlays (by 91 </w:t>
            </w:r>
            <w:r w:rsidR="00C4216C" w:rsidRPr="00CB09D5">
              <w:rPr>
                <w:rFonts w:cs="Arial"/>
                <w:color w:val="000000"/>
                <w:spacing w:val="-4"/>
                <w:lang w:val="en-GB"/>
              </w:rPr>
              <w:t>CZK bn</w:t>
            </w:r>
            <w:r w:rsidRPr="00CB09D5">
              <w:rPr>
                <w:rFonts w:cs="Arial"/>
                <w:color w:val="000000"/>
                <w:spacing w:val="-4"/>
                <w:lang w:val="en-GB"/>
              </w:rPr>
              <w:t xml:space="preserve">) was linked to the extraordinarily high basis of </w:t>
            </w:r>
            <w:r w:rsidR="005703D0" w:rsidRPr="00CB09D5">
              <w:rPr>
                <w:rFonts w:cs="Arial"/>
                <w:color w:val="000000"/>
                <w:spacing w:val="-4"/>
                <w:lang w:val="en-GB"/>
              </w:rPr>
              <w:t xml:space="preserve">the </w:t>
            </w:r>
            <w:r w:rsidRPr="00CB09D5">
              <w:rPr>
                <w:rFonts w:cs="Arial"/>
                <w:color w:val="000000"/>
                <w:spacing w:val="-4"/>
                <w:lang w:val="en-GB"/>
              </w:rPr>
              <w:t>year 2015 and also the anticipated slower drawing of funds on comm</w:t>
            </w:r>
            <w:r w:rsidR="00B84820" w:rsidRPr="00CB09D5">
              <w:rPr>
                <w:rFonts w:cs="Arial"/>
                <w:color w:val="000000"/>
                <w:spacing w:val="-4"/>
                <w:lang w:val="en-GB"/>
              </w:rPr>
              <w:t>on</w:t>
            </w:r>
            <w:r w:rsidRPr="00CB09D5">
              <w:rPr>
                <w:rFonts w:cs="Arial"/>
                <w:color w:val="000000"/>
                <w:spacing w:val="-4"/>
                <w:lang w:val="en-GB"/>
              </w:rPr>
              <w:t xml:space="preserve"> projects of the CR and the EU on the start of the new programme period</w:t>
            </w:r>
            <w:r w:rsidR="008A03DE" w:rsidRPr="00CB09D5">
              <w:rPr>
                <w:rStyle w:val="Znakapoznpodarou"/>
                <w:color w:val="000000"/>
                <w:spacing w:val="-4"/>
                <w:lang w:val="en-GB"/>
              </w:rPr>
              <w:footnoteReference w:id="35"/>
            </w:r>
            <w:r w:rsidR="008A03DE" w:rsidRPr="00CB09D5">
              <w:rPr>
                <w:rFonts w:cs="Arial"/>
                <w:color w:val="000000"/>
                <w:spacing w:val="-4"/>
                <w:lang w:val="en-GB"/>
              </w:rPr>
              <w:t>. M</w:t>
            </w:r>
            <w:r w:rsidR="000C2C94" w:rsidRPr="00CB09D5">
              <w:rPr>
                <w:rFonts w:cs="Arial"/>
                <w:color w:val="000000"/>
                <w:spacing w:val="-4"/>
                <w:lang w:val="en-GB"/>
              </w:rPr>
              <w:t xml:space="preserve">ild acceleration of the investment flow towards the end of the last year ensured meeting the whole year amount anticipated by the SB. </w:t>
            </w:r>
            <w:r w:rsidR="00314808" w:rsidRPr="00CB09D5">
              <w:rPr>
                <w:rFonts w:cs="Arial"/>
                <w:color w:val="000000"/>
                <w:spacing w:val="-4"/>
                <w:lang w:val="en-GB"/>
              </w:rPr>
              <w:t>The proportion of investment on total budget</w:t>
            </w:r>
            <w:r w:rsidR="00DD003B" w:rsidRPr="00CB09D5">
              <w:rPr>
                <w:rFonts w:cs="Arial"/>
                <w:color w:val="000000"/>
                <w:spacing w:val="-4"/>
                <w:lang w:val="en-GB"/>
              </w:rPr>
              <w:t xml:space="preserve"> expenditure fell to record 6.9</w:t>
            </w:r>
            <w:r w:rsidR="00314808" w:rsidRPr="00CB09D5">
              <w:rPr>
                <w:rFonts w:cs="Arial"/>
                <w:color w:val="000000"/>
                <w:spacing w:val="-4"/>
                <w:lang w:val="en-GB"/>
              </w:rPr>
              <w:t xml:space="preserve">% last year. If we however took into account also the year </w:t>
            </w:r>
            <w:r w:rsidR="008A03DE" w:rsidRPr="00CB09D5">
              <w:rPr>
                <w:rFonts w:cs="Arial"/>
                <w:color w:val="000000"/>
                <w:spacing w:val="-4"/>
                <w:lang w:val="en-GB"/>
              </w:rPr>
              <w:t xml:space="preserve">2015, </w:t>
            </w:r>
            <w:r w:rsidR="00314808" w:rsidRPr="00CB09D5">
              <w:rPr>
                <w:rFonts w:cs="Arial"/>
                <w:color w:val="000000"/>
                <w:spacing w:val="-4"/>
                <w:lang w:val="en-GB"/>
              </w:rPr>
              <w:t xml:space="preserve">then a similar proportion </w:t>
            </w:r>
            <w:r w:rsidR="000A7C02">
              <w:rPr>
                <w:rFonts w:cs="Arial"/>
                <w:color w:val="000000"/>
                <w:spacing w:val="-4"/>
                <w:lang w:val="en-GB"/>
              </w:rPr>
              <w:t xml:space="preserve">(for whole period of 2015-2016) </w:t>
            </w:r>
            <w:r w:rsidR="00314808" w:rsidRPr="00CB09D5">
              <w:rPr>
                <w:rFonts w:cs="Arial"/>
                <w:color w:val="000000"/>
                <w:spacing w:val="-4"/>
                <w:lang w:val="en-GB"/>
              </w:rPr>
              <w:t xml:space="preserve">would not </w:t>
            </w:r>
            <w:r w:rsidR="00825B92" w:rsidRPr="00CB09D5">
              <w:rPr>
                <w:rFonts w:cs="Arial"/>
                <w:color w:val="000000"/>
                <w:spacing w:val="-4"/>
                <w:lang w:val="en-GB"/>
              </w:rPr>
              <w:t xml:space="preserve">deviate </w:t>
            </w:r>
            <w:r w:rsidR="00314808" w:rsidRPr="00CB09D5">
              <w:rPr>
                <w:rFonts w:cs="Arial"/>
                <w:color w:val="000000"/>
                <w:spacing w:val="-4"/>
                <w:lang w:val="en-GB"/>
              </w:rPr>
              <w:t xml:space="preserve">from the </w:t>
            </w:r>
            <w:r w:rsidR="003D15C3" w:rsidRPr="00CB09D5">
              <w:rPr>
                <w:rFonts w:cs="Arial"/>
                <w:color w:val="000000"/>
                <w:spacing w:val="-4"/>
                <w:lang w:val="en-GB"/>
              </w:rPr>
              <w:t>long-term</w:t>
            </w:r>
            <w:r w:rsidR="00314808" w:rsidRPr="00CB09D5">
              <w:rPr>
                <w:rFonts w:cs="Arial"/>
                <w:color w:val="000000"/>
                <w:spacing w:val="-4"/>
                <w:lang w:val="en-GB"/>
              </w:rPr>
              <w:t xml:space="preserve"> level in</w:t>
            </w:r>
            <w:r w:rsidR="00A718BC" w:rsidRPr="00CB09D5">
              <w:rPr>
                <w:rFonts w:cs="Arial"/>
                <w:color w:val="000000"/>
                <w:spacing w:val="-4"/>
                <w:lang w:val="en-GB"/>
              </w:rPr>
              <w:t xml:space="preserve"> any way in</w:t>
            </w:r>
            <w:r w:rsidR="00314808" w:rsidRPr="00CB09D5">
              <w:rPr>
                <w:rFonts w:cs="Arial"/>
                <w:color w:val="000000"/>
                <w:spacing w:val="-4"/>
                <w:lang w:val="en-GB"/>
              </w:rPr>
              <w:t xml:space="preserve"> this two year period</w:t>
            </w:r>
            <w:r w:rsidR="008A03DE" w:rsidRPr="00CB09D5">
              <w:rPr>
                <w:rStyle w:val="Znakapoznpodarou"/>
                <w:color w:val="000000"/>
                <w:spacing w:val="-4"/>
                <w:lang w:val="en-GB"/>
              </w:rPr>
              <w:footnoteReference w:id="36"/>
            </w:r>
            <w:r w:rsidR="008A03DE" w:rsidRPr="00CB09D5">
              <w:rPr>
                <w:rFonts w:cs="Arial"/>
                <w:color w:val="000000"/>
                <w:spacing w:val="-4"/>
                <w:lang w:val="en-GB"/>
              </w:rPr>
              <w:t xml:space="preserve">.  </w:t>
            </w:r>
          </w:p>
          <w:p w:rsidR="008A03DE" w:rsidRPr="00CB09D5" w:rsidRDefault="008A03DE" w:rsidP="008A03DE">
            <w:pPr>
              <w:pStyle w:val="Textpoznpodarou"/>
              <w:jc w:val="both"/>
              <w:rPr>
                <w:rFonts w:cs="Arial"/>
                <w:color w:val="000000"/>
                <w:spacing w:val="-4"/>
                <w:sz w:val="15"/>
                <w:szCs w:val="15"/>
                <w:lang w:val="en-GB"/>
              </w:rPr>
            </w:pPr>
          </w:p>
        </w:tc>
      </w:tr>
      <w:tr w:rsidR="008A03DE" w:rsidRPr="00CB09D5" w:rsidTr="008A03DE">
        <w:tc>
          <w:tcPr>
            <w:tcW w:w="1054" w:type="pct"/>
          </w:tcPr>
          <w:p w:rsidR="008A03DE" w:rsidRPr="00CB09D5" w:rsidRDefault="00A12F7C" w:rsidP="008A03DE">
            <w:pPr>
              <w:spacing w:line="240" w:lineRule="auto"/>
              <w:rPr>
                <w:rFonts w:cs="Arial"/>
                <w:color w:val="0D0D0D"/>
                <w:spacing w:val="-2"/>
                <w:sz w:val="16"/>
                <w:szCs w:val="16"/>
                <w:lang w:val="en-GB"/>
              </w:rPr>
            </w:pPr>
            <w:r w:rsidRPr="00CB09D5">
              <w:rPr>
                <w:rFonts w:cs="Arial"/>
                <w:color w:val="0D0D0D"/>
                <w:spacing w:val="-2"/>
                <w:sz w:val="16"/>
                <w:szCs w:val="16"/>
                <w:lang w:val="en-GB"/>
              </w:rPr>
              <w:t xml:space="preserve">Moderate growth of expenditure on pensions combined with the dynamic growth of collection of compulsory insurance led to the lowest pension account deficit in the last eight years.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3A31A9" w:rsidP="008A03DE">
            <w:pPr>
              <w:pStyle w:val="Textpoznpodarou"/>
              <w:jc w:val="both"/>
              <w:rPr>
                <w:rFonts w:cs="Arial"/>
                <w:color w:val="0D0D0D"/>
                <w:spacing w:val="-4"/>
                <w:lang w:val="en-GB"/>
              </w:rPr>
            </w:pPr>
            <w:r w:rsidRPr="00CB09D5">
              <w:rPr>
                <w:rFonts w:cs="Arial"/>
                <w:color w:val="0D0D0D"/>
                <w:spacing w:val="-4"/>
                <w:lang w:val="en-GB"/>
              </w:rPr>
              <w:t xml:space="preserve">Full </w:t>
            </w:r>
            <w:r w:rsidR="00DD003B" w:rsidRPr="00CB09D5">
              <w:rPr>
                <w:rFonts w:cs="Arial"/>
                <w:color w:val="0D0D0D"/>
                <w:spacing w:val="-4"/>
                <w:lang w:val="en-GB"/>
              </w:rPr>
              <w:t>45</w:t>
            </w:r>
            <w:r w:rsidR="000117CA" w:rsidRPr="00CB09D5">
              <w:rPr>
                <w:rFonts w:cs="Arial"/>
                <w:color w:val="0D0D0D"/>
                <w:spacing w:val="-4"/>
                <w:lang w:val="en-GB"/>
              </w:rPr>
              <w:t xml:space="preserve">% </w:t>
            </w:r>
            <w:r w:rsidRPr="00CB09D5">
              <w:rPr>
                <w:rFonts w:cs="Arial"/>
                <w:color w:val="0D0D0D"/>
                <w:spacing w:val="-4"/>
                <w:lang w:val="en-GB"/>
              </w:rPr>
              <w:t xml:space="preserve">of current expenditure </w:t>
            </w:r>
            <w:proofErr w:type="gramStart"/>
            <w:r w:rsidRPr="00CB09D5">
              <w:rPr>
                <w:rFonts w:cs="Arial"/>
                <w:color w:val="0D0D0D"/>
                <w:spacing w:val="-4"/>
                <w:lang w:val="en-GB"/>
              </w:rPr>
              <w:t>wer</w:t>
            </w:r>
            <w:r w:rsidR="00314808" w:rsidRPr="00CB09D5">
              <w:rPr>
                <w:rFonts w:cs="Arial"/>
                <w:color w:val="0D0D0D"/>
                <w:spacing w:val="-4"/>
                <w:lang w:val="en-GB"/>
              </w:rPr>
              <w:t>e</w:t>
            </w:r>
            <w:proofErr w:type="gramEnd"/>
            <w:r w:rsidRPr="00CB09D5">
              <w:rPr>
                <w:rFonts w:cs="Arial"/>
                <w:color w:val="0D0D0D"/>
                <w:spacing w:val="-4"/>
                <w:lang w:val="en-GB"/>
              </w:rPr>
              <w:t xml:space="preserve"> directed to social benefits last year, </w:t>
            </w:r>
            <w:r w:rsidR="00FD45DB" w:rsidRPr="00CB09D5">
              <w:rPr>
                <w:rFonts w:cs="Arial"/>
                <w:color w:val="0D0D0D"/>
                <w:spacing w:val="-4"/>
                <w:lang w:val="en-GB"/>
              </w:rPr>
              <w:t xml:space="preserve">the dominant part was traditionally formed by the expenditure on pensions. </w:t>
            </w:r>
            <w:r w:rsidR="007E7E88" w:rsidRPr="00CB09D5">
              <w:rPr>
                <w:rFonts w:cs="Arial"/>
                <w:color w:val="0D0D0D"/>
                <w:spacing w:val="-4"/>
                <w:lang w:val="en-GB"/>
              </w:rPr>
              <w:t xml:space="preserve">These also thanks to a </w:t>
            </w:r>
            <w:r w:rsidR="00B84820" w:rsidRPr="00CB09D5">
              <w:rPr>
                <w:rFonts w:cs="Arial"/>
                <w:color w:val="0D0D0D"/>
                <w:spacing w:val="-4"/>
                <w:lang w:val="en-GB"/>
              </w:rPr>
              <w:t>one-off</w:t>
            </w:r>
            <w:r w:rsidR="007E7E88" w:rsidRPr="00CB09D5">
              <w:rPr>
                <w:rFonts w:cs="Arial"/>
                <w:color w:val="0D0D0D"/>
                <w:spacing w:val="-4"/>
                <w:lang w:val="en-GB"/>
              </w:rPr>
              <w:t xml:space="preserve"> February contribution (in the total size of 3.5 </w:t>
            </w:r>
            <w:r w:rsidR="00C4216C" w:rsidRPr="00CB09D5">
              <w:rPr>
                <w:rFonts w:cs="Arial"/>
                <w:color w:val="0D0D0D"/>
                <w:spacing w:val="-4"/>
                <w:lang w:val="en-GB"/>
              </w:rPr>
              <w:t>CZK bn</w:t>
            </w:r>
            <w:r w:rsidR="00DD003B" w:rsidRPr="00CB09D5">
              <w:rPr>
                <w:rFonts w:cs="Arial"/>
                <w:color w:val="0D0D0D"/>
                <w:spacing w:val="-4"/>
                <w:lang w:val="en-GB"/>
              </w:rPr>
              <w:t>) strengthened by 1.0</w:t>
            </w:r>
            <w:r w:rsidR="007E7E88" w:rsidRPr="00CB09D5">
              <w:rPr>
                <w:rFonts w:cs="Arial"/>
                <w:color w:val="0D0D0D"/>
                <w:spacing w:val="-4"/>
                <w:lang w:val="en-GB"/>
              </w:rPr>
              <w:t xml:space="preserve">% year-on-year. </w:t>
            </w:r>
            <w:r w:rsidR="00913547" w:rsidRPr="00CB09D5">
              <w:rPr>
                <w:rFonts w:cs="Arial"/>
                <w:color w:val="0D0D0D"/>
                <w:spacing w:val="-4"/>
                <w:lang w:val="en-GB"/>
              </w:rPr>
              <w:t xml:space="preserve">The year-on-year dynamics was however stronger </w:t>
            </w:r>
            <w:r w:rsidR="008A03DE" w:rsidRPr="00CB09D5">
              <w:rPr>
                <w:rFonts w:cs="Arial"/>
                <w:color w:val="0D0D0D"/>
                <w:spacing w:val="-4"/>
                <w:lang w:val="en-GB"/>
              </w:rPr>
              <w:t>(2</w:t>
            </w:r>
            <w:r w:rsidR="00913547" w:rsidRPr="00CB09D5">
              <w:rPr>
                <w:rFonts w:cs="Arial"/>
                <w:color w:val="0D0D0D"/>
                <w:spacing w:val="-4"/>
                <w:lang w:val="en-GB"/>
              </w:rPr>
              <w:t>.</w:t>
            </w:r>
            <w:r w:rsidR="00DD003B" w:rsidRPr="00CB09D5">
              <w:rPr>
                <w:rFonts w:cs="Arial"/>
                <w:color w:val="0D0D0D"/>
                <w:spacing w:val="-4"/>
                <w:lang w:val="en-GB"/>
              </w:rPr>
              <w:t>4</w:t>
            </w:r>
            <w:r w:rsidR="008A03DE" w:rsidRPr="00CB09D5">
              <w:rPr>
                <w:rFonts w:cs="Arial"/>
                <w:color w:val="0D0D0D"/>
                <w:spacing w:val="-4"/>
                <w:lang w:val="en-GB"/>
              </w:rPr>
              <w:t>%)</w:t>
            </w:r>
            <w:r w:rsidR="00913547" w:rsidRPr="00CB09D5">
              <w:rPr>
                <w:rFonts w:cs="Arial"/>
                <w:color w:val="0D0D0D"/>
                <w:spacing w:val="-4"/>
                <w:lang w:val="en-GB"/>
              </w:rPr>
              <w:t xml:space="preserve"> in 2015</w:t>
            </w:r>
            <w:r w:rsidR="008A03DE" w:rsidRPr="00CB09D5">
              <w:rPr>
                <w:rFonts w:cs="Arial"/>
                <w:color w:val="0D0D0D"/>
                <w:spacing w:val="-4"/>
                <w:lang w:val="en-GB"/>
              </w:rPr>
              <w:t xml:space="preserve">, </w:t>
            </w:r>
            <w:r w:rsidR="00913547" w:rsidRPr="00CB09D5">
              <w:rPr>
                <w:rFonts w:cs="Arial"/>
                <w:color w:val="0D0D0D"/>
                <w:spacing w:val="-4"/>
                <w:lang w:val="en-GB"/>
              </w:rPr>
              <w:t xml:space="preserve">since it reflected the higher expenditure in connection to the return to the traditional </w:t>
            </w:r>
            <w:r w:rsidR="00A13BA6" w:rsidRPr="00CB09D5">
              <w:rPr>
                <w:rFonts w:cs="Arial"/>
                <w:color w:val="0D0D0D"/>
                <w:spacing w:val="-4"/>
                <w:lang w:val="en-GB"/>
              </w:rPr>
              <w:t xml:space="preserve">adjustment </w:t>
            </w:r>
            <w:r w:rsidR="00913547" w:rsidRPr="00CB09D5">
              <w:rPr>
                <w:rFonts w:cs="Arial"/>
                <w:color w:val="0D0D0D"/>
                <w:spacing w:val="-4"/>
                <w:lang w:val="en-GB"/>
              </w:rPr>
              <w:t>scheme of pensions</w:t>
            </w:r>
            <w:r w:rsidR="008A03DE" w:rsidRPr="00CB09D5">
              <w:rPr>
                <w:rStyle w:val="Znakapoznpodarou"/>
                <w:color w:val="0D0D0D"/>
                <w:spacing w:val="-4"/>
                <w:lang w:val="en-GB"/>
              </w:rPr>
              <w:footnoteReference w:id="37"/>
            </w:r>
            <w:r w:rsidR="008A03DE" w:rsidRPr="00CB09D5">
              <w:rPr>
                <w:rFonts w:cs="Arial"/>
                <w:color w:val="0D0D0D"/>
                <w:spacing w:val="-4"/>
                <w:lang w:val="en-GB"/>
              </w:rPr>
              <w:t>.</w:t>
            </w:r>
            <w:r w:rsidR="00B506BE" w:rsidRPr="00CB09D5">
              <w:rPr>
                <w:rFonts w:cs="Arial"/>
                <w:color w:val="0D0D0D"/>
                <w:spacing w:val="-4"/>
                <w:lang w:val="en-GB"/>
              </w:rPr>
              <w:t xml:space="preserve"> </w:t>
            </w:r>
            <w:r w:rsidR="008100E2" w:rsidRPr="00CB09D5">
              <w:rPr>
                <w:rFonts w:cs="Arial"/>
                <w:color w:val="0D0D0D"/>
                <w:spacing w:val="-4"/>
                <w:lang w:val="en-GB"/>
              </w:rPr>
              <w:t>Mild increase of</w:t>
            </w:r>
            <w:r w:rsidR="00DD003B" w:rsidRPr="00CB09D5">
              <w:rPr>
                <w:rFonts w:cs="Arial"/>
                <w:color w:val="0D0D0D"/>
                <w:spacing w:val="-4"/>
                <w:lang w:val="en-GB"/>
              </w:rPr>
              <w:t xml:space="preserve"> the number of pensioners (+0.3</w:t>
            </w:r>
            <w:r w:rsidR="008100E2" w:rsidRPr="00CB09D5">
              <w:rPr>
                <w:rFonts w:cs="Arial"/>
                <w:color w:val="0D0D0D"/>
                <w:spacing w:val="-4"/>
                <w:lang w:val="en-GB"/>
              </w:rPr>
              <w:t xml:space="preserve">%) </w:t>
            </w:r>
            <w:r w:rsidR="008100E2" w:rsidRPr="00CB09D5">
              <w:rPr>
                <w:rFonts w:cs="Arial"/>
                <w:color w:val="0D0D0D"/>
                <w:spacing w:val="-4"/>
                <w:lang w:val="en-GB"/>
              </w:rPr>
              <w:lastRenderedPageBreak/>
              <w:t xml:space="preserve">also manifested in the last year’s </w:t>
            </w:r>
            <w:r w:rsidR="00AE20E2" w:rsidRPr="00CB09D5">
              <w:rPr>
                <w:rFonts w:cs="Arial"/>
                <w:color w:val="0D0D0D"/>
                <w:spacing w:val="-4"/>
                <w:lang w:val="en-GB"/>
              </w:rPr>
              <w:t>volume of expenditure on pensions. The number of persons with a permanently shortened old-age pension grew more dynamically, their proportion of all rec</w:t>
            </w:r>
            <w:r w:rsidR="00854A82" w:rsidRPr="00CB09D5">
              <w:rPr>
                <w:rFonts w:cs="Arial"/>
                <w:color w:val="0D0D0D"/>
                <w:spacing w:val="-4"/>
                <w:lang w:val="en-GB"/>
              </w:rPr>
              <w:t>ipients</w:t>
            </w:r>
            <w:r w:rsidR="00DD003B" w:rsidRPr="00CB09D5">
              <w:rPr>
                <w:rFonts w:cs="Arial"/>
                <w:color w:val="0D0D0D"/>
                <w:spacing w:val="-4"/>
                <w:lang w:val="en-GB"/>
              </w:rPr>
              <w:t xml:space="preserve"> of old age pension crossed 25</w:t>
            </w:r>
            <w:r w:rsidR="00AE20E2" w:rsidRPr="00CB09D5">
              <w:rPr>
                <w:rFonts w:cs="Arial"/>
                <w:color w:val="0D0D0D"/>
                <w:spacing w:val="-4"/>
                <w:lang w:val="en-GB"/>
              </w:rPr>
              <w:t xml:space="preserve">% for the first time last year. </w:t>
            </w:r>
            <w:r w:rsidR="00C14BDD" w:rsidRPr="00CB09D5">
              <w:rPr>
                <w:rFonts w:cs="Arial"/>
                <w:color w:val="0D0D0D"/>
                <w:spacing w:val="-4"/>
                <w:lang w:val="en-GB"/>
              </w:rPr>
              <w:t xml:space="preserve">The pension account deficit (difference between incomes and expenditure on pensions from the SB) reached 16.5 </w:t>
            </w:r>
            <w:r w:rsidR="00C4216C" w:rsidRPr="00CB09D5">
              <w:rPr>
                <w:rFonts w:cs="Arial"/>
                <w:color w:val="0D0D0D"/>
                <w:spacing w:val="-4"/>
                <w:lang w:val="en-GB"/>
              </w:rPr>
              <w:t>CZK bn</w:t>
            </w:r>
            <w:r w:rsidR="00C14BDD" w:rsidRPr="00CB09D5">
              <w:rPr>
                <w:rFonts w:cs="Arial"/>
                <w:color w:val="0D0D0D"/>
                <w:spacing w:val="-4"/>
                <w:lang w:val="en-GB"/>
              </w:rPr>
              <w:t xml:space="preserve"> and it shrank by more than one half compared to </w:t>
            </w:r>
            <w:r w:rsidR="005703D0" w:rsidRPr="00CB09D5">
              <w:rPr>
                <w:rFonts w:cs="Arial"/>
                <w:color w:val="0D0D0D"/>
                <w:spacing w:val="-4"/>
                <w:lang w:val="en-GB"/>
              </w:rPr>
              <w:t xml:space="preserve">the </w:t>
            </w:r>
            <w:r w:rsidR="00C14BDD" w:rsidRPr="00CB09D5">
              <w:rPr>
                <w:rFonts w:cs="Arial"/>
                <w:color w:val="0D0D0D"/>
                <w:spacing w:val="-4"/>
                <w:lang w:val="en-GB"/>
              </w:rPr>
              <w:t xml:space="preserve">year 2015. </w:t>
            </w:r>
          </w:p>
          <w:p w:rsidR="008A03DE" w:rsidRPr="00CB09D5" w:rsidRDefault="008A03DE" w:rsidP="008A03DE">
            <w:pPr>
              <w:pStyle w:val="Textpoznpodarou"/>
              <w:jc w:val="both"/>
              <w:rPr>
                <w:rFonts w:cs="Arial"/>
                <w:color w:val="0D0D0D"/>
                <w:spacing w:val="-4"/>
                <w:sz w:val="15"/>
                <w:szCs w:val="15"/>
                <w:lang w:val="en-GB"/>
              </w:rPr>
            </w:pPr>
          </w:p>
        </w:tc>
      </w:tr>
      <w:tr w:rsidR="008A03DE" w:rsidRPr="00CB09D5" w:rsidTr="008A03DE">
        <w:tc>
          <w:tcPr>
            <w:tcW w:w="1054" w:type="pct"/>
          </w:tcPr>
          <w:p w:rsidR="008A03DE" w:rsidRPr="00CB09D5" w:rsidRDefault="00CD5E48" w:rsidP="008A03DE">
            <w:pPr>
              <w:spacing w:line="240" w:lineRule="auto"/>
              <w:rPr>
                <w:rFonts w:cs="Arial"/>
                <w:bCs/>
                <w:iCs/>
                <w:color w:val="0D0D0D"/>
                <w:sz w:val="16"/>
                <w:szCs w:val="16"/>
                <w:lang w:val="en-GB"/>
              </w:rPr>
            </w:pPr>
            <w:r w:rsidRPr="00CB09D5">
              <w:rPr>
                <w:rFonts w:cs="Arial"/>
                <w:bCs/>
                <w:iCs/>
                <w:color w:val="0D0D0D"/>
                <w:sz w:val="16"/>
                <w:szCs w:val="16"/>
                <w:lang w:val="en-GB"/>
              </w:rPr>
              <w:lastRenderedPageBreak/>
              <w:t>Expenditure on other social benefits</w:t>
            </w:r>
            <w:r w:rsidR="00DD003B" w:rsidRPr="00CB09D5">
              <w:rPr>
                <w:rFonts w:cs="Arial"/>
                <w:bCs/>
                <w:iCs/>
                <w:color w:val="0D0D0D"/>
                <w:sz w:val="16"/>
                <w:szCs w:val="16"/>
                <w:lang w:val="en-GB"/>
              </w:rPr>
              <w:t xml:space="preserve"> (without pensions) </w:t>
            </w:r>
            <w:proofErr w:type="gramStart"/>
            <w:r w:rsidR="00DD003B" w:rsidRPr="00CB09D5">
              <w:rPr>
                <w:rFonts w:cs="Arial"/>
                <w:bCs/>
                <w:iCs/>
                <w:color w:val="0D0D0D"/>
                <w:sz w:val="16"/>
                <w:szCs w:val="16"/>
                <w:lang w:val="en-GB"/>
              </w:rPr>
              <w:t>were</w:t>
            </w:r>
            <w:proofErr w:type="gramEnd"/>
            <w:r w:rsidR="00DD003B" w:rsidRPr="00CB09D5">
              <w:rPr>
                <w:rFonts w:cs="Arial"/>
                <w:bCs/>
                <w:iCs/>
                <w:color w:val="0D0D0D"/>
                <w:sz w:val="16"/>
                <w:szCs w:val="16"/>
                <w:lang w:val="en-GB"/>
              </w:rPr>
              <w:t xml:space="preserve"> by 2.7</w:t>
            </w:r>
            <w:r w:rsidRPr="00CB09D5">
              <w:rPr>
                <w:rFonts w:cs="Arial"/>
                <w:bCs/>
                <w:iCs/>
                <w:color w:val="0D0D0D"/>
                <w:sz w:val="16"/>
                <w:szCs w:val="16"/>
                <w:lang w:val="en-GB"/>
              </w:rPr>
              <w:t>% higher year-on-year, mostly due to higher sickness benefits</w:t>
            </w:r>
            <w:r w:rsidR="008A03DE" w:rsidRPr="00CB09D5">
              <w:rPr>
                <w:rFonts w:cs="Arial"/>
                <w:bCs/>
                <w:iCs/>
                <w:color w:val="0D0D0D"/>
                <w:sz w:val="16"/>
                <w:szCs w:val="16"/>
                <w:lang w:val="en-GB"/>
              </w:rPr>
              <w:t>.</w:t>
            </w:r>
          </w:p>
          <w:p w:rsidR="008A03DE" w:rsidRPr="00CB09D5" w:rsidRDefault="008A03DE" w:rsidP="008A03DE">
            <w:pPr>
              <w:spacing w:line="240" w:lineRule="auto"/>
              <w:rPr>
                <w:rFonts w:cs="Arial"/>
                <w:bCs/>
                <w:iCs/>
                <w:color w:val="0D0D0D"/>
                <w:sz w:val="16"/>
                <w:szCs w:val="16"/>
                <w:lang w:val="en-GB"/>
              </w:rPr>
            </w:pPr>
          </w:p>
          <w:p w:rsidR="008A03DE" w:rsidRPr="00CB09D5" w:rsidRDefault="008A03DE" w:rsidP="008A03DE">
            <w:pPr>
              <w:spacing w:line="240" w:lineRule="auto"/>
              <w:rPr>
                <w:rFonts w:cs="Arial"/>
                <w:bCs/>
                <w:iCs/>
                <w:color w:val="0D0D0D"/>
                <w:sz w:val="16"/>
                <w:szCs w:val="16"/>
                <w:lang w:val="en-GB"/>
              </w:rPr>
            </w:pPr>
          </w:p>
          <w:p w:rsidR="008A03DE" w:rsidRPr="00CB09D5" w:rsidRDefault="008A03DE" w:rsidP="008A03DE">
            <w:pPr>
              <w:spacing w:line="240" w:lineRule="auto"/>
              <w:rPr>
                <w:rFonts w:cs="Arial"/>
                <w:bCs/>
                <w:iCs/>
                <w:color w:val="0D0D0D"/>
                <w:sz w:val="16"/>
                <w:szCs w:val="16"/>
                <w:lang w:val="en-GB"/>
              </w:rPr>
            </w:pPr>
          </w:p>
          <w:p w:rsidR="008A03DE" w:rsidRPr="00CB09D5" w:rsidRDefault="008A03DE" w:rsidP="008A03DE">
            <w:pPr>
              <w:spacing w:line="240" w:lineRule="auto"/>
              <w:rPr>
                <w:rFonts w:cs="Arial"/>
                <w:bCs/>
                <w:iCs/>
                <w:color w:val="0D0D0D"/>
                <w:sz w:val="16"/>
                <w:szCs w:val="16"/>
                <w:lang w:val="en-GB"/>
              </w:rPr>
            </w:pPr>
          </w:p>
          <w:p w:rsidR="008A03DE" w:rsidRPr="00CB09D5" w:rsidRDefault="00E64CFB" w:rsidP="008A03DE">
            <w:pPr>
              <w:spacing w:line="240" w:lineRule="auto"/>
              <w:rPr>
                <w:rFonts w:cs="Arial"/>
                <w:bCs/>
                <w:iCs/>
                <w:color w:val="0D0D0D"/>
                <w:sz w:val="16"/>
                <w:szCs w:val="16"/>
                <w:lang w:val="en-GB"/>
              </w:rPr>
            </w:pPr>
            <w:r w:rsidRPr="00CB09D5">
              <w:rPr>
                <w:rFonts w:cs="Arial"/>
                <w:bCs/>
                <w:iCs/>
                <w:color w:val="0D0D0D"/>
                <w:sz w:val="16"/>
                <w:szCs w:val="16"/>
                <w:lang w:val="en-GB"/>
              </w:rPr>
              <w:t>Continuing notable fall of the material deprivation benefits evidenced the improving financial situations of households</w:t>
            </w:r>
            <w:r w:rsidR="008A03DE" w:rsidRPr="00CB09D5">
              <w:rPr>
                <w:rFonts w:cs="Arial"/>
                <w:bCs/>
                <w:iCs/>
                <w:color w:val="0D0D0D"/>
                <w:sz w:val="16"/>
                <w:szCs w:val="16"/>
                <w:lang w:val="en-GB"/>
              </w:rPr>
              <w:t>.</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0A4021" w:rsidP="008A03DE">
            <w:pPr>
              <w:pStyle w:val="Textpoznpodarou"/>
              <w:jc w:val="both"/>
              <w:rPr>
                <w:rFonts w:cs="Arial"/>
                <w:color w:val="0D0D0D"/>
                <w:spacing w:val="-4"/>
                <w:lang w:val="en-GB"/>
              </w:rPr>
            </w:pPr>
            <w:r w:rsidRPr="00CB09D5">
              <w:rPr>
                <w:rFonts w:cs="Arial"/>
                <w:color w:val="0D0D0D"/>
                <w:spacing w:val="-4"/>
                <w:lang w:val="en-GB"/>
              </w:rPr>
              <w:t xml:space="preserve">Volume of other social benefits (without pensions) was growing more dynamically than the expenditure on pensions themselves last year in contrast to </w:t>
            </w:r>
            <w:r w:rsidR="005703D0" w:rsidRPr="00CB09D5">
              <w:rPr>
                <w:rFonts w:cs="Arial"/>
                <w:color w:val="0D0D0D"/>
                <w:spacing w:val="-4"/>
                <w:lang w:val="en-GB"/>
              </w:rPr>
              <w:t xml:space="preserve">the </w:t>
            </w:r>
            <w:r w:rsidRPr="00CB09D5">
              <w:rPr>
                <w:rFonts w:cs="Arial"/>
                <w:color w:val="0D0D0D"/>
                <w:spacing w:val="-4"/>
                <w:lang w:val="en-GB"/>
              </w:rPr>
              <w:t xml:space="preserve">year 2015. </w:t>
            </w:r>
            <w:r w:rsidR="00446C9F" w:rsidRPr="00CB09D5">
              <w:rPr>
                <w:rFonts w:cs="Arial"/>
                <w:color w:val="0D0D0D"/>
                <w:spacing w:val="-4"/>
                <w:lang w:val="en-GB"/>
              </w:rPr>
              <w:t xml:space="preserve">Higher drawing of sickness insurance benefits stood </w:t>
            </w:r>
            <w:r w:rsidR="00537737" w:rsidRPr="00CB09D5">
              <w:rPr>
                <w:rFonts w:cs="Arial"/>
                <w:color w:val="0D0D0D"/>
                <w:spacing w:val="-4"/>
                <w:lang w:val="en-GB"/>
              </w:rPr>
              <w:t>primarily</w:t>
            </w:r>
            <w:r w:rsidR="00446C9F" w:rsidRPr="00CB09D5">
              <w:rPr>
                <w:rFonts w:cs="Arial"/>
                <w:color w:val="0D0D0D"/>
                <w:spacing w:val="-4"/>
                <w:lang w:val="en-GB"/>
              </w:rPr>
              <w:t xml:space="preserve"> </w:t>
            </w:r>
            <w:r w:rsidR="00DD003B" w:rsidRPr="00CB09D5">
              <w:rPr>
                <w:rFonts w:cs="Arial"/>
                <w:color w:val="0D0D0D"/>
                <w:spacing w:val="-4"/>
                <w:lang w:val="en-GB"/>
              </w:rPr>
              <w:t>behind this development (by 8.9</w:t>
            </w:r>
            <w:r w:rsidR="00DB36D7" w:rsidRPr="00CB09D5">
              <w:rPr>
                <w:rFonts w:cs="Arial"/>
                <w:color w:val="0D0D0D"/>
                <w:spacing w:val="-4"/>
                <w:lang w:val="en-GB"/>
              </w:rPr>
              <w:t xml:space="preserve">%), caused by the growth of sickness </w:t>
            </w:r>
            <w:r w:rsidR="008A03DE" w:rsidRPr="00CB09D5">
              <w:rPr>
                <w:rFonts w:cs="Arial"/>
                <w:color w:val="0D0D0D"/>
                <w:spacing w:val="-4"/>
                <w:lang w:val="en-GB"/>
              </w:rPr>
              <w:t>(</w:t>
            </w:r>
            <w:r w:rsidR="00446C9F" w:rsidRPr="00CB09D5">
              <w:rPr>
                <w:rFonts w:cs="Arial"/>
                <w:color w:val="0D0D0D"/>
                <w:spacing w:val="-4"/>
                <w:lang w:val="en-GB"/>
              </w:rPr>
              <w:t>in all regions</w:t>
            </w:r>
            <w:r w:rsidR="008A03DE" w:rsidRPr="00CB09D5">
              <w:rPr>
                <w:rFonts w:cs="Arial"/>
                <w:color w:val="0D0D0D"/>
                <w:spacing w:val="-4"/>
                <w:lang w:val="en-GB"/>
              </w:rPr>
              <w:t xml:space="preserve">) </w:t>
            </w:r>
            <w:r w:rsidR="00446C9F" w:rsidRPr="00CB09D5">
              <w:rPr>
                <w:rFonts w:cs="Arial"/>
                <w:color w:val="0D0D0D"/>
                <w:spacing w:val="-4"/>
                <w:lang w:val="en-GB"/>
              </w:rPr>
              <w:t xml:space="preserve">as well as more intensive drawing of the </w:t>
            </w:r>
            <w:r w:rsidR="00DB36D7" w:rsidRPr="00CB09D5">
              <w:rPr>
                <w:rFonts w:cs="Arial"/>
                <w:color w:val="0D0D0D"/>
                <w:spacing w:val="-4"/>
                <w:lang w:val="en-GB"/>
              </w:rPr>
              <w:t>maternity benefit</w:t>
            </w:r>
            <w:r w:rsidR="008A03DE" w:rsidRPr="00CB09D5">
              <w:rPr>
                <w:rFonts w:cs="Arial"/>
                <w:color w:val="0D0D0D"/>
                <w:spacing w:val="-4"/>
                <w:lang w:val="en-GB"/>
              </w:rPr>
              <w:t xml:space="preserve">. </w:t>
            </w:r>
            <w:r w:rsidR="00DB36D7" w:rsidRPr="00CB09D5">
              <w:rPr>
                <w:rFonts w:cs="Arial"/>
                <w:color w:val="0D0D0D"/>
                <w:spacing w:val="-4"/>
                <w:lang w:val="en-GB"/>
              </w:rPr>
              <w:t xml:space="preserve">Even though the expenditure on sickness benefits grew already fourth year in a row, </w:t>
            </w:r>
            <w:r w:rsidR="00CE692E" w:rsidRPr="00CB09D5">
              <w:rPr>
                <w:rFonts w:cs="Arial"/>
                <w:color w:val="0D0D0D"/>
                <w:spacing w:val="-4"/>
                <w:lang w:val="en-GB"/>
              </w:rPr>
              <w:t xml:space="preserve">they were still lower than the volume of collected insurance payments last year (by 2.1 </w:t>
            </w:r>
            <w:r w:rsidR="00C4216C" w:rsidRPr="00CB09D5">
              <w:rPr>
                <w:rFonts w:cs="Arial"/>
                <w:color w:val="0D0D0D"/>
                <w:spacing w:val="-4"/>
                <w:lang w:val="en-GB"/>
              </w:rPr>
              <w:t>CZK bn</w:t>
            </w:r>
            <w:r w:rsidR="00CE692E" w:rsidRPr="00CB09D5">
              <w:rPr>
                <w:rFonts w:cs="Arial"/>
                <w:color w:val="0D0D0D"/>
                <w:spacing w:val="-4"/>
                <w:lang w:val="en-GB"/>
              </w:rPr>
              <w:t xml:space="preserve">, by 5.5 bn in </w:t>
            </w:r>
            <w:r w:rsidR="005703D0" w:rsidRPr="00CB09D5">
              <w:rPr>
                <w:rFonts w:cs="Arial"/>
                <w:color w:val="0D0D0D"/>
                <w:spacing w:val="-4"/>
                <w:lang w:val="en-GB"/>
              </w:rPr>
              <w:t xml:space="preserve">the </w:t>
            </w:r>
            <w:r w:rsidR="00CE692E" w:rsidRPr="00CB09D5">
              <w:rPr>
                <w:rFonts w:cs="Arial"/>
                <w:color w:val="0D0D0D"/>
                <w:spacing w:val="-4"/>
                <w:lang w:val="en-GB"/>
              </w:rPr>
              <w:t xml:space="preserve">year 2012). </w:t>
            </w:r>
            <w:r w:rsidR="003D2D51" w:rsidRPr="00CB09D5">
              <w:rPr>
                <w:rFonts w:cs="Arial"/>
                <w:color w:val="0D0D0D"/>
                <w:spacing w:val="-4"/>
                <w:lang w:val="en-GB"/>
              </w:rPr>
              <w:t xml:space="preserve">Social care benefits also slightly increased </w:t>
            </w:r>
            <w:r w:rsidR="008A03DE" w:rsidRPr="00CB09D5">
              <w:rPr>
                <w:rFonts w:cs="Arial"/>
                <w:color w:val="0D0D0D"/>
                <w:spacing w:val="-4"/>
                <w:lang w:val="en-GB"/>
              </w:rPr>
              <w:t>(</w:t>
            </w:r>
            <w:r w:rsidR="003D2D51" w:rsidRPr="00CB09D5">
              <w:rPr>
                <w:rFonts w:cs="Arial"/>
                <w:color w:val="0D0D0D"/>
                <w:spacing w:val="-4"/>
                <w:lang w:val="en-GB"/>
              </w:rPr>
              <w:t>by</w:t>
            </w:r>
            <w:r w:rsidR="00DD003B" w:rsidRPr="00CB09D5">
              <w:rPr>
                <w:rFonts w:cs="Arial"/>
                <w:color w:val="0D0D0D"/>
                <w:spacing w:val="-4"/>
                <w:lang w:val="en-GB"/>
              </w:rPr>
              <w:t xml:space="preserve"> 2</w:t>
            </w:r>
            <w:r w:rsidR="008A03DE" w:rsidRPr="00CB09D5">
              <w:rPr>
                <w:rFonts w:cs="Arial"/>
                <w:color w:val="0D0D0D"/>
                <w:spacing w:val="-4"/>
                <w:lang w:val="en-GB"/>
              </w:rPr>
              <w:t>%)</w:t>
            </w:r>
            <w:r w:rsidR="003D2D51" w:rsidRPr="00CB09D5">
              <w:rPr>
                <w:rFonts w:cs="Arial"/>
                <w:color w:val="0D0D0D"/>
                <w:spacing w:val="-4"/>
                <w:lang w:val="en-GB"/>
              </w:rPr>
              <w:t xml:space="preserve">. </w:t>
            </w:r>
            <w:r w:rsidR="00587451" w:rsidRPr="00CB09D5">
              <w:rPr>
                <w:rFonts w:cs="Arial"/>
                <w:color w:val="0D0D0D"/>
                <w:spacing w:val="-4"/>
                <w:lang w:val="en-GB"/>
              </w:rPr>
              <w:t xml:space="preserve">It was a consequence of the across-the-board increase of the </w:t>
            </w:r>
            <w:r w:rsidR="00A80458" w:rsidRPr="00CB09D5">
              <w:rPr>
                <w:rFonts w:cs="Arial"/>
                <w:color w:val="0D0D0D"/>
                <w:spacing w:val="-4"/>
                <w:lang w:val="en-GB"/>
              </w:rPr>
              <w:t xml:space="preserve">contribution to </w:t>
            </w:r>
            <w:r w:rsidR="00587451" w:rsidRPr="00CB09D5">
              <w:rPr>
                <w:rFonts w:cs="Arial"/>
                <w:color w:val="0D0D0D"/>
                <w:spacing w:val="-4"/>
                <w:lang w:val="en-GB"/>
              </w:rPr>
              <w:t xml:space="preserve">care benefits </w:t>
            </w:r>
            <w:r w:rsidR="008A03DE" w:rsidRPr="00CB09D5">
              <w:rPr>
                <w:rFonts w:cs="Arial"/>
                <w:color w:val="0D0D0D"/>
                <w:spacing w:val="-4"/>
                <w:lang w:val="en-GB"/>
              </w:rPr>
              <w:t>(</w:t>
            </w:r>
            <w:r w:rsidR="00587451" w:rsidRPr="00CB09D5">
              <w:rPr>
                <w:rFonts w:cs="Arial"/>
                <w:color w:val="0D0D0D"/>
                <w:spacing w:val="-4"/>
                <w:lang w:val="en-GB"/>
              </w:rPr>
              <w:t xml:space="preserve">since August by </w:t>
            </w:r>
            <w:r w:rsidR="00DD003B" w:rsidRPr="00CB09D5">
              <w:rPr>
                <w:rFonts w:cs="Arial"/>
                <w:color w:val="0D0D0D"/>
                <w:spacing w:val="-4"/>
                <w:lang w:val="en-GB"/>
              </w:rPr>
              <w:t>10</w:t>
            </w:r>
            <w:r w:rsidR="008A03DE" w:rsidRPr="00CB09D5">
              <w:rPr>
                <w:rFonts w:cs="Arial"/>
                <w:color w:val="0D0D0D"/>
                <w:spacing w:val="-4"/>
                <w:lang w:val="en-GB"/>
              </w:rPr>
              <w:t xml:space="preserve">%), </w:t>
            </w:r>
            <w:r w:rsidR="00587451" w:rsidRPr="00CB09D5">
              <w:rPr>
                <w:rFonts w:cs="Arial"/>
                <w:color w:val="0D0D0D"/>
                <w:spacing w:val="-4"/>
                <w:lang w:val="en-GB"/>
              </w:rPr>
              <w:t xml:space="preserve">because the </w:t>
            </w:r>
            <w:r w:rsidR="00A80458" w:rsidRPr="00CB09D5">
              <w:rPr>
                <w:rFonts w:cs="Arial"/>
                <w:color w:val="0D0D0D"/>
                <w:spacing w:val="-4"/>
                <w:lang w:val="en-GB"/>
              </w:rPr>
              <w:t>material deprivation assistance benefits were by one eight lower year-on-</w:t>
            </w:r>
            <w:r w:rsidR="00483BFB" w:rsidRPr="00CB09D5">
              <w:rPr>
                <w:rFonts w:cs="Arial"/>
                <w:color w:val="0D0D0D"/>
                <w:spacing w:val="-4"/>
                <w:lang w:val="en-GB"/>
              </w:rPr>
              <w:t>year (</w:t>
            </w:r>
            <w:r w:rsidR="00DD003B" w:rsidRPr="00CB09D5">
              <w:rPr>
                <w:rFonts w:cs="Arial"/>
                <w:color w:val="0D0D0D"/>
                <w:spacing w:val="-4"/>
                <w:lang w:val="en-GB"/>
              </w:rPr>
              <w:t>even by 18</w:t>
            </w:r>
            <w:r w:rsidR="00D821BF" w:rsidRPr="00CB09D5">
              <w:rPr>
                <w:rFonts w:cs="Arial"/>
                <w:color w:val="0D0D0D"/>
                <w:spacing w:val="-4"/>
                <w:lang w:val="en-GB"/>
              </w:rPr>
              <w:t>% for the two years</w:t>
            </w:r>
            <w:r w:rsidR="008A03DE" w:rsidRPr="00CB09D5">
              <w:rPr>
                <w:rFonts w:cs="Arial"/>
                <w:color w:val="0D0D0D"/>
                <w:spacing w:val="-4"/>
                <w:lang w:val="en-GB"/>
              </w:rPr>
              <w:t xml:space="preserve">). </w:t>
            </w:r>
            <w:r w:rsidR="00CC41BF" w:rsidRPr="00CB09D5">
              <w:rPr>
                <w:lang w:val="en-GB"/>
              </w:rPr>
              <w:t xml:space="preserve">The volume significant benefits of state social support  stagnated </w:t>
            </w:r>
            <w:r w:rsidR="008A03DE" w:rsidRPr="00CB09D5">
              <w:rPr>
                <w:rFonts w:cs="Arial"/>
                <w:color w:val="0D0D0D"/>
                <w:spacing w:val="-4"/>
                <w:lang w:val="en-GB"/>
              </w:rPr>
              <w:t>(</w:t>
            </w:r>
            <w:r w:rsidR="00CC41BF" w:rsidRPr="00CB09D5">
              <w:rPr>
                <w:rFonts w:cs="Arial"/>
                <w:color w:val="0D0D0D"/>
                <w:spacing w:val="-4"/>
                <w:lang w:val="en-GB"/>
              </w:rPr>
              <w:t>around 37.5 bn, already third year in a row</w:t>
            </w:r>
            <w:r w:rsidR="008A03DE" w:rsidRPr="00CB09D5">
              <w:rPr>
                <w:rFonts w:cs="Arial"/>
                <w:color w:val="0D0D0D"/>
                <w:spacing w:val="-4"/>
                <w:lang w:val="en-GB"/>
              </w:rPr>
              <w:t xml:space="preserve">), </w:t>
            </w:r>
            <w:r w:rsidR="00CC41BF" w:rsidRPr="00CB09D5">
              <w:rPr>
                <w:rFonts w:cs="Arial"/>
                <w:color w:val="0D0D0D"/>
                <w:spacing w:val="-4"/>
                <w:lang w:val="en-GB"/>
              </w:rPr>
              <w:t xml:space="preserve">when the lower volume of paid out </w:t>
            </w:r>
            <w:r w:rsidR="00590FCF" w:rsidRPr="00CB09D5">
              <w:rPr>
                <w:rFonts w:cs="Arial"/>
                <w:color w:val="0D0D0D"/>
                <w:spacing w:val="-4"/>
                <w:lang w:val="en-GB"/>
              </w:rPr>
              <w:t xml:space="preserve">child benefits </w:t>
            </w:r>
            <w:r w:rsidR="00483BFB" w:rsidRPr="00CB09D5">
              <w:rPr>
                <w:rFonts w:cs="Arial"/>
                <w:color w:val="0D0D0D"/>
                <w:spacing w:val="-4"/>
                <w:lang w:val="en-GB"/>
              </w:rPr>
              <w:t xml:space="preserve">was compensated by slightly </w:t>
            </w:r>
            <w:r w:rsidR="007A186E" w:rsidRPr="00CB09D5">
              <w:rPr>
                <w:rFonts w:cs="Arial"/>
                <w:color w:val="0D0D0D"/>
                <w:spacing w:val="-4"/>
                <w:lang w:val="en-GB"/>
              </w:rPr>
              <w:t xml:space="preserve">higher housing benefits, parental benefits </w:t>
            </w:r>
            <w:r w:rsidR="00483BFB" w:rsidRPr="00CB09D5">
              <w:rPr>
                <w:rFonts w:cs="Arial"/>
                <w:color w:val="0D0D0D"/>
                <w:spacing w:val="-4"/>
                <w:lang w:val="en-GB"/>
              </w:rPr>
              <w:t xml:space="preserve">as well as the foster care benefits. Despite </w:t>
            </w:r>
            <w:r w:rsidR="000A7C02">
              <w:rPr>
                <w:rFonts w:cs="Arial"/>
                <w:color w:val="0D0D0D"/>
                <w:spacing w:val="-4"/>
                <w:lang w:val="en-GB"/>
              </w:rPr>
              <w:t xml:space="preserve">significant </w:t>
            </w:r>
            <w:r w:rsidR="00483BFB" w:rsidRPr="00CB09D5">
              <w:rPr>
                <w:rFonts w:cs="Arial"/>
                <w:color w:val="0D0D0D"/>
                <w:spacing w:val="-4"/>
                <w:lang w:val="en-GB"/>
              </w:rPr>
              <w:t xml:space="preserve">improvement on the labour market and also the decrease of the number of registered job applicants </w:t>
            </w:r>
            <w:r w:rsidR="008A03DE" w:rsidRPr="00CB09D5">
              <w:rPr>
                <w:rFonts w:cs="Arial"/>
                <w:color w:val="0D0D0D"/>
                <w:spacing w:val="-4"/>
                <w:lang w:val="en-GB"/>
              </w:rPr>
              <w:t>(</w:t>
            </w:r>
            <w:r w:rsidR="00483BFB" w:rsidRPr="00CB09D5">
              <w:rPr>
                <w:rFonts w:cs="Arial"/>
                <w:color w:val="0D0D0D"/>
                <w:spacing w:val="-4"/>
                <w:lang w:val="en-GB"/>
              </w:rPr>
              <w:t>by 72 thousand at the end of December year-on-year</w:t>
            </w:r>
            <w:r w:rsidR="008A03DE" w:rsidRPr="00CB09D5">
              <w:rPr>
                <w:rFonts w:cs="Arial"/>
                <w:color w:val="0D0D0D"/>
                <w:spacing w:val="-4"/>
                <w:lang w:val="en-GB"/>
              </w:rPr>
              <w:t>)</w:t>
            </w:r>
            <w:r w:rsidR="00483BFB" w:rsidRPr="00CB09D5">
              <w:rPr>
                <w:rFonts w:cs="Arial"/>
                <w:color w:val="0D0D0D"/>
                <w:spacing w:val="-4"/>
                <w:lang w:val="en-GB"/>
              </w:rPr>
              <w:t>, the volume of the</w:t>
            </w:r>
            <w:r w:rsidR="000A7C02">
              <w:rPr>
                <w:rFonts w:cs="Arial"/>
                <w:color w:val="0D0D0D"/>
                <w:spacing w:val="-4"/>
                <w:lang w:val="en-GB"/>
              </w:rPr>
              <w:t xml:space="preserve"> unemployment</w:t>
            </w:r>
            <w:r w:rsidR="00DD003B" w:rsidRPr="00CB09D5">
              <w:rPr>
                <w:rFonts w:cs="Arial"/>
                <w:color w:val="0D0D0D"/>
                <w:spacing w:val="-4"/>
                <w:lang w:val="en-GB"/>
              </w:rPr>
              <w:t xml:space="preserve"> benefits reduced only by 0.7</w:t>
            </w:r>
            <w:r w:rsidR="00483BFB" w:rsidRPr="00CB09D5">
              <w:rPr>
                <w:rFonts w:cs="Arial"/>
                <w:color w:val="0D0D0D"/>
                <w:spacing w:val="-4"/>
                <w:lang w:val="en-GB"/>
              </w:rPr>
              <w:t>% last year (</w:t>
            </w:r>
            <w:r w:rsidR="000A7C02">
              <w:rPr>
                <w:rFonts w:cs="Arial"/>
                <w:color w:val="0D0D0D"/>
                <w:spacing w:val="-4"/>
                <w:lang w:val="en-GB"/>
              </w:rPr>
              <w:t>number</w:t>
            </w:r>
            <w:r w:rsidR="00483BFB" w:rsidRPr="00CB09D5">
              <w:rPr>
                <w:rFonts w:cs="Arial"/>
                <w:color w:val="0D0D0D"/>
                <w:spacing w:val="-4"/>
                <w:lang w:val="en-GB"/>
              </w:rPr>
              <w:t xml:space="preserve"> of persons with the right to claim support fell only by 5.3 thousand at the same time</w:t>
            </w:r>
            <w:r w:rsidR="008A03DE" w:rsidRPr="00CB09D5">
              <w:rPr>
                <w:rFonts w:cs="Arial"/>
                <w:color w:val="0D0D0D"/>
                <w:spacing w:val="-4"/>
                <w:lang w:val="en-GB"/>
              </w:rPr>
              <w:t>).</w:t>
            </w:r>
          </w:p>
          <w:p w:rsidR="008A03DE" w:rsidRPr="00CB09D5" w:rsidRDefault="008A03DE" w:rsidP="008A03DE">
            <w:pPr>
              <w:pStyle w:val="Textpoznpodarou"/>
              <w:jc w:val="both"/>
              <w:rPr>
                <w:rFonts w:cs="Arial"/>
                <w:color w:val="0D0D0D"/>
                <w:spacing w:val="-4"/>
                <w:sz w:val="15"/>
                <w:szCs w:val="15"/>
                <w:lang w:val="en-GB"/>
              </w:rPr>
            </w:pPr>
          </w:p>
        </w:tc>
      </w:tr>
      <w:tr w:rsidR="008A03DE" w:rsidRPr="00CB09D5" w:rsidTr="008A03DE">
        <w:tc>
          <w:tcPr>
            <w:tcW w:w="1054" w:type="pct"/>
          </w:tcPr>
          <w:p w:rsidR="008A03DE" w:rsidRPr="00CB09D5" w:rsidRDefault="00EA2F06"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Lower drawing of </w:t>
            </w:r>
            <w:r w:rsidR="00F36598" w:rsidRPr="00CB09D5">
              <w:rPr>
                <w:rFonts w:cs="Arial"/>
                <w:bCs/>
                <w:iCs/>
                <w:color w:val="0D0D0D"/>
                <w:sz w:val="16"/>
                <w:szCs w:val="16"/>
                <w:lang w:val="en-GB"/>
              </w:rPr>
              <w:t xml:space="preserve">expenditure on non-investment purchases and </w:t>
            </w:r>
            <w:r w:rsidR="00E64CFB" w:rsidRPr="00CB09D5">
              <w:rPr>
                <w:rFonts w:cs="Arial"/>
                <w:bCs/>
                <w:iCs/>
                <w:color w:val="0D0D0D"/>
                <w:sz w:val="16"/>
                <w:szCs w:val="16"/>
                <w:lang w:val="en-GB"/>
              </w:rPr>
              <w:t>further</w:t>
            </w:r>
            <w:r w:rsidR="00F36598" w:rsidRPr="00CB09D5">
              <w:rPr>
                <w:rFonts w:cs="Arial"/>
                <w:bCs/>
                <w:iCs/>
                <w:color w:val="0D0D0D"/>
                <w:sz w:val="16"/>
                <w:szCs w:val="16"/>
                <w:lang w:val="en-GB"/>
              </w:rPr>
              <w:t xml:space="preserve"> reduction of net expenditure on state debt</w:t>
            </w:r>
            <w:r w:rsidR="008A03DE" w:rsidRPr="00CB09D5">
              <w:rPr>
                <w:rFonts w:cs="Arial"/>
                <w:bCs/>
                <w:iCs/>
                <w:color w:val="0D0D0D"/>
                <w:sz w:val="16"/>
                <w:szCs w:val="16"/>
                <w:lang w:val="en-GB"/>
              </w:rPr>
              <w:t>.</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F36598" w:rsidP="008A03DE">
            <w:pPr>
              <w:pStyle w:val="Textpoznpodarou"/>
              <w:jc w:val="both"/>
              <w:rPr>
                <w:rFonts w:cs="Arial"/>
                <w:color w:val="0D0D0D"/>
                <w:spacing w:val="-4"/>
                <w:lang w:val="en-GB"/>
              </w:rPr>
            </w:pPr>
            <w:r w:rsidRPr="00CB09D5">
              <w:rPr>
                <w:rFonts w:cs="Arial"/>
                <w:color w:val="0D0D0D"/>
                <w:spacing w:val="-4"/>
                <w:lang w:val="en-GB"/>
              </w:rPr>
              <w:t xml:space="preserve">Expenditure on wages of state employees similarly to the non-investment transfers to the regional budgets significant in volume </w:t>
            </w:r>
            <w:r w:rsidR="008A03DE" w:rsidRPr="00CB09D5">
              <w:rPr>
                <w:rFonts w:cs="Arial"/>
                <w:color w:val="0D0D0D"/>
                <w:spacing w:val="-4"/>
                <w:lang w:val="en-GB"/>
              </w:rPr>
              <w:t>(</w:t>
            </w:r>
            <w:r w:rsidRPr="00CB09D5">
              <w:rPr>
                <w:rFonts w:cs="Arial"/>
                <w:color w:val="0D0D0D"/>
                <w:spacing w:val="-4"/>
                <w:lang w:val="en-GB"/>
              </w:rPr>
              <w:t>especially to regional education</w:t>
            </w:r>
            <w:r w:rsidR="008A03DE" w:rsidRPr="00CB09D5">
              <w:rPr>
                <w:rFonts w:cs="Arial"/>
                <w:color w:val="0D0D0D"/>
                <w:spacing w:val="-4"/>
                <w:lang w:val="en-GB"/>
              </w:rPr>
              <w:t xml:space="preserve">) </w:t>
            </w:r>
            <w:r w:rsidR="00DD003B" w:rsidRPr="00CB09D5">
              <w:rPr>
                <w:rFonts w:cs="Arial"/>
                <w:color w:val="0D0D0D"/>
                <w:spacing w:val="-4"/>
                <w:lang w:val="en-GB"/>
              </w:rPr>
              <w:t>increased by 5</w:t>
            </w:r>
            <w:r w:rsidRPr="00CB09D5">
              <w:rPr>
                <w:rFonts w:cs="Arial"/>
                <w:color w:val="0D0D0D"/>
                <w:spacing w:val="-4"/>
                <w:lang w:val="en-GB"/>
              </w:rPr>
              <w:t xml:space="preserve">% in </w:t>
            </w:r>
            <w:r w:rsidR="008A03DE" w:rsidRPr="00CB09D5">
              <w:rPr>
                <w:rFonts w:cs="Arial"/>
                <w:color w:val="0D0D0D"/>
                <w:spacing w:val="-4"/>
                <w:lang w:val="en-GB"/>
              </w:rPr>
              <w:t>2016</w:t>
            </w:r>
            <w:r w:rsidRPr="00CB09D5">
              <w:rPr>
                <w:rFonts w:cs="Arial"/>
                <w:color w:val="0D0D0D"/>
                <w:spacing w:val="-4"/>
                <w:lang w:val="en-GB"/>
              </w:rPr>
              <w:t>,</w:t>
            </w:r>
            <w:r w:rsidR="008A03DE" w:rsidRPr="00CB09D5">
              <w:rPr>
                <w:rFonts w:cs="Arial"/>
                <w:color w:val="0D0D0D"/>
                <w:spacing w:val="-4"/>
                <w:lang w:val="en-GB"/>
              </w:rPr>
              <w:t xml:space="preserve"> </w:t>
            </w:r>
            <w:r w:rsidR="000541D1" w:rsidRPr="00CB09D5">
              <w:rPr>
                <w:rFonts w:cs="Arial"/>
                <w:color w:val="0D0D0D"/>
                <w:spacing w:val="-4"/>
                <w:lang w:val="en-GB"/>
              </w:rPr>
              <w:t xml:space="preserve">in both cases however it represented lower rates of growth than in the previous year. </w:t>
            </w:r>
            <w:r w:rsidR="00441542" w:rsidRPr="00CB09D5">
              <w:rPr>
                <w:rFonts w:cs="Arial"/>
                <w:color w:val="0D0D0D"/>
                <w:spacing w:val="-4"/>
                <w:lang w:val="en-GB"/>
              </w:rPr>
              <w:t>Budget savings were achieved for non-investment purchases and expenditure on state debt</w:t>
            </w:r>
            <w:r w:rsidR="008A03DE" w:rsidRPr="00CB09D5">
              <w:rPr>
                <w:rFonts w:cs="Arial"/>
                <w:color w:val="0D0D0D"/>
                <w:spacing w:val="-4"/>
                <w:lang w:val="en-GB"/>
              </w:rPr>
              <w:t xml:space="preserve">. </w:t>
            </w:r>
            <w:r w:rsidR="00441542" w:rsidRPr="00CB09D5">
              <w:rPr>
                <w:rFonts w:cs="Arial"/>
                <w:color w:val="0D0D0D"/>
                <w:spacing w:val="-4"/>
                <w:lang w:val="en-GB"/>
              </w:rPr>
              <w:t xml:space="preserve">Net expenditure </w:t>
            </w:r>
            <w:r w:rsidR="000A7C02">
              <w:rPr>
                <w:rFonts w:cs="Arial"/>
                <w:color w:val="0D0D0D"/>
                <w:spacing w:val="-4"/>
                <w:lang w:val="en-GB"/>
              </w:rPr>
              <w:t>on</w:t>
            </w:r>
            <w:r w:rsidR="00441542" w:rsidRPr="00CB09D5">
              <w:rPr>
                <w:rFonts w:cs="Arial"/>
                <w:color w:val="0D0D0D"/>
                <w:spacing w:val="-4"/>
                <w:lang w:val="en-GB"/>
              </w:rPr>
              <w:t xml:space="preserve"> </w:t>
            </w:r>
            <w:r w:rsidR="000A7C02">
              <w:rPr>
                <w:rFonts w:cs="Arial"/>
                <w:color w:val="0D0D0D"/>
                <w:spacing w:val="-4"/>
                <w:lang w:val="en-GB"/>
              </w:rPr>
              <w:t>state</w:t>
            </w:r>
            <w:r w:rsidR="00441542" w:rsidRPr="00CB09D5">
              <w:rPr>
                <w:rFonts w:cs="Arial"/>
                <w:color w:val="0D0D0D"/>
                <w:spacing w:val="-4"/>
                <w:lang w:val="en-GB"/>
              </w:rPr>
              <w:t xml:space="preserve"> debt dropped last year already for </w:t>
            </w:r>
            <w:r w:rsidR="003D15C3" w:rsidRPr="00CB09D5">
              <w:rPr>
                <w:rFonts w:cs="Arial"/>
                <w:color w:val="0D0D0D"/>
                <w:spacing w:val="-4"/>
                <w:lang w:val="en-GB"/>
              </w:rPr>
              <w:t>the</w:t>
            </w:r>
            <w:r w:rsidR="00441542" w:rsidRPr="00CB09D5">
              <w:rPr>
                <w:rFonts w:cs="Arial"/>
                <w:color w:val="0D0D0D"/>
                <w:spacing w:val="-4"/>
                <w:lang w:val="en-GB"/>
              </w:rPr>
              <w:t xml:space="preserve"> third year in a row </w:t>
            </w:r>
            <w:r w:rsidR="008A03DE" w:rsidRPr="00CB09D5">
              <w:rPr>
                <w:rFonts w:cs="Arial"/>
                <w:color w:val="0D0D0D"/>
                <w:spacing w:val="-4"/>
                <w:lang w:val="en-GB"/>
              </w:rPr>
              <w:t>(</w:t>
            </w:r>
            <w:r w:rsidR="00441542" w:rsidRPr="00CB09D5">
              <w:rPr>
                <w:rFonts w:cs="Arial"/>
                <w:color w:val="0D0D0D"/>
                <w:spacing w:val="-4"/>
                <w:lang w:val="en-GB"/>
              </w:rPr>
              <w:t xml:space="preserve">to </w:t>
            </w:r>
            <w:r w:rsidR="008A03DE" w:rsidRPr="00CB09D5">
              <w:rPr>
                <w:rFonts w:cs="Arial"/>
                <w:color w:val="0D0D0D"/>
                <w:spacing w:val="-4"/>
                <w:lang w:val="en-GB"/>
              </w:rPr>
              <w:t>40</w:t>
            </w:r>
            <w:r w:rsidR="00441542" w:rsidRPr="00CB09D5">
              <w:rPr>
                <w:rFonts w:cs="Arial"/>
                <w:color w:val="0D0D0D"/>
                <w:spacing w:val="-4"/>
                <w:lang w:val="en-GB"/>
              </w:rPr>
              <w:t>.</w:t>
            </w:r>
            <w:r w:rsidR="008A03DE" w:rsidRPr="00CB09D5">
              <w:rPr>
                <w:rFonts w:cs="Arial"/>
                <w:color w:val="0D0D0D"/>
                <w:spacing w:val="-4"/>
                <w:lang w:val="en-GB"/>
              </w:rPr>
              <w:t xml:space="preserve">7 </w:t>
            </w:r>
            <w:r w:rsidR="00C4216C" w:rsidRPr="00CB09D5">
              <w:rPr>
                <w:rFonts w:cs="Arial"/>
                <w:color w:val="0D0D0D"/>
                <w:spacing w:val="-4"/>
                <w:lang w:val="en-GB"/>
              </w:rPr>
              <w:t>CZK bn</w:t>
            </w:r>
            <w:r w:rsidR="008A03DE" w:rsidRPr="00CB09D5">
              <w:rPr>
                <w:rFonts w:cs="Arial"/>
                <w:color w:val="0D0D0D"/>
                <w:spacing w:val="-4"/>
                <w:lang w:val="en-GB"/>
              </w:rPr>
              <w:t xml:space="preserve">). </w:t>
            </w:r>
            <w:r w:rsidR="00550ACF" w:rsidRPr="00CB09D5">
              <w:rPr>
                <w:rFonts w:cs="Arial"/>
                <w:color w:val="0D0D0D"/>
                <w:spacing w:val="-4"/>
                <w:lang w:val="en-GB"/>
              </w:rPr>
              <w:t xml:space="preserve">The improving SB balance </w:t>
            </w:r>
            <w:r w:rsidR="008A03DE" w:rsidRPr="00CB09D5">
              <w:rPr>
                <w:rFonts w:cs="Arial"/>
                <w:color w:val="0D0D0D"/>
                <w:spacing w:val="-4"/>
                <w:lang w:val="en-GB"/>
              </w:rPr>
              <w:t>(a</w:t>
            </w:r>
            <w:r w:rsidR="00550ACF" w:rsidRPr="00CB09D5">
              <w:rPr>
                <w:rFonts w:cs="Arial"/>
                <w:color w:val="0D0D0D"/>
                <w:spacing w:val="-4"/>
                <w:lang w:val="en-GB"/>
              </w:rPr>
              <w:t>nd connected lower borrowing need of the state</w:t>
            </w:r>
            <w:r w:rsidR="008A03DE" w:rsidRPr="00CB09D5">
              <w:rPr>
                <w:rFonts w:cs="Arial"/>
                <w:color w:val="0D0D0D"/>
                <w:spacing w:val="-4"/>
                <w:lang w:val="en-GB"/>
              </w:rPr>
              <w:t xml:space="preserve">), </w:t>
            </w:r>
            <w:r w:rsidR="00550ACF" w:rsidRPr="00CB09D5">
              <w:rPr>
                <w:rFonts w:cs="Arial"/>
                <w:color w:val="0D0D0D"/>
                <w:spacing w:val="-4"/>
                <w:lang w:val="en-GB"/>
              </w:rPr>
              <w:t>as well as the favourable conditions on the markets with government bonds both play a role here</w:t>
            </w:r>
            <w:r w:rsidR="008A03DE" w:rsidRPr="00CB09D5">
              <w:rPr>
                <w:rFonts w:cs="Arial"/>
                <w:color w:val="0D0D0D"/>
                <w:spacing w:val="-4"/>
                <w:lang w:val="en-GB"/>
              </w:rPr>
              <w:t xml:space="preserve">. </w:t>
            </w:r>
          </w:p>
          <w:p w:rsidR="008A03DE" w:rsidRPr="00CB09D5" w:rsidRDefault="008A03DE" w:rsidP="008A03DE">
            <w:pPr>
              <w:pStyle w:val="Textpoznpodarou"/>
              <w:jc w:val="both"/>
              <w:rPr>
                <w:rFonts w:cs="Arial"/>
                <w:color w:val="0D0D0D"/>
                <w:spacing w:val="-4"/>
                <w:sz w:val="14"/>
                <w:szCs w:val="14"/>
                <w:lang w:val="en-GB"/>
              </w:rPr>
            </w:pPr>
          </w:p>
        </w:tc>
      </w:tr>
      <w:tr w:rsidR="008A03DE" w:rsidRPr="00CB09D5" w:rsidTr="008A03DE">
        <w:tc>
          <w:tcPr>
            <w:tcW w:w="1054" w:type="pct"/>
          </w:tcPr>
          <w:p w:rsidR="008A03DE" w:rsidRPr="00CB09D5" w:rsidRDefault="003E194E" w:rsidP="008A03DE">
            <w:pPr>
              <w:spacing w:line="240" w:lineRule="auto"/>
              <w:rPr>
                <w:rFonts w:cs="Arial"/>
                <w:bCs/>
                <w:iCs/>
                <w:color w:val="0D0D0D"/>
                <w:sz w:val="16"/>
                <w:szCs w:val="16"/>
                <w:lang w:val="en-GB"/>
              </w:rPr>
            </w:pPr>
            <w:r w:rsidRPr="00CB09D5">
              <w:rPr>
                <w:rFonts w:cs="Arial"/>
                <w:bCs/>
                <w:iCs/>
                <w:color w:val="0D0D0D"/>
                <w:sz w:val="16"/>
                <w:szCs w:val="16"/>
                <w:lang w:val="en-GB"/>
              </w:rPr>
              <w:t xml:space="preserve">Total amount of the state debt lowered after three years of stabilisation in </w:t>
            </w:r>
            <w:r w:rsidR="008D4D5E" w:rsidRPr="00CB09D5">
              <w:rPr>
                <w:rFonts w:cs="Arial"/>
                <w:bCs/>
                <w:iCs/>
                <w:color w:val="0D0D0D"/>
                <w:sz w:val="16"/>
                <w:szCs w:val="16"/>
                <w:lang w:val="en-GB"/>
              </w:rPr>
              <w:t xml:space="preserve">the </w:t>
            </w:r>
            <w:r w:rsidRPr="00CB09D5">
              <w:rPr>
                <w:rFonts w:cs="Arial"/>
                <w:bCs/>
                <w:iCs/>
                <w:color w:val="0D0D0D"/>
                <w:sz w:val="16"/>
                <w:szCs w:val="16"/>
                <w:lang w:val="en-GB"/>
              </w:rPr>
              <w:t xml:space="preserve">year 2016, both the internal and external indebtedness was reduced.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8A03DE" w:rsidRPr="00CB09D5" w:rsidRDefault="00BC1D93" w:rsidP="008A03DE">
            <w:pPr>
              <w:pStyle w:val="Textpoznpodarou"/>
              <w:jc w:val="both"/>
              <w:rPr>
                <w:rFonts w:cs="Arial"/>
                <w:color w:val="0D0D0D"/>
                <w:spacing w:val="-4"/>
                <w:lang w:val="en-GB"/>
              </w:rPr>
            </w:pPr>
            <w:r w:rsidRPr="00CB09D5">
              <w:rPr>
                <w:rFonts w:cs="Arial"/>
                <w:color w:val="0D0D0D"/>
                <w:spacing w:val="-4"/>
                <w:lang w:val="en-GB"/>
              </w:rPr>
              <w:t xml:space="preserve">While the total size of the state debt increased by 21.7 </w:t>
            </w:r>
            <w:r w:rsidR="00C4216C" w:rsidRPr="00CB09D5">
              <w:rPr>
                <w:rFonts w:cs="Arial"/>
                <w:color w:val="0D0D0D"/>
                <w:spacing w:val="-4"/>
                <w:lang w:val="en-GB"/>
              </w:rPr>
              <w:t>CZK bn</w:t>
            </w:r>
            <w:r w:rsidRPr="00CB09D5">
              <w:rPr>
                <w:rFonts w:cs="Arial"/>
                <w:color w:val="0D0D0D"/>
                <w:spacing w:val="-4"/>
                <w:lang w:val="en-GB"/>
              </w:rPr>
              <w:t xml:space="preserve"> during the Q1, the trend turn</w:t>
            </w:r>
            <w:r w:rsidR="00FF1D20" w:rsidRPr="00CB09D5">
              <w:rPr>
                <w:rFonts w:cs="Arial"/>
                <w:color w:val="0D0D0D"/>
                <w:spacing w:val="-4"/>
                <w:lang w:val="en-GB"/>
              </w:rPr>
              <w:t>e</w:t>
            </w:r>
            <w:r w:rsidRPr="00CB09D5">
              <w:rPr>
                <w:rFonts w:cs="Arial"/>
                <w:color w:val="0D0D0D"/>
                <w:spacing w:val="-4"/>
                <w:lang w:val="en-GB"/>
              </w:rPr>
              <w:t>d in the remaining part of the ye</w:t>
            </w:r>
            <w:r w:rsidR="00FF1D20" w:rsidRPr="00CB09D5">
              <w:rPr>
                <w:rFonts w:cs="Arial"/>
                <w:color w:val="0D0D0D"/>
                <w:spacing w:val="-4"/>
                <w:lang w:val="en-GB"/>
              </w:rPr>
              <w:t>a</w:t>
            </w:r>
            <w:r w:rsidR="00DD003B" w:rsidRPr="00CB09D5">
              <w:rPr>
                <w:rFonts w:cs="Arial"/>
                <w:color w:val="0D0D0D"/>
                <w:spacing w:val="-4"/>
                <w:lang w:val="en-GB"/>
              </w:rPr>
              <w:t>r. The debt lowered by 3.6</w:t>
            </w:r>
            <w:r w:rsidRPr="00CB09D5">
              <w:rPr>
                <w:rFonts w:cs="Arial"/>
                <w:color w:val="0D0D0D"/>
                <w:spacing w:val="-4"/>
                <w:lang w:val="en-GB"/>
              </w:rPr>
              <w:t xml:space="preserve">% for the whole last year (to 1613 </w:t>
            </w:r>
            <w:r w:rsidR="00C4216C" w:rsidRPr="00CB09D5">
              <w:rPr>
                <w:rFonts w:cs="Arial"/>
                <w:color w:val="0D0D0D"/>
                <w:spacing w:val="-4"/>
                <w:lang w:val="en-GB"/>
              </w:rPr>
              <w:t>CZK bn</w:t>
            </w:r>
            <w:r w:rsidRPr="00CB09D5">
              <w:rPr>
                <w:rFonts w:cs="Arial"/>
                <w:color w:val="0D0D0D"/>
                <w:spacing w:val="-4"/>
                <w:lang w:val="en-GB"/>
              </w:rPr>
              <w:t xml:space="preserve">), the most since the inception of the independent CR. It </w:t>
            </w:r>
            <w:r w:rsidR="00FF1D20" w:rsidRPr="00CB09D5">
              <w:rPr>
                <w:rFonts w:cs="Arial"/>
                <w:color w:val="0D0D0D"/>
                <w:spacing w:val="-4"/>
                <w:lang w:val="en-GB"/>
              </w:rPr>
              <w:t>mirrored</w:t>
            </w:r>
            <w:r w:rsidRPr="00CB09D5">
              <w:rPr>
                <w:rFonts w:cs="Arial"/>
                <w:color w:val="0D0D0D"/>
                <w:spacing w:val="-4"/>
                <w:lang w:val="en-GB"/>
              </w:rPr>
              <w:t xml:space="preserve"> the reduction of the inner indebtedness (by 45.8 bn)</w:t>
            </w:r>
            <w:proofErr w:type="gramStart"/>
            <w:r w:rsidRPr="00CB09D5">
              <w:rPr>
                <w:rFonts w:cs="Arial"/>
                <w:color w:val="0D0D0D"/>
                <w:spacing w:val="-4"/>
                <w:lang w:val="en-GB"/>
              </w:rPr>
              <w:t>,</w:t>
            </w:r>
            <w:proofErr w:type="gramEnd"/>
            <w:r w:rsidRPr="00CB09D5">
              <w:rPr>
                <w:rFonts w:cs="Arial"/>
                <w:color w:val="0D0D0D"/>
                <w:spacing w:val="-4"/>
                <w:lang w:val="en-GB"/>
              </w:rPr>
              <w:t xml:space="preserve"> however the crown value of the external debt was also lower (by 13.8 bn). T</w:t>
            </w:r>
            <w:r w:rsidR="00DD003B" w:rsidRPr="00CB09D5">
              <w:rPr>
                <w:rFonts w:cs="Arial"/>
                <w:color w:val="0D0D0D"/>
                <w:spacing w:val="-4"/>
                <w:lang w:val="en-GB"/>
              </w:rPr>
              <w:t>he external debt comprised 16.7</w:t>
            </w:r>
            <w:r w:rsidRPr="00CB09D5">
              <w:rPr>
                <w:rFonts w:cs="Arial"/>
                <w:color w:val="0D0D0D"/>
                <w:spacing w:val="-4"/>
                <w:lang w:val="en-GB"/>
              </w:rPr>
              <w:t xml:space="preserve">% of the total debt at the end of the year, which represented </w:t>
            </w:r>
            <w:r w:rsidR="00FF1D20" w:rsidRPr="00CB09D5">
              <w:rPr>
                <w:rFonts w:cs="Arial"/>
                <w:color w:val="0D0D0D"/>
                <w:spacing w:val="-4"/>
                <w:lang w:val="en-GB"/>
              </w:rPr>
              <w:t xml:space="preserve">the lowest proportion since the beginning of </w:t>
            </w:r>
            <w:r w:rsidR="008D4D5E" w:rsidRPr="00CB09D5">
              <w:rPr>
                <w:rFonts w:cs="Arial"/>
                <w:color w:val="0D0D0D"/>
                <w:spacing w:val="-4"/>
                <w:lang w:val="en-GB"/>
              </w:rPr>
              <w:t xml:space="preserve">the </w:t>
            </w:r>
            <w:r w:rsidR="00FF1D20" w:rsidRPr="00CB09D5">
              <w:rPr>
                <w:rFonts w:cs="Arial"/>
                <w:color w:val="0D0D0D"/>
                <w:spacing w:val="-4"/>
                <w:lang w:val="en-GB"/>
              </w:rPr>
              <w:t xml:space="preserve">year </w:t>
            </w:r>
            <w:r w:rsidR="008A03DE" w:rsidRPr="00CB09D5">
              <w:rPr>
                <w:rFonts w:cs="Arial"/>
                <w:color w:val="0D0D0D"/>
                <w:spacing w:val="-4"/>
                <w:lang w:val="en-GB"/>
              </w:rPr>
              <w:t xml:space="preserve">2008. </w:t>
            </w:r>
            <w:r w:rsidR="00753518" w:rsidRPr="00CB09D5">
              <w:rPr>
                <w:rFonts w:cs="Arial"/>
                <w:color w:val="0D0D0D"/>
                <w:spacing w:val="-4"/>
                <w:lang w:val="en-GB"/>
              </w:rPr>
              <w:t xml:space="preserve">Decrease of the total debt was associated with the higher volume of planned </w:t>
            </w:r>
            <w:r w:rsidR="00794216" w:rsidRPr="00CB09D5">
              <w:rPr>
                <w:rFonts w:cs="Arial"/>
                <w:color w:val="0D0D0D"/>
                <w:spacing w:val="-4"/>
                <w:lang w:val="en-GB"/>
              </w:rPr>
              <w:t xml:space="preserve">repayments </w:t>
            </w:r>
            <w:r w:rsidR="00753518" w:rsidRPr="00CB09D5">
              <w:rPr>
                <w:rFonts w:cs="Arial"/>
                <w:color w:val="0D0D0D"/>
                <w:spacing w:val="-4"/>
                <w:lang w:val="en-GB"/>
              </w:rPr>
              <w:t>concentrated into the second half of the year. The falling borrowing need of the state also had a positive effect. The state tried to make use of the negative i</w:t>
            </w:r>
            <w:r w:rsidR="00DD003B" w:rsidRPr="00CB09D5">
              <w:rPr>
                <w:rFonts w:cs="Arial"/>
                <w:color w:val="0D0D0D"/>
                <w:spacing w:val="-4"/>
                <w:lang w:val="en-GB"/>
              </w:rPr>
              <w:t xml:space="preserve">nterest rates in </w:t>
            </w:r>
            <w:r w:rsidR="0064575F" w:rsidRPr="00CB09D5">
              <w:rPr>
                <w:rFonts w:cs="Arial"/>
                <w:color w:val="0D0D0D"/>
                <w:spacing w:val="-4"/>
                <w:lang w:val="en-GB"/>
              </w:rPr>
              <w:t xml:space="preserve">the </w:t>
            </w:r>
            <w:r w:rsidR="00DD003B" w:rsidRPr="00CB09D5">
              <w:rPr>
                <w:rFonts w:cs="Arial"/>
                <w:color w:val="0D0D0D"/>
                <w:spacing w:val="-4"/>
                <w:lang w:val="en-GB"/>
              </w:rPr>
              <w:t>year 2016 – 57</w:t>
            </w:r>
            <w:r w:rsidR="00753518" w:rsidRPr="00CB09D5">
              <w:rPr>
                <w:rFonts w:cs="Arial"/>
                <w:color w:val="0D0D0D"/>
                <w:spacing w:val="-4"/>
                <w:lang w:val="en-GB"/>
              </w:rPr>
              <w:t xml:space="preserve">% of the value of newly issued bonds thus displayed a maturity up to five years and the volume of sales of state bonds with a negative yield reached 145.7 bn. </w:t>
            </w:r>
            <w:r w:rsidR="00414757" w:rsidRPr="00CB09D5">
              <w:rPr>
                <w:rFonts w:cs="Arial"/>
                <w:color w:val="0D0D0D"/>
                <w:spacing w:val="-4"/>
                <w:lang w:val="en-GB"/>
              </w:rPr>
              <w:t xml:space="preserve">The growth of the volume of Czech bonds held by the foreign investors further fastened. It represented already 424 </w:t>
            </w:r>
            <w:r w:rsidR="00C4216C" w:rsidRPr="00CB09D5">
              <w:rPr>
                <w:rFonts w:cs="Arial"/>
                <w:color w:val="0D0D0D"/>
                <w:spacing w:val="-4"/>
                <w:lang w:val="en-GB"/>
              </w:rPr>
              <w:t>CZK bn</w:t>
            </w:r>
            <w:r w:rsidR="00414757" w:rsidRPr="00CB09D5">
              <w:rPr>
                <w:rFonts w:cs="Arial"/>
                <w:color w:val="0D0D0D"/>
                <w:spacing w:val="-4"/>
                <w:lang w:val="en-GB"/>
              </w:rPr>
              <w:t xml:space="preserve"> at the end of December 2</w:t>
            </w:r>
            <w:r w:rsidR="00DD003B" w:rsidRPr="00CB09D5">
              <w:rPr>
                <w:rFonts w:cs="Arial"/>
                <w:color w:val="0D0D0D"/>
                <w:spacing w:val="-4"/>
                <w:lang w:val="en-GB"/>
              </w:rPr>
              <w:t>016, resp. 31.6</w:t>
            </w:r>
            <w:r w:rsidR="00414757" w:rsidRPr="00CB09D5">
              <w:rPr>
                <w:rFonts w:cs="Arial"/>
                <w:color w:val="0D0D0D"/>
                <w:spacing w:val="-4"/>
                <w:lang w:val="en-GB"/>
              </w:rPr>
              <w:t xml:space="preserve">% of the value </w:t>
            </w:r>
            <w:r w:rsidR="00DD003B" w:rsidRPr="00CB09D5">
              <w:rPr>
                <w:rFonts w:cs="Arial"/>
                <w:color w:val="0D0D0D"/>
                <w:spacing w:val="-4"/>
                <w:lang w:val="en-GB"/>
              </w:rPr>
              <w:t>of all crown bonds (it was 14.5</w:t>
            </w:r>
            <w:r w:rsidR="00414757" w:rsidRPr="00CB09D5">
              <w:rPr>
                <w:rFonts w:cs="Arial"/>
                <w:color w:val="0D0D0D"/>
                <w:spacing w:val="-4"/>
                <w:lang w:val="en-GB"/>
              </w:rPr>
              <w:t>% two years ago</w:t>
            </w:r>
            <w:r w:rsidR="008A03DE" w:rsidRPr="00CB09D5">
              <w:rPr>
                <w:rFonts w:cs="Arial"/>
                <w:color w:val="0D0D0D"/>
                <w:spacing w:val="-4"/>
                <w:lang w:val="en-GB"/>
              </w:rPr>
              <w:t>)</w:t>
            </w:r>
            <w:r w:rsidR="008A03DE" w:rsidRPr="00CB09D5">
              <w:rPr>
                <w:rStyle w:val="Znakapoznpodarou"/>
                <w:color w:val="0D0D0D"/>
                <w:spacing w:val="-4"/>
                <w:lang w:val="en-GB"/>
              </w:rPr>
              <w:footnoteReference w:id="38"/>
            </w:r>
            <w:r w:rsidR="008A03DE" w:rsidRPr="00CB09D5">
              <w:rPr>
                <w:rFonts w:cs="Arial"/>
                <w:color w:val="0D0D0D"/>
                <w:spacing w:val="-4"/>
                <w:lang w:val="en-GB"/>
              </w:rPr>
              <w:t>.</w:t>
            </w:r>
          </w:p>
          <w:p w:rsidR="008A03DE" w:rsidRPr="00CB09D5" w:rsidRDefault="008A03DE" w:rsidP="008A03DE">
            <w:pPr>
              <w:pStyle w:val="Textpoznpodarou"/>
              <w:jc w:val="both"/>
              <w:rPr>
                <w:rFonts w:cs="Arial"/>
                <w:color w:val="0D0D0D"/>
                <w:spacing w:val="-4"/>
                <w:sz w:val="6"/>
                <w:szCs w:val="6"/>
                <w:lang w:val="en-GB"/>
              </w:rPr>
            </w:pPr>
          </w:p>
        </w:tc>
      </w:tr>
      <w:tr w:rsidR="008A03DE" w:rsidRPr="00CB09D5" w:rsidTr="008A03DE">
        <w:tc>
          <w:tcPr>
            <w:tcW w:w="1054" w:type="pct"/>
          </w:tcPr>
          <w:p w:rsidR="008A03DE" w:rsidRPr="00CB09D5" w:rsidRDefault="00985767"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Value of debt of the whole sector of government </w:t>
            </w:r>
            <w:r w:rsidR="009B093D" w:rsidRPr="00CB09D5">
              <w:rPr>
                <w:rFonts w:cs="Arial"/>
                <w:bCs/>
                <w:iCs/>
                <w:color w:val="0D0D0D"/>
                <w:spacing w:val="-2"/>
                <w:sz w:val="16"/>
                <w:szCs w:val="16"/>
                <w:lang w:val="en-GB"/>
              </w:rPr>
              <w:t>institutions</w:t>
            </w:r>
            <w:r w:rsidRPr="00CB09D5">
              <w:rPr>
                <w:rFonts w:cs="Arial"/>
                <w:bCs/>
                <w:iCs/>
                <w:color w:val="0D0D0D"/>
                <w:spacing w:val="-2"/>
                <w:sz w:val="16"/>
                <w:szCs w:val="16"/>
                <w:lang w:val="en-GB"/>
              </w:rPr>
              <w:t xml:space="preserve"> lowered quarter-on-quarter already second time in a row, it amounted to 1813 crowns at the end of Q3</w:t>
            </w:r>
            <w:r w:rsidR="000A7C02">
              <w:rPr>
                <w:rFonts w:cs="Arial"/>
                <w:bCs/>
                <w:iCs/>
                <w:color w:val="0D0D0D"/>
                <w:spacing w:val="-2"/>
                <w:sz w:val="16"/>
                <w:szCs w:val="16"/>
                <w:lang w:val="en-GB"/>
              </w:rPr>
              <w:t xml:space="preserve"> 2016</w:t>
            </w: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985767" w:rsidP="008A03DE">
            <w:pPr>
              <w:spacing w:line="240" w:lineRule="auto"/>
              <w:rPr>
                <w:rFonts w:cs="Arial"/>
                <w:bCs/>
                <w:iCs/>
                <w:color w:val="0D0D0D"/>
                <w:spacing w:val="-2"/>
                <w:sz w:val="16"/>
                <w:szCs w:val="16"/>
                <w:lang w:val="en-GB"/>
              </w:rPr>
            </w:pPr>
            <w:r w:rsidRPr="00CB09D5">
              <w:rPr>
                <w:rFonts w:cs="Arial"/>
                <w:bCs/>
                <w:iCs/>
                <w:color w:val="0D0D0D"/>
                <w:spacing w:val="-2"/>
                <w:sz w:val="16"/>
                <w:szCs w:val="16"/>
                <w:lang w:val="en-GB"/>
              </w:rPr>
              <w:t xml:space="preserve">Only three EU states achieved a </w:t>
            </w:r>
            <w:r w:rsidR="009B093D" w:rsidRPr="00CB09D5">
              <w:rPr>
                <w:rFonts w:cs="Arial"/>
                <w:bCs/>
                <w:iCs/>
                <w:color w:val="0D0D0D"/>
                <w:spacing w:val="-2"/>
                <w:sz w:val="16"/>
                <w:szCs w:val="16"/>
                <w:lang w:val="en-GB"/>
              </w:rPr>
              <w:t>notably</w:t>
            </w:r>
            <w:r w:rsidRPr="00CB09D5">
              <w:rPr>
                <w:rFonts w:cs="Arial"/>
                <w:bCs/>
                <w:iCs/>
                <w:color w:val="0D0D0D"/>
                <w:spacing w:val="-2"/>
                <w:sz w:val="16"/>
                <w:szCs w:val="16"/>
                <w:lang w:val="en-GB"/>
              </w:rPr>
              <w:t xml:space="preserve"> lower indebtedness in relation of debt to </w:t>
            </w:r>
            <w:r w:rsidR="00BE4A3B" w:rsidRPr="00CB09D5">
              <w:rPr>
                <w:rFonts w:cs="Arial"/>
                <w:bCs/>
                <w:iCs/>
                <w:color w:val="0D0D0D"/>
                <w:spacing w:val="-2"/>
                <w:sz w:val="16"/>
                <w:szCs w:val="16"/>
                <w:lang w:val="en-GB"/>
              </w:rPr>
              <w:t xml:space="preserve">the </w:t>
            </w:r>
            <w:r w:rsidRPr="00CB09D5">
              <w:rPr>
                <w:rFonts w:cs="Arial"/>
                <w:bCs/>
                <w:iCs/>
                <w:color w:val="0D0D0D"/>
                <w:spacing w:val="-2"/>
                <w:sz w:val="16"/>
                <w:szCs w:val="16"/>
                <w:lang w:val="en-GB"/>
              </w:rPr>
              <w:t xml:space="preserve">GDP than in the CR. </w:t>
            </w: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8A03DE" w:rsidP="008A03DE">
            <w:pPr>
              <w:spacing w:line="240" w:lineRule="auto"/>
              <w:rPr>
                <w:rFonts w:cs="Arial"/>
                <w:bCs/>
                <w:iCs/>
                <w:color w:val="0D0D0D"/>
                <w:spacing w:val="-2"/>
                <w:sz w:val="16"/>
                <w:szCs w:val="16"/>
                <w:lang w:val="en-GB"/>
              </w:rPr>
            </w:pPr>
          </w:p>
          <w:p w:rsidR="008A03DE" w:rsidRPr="00CB09D5" w:rsidRDefault="008A03DE" w:rsidP="008A03DE">
            <w:pPr>
              <w:spacing w:line="240" w:lineRule="auto"/>
              <w:rPr>
                <w:rFonts w:cs="Arial"/>
                <w:bCs/>
                <w:iCs/>
                <w:color w:val="0D0D0D"/>
                <w:spacing w:val="-2"/>
                <w:sz w:val="16"/>
                <w:szCs w:val="16"/>
                <w:lang w:val="en-GB"/>
              </w:rPr>
            </w:pPr>
          </w:p>
          <w:p w:rsidR="008A03DE" w:rsidRDefault="008A03DE" w:rsidP="008A03DE">
            <w:pPr>
              <w:spacing w:line="240" w:lineRule="auto"/>
              <w:rPr>
                <w:rFonts w:cs="Arial"/>
                <w:bCs/>
                <w:iCs/>
                <w:color w:val="0D0D0D"/>
                <w:spacing w:val="-2"/>
                <w:sz w:val="16"/>
                <w:szCs w:val="16"/>
                <w:lang w:val="en-GB"/>
              </w:rPr>
            </w:pPr>
          </w:p>
          <w:p w:rsidR="000A7C02" w:rsidRDefault="000A7C02" w:rsidP="008A03DE">
            <w:pPr>
              <w:spacing w:line="240" w:lineRule="auto"/>
              <w:rPr>
                <w:rFonts w:cs="Arial"/>
                <w:bCs/>
                <w:iCs/>
                <w:color w:val="0D0D0D"/>
                <w:spacing w:val="-2"/>
                <w:sz w:val="16"/>
                <w:szCs w:val="16"/>
                <w:lang w:val="en-GB"/>
              </w:rPr>
            </w:pPr>
          </w:p>
          <w:p w:rsidR="000A7C02" w:rsidRPr="00CB09D5" w:rsidRDefault="000A7C02" w:rsidP="008A03DE">
            <w:pPr>
              <w:spacing w:line="240" w:lineRule="auto"/>
              <w:rPr>
                <w:rFonts w:cs="Arial"/>
                <w:bCs/>
                <w:iCs/>
                <w:color w:val="0D0D0D"/>
                <w:spacing w:val="-2"/>
                <w:sz w:val="16"/>
                <w:szCs w:val="16"/>
                <w:lang w:val="en-GB"/>
              </w:rPr>
            </w:pPr>
          </w:p>
          <w:p w:rsidR="008A03DE" w:rsidRPr="00CB09D5" w:rsidRDefault="00A3041C" w:rsidP="008A03DE">
            <w:pPr>
              <w:spacing w:line="240" w:lineRule="auto"/>
              <w:rPr>
                <w:rFonts w:cs="Arial"/>
                <w:bCs/>
                <w:iCs/>
                <w:color w:val="0D0D0D"/>
                <w:sz w:val="16"/>
                <w:szCs w:val="16"/>
                <w:lang w:val="en-GB"/>
              </w:rPr>
            </w:pPr>
            <w:r w:rsidRPr="00CB09D5">
              <w:rPr>
                <w:rFonts w:cs="Arial"/>
                <w:bCs/>
                <w:iCs/>
                <w:color w:val="0D0D0D"/>
                <w:spacing w:val="-2"/>
                <w:sz w:val="16"/>
                <w:szCs w:val="16"/>
                <w:lang w:val="en-GB"/>
              </w:rPr>
              <w:t xml:space="preserve">All subsectors of government institutions achieved more favourable budget balance for the three last year quarters. </w:t>
            </w:r>
          </w:p>
        </w:tc>
        <w:tc>
          <w:tcPr>
            <w:tcW w:w="142" w:type="pct"/>
          </w:tcPr>
          <w:p w:rsidR="008A03DE" w:rsidRPr="00CB09D5" w:rsidRDefault="008A03DE" w:rsidP="008A03DE">
            <w:pPr>
              <w:pStyle w:val="Textpoznpodarou"/>
              <w:jc w:val="both"/>
              <w:rPr>
                <w:rFonts w:cs="Arial"/>
                <w:color w:val="0D0D0D"/>
                <w:lang w:val="en-GB"/>
              </w:rPr>
            </w:pPr>
          </w:p>
        </w:tc>
        <w:tc>
          <w:tcPr>
            <w:tcW w:w="3804" w:type="pct"/>
          </w:tcPr>
          <w:p w:rsidR="000A7C02" w:rsidRDefault="00E5515D" w:rsidP="008A03DE">
            <w:pPr>
              <w:pStyle w:val="Textpoznpodarou"/>
              <w:jc w:val="both"/>
              <w:rPr>
                <w:color w:val="0D0D0D"/>
                <w:spacing w:val="-4"/>
                <w:lang w:val="en-GB"/>
              </w:rPr>
            </w:pPr>
            <w:r w:rsidRPr="00CB09D5">
              <w:rPr>
                <w:color w:val="0D0D0D"/>
                <w:spacing w:val="-4"/>
                <w:lang w:val="en-GB"/>
              </w:rPr>
              <w:t xml:space="preserve">Consolidated gross debt of the whole sector of </w:t>
            </w:r>
            <w:r w:rsidR="00662E05" w:rsidRPr="00CB09D5">
              <w:rPr>
                <w:color w:val="0D0D0D"/>
                <w:spacing w:val="-4"/>
                <w:lang w:val="en-GB"/>
              </w:rPr>
              <w:t>government</w:t>
            </w:r>
            <w:r w:rsidRPr="00CB09D5">
              <w:rPr>
                <w:color w:val="0D0D0D"/>
                <w:spacing w:val="-4"/>
                <w:lang w:val="en-GB"/>
              </w:rPr>
              <w:t xml:space="preserve"> institutions</w:t>
            </w:r>
            <w:r w:rsidR="008A03DE" w:rsidRPr="00CB09D5">
              <w:rPr>
                <w:rStyle w:val="Znakapoznpodarou"/>
                <w:color w:val="0D0D0D"/>
                <w:spacing w:val="-4"/>
                <w:lang w:val="en-GB"/>
              </w:rPr>
              <w:footnoteReference w:id="39"/>
            </w:r>
            <w:r w:rsidR="008A03DE" w:rsidRPr="00CB09D5">
              <w:rPr>
                <w:color w:val="0D0D0D"/>
                <w:spacing w:val="-4"/>
                <w:lang w:val="en-GB"/>
              </w:rPr>
              <w:t xml:space="preserve"> </w:t>
            </w:r>
            <w:r w:rsidRPr="00CB09D5">
              <w:rPr>
                <w:color w:val="0D0D0D"/>
                <w:spacing w:val="-4"/>
                <w:lang w:val="en-GB"/>
              </w:rPr>
              <w:t xml:space="preserve">reached the size of 1 813 </w:t>
            </w:r>
            <w:r w:rsidR="00C4216C" w:rsidRPr="00CB09D5">
              <w:rPr>
                <w:color w:val="0D0D0D"/>
                <w:spacing w:val="-4"/>
                <w:lang w:val="en-GB"/>
              </w:rPr>
              <w:t>CZK bn</w:t>
            </w:r>
            <w:r w:rsidRPr="00CB09D5">
              <w:rPr>
                <w:color w:val="0D0D0D"/>
                <w:spacing w:val="-4"/>
                <w:lang w:val="en-GB"/>
              </w:rPr>
              <w:t xml:space="preserve"> based on the newest CZSO data at the end of</w:t>
            </w:r>
            <w:r w:rsidR="00DD003B" w:rsidRPr="00CB09D5">
              <w:rPr>
                <w:color w:val="0D0D0D"/>
                <w:spacing w:val="-4"/>
                <w:lang w:val="en-GB"/>
              </w:rPr>
              <w:t xml:space="preserve"> Q3 2016 and it arrived at 38.7</w:t>
            </w:r>
            <w:r w:rsidRPr="00CB09D5">
              <w:rPr>
                <w:color w:val="0D0D0D"/>
                <w:spacing w:val="-4"/>
                <w:lang w:val="en-GB"/>
              </w:rPr>
              <w:t xml:space="preserve">% in relation to </w:t>
            </w:r>
            <w:r w:rsidR="00BE4A3B" w:rsidRPr="00CB09D5">
              <w:rPr>
                <w:color w:val="0D0D0D"/>
                <w:spacing w:val="-4"/>
                <w:lang w:val="en-GB"/>
              </w:rPr>
              <w:t xml:space="preserve">the </w:t>
            </w:r>
            <w:r w:rsidRPr="00CB09D5">
              <w:rPr>
                <w:color w:val="0D0D0D"/>
                <w:spacing w:val="-4"/>
                <w:lang w:val="en-GB"/>
              </w:rPr>
              <w:t xml:space="preserve">GDP (it was by 1.9 </w:t>
            </w:r>
            <w:r w:rsidR="00CE4674">
              <w:rPr>
                <w:color w:val="0D0D0D"/>
                <w:spacing w:val="-4"/>
                <w:lang w:val="en-GB"/>
              </w:rPr>
              <w:t>p.p.</w:t>
            </w:r>
            <w:r w:rsidRPr="00CB09D5">
              <w:rPr>
                <w:color w:val="0D0D0D"/>
                <w:spacing w:val="-4"/>
                <w:lang w:val="en-GB"/>
              </w:rPr>
              <w:t xml:space="preserve"> higher in the same period of the previous year). </w:t>
            </w:r>
            <w:r w:rsidR="00662E05" w:rsidRPr="00CB09D5">
              <w:rPr>
                <w:color w:val="0D0D0D"/>
                <w:spacing w:val="-4"/>
                <w:lang w:val="en-GB"/>
              </w:rPr>
              <w:t xml:space="preserve">The swift growth of the nominal GDP stood behind the year-on-year lowering of the relative level of the debt last year, but the decrease of the absolute size of the debt to a lesser extent as well (by 15.6 </w:t>
            </w:r>
            <w:r w:rsidR="00C4216C" w:rsidRPr="00CB09D5">
              <w:rPr>
                <w:color w:val="0D0D0D"/>
                <w:spacing w:val="-4"/>
                <w:lang w:val="en-GB"/>
              </w:rPr>
              <w:t>CZK bn</w:t>
            </w:r>
            <w:r w:rsidR="00662E05" w:rsidRPr="00CB09D5">
              <w:rPr>
                <w:color w:val="0D0D0D"/>
                <w:spacing w:val="-4"/>
                <w:lang w:val="en-GB"/>
              </w:rPr>
              <w:t xml:space="preserve">). The Czech </w:t>
            </w:r>
            <w:r w:rsidR="00662E05" w:rsidRPr="00CB09D5">
              <w:rPr>
                <w:color w:val="0D0D0D"/>
                <w:spacing w:val="-4"/>
                <w:lang w:val="en-GB"/>
              </w:rPr>
              <w:lastRenderedPageBreak/>
              <w:t xml:space="preserve">Republic was the seventh less indebted EU country last year, only Estonia, Luxembourg and Bulgaria recorded significantly lower relative debt at the end Q3. The indebtedness fell in 17 EU states in comparison to Q3 2015 </w:t>
            </w:r>
            <w:r w:rsidR="00AC3D02" w:rsidRPr="00CB09D5">
              <w:rPr>
                <w:color w:val="0D0D0D"/>
                <w:spacing w:val="-4"/>
                <w:lang w:val="en-GB"/>
              </w:rPr>
              <w:t>(</w:t>
            </w:r>
            <w:r w:rsidR="00662E05" w:rsidRPr="00CB09D5">
              <w:rPr>
                <w:color w:val="0D0D0D"/>
                <w:spacing w:val="-4"/>
                <w:lang w:val="en-GB"/>
              </w:rPr>
              <w:t xml:space="preserve">the most in Ireland from </w:t>
            </w:r>
            <w:r w:rsidR="008A03DE" w:rsidRPr="00CB09D5">
              <w:rPr>
                <w:color w:val="0D0D0D"/>
                <w:spacing w:val="-4"/>
                <w:lang w:val="en-GB"/>
              </w:rPr>
              <w:t>85</w:t>
            </w:r>
            <w:r w:rsidR="00662E05" w:rsidRPr="00CB09D5">
              <w:rPr>
                <w:color w:val="0D0D0D"/>
                <w:spacing w:val="-4"/>
                <w:lang w:val="en-GB"/>
              </w:rPr>
              <w:t>.</w:t>
            </w:r>
            <w:r w:rsidR="00DD003B" w:rsidRPr="00CB09D5">
              <w:rPr>
                <w:color w:val="0D0D0D"/>
                <w:spacing w:val="-4"/>
                <w:lang w:val="en-GB"/>
              </w:rPr>
              <w:t>6</w:t>
            </w:r>
            <w:r w:rsidR="008A03DE" w:rsidRPr="00CB09D5">
              <w:rPr>
                <w:color w:val="0D0D0D"/>
                <w:spacing w:val="-4"/>
                <w:lang w:val="en-GB"/>
              </w:rPr>
              <w:t xml:space="preserve">% </w:t>
            </w:r>
            <w:r w:rsidR="00662E05" w:rsidRPr="00CB09D5">
              <w:rPr>
                <w:color w:val="0D0D0D"/>
                <w:spacing w:val="-4"/>
                <w:lang w:val="en-GB"/>
              </w:rPr>
              <w:t xml:space="preserve">to </w:t>
            </w:r>
            <w:r w:rsidR="008A03DE" w:rsidRPr="00CB09D5">
              <w:rPr>
                <w:color w:val="0D0D0D"/>
                <w:spacing w:val="-4"/>
                <w:lang w:val="en-GB"/>
              </w:rPr>
              <w:t>7</w:t>
            </w:r>
            <w:r w:rsidR="000A7C02">
              <w:rPr>
                <w:color w:val="0D0D0D"/>
                <w:spacing w:val="-4"/>
                <w:lang w:val="en-GB"/>
              </w:rPr>
              <w:t>7</w:t>
            </w:r>
            <w:r w:rsidR="00662E05" w:rsidRPr="00CB09D5">
              <w:rPr>
                <w:color w:val="0D0D0D"/>
                <w:spacing w:val="-4"/>
                <w:lang w:val="en-GB"/>
              </w:rPr>
              <w:t>.</w:t>
            </w:r>
            <w:r w:rsidR="00DD003B" w:rsidRPr="00CB09D5">
              <w:rPr>
                <w:color w:val="0D0D0D"/>
                <w:spacing w:val="-4"/>
                <w:lang w:val="en-GB"/>
              </w:rPr>
              <w:t>1</w:t>
            </w:r>
            <w:r w:rsidR="008A03DE" w:rsidRPr="00CB09D5">
              <w:rPr>
                <w:color w:val="0D0D0D"/>
                <w:spacing w:val="-4"/>
                <w:lang w:val="en-GB"/>
              </w:rPr>
              <w:t xml:space="preserve">% </w:t>
            </w:r>
            <w:r w:rsidR="00662E05" w:rsidRPr="00CB09D5">
              <w:rPr>
                <w:color w:val="0D0D0D"/>
                <w:spacing w:val="-4"/>
                <w:lang w:val="en-GB"/>
              </w:rPr>
              <w:t xml:space="preserve">of </w:t>
            </w:r>
            <w:r w:rsidR="00BE4A3B" w:rsidRPr="00CB09D5">
              <w:rPr>
                <w:color w:val="0D0D0D"/>
                <w:spacing w:val="-4"/>
                <w:lang w:val="en-GB"/>
              </w:rPr>
              <w:t xml:space="preserve">the </w:t>
            </w:r>
            <w:r w:rsidR="00662E05" w:rsidRPr="00CB09D5">
              <w:rPr>
                <w:color w:val="0D0D0D"/>
                <w:spacing w:val="-4"/>
                <w:lang w:val="en-GB"/>
              </w:rPr>
              <w:t>GDP</w:t>
            </w:r>
            <w:r w:rsidR="008A03DE" w:rsidRPr="00CB09D5">
              <w:rPr>
                <w:color w:val="0D0D0D"/>
                <w:spacing w:val="-4"/>
                <w:lang w:val="en-GB"/>
              </w:rPr>
              <w:t xml:space="preserve">). </w:t>
            </w:r>
            <w:r w:rsidR="00662E05" w:rsidRPr="00CB09D5">
              <w:rPr>
                <w:color w:val="0D0D0D"/>
                <w:spacing w:val="-4"/>
                <w:lang w:val="en-GB"/>
              </w:rPr>
              <w:t>From the seven most hit states</w:t>
            </w:r>
            <w:r w:rsidR="008A03DE" w:rsidRPr="00CB09D5">
              <w:rPr>
                <w:rStyle w:val="Znakapoznpodarou"/>
                <w:color w:val="0D0D0D"/>
                <w:spacing w:val="-4"/>
                <w:lang w:val="en-GB"/>
              </w:rPr>
              <w:footnoteReference w:id="40"/>
            </w:r>
            <w:r w:rsidR="008A03DE" w:rsidRPr="00CB09D5">
              <w:rPr>
                <w:color w:val="0D0D0D"/>
                <w:spacing w:val="-4"/>
                <w:lang w:val="en-GB"/>
              </w:rPr>
              <w:t xml:space="preserve"> </w:t>
            </w:r>
            <w:r w:rsidR="00662E05" w:rsidRPr="00CB09D5">
              <w:rPr>
                <w:color w:val="0D0D0D"/>
                <w:spacing w:val="-4"/>
                <w:lang w:val="en-GB"/>
              </w:rPr>
              <w:t>only Italy however managed to reduce its indebtedness</w:t>
            </w:r>
            <w:r w:rsidR="000A7C02">
              <w:rPr>
                <w:color w:val="0D0D0D"/>
                <w:spacing w:val="-4"/>
                <w:lang w:val="en-GB"/>
              </w:rPr>
              <w:t xml:space="preserve"> </w:t>
            </w:r>
            <w:proofErr w:type="gramStart"/>
            <w:r w:rsidR="000A7C02">
              <w:rPr>
                <w:color w:val="0D0D0D"/>
                <w:spacing w:val="-4"/>
                <w:lang w:val="en-GB"/>
              </w:rPr>
              <w:t>(by 1.4 p.p.)</w:t>
            </w:r>
            <w:proofErr w:type="gramEnd"/>
            <w:r w:rsidR="006F0367" w:rsidRPr="00CB09D5">
              <w:rPr>
                <w:color w:val="0D0D0D"/>
                <w:spacing w:val="-4"/>
                <w:lang w:val="en-GB"/>
              </w:rPr>
              <w:t>. Out of the largest EU economies, Germany was the most successful in this respect, when it also thanks to the budget surpluses pushe</w:t>
            </w:r>
            <w:r w:rsidR="00DD003B" w:rsidRPr="00CB09D5">
              <w:rPr>
                <w:color w:val="0D0D0D"/>
                <w:spacing w:val="-4"/>
                <w:lang w:val="en-GB"/>
              </w:rPr>
              <w:t>d the indebtedness below the 70</w:t>
            </w:r>
            <w:r w:rsidR="006F0367" w:rsidRPr="00CB09D5">
              <w:rPr>
                <w:color w:val="0D0D0D"/>
                <w:spacing w:val="-4"/>
                <w:lang w:val="en-GB"/>
              </w:rPr>
              <w:t xml:space="preserve">% boundary </w:t>
            </w:r>
            <w:r w:rsidR="008A03DE" w:rsidRPr="00CB09D5">
              <w:rPr>
                <w:color w:val="0D0D0D"/>
                <w:spacing w:val="-4"/>
                <w:lang w:val="en-GB"/>
              </w:rPr>
              <w:t>(</w:t>
            </w:r>
            <w:r w:rsidR="006F0367" w:rsidRPr="00CB09D5">
              <w:rPr>
                <w:color w:val="0D0D0D"/>
                <w:spacing w:val="-4"/>
                <w:lang w:val="en-GB"/>
              </w:rPr>
              <w:t xml:space="preserve">the lowest since Q1 2009). </w:t>
            </w:r>
          </w:p>
          <w:p w:rsidR="000A7C02" w:rsidRDefault="000A7C02" w:rsidP="008A03DE">
            <w:pPr>
              <w:pStyle w:val="Textpoznpodarou"/>
              <w:jc w:val="both"/>
              <w:rPr>
                <w:color w:val="0D0D0D"/>
                <w:spacing w:val="-4"/>
                <w:lang w:val="en-GB"/>
              </w:rPr>
            </w:pPr>
          </w:p>
          <w:p w:rsidR="008A03DE" w:rsidRPr="00CB09D5" w:rsidRDefault="006F0367" w:rsidP="008A03DE">
            <w:pPr>
              <w:pStyle w:val="Textpoznpodarou"/>
              <w:jc w:val="both"/>
              <w:rPr>
                <w:color w:val="0D0D0D"/>
                <w:spacing w:val="-4"/>
                <w:lang w:val="en-GB"/>
              </w:rPr>
            </w:pPr>
            <w:r w:rsidRPr="00CB09D5">
              <w:rPr>
                <w:color w:val="0D0D0D"/>
                <w:spacing w:val="-4"/>
                <w:lang w:val="en-GB"/>
              </w:rPr>
              <w:t xml:space="preserve">Budget of the government institutions ended in the positive balance in the amount of 41.3 </w:t>
            </w:r>
            <w:r w:rsidR="00C4216C" w:rsidRPr="00CB09D5">
              <w:rPr>
                <w:color w:val="0D0D0D"/>
                <w:spacing w:val="-4"/>
                <w:lang w:val="en-GB"/>
              </w:rPr>
              <w:t>CZK bn</w:t>
            </w:r>
            <w:r w:rsidRPr="00CB09D5">
              <w:rPr>
                <w:color w:val="0D0D0D"/>
                <w:spacing w:val="-4"/>
                <w:lang w:val="en-GB"/>
              </w:rPr>
              <w:t xml:space="preserve"> in the CR for Q1 to Q3 2016 </w:t>
            </w:r>
            <w:r w:rsidR="008A03DE" w:rsidRPr="00CB09D5">
              <w:rPr>
                <w:color w:val="0D0D0D"/>
                <w:spacing w:val="-4"/>
                <w:lang w:val="en-GB"/>
              </w:rPr>
              <w:t>(</w:t>
            </w:r>
            <w:r w:rsidRPr="00CB09D5">
              <w:rPr>
                <w:color w:val="0D0D0D"/>
                <w:spacing w:val="-4"/>
                <w:lang w:val="en-GB"/>
              </w:rPr>
              <w:t>in the accrual expression</w:t>
            </w:r>
            <w:r w:rsidR="008A03DE" w:rsidRPr="00CB09D5">
              <w:rPr>
                <w:color w:val="0D0D0D"/>
                <w:spacing w:val="-4"/>
                <w:lang w:val="en-GB"/>
              </w:rPr>
              <w:t>)</w:t>
            </w:r>
            <w:r w:rsidR="008A03DE" w:rsidRPr="00CB09D5">
              <w:rPr>
                <w:rStyle w:val="Znakapoznpodarou"/>
                <w:color w:val="0D0D0D"/>
                <w:spacing w:val="-4"/>
                <w:lang w:val="en-GB"/>
              </w:rPr>
              <w:footnoteReference w:id="41"/>
            </w:r>
            <w:r w:rsidRPr="00CB09D5">
              <w:rPr>
                <w:color w:val="0D0D0D"/>
                <w:spacing w:val="-4"/>
                <w:lang w:val="en-GB"/>
              </w:rPr>
              <w:t xml:space="preserve">. </w:t>
            </w:r>
            <w:r w:rsidR="003C7928" w:rsidRPr="00CB09D5">
              <w:rPr>
                <w:color w:val="0D0D0D"/>
                <w:spacing w:val="-4"/>
                <w:lang w:val="en-GB"/>
              </w:rPr>
              <w:t>Especially the l</w:t>
            </w:r>
            <w:r w:rsidR="00D25411" w:rsidRPr="00CB09D5">
              <w:rPr>
                <w:color w:val="0D0D0D"/>
                <w:spacing w:val="-4"/>
                <w:lang w:val="en-GB"/>
              </w:rPr>
              <w:t>ocal gove</w:t>
            </w:r>
            <w:r w:rsidR="003C7928" w:rsidRPr="00CB09D5">
              <w:rPr>
                <w:color w:val="0D0D0D"/>
                <w:spacing w:val="-4"/>
                <w:lang w:val="en-GB"/>
              </w:rPr>
              <w:t xml:space="preserve">rnment institutions contributed to the more favourable result year-on-year (by 38.4 bn), their high surplus </w:t>
            </w:r>
            <w:r w:rsidR="008A03DE" w:rsidRPr="00CB09D5">
              <w:rPr>
                <w:color w:val="0D0D0D"/>
                <w:spacing w:val="-4"/>
                <w:lang w:val="en-GB"/>
              </w:rPr>
              <w:t>(51</w:t>
            </w:r>
            <w:r w:rsidR="003C7928" w:rsidRPr="00CB09D5">
              <w:rPr>
                <w:color w:val="0D0D0D"/>
                <w:spacing w:val="-4"/>
                <w:lang w:val="en-GB"/>
              </w:rPr>
              <w:t>.</w:t>
            </w:r>
            <w:r w:rsidR="008A03DE" w:rsidRPr="00CB09D5">
              <w:rPr>
                <w:color w:val="0D0D0D"/>
                <w:spacing w:val="-4"/>
                <w:lang w:val="en-GB"/>
              </w:rPr>
              <w:t xml:space="preserve">8 </w:t>
            </w:r>
            <w:r w:rsidR="003C7928" w:rsidRPr="00CB09D5">
              <w:rPr>
                <w:color w:val="0D0D0D"/>
                <w:spacing w:val="-4"/>
                <w:lang w:val="en-GB"/>
              </w:rPr>
              <w:t>bn</w:t>
            </w:r>
            <w:r w:rsidR="008A03DE" w:rsidRPr="00CB09D5">
              <w:rPr>
                <w:color w:val="0D0D0D"/>
                <w:spacing w:val="-4"/>
                <w:lang w:val="en-GB"/>
              </w:rPr>
              <w:t xml:space="preserve">) </w:t>
            </w:r>
            <w:r w:rsidR="003C7928" w:rsidRPr="00CB09D5">
              <w:rPr>
                <w:color w:val="0D0D0D"/>
                <w:spacing w:val="-4"/>
                <w:lang w:val="en-GB"/>
              </w:rPr>
              <w:t xml:space="preserve">was mainly connected with the restriction of the investment activity. </w:t>
            </w:r>
            <w:r w:rsidR="004F15E5" w:rsidRPr="00CB09D5">
              <w:rPr>
                <w:color w:val="0D0D0D"/>
                <w:spacing w:val="-4"/>
                <w:lang w:val="en-GB"/>
              </w:rPr>
              <w:t xml:space="preserve">Deficit of the central government institutions reduced by nearly one half year-on-year (to 17 bn), health insurance companies achieved a more favourable budget result as well. </w:t>
            </w:r>
          </w:p>
        </w:tc>
      </w:tr>
    </w:tbl>
    <w:p w:rsidR="008A03DE" w:rsidRPr="00CB09D5" w:rsidRDefault="008A03DE" w:rsidP="008A03DE">
      <w:pPr>
        <w:pStyle w:val="Textpoznpodarou"/>
        <w:jc w:val="both"/>
        <w:rPr>
          <w:rFonts w:cs="Arial"/>
          <w:color w:val="000000"/>
          <w:spacing w:val="-2"/>
          <w:sz w:val="10"/>
          <w:szCs w:val="10"/>
          <w:lang w:val="en-GB"/>
        </w:rPr>
      </w:pPr>
    </w:p>
    <w:tbl>
      <w:tblPr>
        <w:tblW w:w="4986" w:type="pct"/>
        <w:tblCellMar>
          <w:left w:w="28" w:type="dxa"/>
          <w:right w:w="28" w:type="dxa"/>
        </w:tblCellMar>
        <w:tblLook w:val="04A0"/>
      </w:tblPr>
      <w:tblGrid>
        <w:gridCol w:w="594"/>
        <w:gridCol w:w="4289"/>
        <w:gridCol w:w="708"/>
        <w:gridCol w:w="4103"/>
      </w:tblGrid>
      <w:tr w:rsidR="006B2F6D" w:rsidRPr="00CB09D5" w:rsidTr="008A03DE">
        <w:tc>
          <w:tcPr>
            <w:tcW w:w="305" w:type="pct"/>
          </w:tcPr>
          <w:p w:rsidR="008A03DE" w:rsidRPr="00CB09D5" w:rsidRDefault="008A03DE" w:rsidP="001B2B24">
            <w:pPr>
              <w:spacing w:line="240" w:lineRule="auto"/>
              <w:rPr>
                <w:lang w:val="en-GB"/>
              </w:rPr>
            </w:pPr>
            <w:r w:rsidRPr="00CB09D5">
              <w:rPr>
                <w:sz w:val="14"/>
                <w:szCs w:val="14"/>
                <w:lang w:val="en-GB"/>
              </w:rPr>
              <w:br w:type="page"/>
            </w:r>
            <w:r w:rsidR="001B2B24" w:rsidRPr="00CB09D5">
              <w:rPr>
                <w:lang w:val="en-GB"/>
              </w:rPr>
              <w:t xml:space="preserve">Chart </w:t>
            </w:r>
            <w:r w:rsidRPr="00CB09D5">
              <w:rPr>
                <w:lang w:val="en-GB"/>
              </w:rPr>
              <w:t>19</w:t>
            </w:r>
          </w:p>
        </w:tc>
        <w:tc>
          <w:tcPr>
            <w:tcW w:w="2203" w:type="pct"/>
          </w:tcPr>
          <w:p w:rsidR="008A03DE" w:rsidRPr="00CB09D5" w:rsidRDefault="001B2B24" w:rsidP="001B2B24">
            <w:pPr>
              <w:spacing w:line="240" w:lineRule="auto"/>
              <w:rPr>
                <w:rFonts w:cs="Arial"/>
                <w:b/>
                <w:bCs/>
                <w:lang w:val="en-GB"/>
              </w:rPr>
            </w:pPr>
            <w:r w:rsidRPr="00CB09D5">
              <w:rPr>
                <w:rFonts w:cs="Arial"/>
                <w:b/>
                <w:bCs/>
                <w:lang w:val="en-GB"/>
              </w:rPr>
              <w:t xml:space="preserve">State wide collection of tax income </w:t>
            </w:r>
            <w:r w:rsidR="008A03DE" w:rsidRPr="00CB09D5">
              <w:rPr>
                <w:rFonts w:cs="Arial"/>
                <w:bCs/>
                <w:lang w:val="en-GB"/>
              </w:rPr>
              <w:t xml:space="preserve">(y/y </w:t>
            </w:r>
            <w:r w:rsidRPr="00CB09D5">
              <w:rPr>
                <w:rFonts w:cs="Arial"/>
                <w:bCs/>
                <w:lang w:val="en-GB"/>
              </w:rPr>
              <w:t>in</w:t>
            </w:r>
            <w:r w:rsidR="008A03DE" w:rsidRPr="00CB09D5">
              <w:rPr>
                <w:rFonts w:cs="Arial"/>
                <w:bCs/>
                <w:lang w:val="en-GB"/>
              </w:rPr>
              <w:t xml:space="preserve"> %) </w:t>
            </w:r>
            <w:r w:rsidR="008A03DE" w:rsidRPr="00CB09D5">
              <w:rPr>
                <w:rFonts w:cs="Arial"/>
                <w:b/>
                <w:bCs/>
                <w:lang w:val="en-GB"/>
              </w:rPr>
              <w:t>a</w:t>
            </w:r>
            <w:r w:rsidRPr="00CB09D5">
              <w:rPr>
                <w:rFonts w:cs="Arial"/>
                <w:b/>
                <w:bCs/>
                <w:lang w:val="en-GB"/>
              </w:rPr>
              <w:t xml:space="preserve">nd state budget balance </w:t>
            </w:r>
            <w:r w:rsidR="008A03DE" w:rsidRPr="00CB09D5">
              <w:rPr>
                <w:rFonts w:cs="Arial"/>
                <w:bCs/>
                <w:lang w:val="en-GB"/>
              </w:rPr>
              <w:t>(</w:t>
            </w:r>
            <w:r w:rsidRPr="00CB09D5">
              <w:rPr>
                <w:rFonts w:cs="Arial"/>
                <w:bCs/>
                <w:lang w:val="en-GB"/>
              </w:rPr>
              <w:t xml:space="preserve">in </w:t>
            </w:r>
            <w:r w:rsidR="006D0366" w:rsidRPr="00CB09D5">
              <w:rPr>
                <w:rFonts w:cs="Arial"/>
                <w:bCs/>
                <w:lang w:val="en-GB"/>
              </w:rPr>
              <w:t xml:space="preserve">CZK </w:t>
            </w:r>
            <w:r w:rsidRPr="00CB09D5">
              <w:rPr>
                <w:rFonts w:cs="Arial"/>
                <w:bCs/>
                <w:lang w:val="en-GB"/>
              </w:rPr>
              <w:t>bn</w:t>
            </w:r>
            <w:r w:rsidR="008A03DE" w:rsidRPr="00CB09D5">
              <w:rPr>
                <w:rFonts w:cs="Arial"/>
                <w:bCs/>
                <w:lang w:val="en-GB"/>
              </w:rPr>
              <w:t>)</w:t>
            </w:r>
          </w:p>
        </w:tc>
        <w:tc>
          <w:tcPr>
            <w:tcW w:w="366" w:type="pct"/>
          </w:tcPr>
          <w:p w:rsidR="008A03DE" w:rsidRPr="00CB09D5" w:rsidRDefault="006B2F6D" w:rsidP="006B2F6D">
            <w:pPr>
              <w:spacing w:line="240" w:lineRule="auto"/>
              <w:rPr>
                <w:lang w:val="en-GB"/>
              </w:rPr>
            </w:pPr>
            <w:r w:rsidRPr="00CB09D5">
              <w:rPr>
                <w:lang w:val="en-GB"/>
              </w:rPr>
              <w:t xml:space="preserve">Chart  </w:t>
            </w:r>
            <w:r w:rsidR="008A03DE" w:rsidRPr="00CB09D5">
              <w:rPr>
                <w:lang w:val="en-GB"/>
              </w:rPr>
              <w:t>20</w:t>
            </w:r>
          </w:p>
        </w:tc>
        <w:tc>
          <w:tcPr>
            <w:tcW w:w="2126" w:type="pct"/>
          </w:tcPr>
          <w:p w:rsidR="008A03DE" w:rsidRPr="00CB09D5" w:rsidRDefault="006B2F6D" w:rsidP="006B2F6D">
            <w:pPr>
              <w:spacing w:line="240" w:lineRule="auto"/>
              <w:rPr>
                <w:rFonts w:cs="Arial"/>
                <w:b/>
                <w:bCs/>
                <w:spacing w:val="-2"/>
                <w:lang w:val="en-GB"/>
              </w:rPr>
            </w:pPr>
            <w:r w:rsidRPr="00CB09D5">
              <w:rPr>
                <w:rFonts w:cs="Arial"/>
                <w:b/>
                <w:bCs/>
                <w:lang w:val="en-GB"/>
              </w:rPr>
              <w:t>Selected state budget expenditure</w:t>
            </w:r>
            <w:r w:rsidR="003F7F67" w:rsidRPr="00CB09D5">
              <w:rPr>
                <w:rFonts w:cs="Arial"/>
                <w:b/>
                <w:bCs/>
                <w:lang w:val="en-GB"/>
              </w:rPr>
              <w:t>s</w:t>
            </w:r>
            <w:r w:rsidRPr="00CB09D5">
              <w:rPr>
                <w:rFonts w:cs="Arial"/>
                <w:b/>
                <w:bCs/>
                <w:lang w:val="en-GB"/>
              </w:rPr>
              <w:t xml:space="preserve"> </w:t>
            </w:r>
            <w:r w:rsidR="008A03DE" w:rsidRPr="00CB09D5">
              <w:rPr>
                <w:rFonts w:cs="Arial"/>
                <w:bCs/>
                <w:lang w:val="en-GB"/>
              </w:rPr>
              <w:t>(</w:t>
            </w:r>
            <w:r w:rsidRPr="00CB09D5">
              <w:rPr>
                <w:rFonts w:cs="Arial"/>
                <w:bCs/>
                <w:lang w:val="en-GB"/>
              </w:rPr>
              <w:t xml:space="preserve">in </w:t>
            </w:r>
            <w:r w:rsidR="003F7F67" w:rsidRPr="00CB09D5">
              <w:rPr>
                <w:rFonts w:cs="Arial"/>
                <w:bCs/>
                <w:lang w:val="en-GB"/>
              </w:rPr>
              <w:t xml:space="preserve">CZK </w:t>
            </w:r>
            <w:r w:rsidRPr="00CB09D5">
              <w:rPr>
                <w:rFonts w:cs="Arial"/>
                <w:bCs/>
                <w:lang w:val="en-GB"/>
              </w:rPr>
              <w:t>bn</w:t>
            </w:r>
            <w:r w:rsidR="008A03DE" w:rsidRPr="00CB09D5">
              <w:rPr>
                <w:rFonts w:cs="Arial"/>
                <w:bCs/>
                <w:lang w:val="en-GB"/>
              </w:rPr>
              <w:t>)</w:t>
            </w:r>
          </w:p>
        </w:tc>
      </w:tr>
      <w:tr w:rsidR="008A03DE" w:rsidRPr="00CB09D5" w:rsidTr="008A03DE">
        <w:tc>
          <w:tcPr>
            <w:tcW w:w="2508" w:type="pct"/>
            <w:gridSpan w:val="2"/>
          </w:tcPr>
          <w:p w:rsidR="008A03DE" w:rsidRPr="00CB09D5" w:rsidRDefault="0029191C" w:rsidP="008A03DE">
            <w:pPr>
              <w:pStyle w:val="Textpoznpodarou"/>
              <w:jc w:val="both"/>
              <w:rPr>
                <w:lang w:val="en-GB"/>
              </w:rPr>
            </w:pPr>
            <w:r>
              <w:rPr>
                <w:noProof/>
              </w:rPr>
              <w:drawing>
                <wp:inline distT="0" distB="0" distL="0" distR="0">
                  <wp:extent cx="3075940" cy="2256155"/>
                  <wp:effectExtent l="19050" t="0" r="0" b="0"/>
                  <wp:docPr id="2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3075940" cy="2256155"/>
                          </a:xfrm>
                          <a:prstGeom prst="rect">
                            <a:avLst/>
                          </a:prstGeom>
                          <a:noFill/>
                          <a:ln w="9525">
                            <a:noFill/>
                            <a:miter lim="800000"/>
                            <a:headEnd/>
                            <a:tailEnd/>
                          </a:ln>
                        </pic:spPr>
                      </pic:pic>
                    </a:graphicData>
                  </a:graphic>
                </wp:inline>
              </w:drawing>
            </w:r>
          </w:p>
        </w:tc>
        <w:tc>
          <w:tcPr>
            <w:tcW w:w="2492" w:type="pct"/>
            <w:gridSpan w:val="2"/>
          </w:tcPr>
          <w:p w:rsidR="008A03DE" w:rsidRPr="00CB09D5" w:rsidRDefault="0029191C" w:rsidP="008A03DE">
            <w:pPr>
              <w:pStyle w:val="Textpoznpodarou"/>
              <w:jc w:val="both"/>
              <w:rPr>
                <w:lang w:val="en-GB"/>
              </w:rPr>
            </w:pPr>
            <w:r>
              <w:rPr>
                <w:noProof/>
              </w:rPr>
              <w:drawing>
                <wp:inline distT="0" distB="0" distL="0" distR="0">
                  <wp:extent cx="3024430" cy="2256312"/>
                  <wp:effectExtent l="19050" t="0" r="4520" b="0"/>
                  <wp:docPr id="2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3028315" cy="2259210"/>
                          </a:xfrm>
                          <a:prstGeom prst="rect">
                            <a:avLst/>
                          </a:prstGeom>
                          <a:noFill/>
                          <a:ln w="9525">
                            <a:noFill/>
                            <a:miter lim="800000"/>
                            <a:headEnd/>
                            <a:tailEnd/>
                          </a:ln>
                        </pic:spPr>
                      </pic:pic>
                    </a:graphicData>
                  </a:graphic>
                </wp:inline>
              </w:drawing>
            </w:r>
          </w:p>
        </w:tc>
      </w:tr>
      <w:tr w:rsidR="008A03DE" w:rsidRPr="00CB09D5" w:rsidTr="008A03DE">
        <w:tc>
          <w:tcPr>
            <w:tcW w:w="5000" w:type="pct"/>
            <w:gridSpan w:val="4"/>
          </w:tcPr>
          <w:p w:rsidR="008A03DE" w:rsidRPr="00CB09D5" w:rsidRDefault="003F7F67" w:rsidP="008A03DE">
            <w:pPr>
              <w:pStyle w:val="Textpoznpodarou"/>
              <w:rPr>
                <w:sz w:val="18"/>
                <w:szCs w:val="18"/>
                <w:lang w:val="en-GB"/>
              </w:rPr>
            </w:pPr>
            <w:r w:rsidRPr="00CB09D5">
              <w:rPr>
                <w:sz w:val="18"/>
                <w:szCs w:val="18"/>
                <w:lang w:val="en-GB"/>
              </w:rPr>
              <w:t xml:space="preserve">*including the foster care </w:t>
            </w:r>
            <w:r w:rsidR="004F674E" w:rsidRPr="00CB09D5">
              <w:rPr>
                <w:sz w:val="18"/>
                <w:szCs w:val="18"/>
                <w:lang w:val="en-GB"/>
              </w:rPr>
              <w:t>benefits, *</w:t>
            </w:r>
            <w:r w:rsidR="008A03DE" w:rsidRPr="00CB09D5">
              <w:rPr>
                <w:spacing w:val="-2"/>
                <w:sz w:val="18"/>
                <w:szCs w:val="18"/>
                <w:lang w:val="en-GB"/>
              </w:rPr>
              <w:t>*</w:t>
            </w:r>
            <w:r w:rsidRPr="00CB09D5">
              <w:rPr>
                <w:rFonts w:cs="Arial"/>
                <w:sz w:val="18"/>
                <w:szCs w:val="18"/>
                <w:lang w:val="en-GB"/>
              </w:rPr>
              <w:t xml:space="preserve"> material deprivation assistance benefits</w:t>
            </w:r>
            <w:r w:rsidR="008A03DE" w:rsidRPr="00CB09D5">
              <w:rPr>
                <w:spacing w:val="-2"/>
                <w:sz w:val="18"/>
                <w:szCs w:val="18"/>
                <w:lang w:val="en-GB"/>
              </w:rPr>
              <w:t xml:space="preserve">, </w:t>
            </w:r>
            <w:r w:rsidRPr="00CB09D5">
              <w:rPr>
                <w:rFonts w:cs="Arial"/>
                <w:sz w:val="18"/>
                <w:szCs w:val="18"/>
                <w:lang w:val="en-GB"/>
              </w:rPr>
              <w:t>disability benefits</w:t>
            </w:r>
            <w:r w:rsidR="008A03DE" w:rsidRPr="00CB09D5">
              <w:rPr>
                <w:spacing w:val="-2"/>
                <w:sz w:val="18"/>
                <w:szCs w:val="18"/>
                <w:lang w:val="en-GB"/>
              </w:rPr>
              <w:t xml:space="preserve">, </w:t>
            </w:r>
            <w:r w:rsidRPr="00CB09D5">
              <w:rPr>
                <w:rFonts w:cs="Arial"/>
                <w:sz w:val="18"/>
                <w:szCs w:val="18"/>
                <w:lang w:val="en-GB"/>
              </w:rPr>
              <w:t xml:space="preserve">contribution to care based on Act on State Social </w:t>
            </w:r>
            <w:r w:rsidR="004F674E" w:rsidRPr="00CB09D5">
              <w:rPr>
                <w:rFonts w:cs="Arial"/>
                <w:sz w:val="18"/>
                <w:szCs w:val="18"/>
                <w:lang w:val="en-GB"/>
              </w:rPr>
              <w:t>Support</w:t>
            </w:r>
            <w:r w:rsidR="004F674E" w:rsidRPr="00CB09D5">
              <w:rPr>
                <w:sz w:val="18"/>
                <w:szCs w:val="18"/>
                <w:lang w:val="en-GB"/>
              </w:rPr>
              <w:t>, *</w:t>
            </w:r>
            <w:r w:rsidR="008A03DE" w:rsidRPr="00CB09D5">
              <w:rPr>
                <w:sz w:val="18"/>
                <w:szCs w:val="18"/>
                <w:lang w:val="en-GB"/>
              </w:rPr>
              <w:t xml:space="preserve">** </w:t>
            </w:r>
            <w:r w:rsidR="004F674E" w:rsidRPr="00CB09D5">
              <w:rPr>
                <w:sz w:val="18"/>
                <w:szCs w:val="18"/>
                <w:lang w:val="en-GB"/>
              </w:rPr>
              <w:t>expenditures also include the income of the chapter State debt</w:t>
            </w:r>
          </w:p>
          <w:p w:rsidR="008A03DE" w:rsidRPr="00CB09D5" w:rsidRDefault="008A03DE" w:rsidP="00D50ED8">
            <w:pPr>
              <w:pStyle w:val="Textpoznpodarou"/>
              <w:rPr>
                <w:sz w:val="18"/>
                <w:szCs w:val="18"/>
                <w:lang w:val="en-GB"/>
              </w:rPr>
            </w:pPr>
            <w:r w:rsidRPr="00CB09D5">
              <w:rPr>
                <w:sz w:val="18"/>
                <w:szCs w:val="18"/>
                <w:lang w:val="en-GB"/>
              </w:rPr>
              <w:t xml:space="preserve">**** </w:t>
            </w:r>
            <w:r w:rsidR="008D3F95" w:rsidRPr="00CB09D5">
              <w:rPr>
                <w:sz w:val="18"/>
                <w:szCs w:val="18"/>
                <w:lang w:val="en-GB"/>
              </w:rPr>
              <w:t xml:space="preserve">excluding interest and other financial costs of state debt                                         </w:t>
            </w:r>
            <w:r w:rsidRPr="00CB09D5">
              <w:rPr>
                <w:sz w:val="18"/>
                <w:szCs w:val="18"/>
                <w:lang w:val="en-GB"/>
              </w:rPr>
              <w:t xml:space="preserve">                   </w:t>
            </w:r>
            <w:r w:rsidR="00D50ED8" w:rsidRPr="00CB09D5">
              <w:rPr>
                <w:sz w:val="18"/>
                <w:szCs w:val="18"/>
                <w:lang w:val="en-GB"/>
              </w:rPr>
              <w:t>Source</w:t>
            </w:r>
            <w:r w:rsidRPr="00CB09D5">
              <w:rPr>
                <w:rFonts w:cs="Arial"/>
                <w:sz w:val="18"/>
                <w:szCs w:val="18"/>
                <w:lang w:val="en-GB"/>
              </w:rPr>
              <w:t xml:space="preserve">: MF </w:t>
            </w:r>
            <w:r w:rsidR="00D50ED8" w:rsidRPr="00CB09D5">
              <w:rPr>
                <w:rFonts w:cs="Arial"/>
                <w:sz w:val="18"/>
                <w:szCs w:val="18"/>
                <w:lang w:val="en-GB"/>
              </w:rPr>
              <w:t>C</w:t>
            </w:r>
            <w:r w:rsidRPr="00CB09D5">
              <w:rPr>
                <w:rFonts w:cs="Arial"/>
                <w:sz w:val="18"/>
                <w:szCs w:val="18"/>
                <w:lang w:val="en-GB"/>
              </w:rPr>
              <w:t>R, M</w:t>
            </w:r>
            <w:r w:rsidR="004F674E" w:rsidRPr="00CB09D5">
              <w:rPr>
                <w:rFonts w:cs="Arial"/>
                <w:sz w:val="18"/>
                <w:szCs w:val="18"/>
                <w:lang w:val="en-GB"/>
              </w:rPr>
              <w:t>LSA</w:t>
            </w:r>
          </w:p>
        </w:tc>
      </w:tr>
    </w:tbl>
    <w:p w:rsidR="008A03DE" w:rsidRPr="00CB09D5" w:rsidRDefault="008A03DE" w:rsidP="008A03DE">
      <w:pPr>
        <w:pStyle w:val="Textpoznpodarou"/>
        <w:jc w:val="both"/>
        <w:rPr>
          <w:rFonts w:cs="Arial"/>
          <w:color w:val="000000"/>
          <w:spacing w:val="-2"/>
          <w:sz w:val="10"/>
          <w:szCs w:val="10"/>
          <w:lang w:val="en-GB"/>
        </w:rPr>
      </w:pPr>
    </w:p>
    <w:tbl>
      <w:tblPr>
        <w:tblW w:w="4986" w:type="pct"/>
        <w:tblLayout w:type="fixed"/>
        <w:tblCellMar>
          <w:left w:w="28" w:type="dxa"/>
          <w:right w:w="28" w:type="dxa"/>
        </w:tblCellMar>
        <w:tblLook w:val="04A0"/>
      </w:tblPr>
      <w:tblGrid>
        <w:gridCol w:w="752"/>
        <w:gridCol w:w="4097"/>
        <w:gridCol w:w="566"/>
        <w:gridCol w:w="4252"/>
      </w:tblGrid>
      <w:tr w:rsidR="008A03DE" w:rsidRPr="00CB09D5" w:rsidTr="000A7C02">
        <w:tc>
          <w:tcPr>
            <w:tcW w:w="389" w:type="pct"/>
          </w:tcPr>
          <w:p w:rsidR="008A03DE" w:rsidRPr="00CB09D5" w:rsidRDefault="00994C29" w:rsidP="00994C29">
            <w:pPr>
              <w:spacing w:line="240" w:lineRule="auto"/>
              <w:rPr>
                <w:lang w:val="en-GB"/>
              </w:rPr>
            </w:pPr>
            <w:r w:rsidRPr="00CB09D5">
              <w:rPr>
                <w:lang w:val="en-GB"/>
              </w:rPr>
              <w:t>Chart</w:t>
            </w:r>
            <w:r w:rsidR="008A03DE" w:rsidRPr="00CB09D5">
              <w:rPr>
                <w:lang w:val="en-GB"/>
              </w:rPr>
              <w:t xml:space="preserve"> 21</w:t>
            </w:r>
          </w:p>
        </w:tc>
        <w:tc>
          <w:tcPr>
            <w:tcW w:w="2119" w:type="pct"/>
          </w:tcPr>
          <w:p w:rsidR="008A03DE" w:rsidRPr="00CB09D5" w:rsidRDefault="008A03DE" w:rsidP="00D50ED8">
            <w:pPr>
              <w:spacing w:line="240" w:lineRule="auto"/>
              <w:rPr>
                <w:rFonts w:cs="Arial"/>
                <w:b/>
                <w:bCs/>
                <w:lang w:val="en-GB"/>
              </w:rPr>
            </w:pPr>
            <w:r w:rsidRPr="00CB09D5">
              <w:rPr>
                <w:rFonts w:cs="Arial"/>
                <w:b/>
                <w:bCs/>
                <w:lang w:val="en-GB"/>
              </w:rPr>
              <w:t>St</w:t>
            </w:r>
            <w:r w:rsidR="00D11329" w:rsidRPr="00CB09D5">
              <w:rPr>
                <w:rFonts w:cs="Arial"/>
                <w:b/>
                <w:bCs/>
                <w:lang w:val="en-GB"/>
              </w:rPr>
              <w:t xml:space="preserve">ate debt of the CR according to means of financing </w:t>
            </w:r>
            <w:r w:rsidRPr="00CB09D5">
              <w:rPr>
                <w:rFonts w:cs="Arial"/>
                <w:bCs/>
                <w:lang w:val="en-GB"/>
              </w:rPr>
              <w:t>(</w:t>
            </w:r>
            <w:r w:rsidR="00D50ED8" w:rsidRPr="00CB09D5">
              <w:rPr>
                <w:rFonts w:cs="Arial"/>
                <w:bCs/>
                <w:lang w:val="en-GB"/>
              </w:rPr>
              <w:t xml:space="preserve">in </w:t>
            </w:r>
            <w:r w:rsidR="00E75545" w:rsidRPr="00CB09D5">
              <w:rPr>
                <w:rFonts w:cs="Arial"/>
                <w:bCs/>
                <w:lang w:val="en-GB"/>
              </w:rPr>
              <w:t xml:space="preserve">CZK </w:t>
            </w:r>
            <w:r w:rsidR="00D50ED8" w:rsidRPr="00CB09D5">
              <w:rPr>
                <w:rFonts w:cs="Arial"/>
                <w:bCs/>
                <w:lang w:val="en-GB"/>
              </w:rPr>
              <w:t>bn</w:t>
            </w:r>
            <w:r w:rsidRPr="00CB09D5">
              <w:rPr>
                <w:rFonts w:cs="Arial"/>
                <w:bCs/>
                <w:lang w:val="en-GB"/>
              </w:rPr>
              <w:t xml:space="preserve">) </w:t>
            </w:r>
            <w:r w:rsidRPr="00CB09D5">
              <w:rPr>
                <w:rFonts w:cs="Arial"/>
                <w:b/>
                <w:bCs/>
                <w:lang w:val="en-GB"/>
              </w:rPr>
              <w:t>a</w:t>
            </w:r>
            <w:r w:rsidR="00D11329" w:rsidRPr="00CB09D5">
              <w:rPr>
                <w:rFonts w:cs="Arial"/>
                <w:b/>
                <w:bCs/>
                <w:lang w:val="en-GB"/>
              </w:rPr>
              <w:t xml:space="preserve">nd share of CZK bonds held by </w:t>
            </w:r>
            <w:r w:rsidR="000F4191" w:rsidRPr="00CB09D5">
              <w:rPr>
                <w:rFonts w:cs="Arial"/>
                <w:b/>
                <w:bCs/>
                <w:lang w:val="en-GB"/>
              </w:rPr>
              <w:t>non-residents</w:t>
            </w:r>
            <w:r w:rsidR="00D11329" w:rsidRPr="00CB09D5">
              <w:rPr>
                <w:rFonts w:cs="Arial"/>
                <w:b/>
                <w:bCs/>
                <w:lang w:val="en-GB"/>
              </w:rPr>
              <w:t xml:space="preserve"> </w:t>
            </w:r>
            <w:r w:rsidR="00EB6063" w:rsidRPr="00EB6063">
              <w:rPr>
                <w:rFonts w:cs="Arial"/>
                <w:bCs/>
                <w:lang w:val="en-GB"/>
              </w:rPr>
              <w:t>(</w:t>
            </w:r>
            <w:r w:rsidR="00994C29" w:rsidRPr="00CB09D5">
              <w:rPr>
                <w:rFonts w:cs="Arial"/>
                <w:bCs/>
                <w:lang w:val="en-GB"/>
              </w:rPr>
              <w:t>in</w:t>
            </w:r>
            <w:r w:rsidRPr="00CB09D5">
              <w:rPr>
                <w:rFonts w:cs="Arial"/>
                <w:bCs/>
                <w:lang w:val="en-GB"/>
              </w:rPr>
              <w:t xml:space="preserve"> %)</w:t>
            </w:r>
            <w:r w:rsidRPr="00CB09D5">
              <w:rPr>
                <w:rFonts w:cs="Arial"/>
                <w:b/>
                <w:bCs/>
                <w:lang w:val="en-GB"/>
              </w:rPr>
              <w:t xml:space="preserve"> </w:t>
            </w:r>
          </w:p>
        </w:tc>
        <w:tc>
          <w:tcPr>
            <w:tcW w:w="293" w:type="pct"/>
          </w:tcPr>
          <w:p w:rsidR="008A03DE" w:rsidRPr="00CB09D5" w:rsidRDefault="00994C29" w:rsidP="00994C29">
            <w:pPr>
              <w:spacing w:line="240" w:lineRule="auto"/>
              <w:rPr>
                <w:lang w:val="en-GB"/>
              </w:rPr>
            </w:pPr>
            <w:r w:rsidRPr="00CB09D5">
              <w:rPr>
                <w:lang w:val="en-GB"/>
              </w:rPr>
              <w:t>Chart</w:t>
            </w:r>
            <w:r w:rsidR="008A03DE" w:rsidRPr="00CB09D5">
              <w:rPr>
                <w:lang w:val="en-GB"/>
              </w:rPr>
              <w:t xml:space="preserve"> 22</w:t>
            </w:r>
          </w:p>
        </w:tc>
        <w:tc>
          <w:tcPr>
            <w:tcW w:w="2199" w:type="pct"/>
          </w:tcPr>
          <w:p w:rsidR="008A03DE" w:rsidRPr="00CB09D5" w:rsidRDefault="00EB6063" w:rsidP="00994C29">
            <w:pPr>
              <w:spacing w:line="240" w:lineRule="auto"/>
              <w:rPr>
                <w:rFonts w:cs="Arial"/>
                <w:b/>
                <w:bCs/>
                <w:spacing w:val="-2"/>
                <w:lang w:val="en-GB"/>
              </w:rPr>
            </w:pPr>
            <w:r w:rsidRPr="00EB6063">
              <w:rPr>
                <w:rFonts w:cs="Arial"/>
                <w:b/>
                <w:bCs/>
                <w:spacing w:val="-4"/>
                <w:lang w:val="en-GB"/>
              </w:rPr>
              <w:t>Number of pension recipient</w:t>
            </w:r>
            <w:r w:rsidRPr="00EB6063">
              <w:rPr>
                <w:rFonts w:cs="Arial"/>
                <w:bCs/>
                <w:spacing w:val="-4"/>
                <w:lang w:val="en-GB"/>
              </w:rPr>
              <w:t>s,</w:t>
            </w:r>
            <w:r w:rsidRPr="00EB6063">
              <w:rPr>
                <w:rFonts w:cs="Arial"/>
                <w:b/>
                <w:bCs/>
                <w:spacing w:val="-4"/>
                <w:lang w:val="en-GB"/>
              </w:rPr>
              <w:t xml:space="preserve"> incomes and expenditures on pensions from the SB </w:t>
            </w:r>
            <w:r w:rsidRPr="00EB6063">
              <w:rPr>
                <w:rFonts w:cs="Arial"/>
                <w:bCs/>
                <w:spacing w:val="-4"/>
                <w:lang w:val="en-GB"/>
              </w:rPr>
              <w:t xml:space="preserve">(y/y, in %) </w:t>
            </w:r>
            <w:r w:rsidRPr="00EB6063">
              <w:rPr>
                <w:rFonts w:cs="Arial"/>
                <w:b/>
                <w:bCs/>
                <w:spacing w:val="-4"/>
                <w:lang w:val="en-GB"/>
              </w:rPr>
              <w:t>and pension account balance</w:t>
            </w:r>
            <w:r w:rsidRPr="00EB6063">
              <w:rPr>
                <w:rFonts w:cs="Arial"/>
                <w:bCs/>
                <w:spacing w:val="-4"/>
                <w:lang w:val="en-GB"/>
              </w:rPr>
              <w:t xml:space="preserve"> (in CZK bn)</w:t>
            </w:r>
            <w:r w:rsidR="008A03DE" w:rsidRPr="00CB09D5">
              <w:rPr>
                <w:rFonts w:cs="Arial"/>
                <w:bCs/>
                <w:lang w:val="en-GB"/>
              </w:rPr>
              <w:t xml:space="preserve"> </w:t>
            </w:r>
          </w:p>
        </w:tc>
      </w:tr>
      <w:tr w:rsidR="008A03DE" w:rsidRPr="00CB09D5" w:rsidTr="008A03DE">
        <w:tc>
          <w:tcPr>
            <w:tcW w:w="2508" w:type="pct"/>
            <w:gridSpan w:val="2"/>
          </w:tcPr>
          <w:p w:rsidR="008A03DE" w:rsidRPr="00CB09D5" w:rsidRDefault="0029191C" w:rsidP="008A03DE">
            <w:pPr>
              <w:pStyle w:val="Textpoznpodarou"/>
              <w:jc w:val="both"/>
              <w:rPr>
                <w:lang w:val="en-GB"/>
              </w:rPr>
            </w:pPr>
            <w:r>
              <w:rPr>
                <w:noProof/>
              </w:rPr>
              <w:drawing>
                <wp:inline distT="0" distB="0" distL="0" distR="0">
                  <wp:extent cx="3045642" cy="2214748"/>
                  <wp:effectExtent l="19050" t="0" r="2358"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042920" cy="2212769"/>
                          </a:xfrm>
                          <a:prstGeom prst="rect">
                            <a:avLst/>
                          </a:prstGeom>
                          <a:noFill/>
                          <a:ln w="9525">
                            <a:noFill/>
                            <a:miter lim="800000"/>
                            <a:headEnd/>
                            <a:tailEnd/>
                          </a:ln>
                        </pic:spPr>
                      </pic:pic>
                    </a:graphicData>
                  </a:graphic>
                </wp:inline>
              </w:drawing>
            </w:r>
          </w:p>
        </w:tc>
        <w:tc>
          <w:tcPr>
            <w:tcW w:w="2492" w:type="pct"/>
            <w:gridSpan w:val="2"/>
          </w:tcPr>
          <w:p w:rsidR="008A03DE" w:rsidRPr="00CB09D5" w:rsidRDefault="0029191C" w:rsidP="008A03DE">
            <w:pPr>
              <w:pStyle w:val="Textpoznpodarou"/>
              <w:jc w:val="both"/>
              <w:rPr>
                <w:lang w:val="en-GB"/>
              </w:rPr>
            </w:pPr>
            <w:r>
              <w:rPr>
                <w:noProof/>
              </w:rPr>
              <w:drawing>
                <wp:inline distT="0" distB="0" distL="0" distR="0">
                  <wp:extent cx="3019986" cy="2214748"/>
                  <wp:effectExtent l="19050" t="0" r="8964"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3021965" cy="2216199"/>
                          </a:xfrm>
                          <a:prstGeom prst="rect">
                            <a:avLst/>
                          </a:prstGeom>
                          <a:noFill/>
                          <a:ln w="9525">
                            <a:noFill/>
                            <a:miter lim="800000"/>
                            <a:headEnd/>
                            <a:tailEnd/>
                          </a:ln>
                        </pic:spPr>
                      </pic:pic>
                    </a:graphicData>
                  </a:graphic>
                </wp:inline>
              </w:drawing>
            </w:r>
          </w:p>
        </w:tc>
      </w:tr>
      <w:tr w:rsidR="008A03DE" w:rsidRPr="00CB09D5" w:rsidTr="008A03DE">
        <w:tc>
          <w:tcPr>
            <w:tcW w:w="5000" w:type="pct"/>
            <w:gridSpan w:val="4"/>
          </w:tcPr>
          <w:p w:rsidR="00EB6063" w:rsidRDefault="00994C29" w:rsidP="00EB6063">
            <w:pPr>
              <w:autoSpaceDE w:val="0"/>
              <w:autoSpaceDN w:val="0"/>
              <w:adjustRightInd w:val="0"/>
              <w:spacing w:line="240" w:lineRule="auto"/>
              <w:jc w:val="right"/>
              <w:rPr>
                <w:sz w:val="18"/>
                <w:szCs w:val="18"/>
                <w:lang w:val="en-GB" w:eastAsia="ar-SA"/>
              </w:rPr>
            </w:pPr>
            <w:r w:rsidRPr="00CB09D5">
              <w:rPr>
                <w:rFonts w:cs="Arial"/>
                <w:sz w:val="18"/>
                <w:szCs w:val="18"/>
                <w:lang w:val="en-GB"/>
              </w:rPr>
              <w:t>Source</w:t>
            </w:r>
            <w:r w:rsidR="008A03DE" w:rsidRPr="00CB09D5">
              <w:rPr>
                <w:rFonts w:cs="Arial"/>
                <w:sz w:val="18"/>
                <w:szCs w:val="18"/>
                <w:lang w:val="en-GB"/>
              </w:rPr>
              <w:t xml:space="preserve">: MF, </w:t>
            </w:r>
            <w:r w:rsidR="00D50ED8" w:rsidRPr="00CB09D5">
              <w:rPr>
                <w:rFonts w:cs="Arial"/>
                <w:sz w:val="18"/>
                <w:szCs w:val="18"/>
                <w:lang w:val="en-GB"/>
              </w:rPr>
              <w:t>CSSA</w:t>
            </w:r>
          </w:p>
        </w:tc>
      </w:tr>
    </w:tbl>
    <w:p w:rsidR="008A03DE" w:rsidRPr="00CB09D5" w:rsidRDefault="008A03DE" w:rsidP="008A03DE">
      <w:pPr>
        <w:pStyle w:val="Textpoznpodarou"/>
        <w:jc w:val="both"/>
        <w:rPr>
          <w:rFonts w:cs="Arial"/>
          <w:color w:val="000000"/>
          <w:sz w:val="2"/>
          <w:szCs w:val="2"/>
          <w:lang w:val="en-GB"/>
        </w:rPr>
      </w:pPr>
    </w:p>
    <w:sectPr w:rsidR="008A03DE" w:rsidRPr="00CB09D5" w:rsidSect="00E83DAB">
      <w:headerReference w:type="even" r:id="rId36"/>
      <w:headerReference w:type="default" r:id="rId37"/>
      <w:footerReference w:type="even" r:id="rId38"/>
      <w:footerReference w:type="default" r:id="rId39"/>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C8" w:rsidRDefault="008B4BC8" w:rsidP="00E71A58">
      <w:r>
        <w:separator/>
      </w:r>
    </w:p>
  </w:endnote>
  <w:endnote w:type="continuationSeparator" w:id="0">
    <w:p w:rsidR="008B4BC8" w:rsidRDefault="008B4BC8"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9743B9" w:rsidP="00357449">
    <w:pPr>
      <w:pStyle w:val="Zpat"/>
      <w:tabs>
        <w:tab w:val="clear" w:pos="4536"/>
        <w:tab w:val="clear" w:pos="9072"/>
        <w:tab w:val="left" w:pos="1134"/>
        <w:tab w:val="left" w:pos="1920"/>
        <w:tab w:val="center" w:pos="4820"/>
        <w:tab w:val="right" w:pos="9639"/>
      </w:tabs>
    </w:pPr>
    <w:r w:rsidRPr="009743B9">
      <w:rPr>
        <w:noProof/>
        <w:lang w:eastAsia="cs-CZ"/>
      </w:rPr>
      <w:drawing>
        <wp:anchor distT="0" distB="0" distL="114300" distR="114300" simplePos="0" relativeHeight="251660800" behindDoc="0" locked="0" layoutInCell="1" allowOverlap="1">
          <wp:simplePos x="0" y="0"/>
          <wp:positionH relativeFrom="column">
            <wp:posOffset>70059</wp:posOffset>
          </wp:positionH>
          <wp:positionV relativeFrom="paragraph">
            <wp:posOffset>156523</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4"/>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3815F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3815F4" w:rsidRPr="00223E00">
      <w:rPr>
        <w:rFonts w:ascii="Arial" w:hAnsi="Arial" w:cs="Arial"/>
        <w:sz w:val="16"/>
        <w:szCs w:val="16"/>
      </w:rPr>
      <w:fldChar w:fldCharType="separate"/>
    </w:r>
    <w:r w:rsidR="00844F58">
      <w:rPr>
        <w:rFonts w:ascii="Arial" w:hAnsi="Arial" w:cs="Arial"/>
        <w:noProof/>
        <w:sz w:val="16"/>
        <w:szCs w:val="16"/>
      </w:rPr>
      <w:t>3</w:t>
    </w:r>
    <w:r w:rsidR="003815F4"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3815F4" w:rsidRPr="005A21E0">
      <w:rPr>
        <w:rFonts w:ascii="Arial" w:hAnsi="Arial" w:cs="Arial"/>
        <w:sz w:val="16"/>
        <w:szCs w:val="16"/>
      </w:rPr>
      <w:fldChar w:fldCharType="begin"/>
    </w:r>
    <w:r w:rsidRPr="005A21E0">
      <w:rPr>
        <w:rFonts w:ascii="Arial" w:hAnsi="Arial" w:cs="Arial"/>
        <w:sz w:val="16"/>
        <w:szCs w:val="16"/>
      </w:rPr>
      <w:instrText>PAGE   \* MERGEFORMAT</w:instrText>
    </w:r>
    <w:r w:rsidR="003815F4" w:rsidRPr="005A21E0">
      <w:rPr>
        <w:rFonts w:ascii="Arial" w:hAnsi="Arial" w:cs="Arial"/>
        <w:sz w:val="16"/>
        <w:szCs w:val="16"/>
      </w:rPr>
      <w:fldChar w:fldCharType="separate"/>
    </w:r>
    <w:r w:rsidR="00844F58">
      <w:rPr>
        <w:rFonts w:ascii="Arial" w:hAnsi="Arial" w:cs="Arial"/>
        <w:noProof/>
        <w:sz w:val="16"/>
        <w:szCs w:val="16"/>
      </w:rPr>
      <w:t>4</w:t>
    </w:r>
    <w:r w:rsidR="003815F4" w:rsidRPr="005A21E0">
      <w:rPr>
        <w:rFonts w:ascii="Arial" w:hAnsi="Arial" w:cs="Arial"/>
        <w:sz w:val="16"/>
        <w:szCs w:val="16"/>
      </w:rPr>
      <w:fldChar w:fldCharType="end"/>
    </w:r>
    <w:r>
      <w:rPr>
        <w:rFonts w:ascii="Arial" w:hAnsi="Arial" w:cs="Arial"/>
        <w:sz w:val="16"/>
        <w:szCs w:val="16"/>
      </w:rPr>
      <w:tab/>
      <w:t>2017</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9743B9" w:rsidP="00357449">
    <w:pPr>
      <w:pStyle w:val="Zpat"/>
      <w:tabs>
        <w:tab w:val="clear" w:pos="4536"/>
        <w:tab w:val="clear" w:pos="9072"/>
        <w:tab w:val="left" w:pos="1134"/>
        <w:tab w:val="left" w:pos="1920"/>
        <w:tab w:val="center" w:pos="4820"/>
        <w:tab w:val="right" w:pos="9639"/>
      </w:tabs>
    </w:pPr>
    <w:r w:rsidRPr="009743B9">
      <w:rPr>
        <w:noProof/>
        <w:lang w:eastAsia="cs-CZ"/>
      </w:rPr>
      <w:drawing>
        <wp:anchor distT="0" distB="0" distL="114300" distR="114300" simplePos="0" relativeHeight="251662848" behindDoc="0" locked="0" layoutInCell="1" allowOverlap="1">
          <wp:simplePos x="0" y="0"/>
          <wp:positionH relativeFrom="column">
            <wp:posOffset>35560</wp:posOffset>
          </wp:positionH>
          <wp:positionV relativeFrom="paragraph">
            <wp:posOffset>155575</wp:posOffset>
          </wp:positionV>
          <wp:extent cx="692150" cy="203200"/>
          <wp:effectExtent l="19050" t="0" r="0" b="0"/>
          <wp:wrapNone/>
          <wp:docPr id="6"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3815F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3815F4" w:rsidRPr="00223E00">
      <w:rPr>
        <w:rFonts w:ascii="Arial" w:hAnsi="Arial" w:cs="Arial"/>
        <w:sz w:val="16"/>
        <w:szCs w:val="16"/>
      </w:rPr>
      <w:fldChar w:fldCharType="separate"/>
    </w:r>
    <w:r w:rsidR="00844F58">
      <w:rPr>
        <w:rFonts w:ascii="Arial" w:hAnsi="Arial" w:cs="Arial"/>
        <w:noProof/>
        <w:sz w:val="16"/>
        <w:szCs w:val="16"/>
      </w:rPr>
      <w:t>5</w:t>
    </w:r>
    <w:r w:rsidR="003815F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C8" w:rsidRDefault="008B4BC8" w:rsidP="00E71A58">
      <w:r>
        <w:separator/>
      </w:r>
    </w:p>
  </w:footnote>
  <w:footnote w:type="continuationSeparator" w:id="0">
    <w:p w:rsidR="008B4BC8" w:rsidRDefault="008B4BC8" w:rsidP="00E71A58">
      <w:r>
        <w:continuationSeparator/>
      </w:r>
    </w:p>
  </w:footnote>
  <w:footnote w:id="1">
    <w:p w:rsidR="000A7C02" w:rsidRPr="004174FD" w:rsidRDefault="000A7C02" w:rsidP="00F94681">
      <w:pPr>
        <w:pStyle w:val="Textpoznpodarou"/>
        <w:rPr>
          <w:sz w:val="16"/>
          <w:szCs w:val="16"/>
          <w:lang w:val="en-GB"/>
        </w:rPr>
      </w:pPr>
      <w:r w:rsidRPr="004174FD">
        <w:rPr>
          <w:rStyle w:val="Znakapoznpodarou"/>
          <w:sz w:val="16"/>
          <w:szCs w:val="16"/>
          <w:lang w:val="en-GB"/>
        </w:rPr>
        <w:footnoteRef/>
      </w:r>
      <w:r w:rsidRPr="004174FD">
        <w:rPr>
          <w:sz w:val="16"/>
          <w:szCs w:val="16"/>
          <w:lang w:val="en-GB"/>
        </w:rPr>
        <w:t xml:space="preserve"> </w:t>
      </w:r>
      <w:proofErr w:type="gramStart"/>
      <w:r w:rsidRPr="004174FD">
        <w:rPr>
          <w:sz w:val="16"/>
          <w:szCs w:val="16"/>
          <w:lang w:val="en-GB"/>
        </w:rPr>
        <w:t>Seasonally adjusted data in the national accounts conception</w:t>
      </w:r>
      <w:r w:rsidR="007678F9">
        <w:rPr>
          <w:sz w:val="16"/>
          <w:szCs w:val="16"/>
          <w:lang w:val="en-GB"/>
        </w:rPr>
        <w:t>.</w:t>
      </w:r>
      <w:proofErr w:type="gramEnd"/>
    </w:p>
  </w:footnote>
  <w:footnote w:id="2">
    <w:p w:rsidR="000A7C02" w:rsidRPr="00361CEF" w:rsidRDefault="000A7C02" w:rsidP="00361CEF">
      <w:pPr>
        <w:pStyle w:val="Textpoznpodarou"/>
        <w:jc w:val="both"/>
        <w:rPr>
          <w:sz w:val="16"/>
          <w:szCs w:val="16"/>
          <w:lang w:val="en-GB"/>
        </w:rPr>
      </w:pPr>
      <w:r w:rsidRPr="00EF1EE3">
        <w:rPr>
          <w:rStyle w:val="Znakapoznpodarou"/>
          <w:sz w:val="16"/>
          <w:szCs w:val="16"/>
        </w:rPr>
        <w:footnoteRef/>
      </w:r>
      <w:r w:rsidRPr="00EF1EE3">
        <w:rPr>
          <w:sz w:val="16"/>
          <w:szCs w:val="16"/>
        </w:rPr>
        <w:t xml:space="preserve"> </w:t>
      </w:r>
      <w:r w:rsidRPr="00361CEF">
        <w:rPr>
          <w:sz w:val="16"/>
          <w:szCs w:val="16"/>
          <w:lang w:val="en-GB"/>
        </w:rPr>
        <w:t>Data regarding the GDP, gross value added and their components are expressed in constant prices and adjusted for seasonal and calendar effec</w:t>
      </w:r>
      <w:r>
        <w:rPr>
          <w:sz w:val="16"/>
          <w:szCs w:val="16"/>
          <w:lang w:val="en-GB"/>
        </w:rPr>
        <w:t>ts. Data were published on 3</w:t>
      </w:r>
      <w:r w:rsidRPr="00C2299F">
        <w:rPr>
          <w:sz w:val="16"/>
          <w:szCs w:val="16"/>
          <w:vertAlign w:val="superscript"/>
          <w:lang w:val="en-GB"/>
        </w:rPr>
        <w:t>rd</w:t>
      </w:r>
      <w:r>
        <w:rPr>
          <w:sz w:val="16"/>
          <w:szCs w:val="16"/>
          <w:lang w:val="en-GB"/>
        </w:rPr>
        <w:t xml:space="preserve"> March</w:t>
      </w:r>
      <w:r w:rsidRPr="00361CEF">
        <w:rPr>
          <w:sz w:val="16"/>
          <w:szCs w:val="16"/>
          <w:lang w:val="en-GB"/>
        </w:rPr>
        <w:t xml:space="preserve"> 2017 and more precise</w:t>
      </w:r>
      <w:r>
        <w:rPr>
          <w:sz w:val="16"/>
          <w:szCs w:val="16"/>
          <w:lang w:val="en-GB"/>
        </w:rPr>
        <w:t xml:space="preserve"> values will be published on 31</w:t>
      </w:r>
      <w:r w:rsidRPr="005501E1">
        <w:rPr>
          <w:sz w:val="16"/>
          <w:szCs w:val="16"/>
          <w:vertAlign w:val="superscript"/>
          <w:lang w:val="en-GB"/>
        </w:rPr>
        <w:t>st</w:t>
      </w:r>
      <w:r>
        <w:rPr>
          <w:sz w:val="16"/>
          <w:szCs w:val="16"/>
          <w:lang w:val="en-GB"/>
        </w:rPr>
        <w:t xml:space="preserve"> March</w:t>
      </w:r>
      <w:r w:rsidRPr="00361CEF">
        <w:rPr>
          <w:sz w:val="16"/>
          <w:szCs w:val="16"/>
          <w:lang w:val="en-GB"/>
        </w:rPr>
        <w:t xml:space="preserve"> 2017.</w:t>
      </w:r>
    </w:p>
  </w:footnote>
  <w:footnote w:id="3">
    <w:p w:rsidR="000A7C02" w:rsidRPr="00361CEF" w:rsidRDefault="000A7C02" w:rsidP="00361CEF">
      <w:pPr>
        <w:pStyle w:val="Textpoznpodarou"/>
        <w:jc w:val="both"/>
        <w:rPr>
          <w:sz w:val="16"/>
          <w:szCs w:val="16"/>
          <w:lang w:val="en-GB"/>
        </w:rPr>
      </w:pPr>
      <w:r w:rsidRPr="00361CEF">
        <w:rPr>
          <w:rStyle w:val="Znakapoznpodarou"/>
          <w:sz w:val="16"/>
          <w:szCs w:val="16"/>
          <w:lang w:val="en-GB"/>
        </w:rPr>
        <w:footnoteRef/>
      </w:r>
      <w:r w:rsidRPr="00361CEF">
        <w:rPr>
          <w:sz w:val="16"/>
          <w:szCs w:val="16"/>
          <w:lang w:val="en-GB"/>
        </w:rPr>
        <w:t xml:space="preserve"> </w:t>
      </w:r>
      <w:proofErr w:type="gramStart"/>
      <w:r>
        <w:rPr>
          <w:sz w:val="16"/>
          <w:szCs w:val="16"/>
          <w:lang w:val="en-GB"/>
        </w:rPr>
        <w:t>Data for Ireland and Luxembourg not available.</w:t>
      </w:r>
      <w:proofErr w:type="gramEnd"/>
      <w:r>
        <w:rPr>
          <w:sz w:val="16"/>
          <w:szCs w:val="16"/>
          <w:lang w:val="en-GB"/>
        </w:rPr>
        <w:t xml:space="preserve"> Data for Slovakia not adjusted for calendar effects. </w:t>
      </w:r>
    </w:p>
  </w:footnote>
  <w:footnote w:id="4">
    <w:p w:rsidR="000A7C02" w:rsidRPr="00361CEF" w:rsidRDefault="000A7C02" w:rsidP="00643145">
      <w:pPr>
        <w:pStyle w:val="Textpoznpodarou"/>
        <w:jc w:val="both"/>
        <w:rPr>
          <w:sz w:val="16"/>
          <w:szCs w:val="16"/>
          <w:lang w:val="en-GB"/>
        </w:rPr>
      </w:pPr>
      <w:r w:rsidRPr="00361CEF">
        <w:rPr>
          <w:rStyle w:val="Znakapoznpodarou"/>
          <w:sz w:val="16"/>
          <w:szCs w:val="16"/>
          <w:lang w:val="en-GB"/>
        </w:rPr>
        <w:footnoteRef/>
      </w:r>
      <w:r w:rsidRPr="00361CEF">
        <w:rPr>
          <w:sz w:val="16"/>
          <w:szCs w:val="16"/>
          <w:lang w:val="en-GB"/>
        </w:rPr>
        <w:t xml:space="preserve"> </w:t>
      </w:r>
      <w:r>
        <w:rPr>
          <w:sz w:val="16"/>
          <w:szCs w:val="16"/>
          <w:lang w:val="en-GB"/>
        </w:rPr>
        <w:t xml:space="preserve">Contributions to GDP change excluding the import for final use. </w:t>
      </w:r>
    </w:p>
  </w:footnote>
  <w:footnote w:id="5">
    <w:p w:rsidR="000A7C02" w:rsidRPr="00DD57B7" w:rsidRDefault="000A7C02" w:rsidP="00E372FD">
      <w:pPr>
        <w:pStyle w:val="Textpoznpodarou"/>
        <w:rPr>
          <w:sz w:val="16"/>
          <w:szCs w:val="16"/>
          <w:lang w:val="en-GB"/>
        </w:rPr>
      </w:pPr>
      <w:r w:rsidRPr="00DC26D7">
        <w:rPr>
          <w:rStyle w:val="Znakapoznpodarou"/>
          <w:sz w:val="16"/>
          <w:szCs w:val="16"/>
        </w:rPr>
        <w:footnoteRef/>
      </w:r>
      <w:r w:rsidRPr="00DC26D7">
        <w:rPr>
          <w:sz w:val="16"/>
          <w:szCs w:val="16"/>
        </w:rPr>
        <w:t xml:space="preserve"> </w:t>
      </w:r>
      <w:proofErr w:type="gramStart"/>
      <w:r w:rsidRPr="00DD57B7">
        <w:rPr>
          <w:sz w:val="16"/>
          <w:szCs w:val="16"/>
          <w:lang w:val="en-GB"/>
        </w:rPr>
        <w:t>Converted into the real expression using the deflator of final consumption expenditure of households.</w:t>
      </w:r>
      <w:proofErr w:type="gramEnd"/>
      <w:r w:rsidRPr="00DD57B7">
        <w:rPr>
          <w:sz w:val="16"/>
          <w:szCs w:val="16"/>
          <w:lang w:val="en-GB"/>
        </w:rPr>
        <w:t xml:space="preserve"> </w:t>
      </w:r>
    </w:p>
  </w:footnote>
  <w:footnote w:id="6">
    <w:p w:rsidR="000A7C02" w:rsidRPr="006D1B43" w:rsidRDefault="000A7C02" w:rsidP="00492991">
      <w:pPr>
        <w:pStyle w:val="Textpoznpodarou"/>
        <w:rPr>
          <w:rFonts w:cs="Arial"/>
          <w:sz w:val="16"/>
          <w:szCs w:val="16"/>
          <w:lang w:val="en-GB"/>
        </w:rPr>
      </w:pPr>
      <w:r w:rsidRPr="001805D6">
        <w:rPr>
          <w:rStyle w:val="Znakapoznpodarou"/>
          <w:rFonts w:cs="Arial"/>
          <w:sz w:val="16"/>
          <w:szCs w:val="16"/>
        </w:rPr>
        <w:footnoteRef/>
      </w:r>
      <w:r w:rsidRPr="001805D6">
        <w:rPr>
          <w:rFonts w:cs="Arial"/>
          <w:sz w:val="16"/>
          <w:szCs w:val="16"/>
        </w:rPr>
        <w:t xml:space="preserve"> </w:t>
      </w:r>
      <w:r w:rsidRPr="006D1B43">
        <w:rPr>
          <w:rFonts w:cs="Arial"/>
          <w:sz w:val="16"/>
          <w:szCs w:val="16"/>
          <w:lang w:val="en-GB"/>
        </w:rPr>
        <w:t xml:space="preserve">Data regarding the GVA are expressed in constant prices and adjusted for seasonal and calendar effects. </w:t>
      </w:r>
    </w:p>
  </w:footnote>
  <w:footnote w:id="7">
    <w:p w:rsidR="000A7C02" w:rsidRPr="006D1B43" w:rsidRDefault="000A7C02" w:rsidP="00492991">
      <w:pPr>
        <w:pStyle w:val="Textpoznpodarou"/>
        <w:jc w:val="both"/>
        <w:rPr>
          <w:spacing w:val="-4"/>
          <w:sz w:val="16"/>
          <w:szCs w:val="16"/>
          <w:lang w:val="en-GB"/>
        </w:rPr>
      </w:pPr>
      <w:r w:rsidRPr="006D1B43">
        <w:rPr>
          <w:rStyle w:val="Znakapoznpodarou"/>
          <w:rFonts w:cs="Arial"/>
          <w:spacing w:val="-4"/>
          <w:sz w:val="16"/>
          <w:szCs w:val="16"/>
          <w:lang w:val="en-GB"/>
        </w:rPr>
        <w:footnoteRef/>
      </w:r>
      <w:r w:rsidRPr="006D1B43">
        <w:rPr>
          <w:rFonts w:cs="Arial"/>
          <w:spacing w:val="-4"/>
          <w:sz w:val="16"/>
          <w:szCs w:val="16"/>
          <w:lang w:val="en-GB"/>
        </w:rPr>
        <w:t xml:space="preserve"> Including branches based on the CZ-NACE: B (Mining and quarrying), C (Manufacturing), </w:t>
      </w:r>
      <w:r w:rsidRPr="00ED7384">
        <w:rPr>
          <w:rFonts w:cs="Arial"/>
          <w:spacing w:val="-4"/>
          <w:sz w:val="16"/>
          <w:szCs w:val="16"/>
          <w:lang w:val="en-GB"/>
        </w:rPr>
        <w:t>D (Energeti</w:t>
      </w:r>
      <w:r>
        <w:rPr>
          <w:rFonts w:cs="Arial"/>
          <w:spacing w:val="-4"/>
          <w:sz w:val="16"/>
          <w:szCs w:val="16"/>
          <w:lang w:val="en-GB"/>
        </w:rPr>
        <w:t>cs</w:t>
      </w:r>
      <w:r w:rsidRPr="00ED7384">
        <w:rPr>
          <w:rFonts w:cs="Arial"/>
          <w:spacing w:val="-4"/>
          <w:sz w:val="16"/>
          <w:szCs w:val="16"/>
          <w:lang w:val="en-GB"/>
        </w:rPr>
        <w:t>).</w:t>
      </w:r>
    </w:p>
  </w:footnote>
  <w:footnote w:id="8">
    <w:p w:rsidR="000A7C02" w:rsidRPr="006D1B43" w:rsidRDefault="000A7C02" w:rsidP="00492991">
      <w:pPr>
        <w:pStyle w:val="Textpoznpodarou"/>
        <w:jc w:val="both"/>
        <w:rPr>
          <w:spacing w:val="-4"/>
          <w:sz w:val="16"/>
          <w:szCs w:val="16"/>
          <w:lang w:val="en-GB"/>
        </w:rPr>
      </w:pPr>
      <w:r w:rsidRPr="006D1B43">
        <w:rPr>
          <w:rStyle w:val="Znakapoznpodarou"/>
          <w:spacing w:val="-4"/>
          <w:sz w:val="16"/>
          <w:szCs w:val="16"/>
          <w:lang w:val="en-GB"/>
        </w:rPr>
        <w:footnoteRef/>
      </w:r>
      <w:r w:rsidRPr="006D1B43">
        <w:rPr>
          <w:spacing w:val="-4"/>
          <w:sz w:val="16"/>
          <w:szCs w:val="16"/>
          <w:lang w:val="en-GB"/>
        </w:rPr>
        <w:t xml:space="preserve"> The calendar effects influenced production mainly in Q2. That quarter had three working days more compared to the same period in 2015. The di</w:t>
      </w:r>
      <w:r>
        <w:rPr>
          <w:spacing w:val="-4"/>
          <w:sz w:val="16"/>
          <w:szCs w:val="16"/>
          <w:lang w:val="en-GB"/>
        </w:rPr>
        <w:t>fference between adjusted (+2.2</w:t>
      </w:r>
      <w:r w:rsidRPr="006D1B43">
        <w:rPr>
          <w:spacing w:val="-4"/>
          <w:sz w:val="16"/>
          <w:szCs w:val="16"/>
          <w:lang w:val="en-GB"/>
        </w:rPr>
        <w:t>%) an</w:t>
      </w:r>
      <w:r>
        <w:rPr>
          <w:spacing w:val="-4"/>
          <w:sz w:val="16"/>
          <w:szCs w:val="16"/>
          <w:lang w:val="en-GB"/>
        </w:rPr>
        <w:t>d not adjusted production (+5.7</w:t>
      </w:r>
      <w:r w:rsidRPr="006D1B43">
        <w:rPr>
          <w:spacing w:val="-4"/>
          <w:sz w:val="16"/>
          <w:szCs w:val="16"/>
          <w:lang w:val="en-GB"/>
        </w:rPr>
        <w:t>%) was significant and last recorded in a similar extent in Q3 2008.</w:t>
      </w:r>
    </w:p>
  </w:footnote>
  <w:footnote w:id="9">
    <w:p w:rsidR="000A7C02" w:rsidRPr="00484AE4" w:rsidRDefault="000A7C02" w:rsidP="00492991">
      <w:pPr>
        <w:pStyle w:val="Textpoznpodarou"/>
        <w:jc w:val="both"/>
        <w:rPr>
          <w:spacing w:val="-4"/>
          <w:sz w:val="16"/>
          <w:szCs w:val="16"/>
          <w:lang w:val="en-GB"/>
        </w:rPr>
      </w:pPr>
      <w:r w:rsidRPr="00484AE4">
        <w:rPr>
          <w:rStyle w:val="Znakapoznpodarou"/>
          <w:spacing w:val="-4"/>
          <w:sz w:val="16"/>
          <w:szCs w:val="16"/>
          <w:lang w:val="en-GB"/>
        </w:rPr>
        <w:footnoteRef/>
      </w:r>
      <w:r w:rsidRPr="00484AE4">
        <w:rPr>
          <w:spacing w:val="-4"/>
          <w:sz w:val="16"/>
          <w:szCs w:val="16"/>
          <w:lang w:val="en-GB"/>
        </w:rPr>
        <w:t xml:space="preserve">  According to the data of the </w:t>
      </w:r>
      <w:r>
        <w:rPr>
          <w:spacing w:val="-4"/>
          <w:sz w:val="16"/>
          <w:szCs w:val="16"/>
          <w:lang w:val="en-GB"/>
        </w:rPr>
        <w:t xml:space="preserve">Automotive industry association </w:t>
      </w:r>
      <w:r w:rsidRPr="00484AE4">
        <w:rPr>
          <w:spacing w:val="-4"/>
          <w:sz w:val="16"/>
          <w:szCs w:val="16"/>
          <w:lang w:val="en-GB"/>
        </w:rPr>
        <w:t>1.351 mil motor vehicles were manufactured in the C</w:t>
      </w:r>
      <w:r>
        <w:rPr>
          <w:spacing w:val="-4"/>
          <w:sz w:val="16"/>
          <w:szCs w:val="16"/>
          <w:lang w:val="en-GB"/>
        </w:rPr>
        <w:t>zech Republic last year, by 8.2</w:t>
      </w:r>
      <w:r w:rsidRPr="00484AE4">
        <w:rPr>
          <w:spacing w:val="-4"/>
          <w:sz w:val="16"/>
          <w:szCs w:val="16"/>
          <w:lang w:val="en-GB"/>
        </w:rPr>
        <w:t xml:space="preserve">% more year-on-year. </w:t>
      </w:r>
    </w:p>
  </w:footnote>
  <w:footnote w:id="10">
    <w:p w:rsidR="000A7C02" w:rsidRPr="00484AE4" w:rsidRDefault="000A7C02" w:rsidP="00492991">
      <w:pPr>
        <w:pStyle w:val="Textpoznpodarou"/>
        <w:jc w:val="both"/>
        <w:rPr>
          <w:sz w:val="16"/>
          <w:szCs w:val="16"/>
          <w:lang w:val="en-GB"/>
        </w:rPr>
      </w:pPr>
      <w:r w:rsidRPr="00484AE4">
        <w:rPr>
          <w:rStyle w:val="Znakapoznpodarou"/>
          <w:spacing w:val="-4"/>
          <w:sz w:val="16"/>
          <w:szCs w:val="16"/>
          <w:lang w:val="en-GB"/>
        </w:rPr>
        <w:footnoteRef/>
      </w:r>
      <w:r w:rsidRPr="00484AE4">
        <w:rPr>
          <w:spacing w:val="-4"/>
          <w:sz w:val="16"/>
          <w:szCs w:val="16"/>
          <w:lang w:val="en-GB"/>
        </w:rPr>
        <w:t xml:space="preserve"> One half of manufacturing activities still lagged behind this level in 2016. It included especially the manufacture of clothes and manufacture of leather products or manufacture of beverages (by one quarter in all cases). Among the activities more significant by weight, the same was valid in meta</w:t>
      </w:r>
      <w:r>
        <w:rPr>
          <w:spacing w:val="-4"/>
          <w:sz w:val="16"/>
          <w:szCs w:val="16"/>
          <w:lang w:val="en-GB"/>
        </w:rPr>
        <w:t>llurgy and foundry industry (89</w:t>
      </w:r>
      <w:r w:rsidRPr="00484AE4">
        <w:rPr>
          <w:spacing w:val="-4"/>
          <w:sz w:val="16"/>
          <w:szCs w:val="16"/>
          <w:lang w:val="en-GB"/>
        </w:rPr>
        <w:t>% of the production level of year 2007), manufacture of foo</w:t>
      </w:r>
      <w:r>
        <w:rPr>
          <w:spacing w:val="-4"/>
          <w:sz w:val="16"/>
          <w:szCs w:val="16"/>
          <w:lang w:val="en-GB"/>
        </w:rPr>
        <w:t>d products (91%) and chemical industry (92</w:t>
      </w:r>
      <w:r w:rsidRPr="00484AE4">
        <w:rPr>
          <w:spacing w:val="-4"/>
          <w:sz w:val="16"/>
          <w:szCs w:val="16"/>
          <w:lang w:val="en-GB"/>
        </w:rPr>
        <w:t xml:space="preserve">%). Manufacturers of motor vehicles surpassed this level already in 2010 and they exceeded </w:t>
      </w:r>
      <w:r>
        <w:rPr>
          <w:spacing w:val="-4"/>
          <w:sz w:val="16"/>
          <w:szCs w:val="16"/>
          <w:lang w:val="en-GB"/>
        </w:rPr>
        <w:t>it by 81</w:t>
      </w:r>
      <w:r w:rsidRPr="00484AE4">
        <w:rPr>
          <w:spacing w:val="-4"/>
          <w:sz w:val="16"/>
          <w:szCs w:val="16"/>
          <w:lang w:val="en-GB"/>
        </w:rPr>
        <w:t xml:space="preserve">% last year. </w:t>
      </w:r>
    </w:p>
  </w:footnote>
  <w:footnote w:id="11">
    <w:p w:rsidR="000A7C02" w:rsidRPr="00484AE4" w:rsidRDefault="000A7C02" w:rsidP="007120ED">
      <w:pPr>
        <w:pStyle w:val="Textpoznpodarou"/>
        <w:jc w:val="both"/>
        <w:rPr>
          <w:sz w:val="16"/>
          <w:szCs w:val="16"/>
          <w:lang w:val="en-GB"/>
        </w:rPr>
      </w:pPr>
      <w:r w:rsidRPr="00484AE4">
        <w:rPr>
          <w:rStyle w:val="Znakapoznpodarou"/>
          <w:sz w:val="16"/>
          <w:szCs w:val="16"/>
          <w:lang w:val="en-GB"/>
        </w:rPr>
        <w:footnoteRef/>
      </w:r>
      <w:r w:rsidRPr="00484AE4">
        <w:rPr>
          <w:sz w:val="16"/>
          <w:szCs w:val="16"/>
          <w:lang w:val="en-GB"/>
        </w:rPr>
        <w:t xml:space="preserve"> </w:t>
      </w:r>
      <w:proofErr w:type="gramStart"/>
      <w:r w:rsidRPr="00484AE4">
        <w:rPr>
          <w:sz w:val="16"/>
          <w:szCs w:val="16"/>
          <w:lang w:val="en-GB"/>
        </w:rPr>
        <w:t xml:space="preserve">Production in the </w:t>
      </w:r>
      <w:r>
        <w:rPr>
          <w:sz w:val="16"/>
          <w:szCs w:val="16"/>
          <w:lang w:val="en-GB"/>
        </w:rPr>
        <w:t xml:space="preserve">chemical industry lowered </w:t>
      </w:r>
      <w:r w:rsidR="00007C85">
        <w:rPr>
          <w:sz w:val="16"/>
          <w:szCs w:val="16"/>
          <w:lang w:val="en-GB"/>
        </w:rPr>
        <w:t>(</w:t>
      </w:r>
      <w:r>
        <w:rPr>
          <w:sz w:val="16"/>
          <w:szCs w:val="16"/>
          <w:lang w:val="en-GB"/>
        </w:rPr>
        <w:t>by</w:t>
      </w:r>
      <w:r w:rsidR="00007C85">
        <w:rPr>
          <w:sz w:val="16"/>
          <w:szCs w:val="16"/>
          <w:lang w:val="en-GB"/>
        </w:rPr>
        <w:t xml:space="preserve"> </w:t>
      </w:r>
      <w:r>
        <w:rPr>
          <w:sz w:val="16"/>
          <w:szCs w:val="16"/>
          <w:lang w:val="en-GB"/>
        </w:rPr>
        <w:t>16</w:t>
      </w:r>
      <w:r w:rsidRPr="00484AE4">
        <w:rPr>
          <w:sz w:val="16"/>
          <w:szCs w:val="16"/>
          <w:lang w:val="en-GB"/>
        </w:rPr>
        <w:t>% in total</w:t>
      </w:r>
      <w:r w:rsidR="00007C85">
        <w:rPr>
          <w:sz w:val="16"/>
          <w:szCs w:val="16"/>
          <w:lang w:val="en-GB"/>
        </w:rPr>
        <w:t>)</w:t>
      </w:r>
      <w:r w:rsidRPr="00484AE4">
        <w:rPr>
          <w:sz w:val="16"/>
          <w:szCs w:val="16"/>
          <w:lang w:val="en-GB"/>
        </w:rPr>
        <w:t xml:space="preserve"> during four quarters (i.e. from Q3 2015 to Q2 2016).</w:t>
      </w:r>
      <w:proofErr w:type="gramEnd"/>
      <w:r w:rsidRPr="00484AE4">
        <w:rPr>
          <w:sz w:val="16"/>
          <w:szCs w:val="16"/>
          <w:lang w:val="en-GB"/>
        </w:rPr>
        <w:t xml:space="preserve"> </w:t>
      </w:r>
    </w:p>
  </w:footnote>
  <w:footnote w:id="12">
    <w:p w:rsidR="000A7C02" w:rsidRPr="00D5221C" w:rsidRDefault="000A7C02" w:rsidP="007120ED">
      <w:pPr>
        <w:pStyle w:val="Textpoznpodarou"/>
        <w:jc w:val="both"/>
        <w:rPr>
          <w:spacing w:val="-2"/>
          <w:sz w:val="16"/>
          <w:szCs w:val="16"/>
        </w:rPr>
      </w:pPr>
      <w:r w:rsidRPr="00484AE4">
        <w:rPr>
          <w:rStyle w:val="Znakapoznpodarou"/>
          <w:spacing w:val="-2"/>
          <w:sz w:val="16"/>
          <w:szCs w:val="16"/>
          <w:lang w:val="en-GB"/>
        </w:rPr>
        <w:footnoteRef/>
      </w:r>
      <w:r w:rsidRPr="00484AE4">
        <w:rPr>
          <w:spacing w:val="-2"/>
          <w:sz w:val="16"/>
          <w:szCs w:val="16"/>
          <w:lang w:val="en-GB"/>
        </w:rPr>
        <w:t xml:space="preserve">  The level of production of this branch from the end of the last economic recession (Q1 2013) was exceeded thanks to the strong quarter-on-quarter growth in the last thre</w:t>
      </w:r>
      <w:r>
        <w:rPr>
          <w:spacing w:val="-2"/>
          <w:sz w:val="16"/>
          <w:szCs w:val="16"/>
          <w:lang w:val="en-GB"/>
        </w:rPr>
        <w:t xml:space="preserve">e months of </w:t>
      </w:r>
      <w:r w:rsidR="00007C85">
        <w:rPr>
          <w:spacing w:val="-2"/>
          <w:sz w:val="16"/>
          <w:szCs w:val="16"/>
          <w:lang w:val="en-GB"/>
        </w:rPr>
        <w:t>2016</w:t>
      </w:r>
      <w:r>
        <w:rPr>
          <w:spacing w:val="-2"/>
          <w:sz w:val="16"/>
          <w:szCs w:val="16"/>
          <w:lang w:val="en-GB"/>
        </w:rPr>
        <w:t xml:space="preserve"> (+7.9</w:t>
      </w:r>
      <w:r w:rsidRPr="00484AE4">
        <w:rPr>
          <w:spacing w:val="-2"/>
          <w:sz w:val="16"/>
          <w:szCs w:val="16"/>
          <w:lang w:val="en-GB"/>
        </w:rPr>
        <w:t xml:space="preserve">%). </w:t>
      </w:r>
      <w:r>
        <w:rPr>
          <w:spacing w:val="-2"/>
          <w:sz w:val="16"/>
          <w:szCs w:val="16"/>
          <w:lang w:val="en-GB"/>
        </w:rPr>
        <w:t xml:space="preserve">The </w:t>
      </w:r>
      <w:r w:rsidR="00007C85">
        <w:rPr>
          <w:spacing w:val="-2"/>
          <w:sz w:val="16"/>
          <w:szCs w:val="16"/>
          <w:lang w:val="en-GB"/>
        </w:rPr>
        <w:t>manufacture of paper and paper products</w:t>
      </w:r>
      <w:r>
        <w:rPr>
          <w:spacing w:val="-2"/>
          <w:sz w:val="16"/>
          <w:szCs w:val="16"/>
          <w:lang w:val="en-GB"/>
        </w:rPr>
        <w:t xml:space="preserve"> was the only manufacturing activity that lagged behind this level also at the end of 2016 </w:t>
      </w:r>
      <w:r w:rsidRPr="00484AE4">
        <w:rPr>
          <w:spacing w:val="-2"/>
          <w:sz w:val="16"/>
          <w:szCs w:val="16"/>
          <w:lang w:val="en-GB"/>
        </w:rPr>
        <w:t>(</w:t>
      </w:r>
      <w:r>
        <w:rPr>
          <w:spacing w:val="-2"/>
          <w:sz w:val="16"/>
          <w:szCs w:val="16"/>
          <w:lang w:val="en-GB"/>
        </w:rPr>
        <w:t>by 4</w:t>
      </w:r>
      <w:r w:rsidRPr="00484AE4">
        <w:rPr>
          <w:spacing w:val="-2"/>
          <w:sz w:val="16"/>
          <w:szCs w:val="16"/>
          <w:lang w:val="en-GB"/>
        </w:rPr>
        <w:t xml:space="preserve">%). </w:t>
      </w:r>
      <w:r>
        <w:rPr>
          <w:spacing w:val="-2"/>
          <w:sz w:val="16"/>
          <w:szCs w:val="16"/>
          <w:lang w:val="en-GB"/>
        </w:rPr>
        <w:t xml:space="preserve">From the non-manufacturing activities, it was further the mining and quarrying </w:t>
      </w:r>
      <w:r w:rsidRPr="00484AE4">
        <w:rPr>
          <w:spacing w:val="-2"/>
          <w:sz w:val="16"/>
          <w:szCs w:val="16"/>
          <w:lang w:val="en-GB"/>
        </w:rPr>
        <w:t>(</w:t>
      </w:r>
      <w:r>
        <w:rPr>
          <w:spacing w:val="-2"/>
          <w:sz w:val="16"/>
          <w:szCs w:val="16"/>
          <w:lang w:val="en-GB"/>
        </w:rPr>
        <w:t>by</w:t>
      </w:r>
      <w:r w:rsidRPr="00484AE4">
        <w:rPr>
          <w:spacing w:val="-2"/>
          <w:sz w:val="16"/>
          <w:szCs w:val="16"/>
          <w:lang w:val="en-GB"/>
        </w:rPr>
        <w:t xml:space="preserve"> 21%) a</w:t>
      </w:r>
      <w:r>
        <w:rPr>
          <w:spacing w:val="-2"/>
          <w:sz w:val="16"/>
          <w:szCs w:val="16"/>
          <w:lang w:val="en-GB"/>
        </w:rPr>
        <w:t xml:space="preserve">nd energetics </w:t>
      </w:r>
      <w:r w:rsidRPr="00D5221C">
        <w:rPr>
          <w:spacing w:val="-2"/>
          <w:sz w:val="16"/>
          <w:szCs w:val="16"/>
        </w:rPr>
        <w:t>(</w:t>
      </w:r>
      <w:r>
        <w:rPr>
          <w:spacing w:val="-2"/>
          <w:sz w:val="16"/>
          <w:szCs w:val="16"/>
        </w:rPr>
        <w:t>by 3</w:t>
      </w:r>
      <w:r w:rsidRPr="00D5221C">
        <w:rPr>
          <w:spacing w:val="-2"/>
          <w:sz w:val="16"/>
          <w:szCs w:val="16"/>
        </w:rPr>
        <w:t>%).</w:t>
      </w:r>
    </w:p>
  </w:footnote>
  <w:footnote w:id="13">
    <w:p w:rsidR="000A7C02" w:rsidRPr="00594D2B" w:rsidRDefault="000A7C02" w:rsidP="007120ED">
      <w:pPr>
        <w:pStyle w:val="Textpoznpodarou"/>
        <w:jc w:val="both"/>
        <w:rPr>
          <w:sz w:val="16"/>
          <w:szCs w:val="16"/>
          <w:lang w:val="en-GB"/>
        </w:rPr>
      </w:pPr>
      <w:r w:rsidRPr="00DD37F0">
        <w:rPr>
          <w:rStyle w:val="Znakapoznpodarou"/>
          <w:sz w:val="16"/>
          <w:szCs w:val="16"/>
        </w:rPr>
        <w:footnoteRef/>
      </w:r>
      <w:r w:rsidRPr="00DD37F0">
        <w:rPr>
          <w:sz w:val="16"/>
          <w:szCs w:val="16"/>
        </w:rPr>
        <w:t xml:space="preserve"> </w:t>
      </w:r>
      <w:r w:rsidRPr="00594D2B">
        <w:rPr>
          <w:sz w:val="16"/>
          <w:szCs w:val="16"/>
          <w:lang w:val="en-GB"/>
        </w:rPr>
        <w:t xml:space="preserve">The position of the branch partially improved also in connection to the introduction of </w:t>
      </w:r>
      <w:r>
        <w:rPr>
          <w:sz w:val="16"/>
          <w:szCs w:val="16"/>
          <w:lang w:val="en-GB"/>
        </w:rPr>
        <w:t xml:space="preserve">anti-dumping customs duty </w:t>
      </w:r>
      <w:r w:rsidRPr="00594D2B">
        <w:rPr>
          <w:sz w:val="16"/>
          <w:szCs w:val="16"/>
          <w:lang w:val="en-GB"/>
        </w:rPr>
        <w:t>on the import of</w:t>
      </w:r>
      <w:r>
        <w:rPr>
          <w:sz w:val="16"/>
          <w:szCs w:val="16"/>
          <w:lang w:val="en-GB"/>
        </w:rPr>
        <w:t xml:space="preserve"> pipes </w:t>
      </w:r>
      <w:r w:rsidRPr="00594D2B">
        <w:rPr>
          <w:sz w:val="16"/>
          <w:szCs w:val="16"/>
          <w:lang w:val="en-GB"/>
        </w:rPr>
        <w:t xml:space="preserve">from the </w:t>
      </w:r>
      <w:r>
        <w:rPr>
          <w:sz w:val="16"/>
          <w:szCs w:val="16"/>
          <w:lang w:val="en-GB"/>
        </w:rPr>
        <w:t xml:space="preserve">stainless </w:t>
      </w:r>
      <w:r w:rsidRPr="00594D2B">
        <w:rPr>
          <w:sz w:val="16"/>
          <w:szCs w:val="16"/>
          <w:lang w:val="en-GB"/>
        </w:rPr>
        <w:t xml:space="preserve">steel from China to the EU in the second half of the year. The production of metallurgy and </w:t>
      </w:r>
      <w:r>
        <w:rPr>
          <w:sz w:val="16"/>
          <w:szCs w:val="16"/>
          <w:lang w:val="en-GB"/>
        </w:rPr>
        <w:t>foundry industry in</w:t>
      </w:r>
      <w:r w:rsidRPr="00594D2B">
        <w:rPr>
          <w:sz w:val="16"/>
          <w:szCs w:val="16"/>
          <w:lang w:val="en-GB"/>
        </w:rPr>
        <w:t>creased ye</w:t>
      </w:r>
      <w:r>
        <w:rPr>
          <w:sz w:val="16"/>
          <w:szCs w:val="16"/>
          <w:lang w:val="en-GB"/>
        </w:rPr>
        <w:t>ar-on-year in Q4 (by 3.2</w:t>
      </w:r>
      <w:r w:rsidRPr="00594D2B">
        <w:rPr>
          <w:sz w:val="16"/>
          <w:szCs w:val="16"/>
          <w:lang w:val="en-GB"/>
        </w:rPr>
        <w:t>% in</w:t>
      </w:r>
      <w:r>
        <w:rPr>
          <w:sz w:val="16"/>
          <w:szCs w:val="16"/>
          <w:lang w:val="en-GB"/>
        </w:rPr>
        <w:t xml:space="preserve"> the CR, by 0.9</w:t>
      </w:r>
      <w:r w:rsidRPr="00594D2B">
        <w:rPr>
          <w:sz w:val="16"/>
          <w:szCs w:val="16"/>
          <w:lang w:val="en-GB"/>
        </w:rPr>
        <w:t>% in the EU).</w:t>
      </w:r>
    </w:p>
  </w:footnote>
  <w:footnote w:id="14">
    <w:p w:rsidR="000A7C02" w:rsidRPr="000B1458" w:rsidRDefault="000A7C02" w:rsidP="007120ED">
      <w:pPr>
        <w:pStyle w:val="Textpoznpodarou"/>
        <w:jc w:val="both"/>
        <w:rPr>
          <w:rFonts w:cs="Arial"/>
          <w:sz w:val="16"/>
          <w:szCs w:val="16"/>
          <w:lang w:val="en-GB"/>
        </w:rPr>
      </w:pPr>
      <w:r w:rsidRPr="00594D2B">
        <w:rPr>
          <w:rStyle w:val="Znakapoznpodarou"/>
          <w:rFonts w:cs="Arial"/>
          <w:sz w:val="16"/>
          <w:szCs w:val="16"/>
          <w:lang w:val="en-GB"/>
        </w:rPr>
        <w:footnoteRef/>
      </w:r>
      <w:r w:rsidRPr="00594D2B">
        <w:rPr>
          <w:rFonts w:cs="Arial"/>
          <w:sz w:val="16"/>
          <w:szCs w:val="16"/>
          <w:lang w:val="en-GB"/>
        </w:rPr>
        <w:t xml:space="preserve"> </w:t>
      </w:r>
      <w:r w:rsidRPr="000B1458">
        <w:rPr>
          <w:rFonts w:cs="Arial"/>
          <w:sz w:val="16"/>
          <w:szCs w:val="16"/>
          <w:lang w:val="en-GB"/>
        </w:rPr>
        <w:t xml:space="preserve">Industrial orders are monitored only in the selected CZ-NACE </w:t>
      </w:r>
      <w:r>
        <w:rPr>
          <w:rFonts w:cs="Arial"/>
          <w:sz w:val="16"/>
          <w:szCs w:val="16"/>
          <w:lang w:val="en-GB"/>
        </w:rPr>
        <w:t xml:space="preserve">sections </w:t>
      </w:r>
      <w:r w:rsidRPr="000B1458">
        <w:rPr>
          <w:rFonts w:cs="Arial"/>
          <w:sz w:val="16"/>
          <w:szCs w:val="16"/>
          <w:lang w:val="en-GB"/>
        </w:rPr>
        <w:t xml:space="preserve">(13, 14, 17, 20 till 21, 24 till 30), which produce mostly to order, with a longer production cycle and larger stocks of orders. </w:t>
      </w:r>
    </w:p>
  </w:footnote>
  <w:footnote w:id="15">
    <w:p w:rsidR="000A7C02" w:rsidRPr="00594D2B" w:rsidRDefault="000A7C02" w:rsidP="00C07DF0">
      <w:pPr>
        <w:pStyle w:val="Textpoznpodarou"/>
        <w:jc w:val="both"/>
        <w:rPr>
          <w:sz w:val="16"/>
          <w:szCs w:val="16"/>
          <w:lang w:val="en-GB"/>
        </w:rPr>
      </w:pPr>
      <w:r w:rsidRPr="00594D2B">
        <w:rPr>
          <w:rStyle w:val="Znakapoznpodarou"/>
          <w:sz w:val="16"/>
          <w:szCs w:val="16"/>
          <w:lang w:val="en-GB"/>
        </w:rPr>
        <w:footnoteRef/>
      </w:r>
      <w:r w:rsidRPr="00594D2B">
        <w:rPr>
          <w:sz w:val="16"/>
          <w:szCs w:val="16"/>
          <w:lang w:val="en-GB"/>
        </w:rPr>
        <w:t xml:space="preserve"> All data relating to the construction production are adjusted for calendar effects. </w:t>
      </w:r>
    </w:p>
  </w:footnote>
  <w:footnote w:id="16">
    <w:p w:rsidR="000A7C02" w:rsidRPr="00566F63" w:rsidRDefault="000A7C02" w:rsidP="00C07DF0">
      <w:pPr>
        <w:pStyle w:val="Textpoznpodarou"/>
        <w:jc w:val="both"/>
        <w:rPr>
          <w:sz w:val="16"/>
          <w:szCs w:val="16"/>
        </w:rPr>
      </w:pPr>
      <w:r w:rsidRPr="00594D2B">
        <w:rPr>
          <w:rStyle w:val="Znakapoznpodarou"/>
          <w:sz w:val="16"/>
          <w:szCs w:val="16"/>
          <w:lang w:val="en-GB"/>
        </w:rPr>
        <w:footnoteRef/>
      </w:r>
      <w:r w:rsidRPr="00594D2B">
        <w:rPr>
          <w:sz w:val="16"/>
          <w:szCs w:val="16"/>
          <w:lang w:val="en-GB"/>
        </w:rPr>
        <w:t xml:space="preserve"> Statistical surveys cover only orders of construction business</w:t>
      </w:r>
      <w:r>
        <w:rPr>
          <w:sz w:val="16"/>
          <w:szCs w:val="16"/>
          <w:lang w:val="en-GB"/>
        </w:rPr>
        <w:t>es</w:t>
      </w:r>
      <w:r w:rsidRPr="00594D2B">
        <w:rPr>
          <w:sz w:val="16"/>
          <w:szCs w:val="16"/>
          <w:lang w:val="en-GB"/>
        </w:rPr>
        <w:t xml:space="preserve"> with 50 and more employees.</w:t>
      </w:r>
      <w:r>
        <w:rPr>
          <w:sz w:val="16"/>
          <w:szCs w:val="16"/>
        </w:rPr>
        <w:t xml:space="preserve"> </w:t>
      </w:r>
    </w:p>
  </w:footnote>
  <w:footnote w:id="17">
    <w:p w:rsidR="000A7C02" w:rsidRPr="00CE5B96" w:rsidRDefault="000A7C02" w:rsidP="00C07DF0">
      <w:pPr>
        <w:pStyle w:val="Textpoznpodarou"/>
        <w:jc w:val="both"/>
        <w:rPr>
          <w:sz w:val="16"/>
          <w:szCs w:val="16"/>
          <w:lang w:val="en-GB"/>
        </w:rPr>
      </w:pPr>
      <w:r w:rsidRPr="00092C9A">
        <w:rPr>
          <w:rStyle w:val="Znakapoznpodarou"/>
          <w:sz w:val="16"/>
          <w:szCs w:val="16"/>
        </w:rPr>
        <w:footnoteRef/>
      </w:r>
      <w:r w:rsidRPr="00092C9A">
        <w:rPr>
          <w:sz w:val="16"/>
          <w:szCs w:val="16"/>
        </w:rPr>
        <w:t xml:space="preserve"> </w:t>
      </w:r>
      <w:r w:rsidRPr="00CE5B96">
        <w:rPr>
          <w:sz w:val="16"/>
          <w:szCs w:val="16"/>
          <w:lang w:val="en-GB"/>
        </w:rPr>
        <w:t xml:space="preserve">Data are not adjusted and do not include trade, </w:t>
      </w:r>
      <w:r>
        <w:rPr>
          <w:sz w:val="16"/>
          <w:szCs w:val="16"/>
          <w:lang w:val="en-GB"/>
        </w:rPr>
        <w:t>financial and insurance activities</w:t>
      </w:r>
      <w:r w:rsidRPr="00CE5B96">
        <w:rPr>
          <w:sz w:val="16"/>
          <w:szCs w:val="16"/>
          <w:lang w:val="en-GB"/>
        </w:rPr>
        <w:t xml:space="preserve">, </w:t>
      </w:r>
      <w:r w:rsidRPr="007F0012">
        <w:rPr>
          <w:sz w:val="16"/>
          <w:szCs w:val="16"/>
          <w:lang w:val="en-GB"/>
        </w:rPr>
        <w:t>scientific research and development and also the public services</w:t>
      </w:r>
      <w:r>
        <w:rPr>
          <w:sz w:val="16"/>
          <w:szCs w:val="16"/>
          <w:lang w:val="en-GB"/>
        </w:rPr>
        <w:t xml:space="preserve">. </w:t>
      </w:r>
    </w:p>
  </w:footnote>
  <w:footnote w:id="18">
    <w:p w:rsidR="000A7C02" w:rsidRPr="00A7125D" w:rsidRDefault="000A7C02" w:rsidP="007C3191">
      <w:pPr>
        <w:pStyle w:val="Textpoznpodarou"/>
        <w:jc w:val="both"/>
        <w:rPr>
          <w:sz w:val="16"/>
          <w:szCs w:val="16"/>
        </w:rPr>
      </w:pPr>
      <w:r w:rsidRPr="00CE5B96">
        <w:rPr>
          <w:rStyle w:val="Znakapoznpodarou"/>
          <w:sz w:val="16"/>
          <w:szCs w:val="16"/>
          <w:lang w:val="en-GB"/>
        </w:rPr>
        <w:footnoteRef/>
      </w:r>
      <w:r>
        <w:rPr>
          <w:sz w:val="16"/>
          <w:szCs w:val="16"/>
          <w:lang w:val="en-GB"/>
        </w:rPr>
        <w:t xml:space="preserve"> Sales however increased by 4.7</w:t>
      </w:r>
      <w:r w:rsidRPr="00CE5B96">
        <w:rPr>
          <w:sz w:val="16"/>
          <w:szCs w:val="16"/>
          <w:lang w:val="en-GB"/>
        </w:rPr>
        <w:t xml:space="preserve">% year-on-year in the Q4 2016 itself.  It occurred for the first time after sixteen quarters of adverse development. </w:t>
      </w:r>
      <w:r>
        <w:rPr>
          <w:sz w:val="16"/>
          <w:szCs w:val="16"/>
          <w:lang w:val="en-GB"/>
        </w:rPr>
        <w:t>Halting of decline of arrivals of Russian tourists into the Czech Republic in part contributed to this turn. Their numbers fell by 15</w:t>
      </w:r>
      <w:r w:rsidRPr="00CE5B96">
        <w:rPr>
          <w:sz w:val="16"/>
          <w:szCs w:val="16"/>
          <w:lang w:val="en-GB"/>
        </w:rPr>
        <w:t xml:space="preserve">% year-on-year in </w:t>
      </w:r>
      <w:r w:rsidR="00857A2F">
        <w:rPr>
          <w:sz w:val="16"/>
          <w:szCs w:val="16"/>
          <w:lang w:val="en-GB"/>
        </w:rPr>
        <w:t xml:space="preserve">the period from </w:t>
      </w:r>
      <w:r w:rsidRPr="00CE5B96">
        <w:rPr>
          <w:sz w:val="16"/>
          <w:szCs w:val="16"/>
          <w:lang w:val="en-GB"/>
        </w:rPr>
        <w:t xml:space="preserve">Q1 to Q3 </w:t>
      </w:r>
      <w:proofErr w:type="gramStart"/>
      <w:r w:rsidRPr="00CE5B96">
        <w:rPr>
          <w:sz w:val="16"/>
          <w:szCs w:val="16"/>
          <w:lang w:val="en-GB"/>
        </w:rPr>
        <w:t>2016,</w:t>
      </w:r>
      <w:proofErr w:type="gramEnd"/>
      <w:r w:rsidRPr="00CE5B96">
        <w:rPr>
          <w:sz w:val="16"/>
          <w:szCs w:val="16"/>
          <w:lang w:val="en-GB"/>
        </w:rPr>
        <w:t xml:space="preserve"> </w:t>
      </w:r>
      <w:r>
        <w:rPr>
          <w:sz w:val="16"/>
          <w:szCs w:val="16"/>
          <w:lang w:val="en-GB"/>
        </w:rPr>
        <w:t>however they already rose by 23</w:t>
      </w:r>
      <w:r w:rsidRPr="00CE5B96">
        <w:rPr>
          <w:sz w:val="16"/>
          <w:szCs w:val="16"/>
          <w:lang w:val="en-GB"/>
        </w:rPr>
        <w:t>% in the remaining part of the year.</w:t>
      </w:r>
      <w:r>
        <w:rPr>
          <w:sz w:val="16"/>
          <w:szCs w:val="16"/>
        </w:rPr>
        <w:t xml:space="preserve"> </w:t>
      </w:r>
    </w:p>
  </w:footnote>
  <w:footnote w:id="19">
    <w:p w:rsidR="000A7C02" w:rsidRPr="00953F0A" w:rsidRDefault="000A7C02" w:rsidP="007C3191">
      <w:pPr>
        <w:pStyle w:val="Textpoznpodarou"/>
        <w:jc w:val="both"/>
        <w:rPr>
          <w:sz w:val="16"/>
          <w:szCs w:val="16"/>
          <w:lang w:val="en-GB"/>
        </w:rPr>
      </w:pPr>
      <w:r w:rsidRPr="002D7A47">
        <w:rPr>
          <w:rStyle w:val="Znakapoznpodarou"/>
          <w:sz w:val="16"/>
          <w:szCs w:val="16"/>
        </w:rPr>
        <w:footnoteRef/>
      </w:r>
      <w:r w:rsidRPr="002D7A47">
        <w:rPr>
          <w:sz w:val="16"/>
          <w:szCs w:val="16"/>
        </w:rPr>
        <w:t xml:space="preserve"> </w:t>
      </w:r>
      <w:r w:rsidRPr="00953F0A">
        <w:rPr>
          <w:sz w:val="16"/>
          <w:szCs w:val="16"/>
          <w:lang w:val="en-GB"/>
        </w:rPr>
        <w:t>All data related to retail sales are adjusted for calen</w:t>
      </w:r>
      <w:r>
        <w:rPr>
          <w:sz w:val="16"/>
          <w:szCs w:val="16"/>
          <w:lang w:val="en-GB"/>
        </w:rPr>
        <w:t>dar effects in constant prices.</w:t>
      </w:r>
    </w:p>
  </w:footnote>
  <w:footnote w:id="20">
    <w:p w:rsidR="000A7C02" w:rsidRPr="00953F0A" w:rsidRDefault="000A7C02" w:rsidP="007C3191">
      <w:pPr>
        <w:pStyle w:val="Textpoznpodarou"/>
        <w:jc w:val="both"/>
        <w:rPr>
          <w:spacing w:val="-2"/>
          <w:sz w:val="16"/>
          <w:szCs w:val="16"/>
          <w:lang w:val="en-GB"/>
        </w:rPr>
      </w:pPr>
      <w:r w:rsidRPr="00953F0A">
        <w:rPr>
          <w:rStyle w:val="Znakapoznpodarou"/>
          <w:spacing w:val="-2"/>
          <w:sz w:val="16"/>
          <w:lang w:val="en-GB"/>
        </w:rPr>
        <w:footnoteRef/>
      </w:r>
      <w:r w:rsidRPr="00953F0A">
        <w:rPr>
          <w:spacing w:val="-2"/>
          <w:sz w:val="16"/>
          <w:lang w:val="en-GB"/>
        </w:rPr>
        <w:t xml:space="preserve"> A </w:t>
      </w:r>
      <w:r>
        <w:rPr>
          <w:spacing w:val="-2"/>
          <w:sz w:val="16"/>
          <w:lang w:val="en-GB"/>
        </w:rPr>
        <w:t xml:space="preserve">considerable </w:t>
      </w:r>
      <w:r w:rsidRPr="00953F0A">
        <w:rPr>
          <w:spacing w:val="-2"/>
          <w:sz w:val="16"/>
          <w:lang w:val="en-GB"/>
        </w:rPr>
        <w:t>slump of sales for services occurred in these in H2 2016 (comprising howe</w:t>
      </w:r>
      <w:r>
        <w:rPr>
          <w:spacing w:val="-2"/>
          <w:sz w:val="16"/>
          <w:lang w:val="en-GB"/>
        </w:rPr>
        <w:t>v</w:t>
      </w:r>
      <w:r w:rsidRPr="00953F0A">
        <w:rPr>
          <w:spacing w:val="-2"/>
          <w:sz w:val="16"/>
          <w:lang w:val="en-GB"/>
        </w:rPr>
        <w:t>er only a marginal share of all sales of seller</w:t>
      </w:r>
      <w:r>
        <w:rPr>
          <w:spacing w:val="-2"/>
          <w:sz w:val="16"/>
          <w:lang w:val="en-GB"/>
        </w:rPr>
        <w:t>s</w:t>
      </w:r>
      <w:r w:rsidRPr="00953F0A">
        <w:rPr>
          <w:spacing w:val="-2"/>
          <w:sz w:val="16"/>
          <w:lang w:val="en-GB"/>
        </w:rPr>
        <w:t xml:space="preserve"> of food).</w:t>
      </w:r>
    </w:p>
  </w:footnote>
  <w:footnote w:id="21">
    <w:p w:rsidR="000A7C02" w:rsidRPr="00931324" w:rsidRDefault="000A7C02" w:rsidP="00931324">
      <w:pPr>
        <w:pStyle w:val="Textpoznpodarou"/>
        <w:jc w:val="both"/>
        <w:rPr>
          <w:sz w:val="16"/>
          <w:szCs w:val="16"/>
          <w:lang w:val="en-GB"/>
        </w:rPr>
      </w:pPr>
      <w:r w:rsidRPr="003279A7">
        <w:rPr>
          <w:rStyle w:val="Znakapoznpodarou"/>
          <w:sz w:val="16"/>
          <w:szCs w:val="16"/>
        </w:rPr>
        <w:footnoteRef/>
      </w:r>
      <w:r w:rsidRPr="003279A7">
        <w:rPr>
          <w:sz w:val="16"/>
          <w:szCs w:val="16"/>
        </w:rPr>
        <w:t xml:space="preserve"> </w:t>
      </w:r>
      <w:r w:rsidRPr="00931324">
        <w:rPr>
          <w:sz w:val="16"/>
          <w:szCs w:val="16"/>
          <w:lang w:val="en-GB"/>
        </w:rPr>
        <w:t xml:space="preserve">Data in the national conception in nominal expression include only trade with goods. The value of exports is captured in FOB prices, i.e. including the costs connected with the transport to the CR boundaries. Import is in CIF prices, i.e. including costs associated with the </w:t>
      </w:r>
      <w:proofErr w:type="spellStart"/>
      <w:r w:rsidRPr="00931324">
        <w:rPr>
          <w:sz w:val="16"/>
          <w:szCs w:val="16"/>
          <w:lang w:val="en-GB"/>
        </w:rPr>
        <w:t>transpoation</w:t>
      </w:r>
      <w:proofErr w:type="spellEnd"/>
      <w:r w:rsidRPr="00931324">
        <w:rPr>
          <w:sz w:val="16"/>
          <w:szCs w:val="16"/>
          <w:lang w:val="en-GB"/>
        </w:rPr>
        <w:t xml:space="preserve"> abroad, up all the way to the CR boundaries. Data </w:t>
      </w:r>
      <w:r>
        <w:rPr>
          <w:sz w:val="16"/>
          <w:szCs w:val="16"/>
          <w:lang w:val="en-GB"/>
        </w:rPr>
        <w:t>are valid as of 9</w:t>
      </w:r>
      <w:r w:rsidRPr="00FE4BD3">
        <w:rPr>
          <w:sz w:val="16"/>
          <w:szCs w:val="16"/>
          <w:vertAlign w:val="superscript"/>
          <w:lang w:val="en-GB"/>
        </w:rPr>
        <w:t>th</w:t>
      </w:r>
      <w:r>
        <w:rPr>
          <w:sz w:val="16"/>
          <w:szCs w:val="16"/>
          <w:lang w:val="en-GB"/>
        </w:rPr>
        <w:t xml:space="preserve"> March</w:t>
      </w:r>
      <w:r w:rsidRPr="00931324">
        <w:rPr>
          <w:sz w:val="16"/>
          <w:szCs w:val="16"/>
          <w:lang w:val="en-GB"/>
        </w:rPr>
        <w:t xml:space="preserve"> 2016.  </w:t>
      </w:r>
    </w:p>
  </w:footnote>
  <w:footnote w:id="22">
    <w:p w:rsidR="000A7C02" w:rsidRPr="00A20995" w:rsidRDefault="000A7C02" w:rsidP="00A20995">
      <w:pPr>
        <w:pStyle w:val="Textpoznpodarou"/>
        <w:jc w:val="both"/>
        <w:rPr>
          <w:sz w:val="16"/>
          <w:szCs w:val="16"/>
          <w:lang w:val="en-GB"/>
        </w:rPr>
      </w:pPr>
      <w:r w:rsidRPr="00220838">
        <w:rPr>
          <w:rStyle w:val="Znakapoznpodarou"/>
          <w:sz w:val="16"/>
        </w:rPr>
        <w:footnoteRef/>
      </w:r>
      <w:r w:rsidRPr="00A20995">
        <w:rPr>
          <w:sz w:val="16"/>
          <w:lang w:val="en-GB"/>
        </w:rPr>
        <w:t>If we included the amoun</w:t>
      </w:r>
      <w:r>
        <w:rPr>
          <w:sz w:val="16"/>
          <w:lang w:val="en-GB"/>
        </w:rPr>
        <w:t>t</w:t>
      </w:r>
      <w:r w:rsidRPr="00A20995">
        <w:rPr>
          <w:sz w:val="16"/>
          <w:lang w:val="en-GB"/>
        </w:rPr>
        <w:t xml:space="preserve"> of 16.2 </w:t>
      </w:r>
      <w:r>
        <w:rPr>
          <w:sz w:val="16"/>
          <w:lang w:val="en-GB"/>
        </w:rPr>
        <w:t>CZK bn</w:t>
      </w:r>
      <w:r w:rsidRPr="00A20995">
        <w:rPr>
          <w:sz w:val="16"/>
          <w:lang w:val="en-GB"/>
        </w:rPr>
        <w:t xml:space="preserve"> following the review of the methodology of capturing the trade</w:t>
      </w:r>
      <w:r>
        <w:rPr>
          <w:sz w:val="16"/>
          <w:lang w:val="en-GB"/>
        </w:rPr>
        <w:t xml:space="preserve"> with the natural gas, </w:t>
      </w:r>
      <w:r w:rsidRPr="00A20995">
        <w:rPr>
          <w:sz w:val="16"/>
          <w:szCs w:val="16"/>
          <w:lang w:val="en-GB"/>
        </w:rPr>
        <w:t xml:space="preserve">the difference in the balance of years 2015 and 2016 would deepen to 52.3 </w:t>
      </w:r>
      <w:r>
        <w:rPr>
          <w:sz w:val="16"/>
          <w:szCs w:val="16"/>
          <w:lang w:val="en-GB"/>
        </w:rPr>
        <w:t>CZK bn</w:t>
      </w:r>
      <w:r w:rsidRPr="00A20995">
        <w:rPr>
          <w:sz w:val="16"/>
          <w:szCs w:val="16"/>
          <w:lang w:val="en-GB"/>
        </w:rPr>
        <w:t>.</w:t>
      </w:r>
    </w:p>
  </w:footnote>
  <w:footnote w:id="23">
    <w:p w:rsidR="000A7C02" w:rsidRPr="00E41A59" w:rsidRDefault="000A7C02" w:rsidP="000F43EB">
      <w:pPr>
        <w:pStyle w:val="Textpoznpodarou"/>
        <w:jc w:val="both"/>
        <w:rPr>
          <w:sz w:val="16"/>
          <w:szCs w:val="16"/>
        </w:rPr>
      </w:pPr>
      <w:r w:rsidRPr="00220838">
        <w:rPr>
          <w:rStyle w:val="Znakapoznpodarou"/>
          <w:sz w:val="16"/>
        </w:rPr>
        <w:footnoteRef/>
      </w:r>
      <w:r w:rsidRPr="00220838">
        <w:rPr>
          <w:sz w:val="16"/>
        </w:rPr>
        <w:t xml:space="preserve"> </w:t>
      </w:r>
      <w:proofErr w:type="gramStart"/>
      <w:r w:rsidRPr="003857CD">
        <w:rPr>
          <w:sz w:val="16"/>
          <w:lang w:val="en-GB"/>
        </w:rPr>
        <w:t xml:space="preserve">Expressed by the addition to the average consumer price index for the last twelve months against the average of the preceding </w:t>
      </w:r>
      <w:r w:rsidRPr="003857CD">
        <w:rPr>
          <w:sz w:val="16"/>
          <w:szCs w:val="16"/>
          <w:lang w:val="en-GB"/>
        </w:rPr>
        <w:t>12 months.</w:t>
      </w:r>
      <w:proofErr w:type="gramEnd"/>
      <w:r>
        <w:rPr>
          <w:sz w:val="16"/>
          <w:szCs w:val="16"/>
        </w:rPr>
        <w:t xml:space="preserve"> </w:t>
      </w:r>
    </w:p>
  </w:footnote>
  <w:footnote w:id="24">
    <w:p w:rsidR="000A7C02" w:rsidRPr="00C53EBE" w:rsidRDefault="000A7C02">
      <w:pPr>
        <w:pStyle w:val="Textpoznpodarou"/>
        <w:rPr>
          <w:sz w:val="16"/>
          <w:szCs w:val="16"/>
          <w:lang w:val="en-GB"/>
        </w:rPr>
      </w:pPr>
      <w:r w:rsidRPr="00C53EBE">
        <w:rPr>
          <w:rStyle w:val="Znakapoznpodarou"/>
          <w:sz w:val="16"/>
          <w:lang w:val="en-GB"/>
        </w:rPr>
        <w:footnoteRef/>
      </w:r>
      <w:r w:rsidRPr="00C53EBE">
        <w:rPr>
          <w:sz w:val="16"/>
          <w:lang w:val="en-GB"/>
        </w:rPr>
        <w:t xml:space="preserve"> Data surveyed only for Prague. </w:t>
      </w:r>
    </w:p>
  </w:footnote>
  <w:footnote w:id="25">
    <w:p w:rsidR="000A7C02" w:rsidRPr="00B53EA6" w:rsidRDefault="000A7C02" w:rsidP="00D6126B">
      <w:pPr>
        <w:pStyle w:val="Textpoznpodarou"/>
        <w:jc w:val="both"/>
        <w:rPr>
          <w:sz w:val="16"/>
          <w:szCs w:val="16"/>
          <w:lang w:val="en-GB"/>
        </w:rPr>
      </w:pPr>
      <w:r w:rsidRPr="00B53EA6">
        <w:rPr>
          <w:rStyle w:val="Znakapoznpodarou"/>
          <w:sz w:val="16"/>
          <w:szCs w:val="16"/>
          <w:lang w:val="en-GB"/>
        </w:rPr>
        <w:footnoteRef/>
      </w:r>
      <w:r w:rsidRPr="00B53EA6">
        <w:rPr>
          <w:sz w:val="16"/>
          <w:szCs w:val="16"/>
          <w:lang w:val="en-GB"/>
        </w:rPr>
        <w:t xml:space="preserve"> Unless stated otherwise, all employment data are in the national accounts conception and seasonally adjusted in this chapter. </w:t>
      </w:r>
    </w:p>
  </w:footnote>
  <w:footnote w:id="26">
    <w:p w:rsidR="000A7C02" w:rsidRPr="00CC509A" w:rsidRDefault="000A7C02" w:rsidP="00D6126B">
      <w:pPr>
        <w:pStyle w:val="Textpoznpodarou"/>
        <w:jc w:val="both"/>
        <w:rPr>
          <w:sz w:val="16"/>
          <w:szCs w:val="16"/>
          <w:lang w:val="en-GB"/>
        </w:rPr>
      </w:pPr>
      <w:r w:rsidRPr="00B53EA6">
        <w:rPr>
          <w:rStyle w:val="Znakapoznpodarou"/>
          <w:sz w:val="16"/>
          <w:szCs w:val="16"/>
          <w:lang w:val="en-GB"/>
        </w:rPr>
        <w:footnoteRef/>
      </w:r>
      <w:r w:rsidRPr="00B53EA6">
        <w:rPr>
          <w:sz w:val="16"/>
          <w:szCs w:val="16"/>
          <w:lang w:val="en-GB"/>
        </w:rPr>
        <w:t xml:space="preserve"> </w:t>
      </w:r>
      <w:r w:rsidRPr="00CC509A">
        <w:rPr>
          <w:sz w:val="16"/>
          <w:szCs w:val="16"/>
          <w:lang w:val="en-GB"/>
        </w:rPr>
        <w:t xml:space="preserve">Additional more detailed data of the </w:t>
      </w:r>
      <w:r w:rsidR="00D177E9">
        <w:rPr>
          <w:sz w:val="16"/>
          <w:szCs w:val="16"/>
          <w:lang w:val="en-GB"/>
        </w:rPr>
        <w:t>L</w:t>
      </w:r>
      <w:r w:rsidRPr="00CC509A">
        <w:rPr>
          <w:sz w:val="16"/>
          <w:szCs w:val="16"/>
          <w:lang w:val="en-GB"/>
        </w:rPr>
        <w:t xml:space="preserve">abour force sample survey suggest, that the numbers of entrepreneurs without employees were increasing (by 46 thousand year-on-year in Q4) in 2016, while the number of entrepreneurs with employees on the contrary shrank (by 10 thousand). </w:t>
      </w:r>
    </w:p>
  </w:footnote>
  <w:footnote w:id="27">
    <w:p w:rsidR="000A7C02" w:rsidRPr="00215B9A" w:rsidRDefault="000A7C02" w:rsidP="00E90D67">
      <w:pPr>
        <w:pStyle w:val="Textpoznpodarou"/>
        <w:rPr>
          <w:sz w:val="16"/>
          <w:szCs w:val="16"/>
        </w:rPr>
      </w:pPr>
      <w:r w:rsidRPr="00CC509A">
        <w:rPr>
          <w:rStyle w:val="Znakapoznpodarou"/>
          <w:sz w:val="16"/>
          <w:szCs w:val="16"/>
          <w:lang w:val="en-GB"/>
        </w:rPr>
        <w:footnoteRef/>
      </w:r>
      <w:r w:rsidRPr="00CC509A">
        <w:rPr>
          <w:sz w:val="16"/>
          <w:szCs w:val="16"/>
          <w:lang w:val="en-GB"/>
        </w:rPr>
        <w:t xml:space="preserve"> </w:t>
      </w:r>
      <w:proofErr w:type="gramStart"/>
      <w:r w:rsidRPr="00CC509A">
        <w:rPr>
          <w:sz w:val="16"/>
          <w:szCs w:val="16"/>
          <w:lang w:val="en-GB"/>
        </w:rPr>
        <w:t>After adjustment for seasonal effects</w:t>
      </w:r>
      <w:r w:rsidRPr="00CC509A">
        <w:rPr>
          <w:rFonts w:cs="Arial"/>
          <w:spacing w:val="-4"/>
          <w:sz w:val="16"/>
          <w:szCs w:val="16"/>
          <w:lang w:val="en-GB"/>
        </w:rPr>
        <w:t>.</w:t>
      </w:r>
      <w:proofErr w:type="gramEnd"/>
    </w:p>
  </w:footnote>
  <w:footnote w:id="28">
    <w:p w:rsidR="000A7C02" w:rsidRPr="00113F43" w:rsidRDefault="000A7C02">
      <w:pPr>
        <w:pStyle w:val="Textpoznpodarou"/>
        <w:rPr>
          <w:sz w:val="16"/>
          <w:szCs w:val="16"/>
          <w:lang w:val="en-GB"/>
        </w:rPr>
      </w:pPr>
      <w:r w:rsidRPr="007E12C1">
        <w:rPr>
          <w:rStyle w:val="Znakapoznpodarou"/>
          <w:sz w:val="16"/>
          <w:szCs w:val="16"/>
        </w:rPr>
        <w:footnoteRef/>
      </w:r>
      <w:r w:rsidRPr="007E12C1">
        <w:rPr>
          <w:sz w:val="16"/>
          <w:szCs w:val="16"/>
        </w:rPr>
        <w:t xml:space="preserve"> </w:t>
      </w:r>
      <w:proofErr w:type="gramStart"/>
      <w:r w:rsidRPr="00113F43">
        <w:rPr>
          <w:sz w:val="16"/>
          <w:szCs w:val="16"/>
          <w:lang w:val="en-GB"/>
        </w:rPr>
        <w:t>The CNB data.</w:t>
      </w:r>
      <w:proofErr w:type="gramEnd"/>
      <w:r w:rsidRPr="00113F43">
        <w:rPr>
          <w:sz w:val="16"/>
          <w:szCs w:val="16"/>
          <w:lang w:val="en-GB"/>
        </w:rPr>
        <w:t xml:space="preserve"> Unless stated otherwise, all data in this chapter are taken from the Czech National Bank database ARAD. </w:t>
      </w:r>
    </w:p>
  </w:footnote>
  <w:footnote w:id="29">
    <w:p w:rsidR="000A7C02" w:rsidRPr="00506A2B" w:rsidRDefault="000A7C02">
      <w:pPr>
        <w:pStyle w:val="Textpoznpodarou"/>
        <w:rPr>
          <w:sz w:val="16"/>
          <w:szCs w:val="16"/>
        </w:rPr>
      </w:pPr>
      <w:r w:rsidRPr="00113F43">
        <w:rPr>
          <w:rStyle w:val="Znakapoznpodarou"/>
          <w:sz w:val="16"/>
          <w:szCs w:val="16"/>
          <w:lang w:val="en-GB"/>
        </w:rPr>
        <w:footnoteRef/>
      </w:r>
      <w:r w:rsidRPr="00113F43">
        <w:rPr>
          <w:sz w:val="16"/>
          <w:szCs w:val="16"/>
          <w:lang w:val="en-GB"/>
        </w:rPr>
        <w:t xml:space="preserve"> </w:t>
      </w:r>
      <w:proofErr w:type="gramStart"/>
      <w:r w:rsidRPr="00113F43">
        <w:rPr>
          <w:sz w:val="16"/>
          <w:szCs w:val="16"/>
          <w:lang w:val="en-GB"/>
        </w:rPr>
        <w:t>Measured by the monetary aggregate M3.</w:t>
      </w:r>
      <w:proofErr w:type="gramEnd"/>
    </w:p>
  </w:footnote>
  <w:footnote w:id="30">
    <w:p w:rsidR="000A7C02" w:rsidRPr="0055240C" w:rsidRDefault="000A7C02">
      <w:pPr>
        <w:pStyle w:val="Textpoznpodarou"/>
        <w:rPr>
          <w:sz w:val="16"/>
          <w:szCs w:val="16"/>
          <w:lang w:val="en-GB"/>
        </w:rPr>
      </w:pPr>
      <w:r w:rsidRPr="00220838">
        <w:rPr>
          <w:rStyle w:val="Znakapoznpodarou"/>
          <w:sz w:val="16"/>
        </w:rPr>
        <w:footnoteRef/>
      </w:r>
      <w:r w:rsidRPr="00220838">
        <w:rPr>
          <w:sz w:val="16"/>
        </w:rPr>
        <w:t xml:space="preserve"> </w:t>
      </w:r>
      <w:proofErr w:type="gramStart"/>
      <w:r w:rsidRPr="0055240C">
        <w:rPr>
          <w:sz w:val="16"/>
          <w:szCs w:val="16"/>
          <w:lang w:val="en-GB"/>
        </w:rPr>
        <w:t>Based on CZ-NACE classification.</w:t>
      </w:r>
      <w:proofErr w:type="gramEnd"/>
    </w:p>
  </w:footnote>
  <w:footnote w:id="31">
    <w:p w:rsidR="000A7C02" w:rsidRPr="00B35F7F" w:rsidRDefault="000A7C02" w:rsidP="008A03DE">
      <w:pPr>
        <w:pStyle w:val="Textpoznpodarou"/>
        <w:jc w:val="both"/>
        <w:rPr>
          <w:sz w:val="16"/>
          <w:szCs w:val="16"/>
          <w:lang w:val="en-GB"/>
        </w:rPr>
      </w:pPr>
      <w:r w:rsidRPr="0055240C">
        <w:rPr>
          <w:rStyle w:val="Znakapoznpodarou"/>
          <w:sz w:val="16"/>
          <w:szCs w:val="16"/>
          <w:lang w:val="en-GB"/>
        </w:rPr>
        <w:footnoteRef/>
      </w:r>
      <w:r w:rsidRPr="0055240C">
        <w:rPr>
          <w:sz w:val="16"/>
          <w:szCs w:val="16"/>
          <w:lang w:val="en-GB"/>
        </w:rPr>
        <w:t xml:space="preserve"> </w:t>
      </w:r>
      <w:r w:rsidRPr="00B35F7F">
        <w:rPr>
          <w:sz w:val="16"/>
          <w:szCs w:val="16"/>
          <w:lang w:val="en-GB"/>
        </w:rPr>
        <w:t>State wide collection of tax income (i.e. at the level of all public</w:t>
      </w:r>
      <w:r>
        <w:rPr>
          <w:sz w:val="16"/>
          <w:szCs w:val="16"/>
          <w:lang w:val="en-GB"/>
        </w:rPr>
        <w:t xml:space="preserve"> budgets) increased even by 8.4</w:t>
      </w:r>
      <w:r w:rsidRPr="00B35F7F">
        <w:rPr>
          <w:sz w:val="16"/>
          <w:szCs w:val="16"/>
          <w:lang w:val="en-GB"/>
        </w:rPr>
        <w:t>% compared to year 2015. Tax income of the SB itself were negatively affected by the change of the budget</w:t>
      </w:r>
      <w:r>
        <w:rPr>
          <w:sz w:val="16"/>
          <w:szCs w:val="16"/>
          <w:lang w:val="en-GB"/>
        </w:rPr>
        <w:t xml:space="preserve"> distribution scheme of taxes</w:t>
      </w:r>
      <w:r w:rsidRPr="00B35F7F">
        <w:rPr>
          <w:sz w:val="16"/>
          <w:szCs w:val="16"/>
          <w:lang w:val="en-GB"/>
        </w:rPr>
        <w:t xml:space="preserve"> last year, </w:t>
      </w:r>
      <w:r w:rsidRPr="00B35F7F">
        <w:rPr>
          <w:rFonts w:cs="Arial"/>
          <w:color w:val="000000"/>
          <w:spacing w:val="-2"/>
          <w:sz w:val="16"/>
          <w:szCs w:val="16"/>
          <w:lang w:val="en-GB"/>
        </w:rPr>
        <w:t>when the proportion of the S</w:t>
      </w:r>
      <w:r>
        <w:rPr>
          <w:rFonts w:cs="Arial"/>
          <w:color w:val="000000"/>
          <w:spacing w:val="-2"/>
          <w:sz w:val="16"/>
          <w:szCs w:val="16"/>
          <w:lang w:val="en-GB"/>
        </w:rPr>
        <w:t>B</w:t>
      </w:r>
      <w:r w:rsidRPr="00B35F7F">
        <w:rPr>
          <w:rFonts w:cs="Arial"/>
          <w:color w:val="000000"/>
          <w:spacing w:val="-2"/>
          <w:sz w:val="16"/>
          <w:szCs w:val="16"/>
          <w:lang w:val="en-GB"/>
        </w:rPr>
        <w:t xml:space="preserve"> on the state-wide collection decreased roughly by 1 p.p., both for the VAT and the </w:t>
      </w:r>
      <w:r w:rsidRPr="002B1AA2">
        <w:rPr>
          <w:rFonts w:cs="Arial"/>
          <w:color w:val="000000"/>
          <w:spacing w:val="-2"/>
          <w:sz w:val="16"/>
          <w:szCs w:val="16"/>
          <w:lang w:val="en-GB"/>
        </w:rPr>
        <w:t>income taxes of natural persons (ITNP</w:t>
      </w:r>
      <w:r>
        <w:rPr>
          <w:rFonts w:cs="Arial"/>
          <w:color w:val="000000"/>
          <w:spacing w:val="-2"/>
          <w:sz w:val="16"/>
          <w:szCs w:val="16"/>
          <w:lang w:val="en-GB"/>
        </w:rPr>
        <w:t xml:space="preserve">) from dependent activity. </w:t>
      </w:r>
    </w:p>
  </w:footnote>
  <w:footnote w:id="32">
    <w:p w:rsidR="000A7C02" w:rsidRPr="00B35F7F" w:rsidRDefault="000A7C02" w:rsidP="008A03DE">
      <w:pPr>
        <w:autoSpaceDE w:val="0"/>
        <w:autoSpaceDN w:val="0"/>
        <w:adjustRightInd w:val="0"/>
        <w:spacing w:line="240" w:lineRule="auto"/>
        <w:jc w:val="both"/>
        <w:rPr>
          <w:rFonts w:cs="Arial"/>
          <w:sz w:val="16"/>
          <w:szCs w:val="16"/>
          <w:lang w:val="en-GB"/>
        </w:rPr>
      </w:pPr>
      <w:r w:rsidRPr="00B35F7F">
        <w:rPr>
          <w:rStyle w:val="Znakapoznpodarou"/>
          <w:sz w:val="16"/>
          <w:szCs w:val="16"/>
          <w:lang w:val="en-GB"/>
        </w:rPr>
        <w:footnoteRef/>
      </w:r>
      <w:r w:rsidRPr="00B35F7F">
        <w:rPr>
          <w:sz w:val="16"/>
          <w:szCs w:val="16"/>
          <w:lang w:val="en-GB"/>
        </w:rPr>
        <w:t xml:space="preserve"> </w:t>
      </w:r>
      <w:proofErr w:type="gramStart"/>
      <w:r w:rsidRPr="00B35F7F">
        <w:rPr>
          <w:sz w:val="16"/>
          <w:szCs w:val="16"/>
          <w:lang w:val="en-GB"/>
        </w:rPr>
        <w:t xml:space="preserve">Total consumption of </w:t>
      </w:r>
      <w:r>
        <w:rPr>
          <w:sz w:val="16"/>
          <w:szCs w:val="16"/>
          <w:lang w:val="en-GB"/>
        </w:rPr>
        <w:t>diesel oil increased by 4.0</w:t>
      </w:r>
      <w:r w:rsidRPr="00B35F7F">
        <w:rPr>
          <w:sz w:val="16"/>
          <w:szCs w:val="16"/>
          <w:lang w:val="en-GB"/>
        </w:rPr>
        <w:t>% fro</w:t>
      </w:r>
      <w:r>
        <w:rPr>
          <w:sz w:val="16"/>
          <w:szCs w:val="16"/>
          <w:lang w:val="en-GB"/>
        </w:rPr>
        <w:t>m January till November 2016 (in case of motor gasoline by 1.7</w:t>
      </w:r>
      <w:r w:rsidRPr="00B35F7F">
        <w:rPr>
          <w:sz w:val="16"/>
          <w:szCs w:val="16"/>
          <w:lang w:val="en-GB"/>
        </w:rPr>
        <w:t>%</w:t>
      </w:r>
      <w:r>
        <w:rPr>
          <w:sz w:val="16"/>
          <w:szCs w:val="16"/>
          <w:lang w:val="en-GB"/>
        </w:rPr>
        <w:t>)</w:t>
      </w:r>
      <w:r w:rsidRPr="00B35F7F">
        <w:rPr>
          <w:sz w:val="16"/>
          <w:szCs w:val="16"/>
          <w:lang w:val="en-GB"/>
        </w:rPr>
        <w:t>.</w:t>
      </w:r>
      <w:proofErr w:type="gramEnd"/>
      <w:r w:rsidRPr="00B35F7F">
        <w:rPr>
          <w:sz w:val="16"/>
          <w:szCs w:val="16"/>
          <w:lang w:val="en-GB"/>
        </w:rPr>
        <w:t xml:space="preserve"> </w:t>
      </w:r>
      <w:r>
        <w:rPr>
          <w:sz w:val="16"/>
          <w:szCs w:val="16"/>
          <w:lang w:val="en-GB"/>
        </w:rPr>
        <w:t>Due to the lowering of support of green and high percentage biofuels in transport (since year 2016) it can be assumed</w:t>
      </w:r>
      <w:r w:rsidRPr="00B35F7F">
        <w:rPr>
          <w:rFonts w:cs="Arial"/>
          <w:sz w:val="16"/>
          <w:szCs w:val="16"/>
          <w:lang w:val="en-GB"/>
        </w:rPr>
        <w:t xml:space="preserve">, that part of the consumption transferred to more taxed automotive fuels. Consumer prices of automotive fuels </w:t>
      </w:r>
      <w:proofErr w:type="gramStart"/>
      <w:r w:rsidRPr="00B35F7F">
        <w:rPr>
          <w:rFonts w:cs="Arial"/>
          <w:sz w:val="16"/>
          <w:szCs w:val="16"/>
          <w:lang w:val="en-GB"/>
        </w:rPr>
        <w:t>hovered</w:t>
      </w:r>
      <w:proofErr w:type="gramEnd"/>
      <w:r w:rsidRPr="00B35F7F">
        <w:rPr>
          <w:rFonts w:cs="Arial"/>
          <w:sz w:val="16"/>
          <w:szCs w:val="16"/>
          <w:lang w:val="en-GB"/>
        </w:rPr>
        <w:t xml:space="preserve"> the lowest since the deep recession (2009) in eleven months of the last year. </w:t>
      </w:r>
    </w:p>
  </w:footnote>
  <w:footnote w:id="33">
    <w:p w:rsidR="000A7C02" w:rsidRPr="00B243A3" w:rsidRDefault="000A7C02" w:rsidP="00B243A3">
      <w:pPr>
        <w:pStyle w:val="Textpoznpodarou"/>
        <w:jc w:val="both"/>
        <w:rPr>
          <w:sz w:val="16"/>
          <w:szCs w:val="16"/>
          <w:lang w:val="en-GB"/>
        </w:rPr>
      </w:pPr>
      <w:r w:rsidRPr="00401D00">
        <w:rPr>
          <w:rStyle w:val="Znakapoznpodarou"/>
          <w:sz w:val="16"/>
          <w:szCs w:val="16"/>
        </w:rPr>
        <w:footnoteRef/>
      </w:r>
      <w:r w:rsidRPr="00401D00">
        <w:rPr>
          <w:sz w:val="16"/>
          <w:szCs w:val="16"/>
        </w:rPr>
        <w:t xml:space="preserve"> </w:t>
      </w:r>
      <w:r w:rsidRPr="00B243A3">
        <w:rPr>
          <w:sz w:val="16"/>
          <w:szCs w:val="16"/>
          <w:lang w:val="en-GB"/>
        </w:rPr>
        <w:t xml:space="preserve">The sharp year-on-year fall of collection (by more than one third) in the crisis year </w:t>
      </w:r>
      <w:r>
        <w:rPr>
          <w:sz w:val="16"/>
          <w:szCs w:val="16"/>
          <w:lang w:val="en-GB"/>
        </w:rPr>
        <w:t xml:space="preserve">2009 </w:t>
      </w:r>
      <w:r w:rsidRPr="00B243A3">
        <w:rPr>
          <w:sz w:val="16"/>
          <w:szCs w:val="16"/>
          <w:lang w:val="en-GB"/>
        </w:rPr>
        <w:t>was the reason, the l</w:t>
      </w:r>
      <w:r>
        <w:rPr>
          <w:sz w:val="16"/>
          <w:szCs w:val="16"/>
          <w:lang w:val="en-GB"/>
        </w:rPr>
        <w:t>owering of the tax rate from 21% to 19</w:t>
      </w:r>
      <w:r w:rsidRPr="00B243A3">
        <w:rPr>
          <w:sz w:val="16"/>
          <w:szCs w:val="16"/>
          <w:lang w:val="en-GB"/>
        </w:rPr>
        <w:t xml:space="preserve">% in the period of years 2010 and 2011 also had an effect to a lesser extent. </w:t>
      </w:r>
    </w:p>
  </w:footnote>
  <w:footnote w:id="34">
    <w:p w:rsidR="000A7C02" w:rsidRPr="00B243A3" w:rsidRDefault="000A7C02" w:rsidP="00B243A3">
      <w:pPr>
        <w:pStyle w:val="Textpoznpodarou"/>
        <w:jc w:val="both"/>
        <w:rPr>
          <w:sz w:val="16"/>
          <w:szCs w:val="16"/>
          <w:lang w:val="en-GB"/>
        </w:rPr>
      </w:pPr>
      <w:r w:rsidRPr="00B243A3">
        <w:rPr>
          <w:rStyle w:val="Znakapoznpodarou"/>
          <w:sz w:val="16"/>
          <w:szCs w:val="16"/>
          <w:lang w:val="en-GB"/>
        </w:rPr>
        <w:footnoteRef/>
      </w:r>
      <w:r w:rsidRPr="00B243A3">
        <w:rPr>
          <w:sz w:val="16"/>
          <w:szCs w:val="16"/>
          <w:lang w:val="en-GB"/>
        </w:rPr>
        <w:t xml:space="preserve"> State-wide collection of </w:t>
      </w:r>
      <w:r>
        <w:rPr>
          <w:sz w:val="16"/>
          <w:szCs w:val="16"/>
          <w:lang w:val="en-GB"/>
        </w:rPr>
        <w:t>ITNP</w:t>
      </w:r>
      <w:r w:rsidRPr="00B243A3">
        <w:rPr>
          <w:sz w:val="16"/>
          <w:szCs w:val="16"/>
          <w:lang w:val="en-GB"/>
        </w:rPr>
        <w:t xml:space="preserve"> from dependent activity was negatively impacted by the legislative changes – it was especially </w:t>
      </w:r>
      <w:r>
        <w:rPr>
          <w:sz w:val="16"/>
          <w:szCs w:val="16"/>
          <w:lang w:val="en-GB"/>
        </w:rPr>
        <w:t>the</w:t>
      </w:r>
      <w:r w:rsidRPr="00B243A3">
        <w:rPr>
          <w:sz w:val="16"/>
          <w:szCs w:val="16"/>
          <w:lang w:val="en-GB"/>
        </w:rPr>
        <w:t xml:space="preserve"> further tax deductions on second and further child in the year-on-year comparison. It however represented only a marginal effect with respect to the growth of the economy. </w:t>
      </w:r>
    </w:p>
  </w:footnote>
  <w:footnote w:id="35">
    <w:p w:rsidR="000A7C02" w:rsidRPr="00377FE1" w:rsidRDefault="000A7C02" w:rsidP="00B243A3">
      <w:pPr>
        <w:pStyle w:val="Textpoznpodarou"/>
        <w:jc w:val="both"/>
        <w:rPr>
          <w:sz w:val="16"/>
          <w:szCs w:val="16"/>
          <w:lang w:val="en-GB"/>
        </w:rPr>
      </w:pPr>
      <w:r w:rsidRPr="009E2F88">
        <w:rPr>
          <w:rStyle w:val="Znakapoznpodarou"/>
          <w:sz w:val="16"/>
          <w:szCs w:val="16"/>
        </w:rPr>
        <w:footnoteRef/>
      </w:r>
      <w:r w:rsidRPr="009E2F88">
        <w:rPr>
          <w:sz w:val="16"/>
          <w:szCs w:val="16"/>
        </w:rPr>
        <w:t xml:space="preserve"> </w:t>
      </w:r>
      <w:r w:rsidRPr="00377FE1">
        <w:rPr>
          <w:sz w:val="16"/>
          <w:szCs w:val="16"/>
          <w:lang w:val="en-GB"/>
        </w:rPr>
        <w:t xml:space="preserve">54.3 </w:t>
      </w:r>
      <w:r>
        <w:rPr>
          <w:sz w:val="16"/>
          <w:szCs w:val="16"/>
          <w:lang w:val="en-GB"/>
        </w:rPr>
        <w:t>CZK bn</w:t>
      </w:r>
      <w:r w:rsidRPr="00377FE1">
        <w:rPr>
          <w:sz w:val="16"/>
          <w:szCs w:val="16"/>
          <w:lang w:val="en-GB"/>
        </w:rPr>
        <w:t xml:space="preserve"> was spent </w:t>
      </w:r>
      <w:r>
        <w:rPr>
          <w:sz w:val="16"/>
          <w:szCs w:val="16"/>
          <w:lang w:val="en-GB"/>
        </w:rPr>
        <w:t xml:space="preserve">in 2016 </w:t>
      </w:r>
      <w:r w:rsidRPr="00377FE1">
        <w:rPr>
          <w:sz w:val="16"/>
          <w:szCs w:val="16"/>
          <w:lang w:val="en-GB"/>
        </w:rPr>
        <w:t>on current as well as capital expenditure for common CR and EU programmes (excluding the common agricultural policy) according to the preliminary data (the budget expectation was 70 bn).</w:t>
      </w:r>
    </w:p>
  </w:footnote>
  <w:footnote w:id="36">
    <w:p w:rsidR="000A7C02" w:rsidRPr="00377FE1" w:rsidRDefault="000A7C02" w:rsidP="00B243A3">
      <w:pPr>
        <w:pStyle w:val="Textpoznpodarou"/>
        <w:jc w:val="both"/>
        <w:rPr>
          <w:sz w:val="16"/>
          <w:szCs w:val="16"/>
          <w:lang w:val="en-GB"/>
        </w:rPr>
      </w:pPr>
      <w:r w:rsidRPr="00377FE1">
        <w:rPr>
          <w:rStyle w:val="Znakapoznpodarou"/>
          <w:sz w:val="16"/>
          <w:szCs w:val="16"/>
          <w:lang w:val="en-GB"/>
        </w:rPr>
        <w:footnoteRef/>
      </w:r>
      <w:r w:rsidRPr="00377FE1">
        <w:rPr>
          <w:sz w:val="16"/>
          <w:szCs w:val="16"/>
          <w:lang w:val="en-GB"/>
        </w:rPr>
        <w:t xml:space="preserve"> The share of investment on the SB </w:t>
      </w:r>
      <w:r>
        <w:rPr>
          <w:sz w:val="16"/>
          <w:szCs w:val="16"/>
          <w:lang w:val="en-GB"/>
        </w:rPr>
        <w:t>expenditure was on average 10.2</w:t>
      </w:r>
      <w:r w:rsidRPr="00377FE1">
        <w:rPr>
          <w:sz w:val="16"/>
          <w:szCs w:val="16"/>
          <w:lang w:val="en-GB"/>
        </w:rPr>
        <w:t>% during the period 2015</w:t>
      </w:r>
      <w:r w:rsidRPr="00377FE1">
        <w:rPr>
          <w:rFonts w:cs="Arial"/>
          <w:color w:val="0D0D0D" w:themeColor="text1" w:themeTint="F2"/>
          <w:spacing w:val="-4"/>
          <w:sz w:val="16"/>
          <w:szCs w:val="16"/>
          <w:lang w:val="en-GB"/>
        </w:rPr>
        <w:t>–</w:t>
      </w:r>
      <w:r w:rsidRPr="00377FE1">
        <w:rPr>
          <w:sz w:val="16"/>
          <w:szCs w:val="16"/>
          <w:lang w:val="en-GB"/>
        </w:rPr>
        <w:t>2016, similarly to the preceding decade (2005</w:t>
      </w:r>
      <w:r w:rsidRPr="00377FE1">
        <w:rPr>
          <w:rFonts w:cs="Arial"/>
          <w:color w:val="0D0D0D" w:themeColor="text1" w:themeTint="F2"/>
          <w:spacing w:val="-4"/>
          <w:sz w:val="16"/>
          <w:szCs w:val="16"/>
          <w:lang w:val="en-GB"/>
        </w:rPr>
        <w:t>–</w:t>
      </w:r>
      <w:r w:rsidRPr="00377FE1">
        <w:rPr>
          <w:sz w:val="16"/>
          <w:szCs w:val="16"/>
          <w:lang w:val="en-GB"/>
        </w:rPr>
        <w:t xml:space="preserve">2014). </w:t>
      </w:r>
    </w:p>
  </w:footnote>
  <w:footnote w:id="37">
    <w:p w:rsidR="000A7C02" w:rsidRPr="00C42714" w:rsidRDefault="000A7C02" w:rsidP="00C42714">
      <w:pPr>
        <w:pStyle w:val="Textpoznpodarou"/>
        <w:jc w:val="both"/>
        <w:rPr>
          <w:rFonts w:cs="Arial"/>
          <w:sz w:val="16"/>
          <w:szCs w:val="16"/>
          <w:lang w:val="en-GB"/>
        </w:rPr>
      </w:pPr>
      <w:r w:rsidRPr="009675CE">
        <w:rPr>
          <w:rStyle w:val="Znakapoznpodarou"/>
          <w:rFonts w:cs="Arial"/>
          <w:sz w:val="16"/>
          <w:szCs w:val="16"/>
        </w:rPr>
        <w:footnoteRef/>
      </w:r>
      <w:r w:rsidRPr="009675CE">
        <w:rPr>
          <w:rFonts w:cs="Arial"/>
          <w:sz w:val="16"/>
          <w:szCs w:val="16"/>
        </w:rPr>
        <w:t xml:space="preserve"> </w:t>
      </w:r>
      <w:r w:rsidRPr="00C42714">
        <w:rPr>
          <w:rFonts w:cs="Arial"/>
          <w:sz w:val="16"/>
          <w:szCs w:val="16"/>
          <w:lang w:val="en-GB"/>
        </w:rPr>
        <w:t>Starting January 2015, the full adjustment of pensions returned. They again fully reflect with the current adjustment scheme the increase of the consumer prices and further 1/3 of the increase of the real wage.</w:t>
      </w:r>
    </w:p>
  </w:footnote>
  <w:footnote w:id="38">
    <w:p w:rsidR="000A7C02" w:rsidRPr="00C42714" w:rsidRDefault="000A7C02" w:rsidP="00C42714">
      <w:pPr>
        <w:pStyle w:val="Textpoznpodarou"/>
        <w:jc w:val="both"/>
        <w:rPr>
          <w:sz w:val="16"/>
          <w:szCs w:val="16"/>
          <w:lang w:val="en-GB"/>
        </w:rPr>
      </w:pPr>
      <w:r w:rsidRPr="00C42714">
        <w:rPr>
          <w:rStyle w:val="Znakapoznpodarou"/>
          <w:sz w:val="16"/>
          <w:szCs w:val="16"/>
          <w:lang w:val="en-GB"/>
        </w:rPr>
        <w:footnoteRef/>
      </w:r>
      <w:r w:rsidRPr="00C42714">
        <w:rPr>
          <w:sz w:val="16"/>
          <w:szCs w:val="16"/>
          <w:lang w:val="en-GB"/>
        </w:rPr>
        <w:t xml:space="preserve"> Inflow of the speculative capital in connection with the nearing end of the </w:t>
      </w:r>
      <w:r>
        <w:rPr>
          <w:sz w:val="16"/>
          <w:szCs w:val="16"/>
          <w:lang w:val="en-GB"/>
        </w:rPr>
        <w:t>e</w:t>
      </w:r>
      <w:r w:rsidRPr="00C42714">
        <w:rPr>
          <w:sz w:val="16"/>
          <w:szCs w:val="16"/>
          <w:lang w:val="en-GB"/>
        </w:rPr>
        <w:t xml:space="preserve">xchange rate commitment of the CNB at the beginning of 2017 accelerated. Non-residents owned Czech bonds already in the amount of 538.8 </w:t>
      </w:r>
      <w:r>
        <w:rPr>
          <w:sz w:val="16"/>
          <w:szCs w:val="16"/>
          <w:lang w:val="en-GB"/>
        </w:rPr>
        <w:t>CZK bn</w:t>
      </w:r>
      <w:r w:rsidRPr="00C42714">
        <w:rPr>
          <w:sz w:val="16"/>
          <w:szCs w:val="16"/>
          <w:lang w:val="en-GB"/>
        </w:rPr>
        <w:t xml:space="preserve"> at</w:t>
      </w:r>
      <w:r>
        <w:rPr>
          <w:sz w:val="16"/>
          <w:szCs w:val="16"/>
          <w:lang w:val="en-GB"/>
        </w:rPr>
        <w:t xml:space="preserve"> the end of January, resp. 38.7</w:t>
      </w:r>
      <w:r w:rsidRPr="00C42714">
        <w:rPr>
          <w:sz w:val="16"/>
          <w:szCs w:val="16"/>
          <w:lang w:val="en-GB"/>
        </w:rPr>
        <w:t xml:space="preserve">% of value of all crown bonds. </w:t>
      </w:r>
    </w:p>
  </w:footnote>
  <w:footnote w:id="39">
    <w:p w:rsidR="000A7C02" w:rsidRPr="00C42714" w:rsidRDefault="000A7C02" w:rsidP="00C42714">
      <w:pPr>
        <w:pStyle w:val="Textpoznpodarou"/>
        <w:jc w:val="both"/>
        <w:rPr>
          <w:rFonts w:cs="Arial"/>
          <w:color w:val="0D0D0D" w:themeColor="text1" w:themeTint="F2"/>
          <w:sz w:val="16"/>
          <w:szCs w:val="16"/>
          <w:lang w:val="en-GB"/>
        </w:rPr>
      </w:pPr>
      <w:r w:rsidRPr="00C42714">
        <w:rPr>
          <w:rStyle w:val="Znakapoznpodarou"/>
          <w:color w:val="0D0D0D" w:themeColor="text1" w:themeTint="F2"/>
          <w:sz w:val="16"/>
          <w:lang w:val="en-GB"/>
        </w:rPr>
        <w:footnoteRef/>
      </w:r>
      <w:r w:rsidRPr="00C42714">
        <w:rPr>
          <w:color w:val="0D0D0D" w:themeColor="text1" w:themeTint="F2"/>
          <w:sz w:val="16"/>
          <w:lang w:val="en-GB"/>
        </w:rPr>
        <w:t xml:space="preserve"> Debt of the sector of government institutions includes apart from the central government institutions also the budget of the regional governments or health insurance companies. Preliminary data regarding the debt and deficit of the government institutions sector for the whole year 2016 will be published by the CZSO on 4</w:t>
      </w:r>
      <w:r w:rsidRPr="00C42714">
        <w:rPr>
          <w:color w:val="0D0D0D" w:themeColor="text1" w:themeTint="F2"/>
          <w:sz w:val="16"/>
          <w:vertAlign w:val="superscript"/>
          <w:lang w:val="en-GB"/>
        </w:rPr>
        <w:t>th</w:t>
      </w:r>
      <w:r w:rsidRPr="00C42714">
        <w:rPr>
          <w:color w:val="0D0D0D" w:themeColor="text1" w:themeTint="F2"/>
          <w:sz w:val="16"/>
          <w:lang w:val="en-GB"/>
        </w:rPr>
        <w:t xml:space="preserve"> April 2017 (by Eurostat then on 24</w:t>
      </w:r>
      <w:r w:rsidRPr="00E4152B">
        <w:rPr>
          <w:color w:val="0D0D0D" w:themeColor="text1" w:themeTint="F2"/>
          <w:sz w:val="16"/>
          <w:vertAlign w:val="superscript"/>
          <w:lang w:val="en-GB"/>
        </w:rPr>
        <w:t>th</w:t>
      </w:r>
      <w:r w:rsidRPr="00C42714">
        <w:rPr>
          <w:color w:val="0D0D0D" w:themeColor="text1" w:themeTint="F2"/>
          <w:sz w:val="16"/>
          <w:lang w:val="en-GB"/>
        </w:rPr>
        <w:t xml:space="preserve"> April). </w:t>
      </w:r>
    </w:p>
  </w:footnote>
  <w:footnote w:id="40">
    <w:p w:rsidR="000A7C02" w:rsidRPr="00AE76E4" w:rsidRDefault="000A7C02" w:rsidP="001E59D5">
      <w:pPr>
        <w:pStyle w:val="Textpoznpodarou"/>
        <w:jc w:val="both"/>
        <w:rPr>
          <w:color w:val="0D0D0D" w:themeColor="text1" w:themeTint="F2"/>
          <w:sz w:val="16"/>
          <w:szCs w:val="16"/>
          <w:lang w:val="en-GB"/>
        </w:rPr>
      </w:pPr>
      <w:r w:rsidRPr="00AE76E4">
        <w:rPr>
          <w:rStyle w:val="Znakapoznpodarou"/>
          <w:color w:val="0D0D0D" w:themeColor="text1" w:themeTint="F2"/>
          <w:sz w:val="16"/>
          <w:lang w:val="en-GB"/>
        </w:rPr>
        <w:footnoteRef/>
      </w:r>
      <w:r w:rsidRPr="00AE76E4">
        <w:rPr>
          <w:color w:val="0D0D0D" w:themeColor="text1" w:themeTint="F2"/>
          <w:sz w:val="16"/>
          <w:lang w:val="en-GB"/>
        </w:rPr>
        <w:t xml:space="preserve"> </w:t>
      </w:r>
      <w:proofErr w:type="gramStart"/>
      <w:r w:rsidRPr="00AE76E4">
        <w:rPr>
          <w:color w:val="0D0D0D" w:themeColor="text1" w:themeTint="F2"/>
          <w:sz w:val="16"/>
          <w:lang w:val="en-GB"/>
        </w:rPr>
        <w:t>S</w:t>
      </w:r>
      <w:r>
        <w:rPr>
          <w:color w:val="0D0D0D" w:themeColor="text1" w:themeTint="F2"/>
          <w:sz w:val="16"/>
          <w:lang w:val="en-GB"/>
        </w:rPr>
        <w:t xml:space="preserve">tates, where the debt of the government institution sector exceeded 95% of GDP last year </w:t>
      </w:r>
      <w:r w:rsidRPr="00AE76E4">
        <w:rPr>
          <w:color w:val="0D0D0D" w:themeColor="text1" w:themeTint="F2"/>
          <w:sz w:val="16"/>
          <w:lang w:val="en-GB"/>
        </w:rPr>
        <w:t>(</w:t>
      </w:r>
      <w:r>
        <w:rPr>
          <w:color w:val="0D0D0D" w:themeColor="text1" w:themeTint="F2"/>
          <w:sz w:val="16"/>
          <w:lang w:val="en-GB"/>
        </w:rPr>
        <w:t>Greece, Portugal, Italy, Cyprus, Belgium, Spain and France</w:t>
      </w:r>
      <w:r w:rsidRPr="00AE76E4">
        <w:rPr>
          <w:color w:val="0D0D0D" w:themeColor="text1" w:themeTint="F2"/>
          <w:sz w:val="16"/>
          <w:lang w:val="en-GB"/>
        </w:rPr>
        <w:t>).</w:t>
      </w:r>
      <w:proofErr w:type="gramEnd"/>
    </w:p>
  </w:footnote>
  <w:footnote w:id="41">
    <w:p w:rsidR="000A7C02" w:rsidRPr="00AE76E4" w:rsidRDefault="000A7C02" w:rsidP="001E59D5">
      <w:pPr>
        <w:pStyle w:val="Textpoznpodarou"/>
        <w:jc w:val="both"/>
        <w:rPr>
          <w:sz w:val="16"/>
          <w:szCs w:val="16"/>
          <w:lang w:val="en-GB"/>
        </w:rPr>
      </w:pPr>
      <w:r w:rsidRPr="00AE76E4">
        <w:rPr>
          <w:rStyle w:val="Znakapoznpodarou"/>
          <w:color w:val="0D0D0D" w:themeColor="text1" w:themeTint="F2"/>
          <w:sz w:val="16"/>
          <w:lang w:val="en-GB"/>
        </w:rPr>
        <w:footnoteRef/>
      </w:r>
      <w:r w:rsidRPr="00AE76E4">
        <w:rPr>
          <w:color w:val="0D0D0D" w:themeColor="text1" w:themeTint="F2"/>
          <w:sz w:val="16"/>
          <w:lang w:val="en-GB"/>
        </w:rPr>
        <w:t xml:space="preserve"> </w:t>
      </w:r>
      <w:r>
        <w:rPr>
          <w:color w:val="0D0D0D" w:themeColor="text1" w:themeTint="F2"/>
          <w:sz w:val="16"/>
          <w:lang w:val="en-GB"/>
        </w:rPr>
        <w:t>Indicators of the budget balance and the government institutions debt are based on the accrual principle. According to this principle, incomes and expenditures are assigned to the period, to which they are connected by type, i.e. regardless of the period of occurrence of the cash flow (as it is in case of the cash fulfilment</w:t>
      </w:r>
      <w:r w:rsidRPr="00AE76E4">
        <w:rPr>
          <w:color w:val="0D0D0D" w:themeColor="text1" w:themeTint="F2"/>
          <w:sz w:val="16"/>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173642" w:rsidRDefault="000A7C02"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2C6091">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7F7A39">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p w:rsidR="000A7C02" w:rsidRPr="007F7A39" w:rsidRDefault="000A7C02" w:rsidP="007F7A39">
    <w:pPr>
      <w:pStyle w:val="Zhlav"/>
      <w:rPr>
        <w:szCs w:val="16"/>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6320703"/>
    <w:multiLevelType w:val="hybridMultilevel"/>
    <w:tmpl w:val="9CB2DAE6"/>
    <w:lvl w:ilvl="0" w:tplc="45ECC74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3"/>
  </w:num>
  <w:num w:numId="2">
    <w:abstractNumId w:val="19"/>
  </w:num>
  <w:num w:numId="3">
    <w:abstractNumId w:val="9"/>
  </w:num>
  <w:num w:numId="4">
    <w:abstractNumId w:val="17"/>
  </w:num>
  <w:num w:numId="5">
    <w:abstractNumId w:val="10"/>
  </w:num>
  <w:num w:numId="6">
    <w:abstractNumId w:val="14"/>
  </w:num>
  <w:num w:numId="7">
    <w:abstractNumId w:val="3"/>
  </w:num>
  <w:num w:numId="8">
    <w:abstractNumId w:val="8"/>
  </w:num>
  <w:num w:numId="9">
    <w:abstractNumId w:val="16"/>
  </w:num>
  <w:num w:numId="10">
    <w:abstractNumId w:val="2"/>
  </w:num>
  <w:num w:numId="11">
    <w:abstractNumId w:val="7"/>
  </w:num>
  <w:num w:numId="12">
    <w:abstractNumId w:val="1"/>
  </w:num>
  <w:num w:numId="13">
    <w:abstractNumId w:val="6"/>
  </w:num>
  <w:num w:numId="14">
    <w:abstractNumId w:val="0"/>
  </w:num>
  <w:num w:numId="15">
    <w:abstractNumId w:val="15"/>
  </w:num>
  <w:num w:numId="16">
    <w:abstractNumId w:val="11"/>
  </w:num>
  <w:num w:numId="17">
    <w:abstractNumId w:val="4"/>
  </w:num>
  <w:num w:numId="18">
    <w:abstractNumId w:val="18"/>
  </w:num>
  <w:num w:numId="19">
    <w:abstractNumId w:val="1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A57"/>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15F4"/>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7C76"/>
    <w:rsid w:val="00437F4A"/>
    <w:rsid w:val="0044105C"/>
    <w:rsid w:val="00441542"/>
    <w:rsid w:val="00442197"/>
    <w:rsid w:val="00442B3C"/>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4F58"/>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4BC8"/>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3B9"/>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w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image" Target="media/image20.e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emf"/><Relationship Id="rId36" Type="http://schemas.openxmlformats.org/officeDocument/2006/relationships/header" Target="header3.xml"/><Relationship Id="rId10" Type="http://schemas.openxmlformats.org/officeDocument/2006/relationships/hyperlink" Target="mailto:jiri.kamenicky@czso.cz" TargetMode="External"/><Relationship Id="rId19" Type="http://schemas.openxmlformats.org/officeDocument/2006/relationships/image" Target="media/image7.emf"/><Relationship Id="rId31" Type="http://schemas.openxmlformats.org/officeDocument/2006/relationships/image" Target="media/image19.wmf"/><Relationship Id="rId4" Type="http://schemas.openxmlformats.org/officeDocument/2006/relationships/styles" Target="styles.xml"/><Relationship Id="rId9" Type="http://schemas.openxmlformats.org/officeDocument/2006/relationships/hyperlink" Target="mailto:jiri.kamenicky@czso.cz"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D0B95-FE51-47BB-9D30-552B762BF5C6}">
  <ds:schemaRefs>
    <ds:schemaRef ds:uri="http://schemas.openxmlformats.org/officeDocument/2006/bibliography"/>
  </ds:schemaRefs>
</ds:datastoreItem>
</file>

<file path=customXml/itemProps2.xml><?xml version="1.0" encoding="utf-8"?>
<ds:datastoreItem xmlns:ds="http://schemas.openxmlformats.org/officeDocument/2006/customXml" ds:itemID="{D4639747-41B6-495B-BF1E-0AAA961F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6</TotalTime>
  <Pages>26</Pages>
  <Words>13970</Words>
  <Characters>82426</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96204</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4</cp:revision>
  <cp:lastPrinted>2017-03-16T10:07:00Z</cp:lastPrinted>
  <dcterms:created xsi:type="dcterms:W3CDTF">2017-04-24T09:52:00Z</dcterms:created>
  <dcterms:modified xsi:type="dcterms:W3CDTF">2017-04-24T10:31:00Z</dcterms:modified>
</cp:coreProperties>
</file>