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94" w:rsidRPr="00F43D2E" w:rsidRDefault="00ED3A94" w:rsidP="007C605B">
      <w:pPr>
        <w:rPr>
          <w:sz w:val="2"/>
          <w:szCs w:val="2"/>
          <w:lang w:val="en-GB"/>
        </w:rPr>
      </w:pPr>
    </w:p>
    <w:p w:rsidR="00C5253B" w:rsidRPr="00F43D2E" w:rsidRDefault="00C5253B" w:rsidP="007C605B">
      <w:pPr>
        <w:rPr>
          <w:sz w:val="2"/>
          <w:szCs w:val="2"/>
          <w:lang w:val="en-GB"/>
        </w:rPr>
      </w:pPr>
    </w:p>
    <w:p w:rsidR="00C5253B" w:rsidRPr="00F43D2E" w:rsidRDefault="00C5253B" w:rsidP="007C605B">
      <w:pPr>
        <w:rPr>
          <w:sz w:val="2"/>
          <w:szCs w:val="2"/>
          <w:lang w:val="en-GB"/>
        </w:rPr>
      </w:pPr>
    </w:p>
    <w:p w:rsidR="00C5253B" w:rsidRPr="00F43D2E" w:rsidRDefault="00C5253B" w:rsidP="007C605B">
      <w:pPr>
        <w:rPr>
          <w:sz w:val="2"/>
          <w:szCs w:val="2"/>
          <w:lang w:val="en-GB"/>
        </w:rPr>
      </w:pPr>
    </w:p>
    <w:p w:rsidR="007D4281" w:rsidRPr="00F43D2E" w:rsidRDefault="00C2150A" w:rsidP="00AC1B75">
      <w:pPr>
        <w:pStyle w:val="Nadpis1"/>
        <w:numPr>
          <w:ilvl w:val="0"/>
          <w:numId w:val="7"/>
        </w:numPr>
        <w:jc w:val="both"/>
        <w:rPr>
          <w:lang w:val="en-GB"/>
        </w:rPr>
      </w:pPr>
      <w:bookmarkStart w:id="0" w:name="_Toc454185153"/>
      <w:r w:rsidRPr="00F43D2E">
        <w:rPr>
          <w:lang w:val="en-GB"/>
        </w:rPr>
        <w:t>Labour Market</w:t>
      </w:r>
      <w:bookmarkEnd w:id="0"/>
    </w:p>
    <w:tbl>
      <w:tblPr>
        <w:tblW w:w="5000" w:type="pct"/>
        <w:tblCellMar>
          <w:left w:w="28" w:type="dxa"/>
          <w:right w:w="28" w:type="dxa"/>
        </w:tblCellMar>
        <w:tblLook w:val="04A0"/>
      </w:tblPr>
      <w:tblGrid>
        <w:gridCol w:w="2044"/>
        <w:gridCol w:w="275"/>
        <w:gridCol w:w="7375"/>
      </w:tblGrid>
      <w:tr w:rsidR="004F2A4D" w:rsidRPr="00F43D2E" w:rsidTr="00AF5D62">
        <w:tc>
          <w:tcPr>
            <w:tcW w:w="1054" w:type="pct"/>
          </w:tcPr>
          <w:p w:rsidR="004F2A4D" w:rsidRPr="00F43D2E" w:rsidRDefault="008E7695" w:rsidP="00AF5D62">
            <w:pPr>
              <w:spacing w:line="240" w:lineRule="auto"/>
              <w:rPr>
                <w:rFonts w:cs="Arial"/>
                <w:bCs/>
                <w:iCs/>
                <w:color w:val="0D0D0D" w:themeColor="text1" w:themeTint="F2"/>
                <w:spacing w:val="-2"/>
                <w:sz w:val="16"/>
                <w:szCs w:val="16"/>
                <w:lang w:val="en-GB"/>
              </w:rPr>
            </w:pPr>
            <w:r w:rsidRPr="00F43D2E">
              <w:rPr>
                <w:color w:val="0D0D0D"/>
                <w:sz w:val="16"/>
                <w:szCs w:val="16"/>
                <w:lang w:val="en-GB"/>
              </w:rPr>
              <w:t>Favourable tendencies further prevailed on the labour market during the year 2016</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8E7695" w:rsidP="00AF5D62">
            <w:pPr>
              <w:pStyle w:val="Textpoznpodarou"/>
              <w:jc w:val="both"/>
              <w:rPr>
                <w:rFonts w:cs="Arial"/>
                <w:color w:val="0D0D0D" w:themeColor="text1" w:themeTint="F2"/>
                <w:spacing w:val="-4"/>
                <w:lang w:val="en-GB"/>
              </w:rPr>
            </w:pPr>
            <w:r w:rsidRPr="00F43D2E">
              <w:rPr>
                <w:color w:val="0D0D0D"/>
                <w:lang w:val="en-GB"/>
              </w:rPr>
              <w:t>Favourable development prevailed on the labour market also in year 2016. The rate of growth of employment accelerated considerably, the highest number of persons in history held a job, especially thanks to manufacturing. Unemployment was further reduced, if already by a slower pace, the chance of good employment heightened especially to qualified manual workers. The qualification mismatch between unemployed persons and job vacancies and the associated long-ter</w:t>
            </w:r>
            <w:r w:rsidR="00CA7C47">
              <w:rPr>
                <w:color w:val="0D0D0D"/>
                <w:lang w:val="en-GB"/>
              </w:rPr>
              <w:t>m unemployment remains the weak point</w:t>
            </w:r>
            <w:r w:rsidRPr="00F43D2E">
              <w:rPr>
                <w:color w:val="0D0D0D"/>
                <w:lang w:val="en-GB"/>
              </w:rPr>
              <w:t xml:space="preserve"> on the labour market. Low unemployment rate accompanied by a growing lack of labour force pushes the wages up. Average wages grew in real terms the most since year 2009.</w:t>
            </w:r>
          </w:p>
          <w:p w:rsidR="004F2A4D" w:rsidRPr="00F43D2E" w:rsidRDefault="004F2A4D" w:rsidP="00AF5D62">
            <w:pPr>
              <w:pStyle w:val="Textpoznpodarou"/>
              <w:jc w:val="both"/>
              <w:rPr>
                <w:rFonts w:cs="Arial"/>
                <w:color w:val="0D0D0D" w:themeColor="text1" w:themeTint="F2"/>
                <w:spacing w:val="-4"/>
                <w:sz w:val="13"/>
                <w:szCs w:val="13"/>
                <w:lang w:val="en-GB"/>
              </w:rPr>
            </w:pPr>
          </w:p>
        </w:tc>
      </w:tr>
      <w:tr w:rsidR="004F2A4D" w:rsidRPr="00F43D2E" w:rsidTr="00AF5D62">
        <w:tc>
          <w:tcPr>
            <w:tcW w:w="1054" w:type="pct"/>
          </w:tcPr>
          <w:p w:rsidR="00615BE6" w:rsidRPr="00F43D2E" w:rsidRDefault="00615BE6" w:rsidP="00615BE6">
            <w:pPr>
              <w:spacing w:line="240" w:lineRule="auto"/>
              <w:rPr>
                <w:rFonts w:cs="Arial"/>
                <w:bCs/>
                <w:iCs/>
                <w:color w:val="0D0D0D" w:themeColor="text1" w:themeTint="F2"/>
                <w:spacing w:val="-4"/>
                <w:sz w:val="16"/>
                <w:szCs w:val="16"/>
                <w:lang w:val="en-GB"/>
              </w:rPr>
            </w:pPr>
            <w:r w:rsidRPr="00F43D2E">
              <w:rPr>
                <w:rFonts w:cs="Arial"/>
                <w:bCs/>
                <w:iCs/>
                <w:color w:val="0D0D0D" w:themeColor="text1" w:themeTint="F2"/>
                <w:spacing w:val="-4"/>
                <w:sz w:val="16"/>
                <w:szCs w:val="16"/>
                <w:lang w:val="en-GB"/>
              </w:rPr>
              <w:t xml:space="preserve">Employment accelerated during H1, 5.26 mil persons held a job, the most in the history of the CR </w:t>
            </w:r>
          </w:p>
          <w:p w:rsidR="004F2A4D" w:rsidRPr="00F43D2E" w:rsidRDefault="00615BE6" w:rsidP="00615BE6">
            <w:pPr>
              <w:spacing w:line="240" w:lineRule="auto"/>
              <w:rPr>
                <w:rFonts w:cs="Arial"/>
                <w:bCs/>
                <w:iCs/>
                <w:color w:val="0D0D0D" w:themeColor="text1" w:themeTint="F2"/>
                <w:spacing w:val="-4"/>
                <w:sz w:val="16"/>
                <w:szCs w:val="16"/>
                <w:lang w:val="en-GB"/>
              </w:rPr>
            </w:pPr>
            <w:r w:rsidRPr="00F43D2E">
              <w:rPr>
                <w:rFonts w:cs="Arial"/>
                <w:bCs/>
                <w:iCs/>
                <w:color w:val="0D0D0D" w:themeColor="text1" w:themeTint="F2"/>
                <w:spacing w:val="-4"/>
                <w:sz w:val="16"/>
                <w:szCs w:val="16"/>
                <w:lang w:val="en-GB"/>
              </w:rPr>
              <w:t xml:space="preserve"> </w:t>
            </w:r>
            <w:r w:rsidR="004F2A4D" w:rsidRPr="00F43D2E">
              <w:rPr>
                <w:rFonts w:cs="Arial"/>
                <w:bCs/>
                <w:iCs/>
                <w:color w:val="0D0D0D" w:themeColor="text1" w:themeTint="F2"/>
                <w:spacing w:val="-4"/>
                <w:sz w:val="16"/>
                <w:szCs w:val="16"/>
                <w:lang w:val="en-GB"/>
              </w:rPr>
              <w:t xml:space="preserve">  </w:t>
            </w: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615BE6"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Employment rate in the CR ranks among the highest (mostly thanks to males) in the EU</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615BE6" w:rsidP="00AF5D62">
            <w:pPr>
              <w:pStyle w:val="Textpoznpodarou"/>
              <w:jc w:val="both"/>
              <w:rPr>
                <w:rFonts w:cs="Arial"/>
                <w:color w:val="0D0D0D" w:themeColor="text1" w:themeTint="F2"/>
                <w:spacing w:val="-4"/>
                <w:lang w:val="en-GB"/>
              </w:rPr>
            </w:pPr>
            <w:r w:rsidRPr="00F43D2E">
              <w:rPr>
                <w:lang w:val="en-GB"/>
              </w:rPr>
              <w:t>The creation of new job positions has been one of the most important features of the steadily expanding economy. Rate of growth of employment</w:t>
            </w:r>
            <w:r w:rsidR="008F6627" w:rsidRPr="00F43D2E">
              <w:rPr>
                <w:rStyle w:val="Znakapoznpodarou"/>
                <w:color w:val="0D0D0D" w:themeColor="text1" w:themeTint="F2"/>
                <w:spacing w:val="-4"/>
                <w:lang w:val="en-GB"/>
              </w:rPr>
              <w:footnoteReference w:id="1"/>
            </w:r>
            <w:r w:rsidRPr="00F43D2E">
              <w:rPr>
                <w:color w:val="0D0D0D"/>
                <w:lang w:val="en-GB"/>
              </w:rPr>
              <w:t xml:space="preserve"> markedly accelerated at th</w:t>
            </w:r>
            <w:r w:rsidR="00CC06C7">
              <w:rPr>
                <w:color w:val="0D0D0D"/>
                <w:lang w:val="en-GB"/>
              </w:rPr>
              <w:t>e beginning of the year, to 1.7</w:t>
            </w:r>
            <w:r w:rsidRPr="00F43D2E">
              <w:rPr>
                <w:color w:val="0D0D0D"/>
                <w:lang w:val="en-GB"/>
              </w:rPr>
              <w:t xml:space="preserve">% in total for the whole half-year. The number of workers was the highest in history in Q2 2016 </w:t>
            </w:r>
            <w:proofErr w:type="gramStart"/>
            <w:r w:rsidRPr="00F43D2E">
              <w:rPr>
                <w:color w:val="0D0D0D"/>
                <w:lang w:val="en-GB"/>
              </w:rPr>
              <w:t>(5.26 mil.)</w:t>
            </w:r>
            <w:proofErr w:type="gramEnd"/>
            <w:r w:rsidRPr="00F43D2E">
              <w:rPr>
                <w:color w:val="0D0D0D"/>
                <w:lang w:val="en-GB"/>
              </w:rPr>
              <w:t>. Quantities of employed are also affected by the generational shifts on the labour market and increasing of the retirement age. Representation of older persons gradually grows on the labour market. The employment rate of perso</w:t>
            </w:r>
            <w:r w:rsidR="00CC06C7">
              <w:rPr>
                <w:color w:val="0D0D0D"/>
                <w:lang w:val="en-GB"/>
              </w:rPr>
              <w:t>ns aged 15–64 years exceeded 71</w:t>
            </w:r>
            <w:r w:rsidRPr="00F43D2E">
              <w:rPr>
                <w:color w:val="0D0D0D"/>
                <w:lang w:val="en-GB"/>
              </w:rPr>
              <w:t xml:space="preserve">%, it was higher only in five EU countries (the Czech Republic held primacy within the frame of the newer Union members). Branch specialisation of the Czech economy is also reflected in the high employment rate </w:t>
            </w:r>
            <w:r w:rsidR="00CA7C47">
              <w:rPr>
                <w:color w:val="0D0D0D"/>
                <w:lang w:val="en-GB"/>
              </w:rPr>
              <w:t>of males (</w:t>
            </w:r>
            <w:r w:rsidR="00CC06C7">
              <w:rPr>
                <w:color w:val="0D0D0D"/>
                <w:lang w:val="en-GB"/>
              </w:rPr>
              <w:t>78.5</w:t>
            </w:r>
            <w:r w:rsidRPr="00F43D2E">
              <w:rPr>
                <w:color w:val="0D0D0D"/>
                <w:lang w:val="en-GB"/>
              </w:rPr>
              <w:t>%)</w:t>
            </w:r>
            <w:proofErr w:type="gramStart"/>
            <w:r w:rsidRPr="00F43D2E">
              <w:rPr>
                <w:color w:val="0D0D0D"/>
                <w:lang w:val="en-GB"/>
              </w:rPr>
              <w:t>,</w:t>
            </w:r>
            <w:proofErr w:type="gramEnd"/>
            <w:r w:rsidRPr="00F43D2E">
              <w:rPr>
                <w:color w:val="0D0D0D"/>
                <w:lang w:val="en-GB"/>
              </w:rPr>
              <w:t xml:space="preserve"> only Netherlands achieved higher values in the Union this year.</w:t>
            </w:r>
          </w:p>
          <w:p w:rsidR="004F2A4D" w:rsidRPr="00F43D2E" w:rsidRDefault="004F2A4D" w:rsidP="00AF5D62">
            <w:pPr>
              <w:pStyle w:val="Textpoznpodarou"/>
              <w:jc w:val="both"/>
              <w:rPr>
                <w:rFonts w:cs="Arial"/>
                <w:color w:val="0D0D0D" w:themeColor="text1" w:themeTint="F2"/>
                <w:spacing w:val="-4"/>
                <w:sz w:val="13"/>
                <w:szCs w:val="13"/>
                <w:lang w:val="en-GB"/>
              </w:rPr>
            </w:pPr>
          </w:p>
        </w:tc>
      </w:tr>
      <w:tr w:rsidR="004F2A4D" w:rsidRPr="00F43D2E" w:rsidTr="00AF5D62">
        <w:tc>
          <w:tcPr>
            <w:tcW w:w="1054" w:type="pct"/>
          </w:tcPr>
          <w:p w:rsidR="000C73BF" w:rsidRPr="00F43D2E" w:rsidRDefault="000C73BF" w:rsidP="000C73BF">
            <w:pPr>
              <w:spacing w:line="240" w:lineRule="auto"/>
              <w:rPr>
                <w:rFonts w:cs="Arial"/>
                <w:bCs/>
                <w:iCs/>
                <w:color w:val="0D0D0D" w:themeColor="text1" w:themeTint="F2"/>
                <w:spacing w:val="-2"/>
                <w:sz w:val="16"/>
                <w:szCs w:val="16"/>
                <w:lang w:val="en-GB"/>
              </w:rPr>
            </w:pPr>
            <w:r w:rsidRPr="00F43D2E">
              <w:rPr>
                <w:rFonts w:cs="Arial"/>
                <w:bCs/>
                <w:iCs/>
                <w:color w:val="0D0D0D" w:themeColor="text1" w:themeTint="F2"/>
                <w:spacing w:val="-2"/>
                <w:sz w:val="16"/>
                <w:szCs w:val="16"/>
                <w:lang w:val="en-GB"/>
              </w:rPr>
              <w:t>Manufacturing caused one half of the growth of total employment in H1, similarly also to the two preceding years</w:t>
            </w:r>
          </w:p>
          <w:p w:rsidR="004F2A4D" w:rsidRPr="00F43D2E" w:rsidRDefault="000C73BF" w:rsidP="000C73BF">
            <w:pPr>
              <w:spacing w:line="240" w:lineRule="auto"/>
              <w:rPr>
                <w:rFonts w:cs="Arial"/>
                <w:bCs/>
                <w:iCs/>
                <w:color w:val="0D0D0D" w:themeColor="text1" w:themeTint="F2"/>
                <w:spacing w:val="-2"/>
                <w:sz w:val="16"/>
                <w:szCs w:val="16"/>
                <w:lang w:val="en-GB"/>
              </w:rPr>
            </w:pPr>
            <w:r w:rsidRPr="00F43D2E">
              <w:rPr>
                <w:rFonts w:cs="Arial"/>
                <w:bCs/>
                <w:iCs/>
                <w:color w:val="0D0D0D" w:themeColor="text1" w:themeTint="F2"/>
                <w:spacing w:val="-2"/>
                <w:sz w:val="16"/>
                <w:szCs w:val="16"/>
                <w:lang w:val="en-GB"/>
              </w:rPr>
              <w:t xml:space="preserve"> </w:t>
            </w:r>
          </w:p>
          <w:p w:rsidR="004F2A4D" w:rsidRPr="00F43D2E" w:rsidRDefault="004F2A4D" w:rsidP="00AF5D62">
            <w:pPr>
              <w:spacing w:line="240" w:lineRule="auto"/>
              <w:rPr>
                <w:rFonts w:cs="Arial"/>
                <w:bCs/>
                <w:iCs/>
                <w:color w:val="0D0D0D" w:themeColor="text1" w:themeTint="F2"/>
                <w:spacing w:val="-2"/>
                <w:sz w:val="16"/>
                <w:szCs w:val="16"/>
                <w:lang w:val="en-GB"/>
              </w:rPr>
            </w:pPr>
          </w:p>
          <w:p w:rsidR="004F2A4D" w:rsidRPr="00F43D2E" w:rsidRDefault="000C73BF" w:rsidP="00AF5D62">
            <w:pPr>
              <w:spacing w:line="240" w:lineRule="auto"/>
              <w:rPr>
                <w:rFonts w:cs="Arial"/>
                <w:bCs/>
                <w:iCs/>
                <w:color w:val="0D0D0D" w:themeColor="text1" w:themeTint="F2"/>
                <w:spacing w:val="-2"/>
                <w:sz w:val="16"/>
                <w:szCs w:val="16"/>
                <w:lang w:val="en-GB"/>
              </w:rPr>
            </w:pPr>
            <w:r w:rsidRPr="00F43D2E">
              <w:rPr>
                <w:color w:val="0D0D0D"/>
                <w:sz w:val="16"/>
                <w:szCs w:val="16"/>
                <w:lang w:val="en-GB"/>
              </w:rPr>
              <w:t>Employment in services was growing nearly across the whole spectrum, the dynamics however still stayed different in individual branches</w:t>
            </w:r>
            <w:r w:rsidRPr="00F43D2E">
              <w:rPr>
                <w:rFonts w:cs="Arial"/>
                <w:bCs/>
                <w:iCs/>
                <w:color w:val="0D0D0D" w:themeColor="text1" w:themeTint="F2"/>
                <w:spacing w:val="-2"/>
                <w:sz w:val="16"/>
                <w:szCs w:val="16"/>
                <w:lang w:val="en-GB"/>
              </w:rPr>
              <w:t xml:space="preserve"> </w:t>
            </w:r>
            <w:r w:rsidR="004F2A4D" w:rsidRPr="00F43D2E">
              <w:rPr>
                <w:rFonts w:cs="Arial"/>
                <w:bCs/>
                <w:iCs/>
                <w:color w:val="0D0D0D" w:themeColor="text1" w:themeTint="F2"/>
                <w:spacing w:val="-2"/>
                <w:sz w:val="16"/>
                <w:szCs w:val="16"/>
                <w:lang w:val="en-GB"/>
              </w:rPr>
              <w:t xml:space="preserve"> </w:t>
            </w:r>
          </w:p>
          <w:p w:rsidR="004F2A4D" w:rsidRPr="00F43D2E" w:rsidRDefault="004F2A4D" w:rsidP="00AF5D62">
            <w:pPr>
              <w:spacing w:line="240" w:lineRule="auto"/>
              <w:rPr>
                <w:rFonts w:cs="Arial"/>
                <w:bCs/>
                <w:iCs/>
                <w:color w:val="0D0D0D" w:themeColor="text1" w:themeTint="F2"/>
                <w:spacing w:val="-2"/>
                <w:sz w:val="16"/>
                <w:szCs w:val="16"/>
                <w:lang w:val="en-GB"/>
              </w:rPr>
            </w:pPr>
            <w:r w:rsidRPr="00F43D2E">
              <w:rPr>
                <w:rFonts w:cs="Arial"/>
                <w:bCs/>
                <w:iCs/>
                <w:color w:val="0D0D0D" w:themeColor="text1" w:themeTint="F2"/>
                <w:spacing w:val="-2"/>
                <w:sz w:val="16"/>
                <w:szCs w:val="16"/>
                <w:lang w:val="en-GB"/>
              </w:rPr>
              <w:t xml:space="preserve"> </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0C73BF" w:rsidP="00AF5D62">
            <w:pPr>
              <w:pStyle w:val="Textpoznpodarou"/>
              <w:jc w:val="both"/>
              <w:rPr>
                <w:rFonts w:cs="Arial"/>
                <w:color w:val="0D0D0D" w:themeColor="text1" w:themeTint="F2"/>
                <w:spacing w:val="-4"/>
                <w:lang w:val="en-GB"/>
              </w:rPr>
            </w:pPr>
            <w:r w:rsidRPr="00F43D2E">
              <w:rPr>
                <w:color w:val="0D0D0D"/>
                <w:lang w:val="en-GB"/>
              </w:rPr>
              <w:t>Higher employment this year, similarly to the whole time period since the end of recession, is mostly t</w:t>
            </w:r>
            <w:r w:rsidR="00CC06C7">
              <w:rPr>
                <w:color w:val="0D0D0D"/>
                <w:lang w:val="en-GB"/>
              </w:rPr>
              <w:t>he credit of manufacturing. 3.2</w:t>
            </w:r>
            <w:r w:rsidRPr="00F43D2E">
              <w:rPr>
                <w:color w:val="0D0D0D"/>
                <w:lang w:val="en-GB"/>
              </w:rPr>
              <w:t>% more persons were working in manufacturing year-on-year. The growth of employment had a practically an all covering nature. The most significant by weight grouping of activities – trade, transport</w:t>
            </w:r>
            <w:r w:rsidR="008F3423" w:rsidRPr="00F43D2E">
              <w:rPr>
                <w:color w:val="0D0D0D"/>
                <w:lang w:val="en-GB"/>
              </w:rPr>
              <w:t>ation</w:t>
            </w:r>
            <w:r w:rsidRPr="00F43D2E">
              <w:rPr>
                <w:color w:val="0D0D0D"/>
                <w:lang w:val="en-GB"/>
              </w:rPr>
              <w:t>, accommodation and restaurants thrived similarly to the last year, with 20 thousand persons more finding employment in this grouping year-on-year. The dynamics of creation of new job positions accelerated in professional, scientific, technical and ad</w:t>
            </w:r>
            <w:r w:rsidR="00CC06C7">
              <w:rPr>
                <w:color w:val="0D0D0D"/>
                <w:lang w:val="en-GB"/>
              </w:rPr>
              <w:t>ministrative activities (to 4.4</w:t>
            </w:r>
            <w:r w:rsidRPr="00F43D2E">
              <w:rPr>
                <w:color w:val="0D0D0D"/>
                <w:lang w:val="en-GB"/>
              </w:rPr>
              <w:t>%). Information and communication activities, where the total employment strengthened the most since the end of recession (Q2 2013) also prospered. On the contrary, the quantities o</w:t>
            </w:r>
            <w:r w:rsidR="001A0B1F" w:rsidRPr="00F43D2E">
              <w:rPr>
                <w:color w:val="0D0D0D"/>
                <w:lang w:val="en-GB"/>
              </w:rPr>
              <w:t>f</w:t>
            </w:r>
            <w:r w:rsidRPr="00F43D2E">
              <w:rPr>
                <w:color w:val="0D0D0D"/>
                <w:lang w:val="en-GB"/>
              </w:rPr>
              <w:t xml:space="preserve"> employees in total increased by the slowest pace in the public </w:t>
            </w:r>
            <w:r w:rsidR="000D431B" w:rsidRPr="00F43D2E">
              <w:rPr>
                <w:color w:val="0D0D0D"/>
                <w:lang w:val="en-GB"/>
              </w:rPr>
              <w:t>administration</w:t>
            </w:r>
            <w:r w:rsidRPr="00F43D2E">
              <w:rPr>
                <w:color w:val="0D0D0D"/>
                <w:lang w:val="en-GB"/>
              </w:rPr>
              <w:t xml:space="preserve">, education, defence, health and social </w:t>
            </w:r>
            <w:r w:rsidR="000D431B" w:rsidRPr="00F43D2E">
              <w:rPr>
                <w:color w:val="0D0D0D"/>
                <w:lang w:val="en-GB"/>
              </w:rPr>
              <w:t>work</w:t>
            </w:r>
            <w:r w:rsidRPr="00F43D2E">
              <w:rPr>
                <w:color w:val="0D0D0D"/>
                <w:lang w:val="en-GB"/>
              </w:rPr>
              <w:t xml:space="preserve"> in the last four years</w:t>
            </w:r>
            <w:r w:rsidR="001A0B1F" w:rsidRPr="00F43D2E">
              <w:rPr>
                <w:color w:val="0D0D0D"/>
                <w:lang w:val="en-GB"/>
              </w:rPr>
              <w:t>.</w:t>
            </w:r>
            <w:r w:rsidRPr="00F43D2E">
              <w:rPr>
                <w:color w:val="0D0D0D"/>
                <w:lang w:val="en-GB"/>
              </w:rPr>
              <w:t xml:space="preserve"> </w:t>
            </w:r>
            <w:r w:rsidRPr="00F43D2E">
              <w:rPr>
                <w:lang w:val="en-GB"/>
              </w:rPr>
              <w:t>The stagnation of employment in education was especially apparent here.</w:t>
            </w:r>
            <w:r w:rsidRPr="00F43D2E">
              <w:rPr>
                <w:spacing w:val="-4"/>
                <w:lang w:val="en-GB"/>
              </w:rPr>
              <w:t xml:space="preserve"> </w:t>
            </w:r>
          </w:p>
          <w:p w:rsidR="004F2A4D" w:rsidRPr="00F43D2E" w:rsidRDefault="004F2A4D" w:rsidP="00AF5D62">
            <w:pPr>
              <w:pStyle w:val="Textpoznpodarou"/>
              <w:jc w:val="both"/>
              <w:rPr>
                <w:rFonts w:cs="Arial"/>
                <w:color w:val="0D0D0D" w:themeColor="text1" w:themeTint="F2"/>
                <w:spacing w:val="-4"/>
                <w:sz w:val="13"/>
                <w:szCs w:val="13"/>
                <w:lang w:val="en-GB"/>
              </w:rPr>
            </w:pPr>
          </w:p>
        </w:tc>
      </w:tr>
      <w:tr w:rsidR="004F2A4D" w:rsidRPr="00F43D2E" w:rsidTr="00AF5D62">
        <w:tc>
          <w:tcPr>
            <w:tcW w:w="1054" w:type="pct"/>
          </w:tcPr>
          <w:p w:rsidR="004F2A4D" w:rsidRPr="00F43D2E" w:rsidRDefault="006D5A0C"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After the dissipation of the interim stimulus linked to the European subsidies, the employment again returned to decreases in construction</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6D5A0C" w:rsidP="00AF5D62">
            <w:pPr>
              <w:pStyle w:val="Textpoznpodarou"/>
              <w:jc w:val="both"/>
              <w:rPr>
                <w:rFonts w:cs="Arial"/>
                <w:color w:val="0D0D0D" w:themeColor="text1" w:themeTint="F2"/>
                <w:spacing w:val="-4"/>
                <w:lang w:val="en-GB"/>
              </w:rPr>
            </w:pPr>
            <w:r w:rsidRPr="00F43D2E">
              <w:rPr>
                <w:color w:val="0D0D0D"/>
                <w:lang w:val="en-GB"/>
              </w:rPr>
              <w:t>Construction again started to lose employees after the last y</w:t>
            </w:r>
            <w:r w:rsidR="00CC06C7">
              <w:rPr>
                <w:color w:val="0D0D0D"/>
                <w:lang w:val="en-GB"/>
              </w:rPr>
              <w:t>ear's stagnation this year, 1.4</w:t>
            </w:r>
            <w:r w:rsidRPr="00F43D2E">
              <w:rPr>
                <w:color w:val="0D0D0D"/>
                <w:lang w:val="en-GB"/>
              </w:rPr>
              <w:t>% against the H1 of the last year. Mining companies are also still faced with a notable reduction of job positions (by one quarter between years 2008 and 2015), on the contrary the employment declined only slightly in other branches of the primary sector and energy.</w:t>
            </w:r>
            <w:r w:rsidRPr="00F43D2E">
              <w:rPr>
                <w:rFonts w:cs="Arial"/>
                <w:color w:val="0D0D0D" w:themeColor="text1" w:themeTint="F2"/>
                <w:spacing w:val="-4"/>
                <w:lang w:val="en-GB"/>
              </w:rPr>
              <w:t xml:space="preserve">  </w:t>
            </w:r>
          </w:p>
          <w:p w:rsidR="004F2A4D" w:rsidRPr="00F43D2E" w:rsidRDefault="004F2A4D" w:rsidP="00AF5D62">
            <w:pPr>
              <w:pStyle w:val="Textpoznpodarou"/>
              <w:jc w:val="both"/>
              <w:rPr>
                <w:rFonts w:cs="Arial"/>
                <w:color w:val="0D0D0D" w:themeColor="text1" w:themeTint="F2"/>
                <w:spacing w:val="-4"/>
                <w:sz w:val="13"/>
                <w:szCs w:val="13"/>
                <w:lang w:val="en-GB"/>
              </w:rPr>
            </w:pPr>
          </w:p>
        </w:tc>
      </w:tr>
      <w:tr w:rsidR="004F2A4D" w:rsidRPr="00F43D2E" w:rsidTr="00AF5D62">
        <w:tc>
          <w:tcPr>
            <w:tcW w:w="1054" w:type="pct"/>
          </w:tcPr>
          <w:p w:rsidR="004F2A4D" w:rsidRPr="00F43D2E" w:rsidRDefault="008E67B2"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Year-on-year fall of the number of self-employed (mainly the small entrepreneurs) halted after eight quarters</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8E67B2" w:rsidP="00AF5D62">
            <w:pPr>
              <w:pStyle w:val="Textpoznpodarou"/>
              <w:jc w:val="both"/>
              <w:rPr>
                <w:rFonts w:cs="Arial"/>
                <w:color w:val="0D0D0D" w:themeColor="text1" w:themeTint="F2"/>
                <w:spacing w:val="-4"/>
                <w:lang w:val="en-GB"/>
              </w:rPr>
            </w:pPr>
            <w:r w:rsidRPr="00F43D2E">
              <w:rPr>
                <w:color w:val="0D0D0D"/>
                <w:lang w:val="en-GB"/>
              </w:rPr>
              <w:t>Structural changes on the labour market expressed by a varying development of the number of employees and self-employed co</w:t>
            </w:r>
            <w:r w:rsidR="00CC06C7">
              <w:rPr>
                <w:color w:val="0D0D0D"/>
                <w:lang w:val="en-GB"/>
              </w:rPr>
              <w:t>ntinued. While there was by 2.2</w:t>
            </w:r>
            <w:r w:rsidRPr="00F43D2E">
              <w:rPr>
                <w:color w:val="0D0D0D"/>
                <w:lang w:val="en-GB"/>
              </w:rPr>
              <w:t xml:space="preserve">% </w:t>
            </w:r>
            <w:r w:rsidR="00CA7C47">
              <w:rPr>
                <w:color w:val="0D0D0D"/>
                <w:lang w:val="en-GB"/>
              </w:rPr>
              <w:t>more of employee</w:t>
            </w:r>
            <w:r w:rsidR="00CC06C7">
              <w:rPr>
                <w:color w:val="0D0D0D"/>
                <w:lang w:val="en-GB"/>
              </w:rPr>
              <w:t xml:space="preserve"> positions, 1</w:t>
            </w:r>
            <w:r w:rsidRPr="00F43D2E">
              <w:rPr>
                <w:color w:val="0D0D0D"/>
                <w:lang w:val="en-GB"/>
              </w:rPr>
              <w:t>% of self-employed diminished (their year-on-year reduction ceased in Q2 itself, however only data in the second half of the year will show, to what extent it is a signal of longer-term tendencies). The fact remains, that the number of employees has been showing more favourable growth rates compared to self-employed continuously already since half of 2012.</w:t>
            </w:r>
          </w:p>
          <w:p w:rsidR="004F2A4D" w:rsidRPr="00F43D2E" w:rsidRDefault="004F2A4D" w:rsidP="00AF5D62">
            <w:pPr>
              <w:pStyle w:val="Textpoznpodarou"/>
              <w:jc w:val="both"/>
              <w:rPr>
                <w:rFonts w:cs="Arial"/>
                <w:color w:val="0D0D0D" w:themeColor="text1" w:themeTint="F2"/>
                <w:spacing w:val="-2"/>
                <w:sz w:val="13"/>
                <w:szCs w:val="13"/>
                <w:lang w:val="en-GB"/>
              </w:rPr>
            </w:pPr>
          </w:p>
        </w:tc>
      </w:tr>
      <w:tr w:rsidR="004F2A4D" w:rsidRPr="00F43D2E" w:rsidTr="00AF5D62">
        <w:tc>
          <w:tcPr>
            <w:tcW w:w="1054" w:type="pct"/>
          </w:tcPr>
          <w:p w:rsidR="008E67B2" w:rsidRPr="00F43D2E" w:rsidRDefault="008E67B2" w:rsidP="008E67B2">
            <w:pPr>
              <w:spacing w:line="240" w:lineRule="auto"/>
              <w:rPr>
                <w:rFonts w:cs="Arial"/>
                <w:bCs/>
                <w:iCs/>
                <w:color w:val="0D0D0D" w:themeColor="text1" w:themeTint="F2"/>
                <w:spacing w:val="-4"/>
                <w:sz w:val="16"/>
                <w:szCs w:val="16"/>
                <w:lang w:val="en-GB"/>
              </w:rPr>
            </w:pPr>
            <w:r w:rsidRPr="00F43D2E">
              <w:rPr>
                <w:rFonts w:cs="Arial"/>
                <w:bCs/>
                <w:iCs/>
                <w:color w:val="0D0D0D" w:themeColor="text1" w:themeTint="F2"/>
                <w:spacing w:val="-4"/>
                <w:sz w:val="16"/>
                <w:szCs w:val="16"/>
                <w:lang w:val="en-GB"/>
              </w:rPr>
              <w:t>The number of hours worked grew year-on-year against the total employment by more than a doubled pace…</w:t>
            </w: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8E67B2" w:rsidP="001A0B1F">
            <w:pPr>
              <w:spacing w:line="240" w:lineRule="auto"/>
              <w:rPr>
                <w:rFonts w:cs="Arial"/>
                <w:bCs/>
                <w:iCs/>
                <w:color w:val="0D0D0D" w:themeColor="text1" w:themeTint="F2"/>
                <w:spacing w:val="-2"/>
                <w:sz w:val="16"/>
                <w:szCs w:val="16"/>
                <w:lang w:val="en-GB"/>
              </w:rPr>
            </w:pPr>
            <w:r w:rsidRPr="00F43D2E">
              <w:rPr>
                <w:color w:val="0D0D0D"/>
                <w:lang w:val="en-GB"/>
              </w:rPr>
              <w:t xml:space="preserve">… </w:t>
            </w:r>
            <w:r w:rsidR="001A0B1F" w:rsidRPr="00F43D2E">
              <w:rPr>
                <w:color w:val="0D0D0D"/>
                <w:sz w:val="16"/>
                <w:szCs w:val="16"/>
                <w:lang w:val="en-GB"/>
              </w:rPr>
              <w:t>ho</w:t>
            </w:r>
            <w:r w:rsidRPr="00F43D2E">
              <w:rPr>
                <w:color w:val="0D0D0D"/>
                <w:sz w:val="16"/>
                <w:szCs w:val="16"/>
                <w:lang w:val="en-GB"/>
              </w:rPr>
              <w:t>urly labour productivity fell in the whole economy for the first time in nine quarters</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8E67B2" w:rsidP="00AF5D62">
            <w:pPr>
              <w:pStyle w:val="Textpoznpodarou"/>
              <w:jc w:val="both"/>
              <w:rPr>
                <w:spacing w:val="-4"/>
                <w:lang w:val="en-GB"/>
              </w:rPr>
            </w:pPr>
            <w:r w:rsidRPr="00F43D2E">
              <w:rPr>
                <w:color w:val="0D0D0D"/>
                <w:lang w:val="en-GB"/>
              </w:rPr>
              <w:t>The labour productivity kept growing despite the high employment dynamics. The gross value ad</w:t>
            </w:r>
            <w:r w:rsidR="00CC06C7">
              <w:rPr>
                <w:color w:val="0D0D0D"/>
                <w:lang w:val="en-GB"/>
              </w:rPr>
              <w:t>ded (GVA) per 1 worker was by 1% higher year-on-year (by 2.6</w:t>
            </w:r>
            <w:r w:rsidRPr="00F43D2E">
              <w:rPr>
                <w:color w:val="0D0D0D"/>
                <w:lang w:val="en-GB"/>
              </w:rPr>
              <w:t>% for the whole year 2015). GVA in relation to an hour worked lowered at the beginning of the year for the first time af</w:t>
            </w:r>
            <w:r w:rsidR="00CC06C7">
              <w:rPr>
                <w:color w:val="0D0D0D"/>
                <w:lang w:val="en-GB"/>
              </w:rPr>
              <w:t>ter nine quarters (down to -2.3</w:t>
            </w:r>
            <w:r w:rsidR="00CA7C47">
              <w:rPr>
                <w:color w:val="0D0D0D"/>
                <w:lang w:val="en-GB"/>
              </w:rPr>
              <w:t>% in Q2), almost</w:t>
            </w:r>
            <w:r w:rsidRPr="00F43D2E">
              <w:rPr>
                <w:color w:val="0D0D0D"/>
                <w:lang w:val="en-GB"/>
              </w:rPr>
              <w:t xml:space="preserve"> in all significant branches. The unusually high growth of the number of hours worked had an </w:t>
            </w:r>
            <w:r w:rsidR="001A0B1F" w:rsidRPr="00F43D2E">
              <w:rPr>
                <w:color w:val="0D0D0D"/>
                <w:lang w:val="en-GB"/>
              </w:rPr>
              <w:t>e</w:t>
            </w:r>
            <w:r w:rsidR="00CC06C7">
              <w:rPr>
                <w:color w:val="0D0D0D"/>
                <w:lang w:val="en-GB"/>
              </w:rPr>
              <w:t>ffect here (by 3.1% in Q1, by 5.1</w:t>
            </w:r>
            <w:r w:rsidRPr="00F43D2E">
              <w:rPr>
                <w:color w:val="0D0D0D"/>
                <w:lang w:val="en-GB"/>
              </w:rPr>
              <w:t>% in Q2), which can be connected to the fact, that companies react to the present lack of qualified workers by a more intensive utilisation of the existing labour force. T</w:t>
            </w:r>
            <w:r w:rsidR="00CC06C7">
              <w:rPr>
                <w:color w:val="0D0D0D"/>
                <w:lang w:val="en-GB"/>
              </w:rPr>
              <w:t xml:space="preserve">he hourly productivity </w:t>
            </w:r>
            <w:r w:rsidR="00CC06C7">
              <w:rPr>
                <w:color w:val="0D0D0D"/>
                <w:lang w:val="en-GB"/>
              </w:rPr>
              <w:lastRenderedPageBreak/>
              <w:t>was by 5</w:t>
            </w:r>
            <w:r w:rsidRPr="00F43D2E">
              <w:rPr>
                <w:color w:val="0D0D0D"/>
                <w:lang w:val="en-GB"/>
              </w:rPr>
              <w:t>% higher in the whole economy this year compared to H1 of the boom year 2008, by one fifth in manufacturing, it grew significantly also in the agricultural and financial sector.</w:t>
            </w:r>
          </w:p>
          <w:p w:rsidR="004F2A4D" w:rsidRPr="00F43D2E" w:rsidRDefault="004F2A4D" w:rsidP="00AF5D62">
            <w:pPr>
              <w:pStyle w:val="Textpoznpodarou"/>
              <w:jc w:val="both"/>
              <w:rPr>
                <w:rFonts w:cs="Arial"/>
                <w:color w:val="0D0D0D" w:themeColor="text1" w:themeTint="F2"/>
                <w:spacing w:val="-2"/>
                <w:sz w:val="13"/>
                <w:szCs w:val="13"/>
                <w:lang w:val="en-GB"/>
              </w:rPr>
            </w:pPr>
          </w:p>
        </w:tc>
      </w:tr>
      <w:tr w:rsidR="004F2A4D" w:rsidRPr="00F43D2E" w:rsidTr="00AF5D62">
        <w:tc>
          <w:tcPr>
            <w:tcW w:w="1054" w:type="pct"/>
          </w:tcPr>
          <w:p w:rsidR="004F2A4D" w:rsidRPr="00F43D2E" w:rsidRDefault="00521210"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lastRenderedPageBreak/>
              <w:t xml:space="preserve">Supply of vacancies was continuously growing, LO registered 134 thousand of these positions at the end of June, the most since September 2008 </w:t>
            </w: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521210"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Job applicants from qualified manual professions had a higher chance for employment (via the LO) over lawmakers, managers and specialists</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521210" w:rsidP="00AF5D62">
            <w:pPr>
              <w:pStyle w:val="Textpoznpodarou"/>
              <w:jc w:val="both"/>
              <w:rPr>
                <w:rFonts w:cs="Arial"/>
                <w:color w:val="0D0D0D" w:themeColor="text1" w:themeTint="F2"/>
                <w:spacing w:val="-4"/>
                <w:lang w:val="en-GB"/>
              </w:rPr>
            </w:pPr>
            <w:r w:rsidRPr="00F43D2E">
              <w:rPr>
                <w:color w:val="0D0D0D"/>
                <w:lang w:val="en-GB"/>
              </w:rPr>
              <w:t>Labour offices (LO) offered 134 t</w:t>
            </w:r>
            <w:r w:rsidR="00CC06C7">
              <w:rPr>
                <w:color w:val="0D0D0D"/>
                <w:lang w:val="en-GB"/>
              </w:rPr>
              <w:t>housand vacancies (by nearly 40</w:t>
            </w:r>
            <w:r w:rsidRPr="00F43D2E">
              <w:rPr>
                <w:color w:val="0D0D0D"/>
                <w:lang w:val="en-GB"/>
              </w:rPr>
              <w:t>% more year-on-year) at the end of Q2, the number of positions thus slowly approached the historical maximum from April 2008 (152 thousand). 31 thousand positions w</w:t>
            </w:r>
            <w:r w:rsidR="00C3609E" w:rsidRPr="00F43D2E">
              <w:rPr>
                <w:color w:val="0D0D0D"/>
                <w:lang w:val="en-GB"/>
              </w:rPr>
              <w:t>ere</w:t>
            </w:r>
            <w:r w:rsidRPr="00F43D2E">
              <w:rPr>
                <w:color w:val="0D0D0D"/>
                <w:lang w:val="en-GB"/>
              </w:rPr>
              <w:t xml:space="preserve"> added compared to the</w:t>
            </w:r>
            <w:r w:rsidR="00CA7C47">
              <w:rPr>
                <w:color w:val="0D0D0D"/>
                <w:lang w:val="en-GB"/>
              </w:rPr>
              <w:t xml:space="preserve"> beginning of the year in </w:t>
            </w:r>
            <w:proofErr w:type="gramStart"/>
            <w:r w:rsidR="00CA7C47">
              <w:rPr>
                <w:color w:val="0D0D0D"/>
                <w:lang w:val="en-GB"/>
              </w:rPr>
              <w:t>2016</w:t>
            </w:r>
            <w:r w:rsidRPr="00F43D2E">
              <w:rPr>
                <w:color w:val="0D0D0D"/>
                <w:lang w:val="en-GB"/>
              </w:rPr>
              <w:t>,</w:t>
            </w:r>
            <w:proofErr w:type="gramEnd"/>
            <w:r w:rsidRPr="00F43D2E">
              <w:rPr>
                <w:color w:val="0D0D0D"/>
                <w:lang w:val="en-GB"/>
              </w:rPr>
              <w:t xml:space="preserve"> however</w:t>
            </w:r>
            <w:r w:rsidR="00CA7C47">
              <w:rPr>
                <w:color w:val="0D0D0D"/>
                <w:lang w:val="en-GB"/>
              </w:rPr>
              <w:t>,</w:t>
            </w:r>
            <w:r w:rsidRPr="00F43D2E">
              <w:rPr>
                <w:color w:val="0D0D0D"/>
                <w:lang w:val="en-GB"/>
              </w:rPr>
              <w:t xml:space="preserve"> this addition was mildly higher in the same period of the last year. Positively, new job positions were created in a higher extent also in the economically less developed or structurally stricken regions. </w:t>
            </w:r>
            <w:r w:rsidR="00C3609E" w:rsidRPr="00F43D2E">
              <w:rPr>
                <w:color w:val="0D0D0D"/>
                <w:lang w:val="en-GB"/>
              </w:rPr>
              <w:t>A</w:t>
            </w:r>
            <w:r w:rsidRPr="00F43D2E">
              <w:rPr>
                <w:color w:val="0D0D0D"/>
                <w:lang w:val="en-GB"/>
              </w:rPr>
              <w:t>mong other</w:t>
            </w:r>
            <w:r w:rsidR="00C3609E" w:rsidRPr="00F43D2E">
              <w:rPr>
                <w:color w:val="0D0D0D"/>
                <w:lang w:val="en-GB"/>
              </w:rPr>
              <w:t xml:space="preserve"> things, </w:t>
            </w:r>
            <w:r w:rsidRPr="00F43D2E">
              <w:rPr>
                <w:color w:val="0D0D0D"/>
                <w:lang w:val="en-GB"/>
              </w:rPr>
              <w:t>a marked improvement in the ratio of the registered applicants and vacancies</w:t>
            </w:r>
            <w:bookmarkStart w:id="1" w:name="_ftnref20"/>
            <w:r w:rsidR="008F6627" w:rsidRPr="00F43D2E">
              <w:rPr>
                <w:rStyle w:val="Znakapoznpodarou"/>
                <w:color w:val="0D0D0D" w:themeColor="text1" w:themeTint="F2"/>
                <w:spacing w:val="-4"/>
                <w:lang w:val="en-GB"/>
              </w:rPr>
              <w:footnoteReference w:id="2"/>
            </w:r>
            <w:bookmarkEnd w:id="1"/>
            <w:r w:rsidR="00C3609E" w:rsidRPr="00F43D2E">
              <w:rPr>
                <w:lang w:val="en-GB"/>
              </w:rPr>
              <w:t xml:space="preserve"> is evident</w:t>
            </w:r>
            <w:r w:rsidRPr="00F43D2E">
              <w:rPr>
                <w:color w:val="0D0D0D"/>
                <w:lang w:val="en-GB"/>
              </w:rPr>
              <w:t>. A substantial qualification mismatch however still persists between the offered vacancies and the registered applicants for emplo</w:t>
            </w:r>
            <w:r w:rsidR="00235541">
              <w:rPr>
                <w:color w:val="0D0D0D"/>
                <w:lang w:val="en-GB"/>
              </w:rPr>
              <w:t>yment. Applicants in the group “</w:t>
            </w:r>
            <w:r w:rsidRPr="00F43D2E">
              <w:rPr>
                <w:color w:val="0D0D0D"/>
                <w:lang w:val="en-GB"/>
              </w:rPr>
              <w:t>operating of m</w:t>
            </w:r>
            <w:r w:rsidR="00235541">
              <w:rPr>
                <w:color w:val="0D0D0D"/>
                <w:lang w:val="en-GB"/>
              </w:rPr>
              <w:t>achine and equipment, assembler”</w:t>
            </w:r>
            <w:r w:rsidRPr="00F43D2E">
              <w:rPr>
                <w:color w:val="0D0D0D"/>
                <w:lang w:val="en-GB"/>
              </w:rPr>
              <w:t xml:space="preserve"> (continuously since spring 2014) could find a job the most </w:t>
            </w:r>
            <w:proofErr w:type="gramStart"/>
            <w:r w:rsidRPr="00F43D2E">
              <w:rPr>
                <w:color w:val="0D0D0D"/>
                <w:lang w:val="en-GB"/>
              </w:rPr>
              <w:t>easily,</w:t>
            </w:r>
            <w:proofErr w:type="gramEnd"/>
            <w:r w:rsidRPr="00F43D2E">
              <w:rPr>
                <w:color w:val="0D0D0D"/>
                <w:lang w:val="en-GB"/>
              </w:rPr>
              <w:t xml:space="preserve"> there was only 1.2 applicants per one vacancy at the end of June 2016. Craftsmen and servicemen also enjoyed a very good prospects </w:t>
            </w:r>
            <w:r w:rsidRPr="00F43D2E">
              <w:rPr>
                <w:lang w:val="en-GB"/>
              </w:rPr>
              <w:t>(1.6 applicants per vacancy</w:t>
            </w:r>
            <w:r w:rsidRPr="00F43D2E">
              <w:rPr>
                <w:color w:val="000000"/>
                <w:lang w:val="en-GB"/>
              </w:rPr>
              <w:t>), the position of non-qualified and assistant works improved markedly in the last year, they had a twice as high chance for employment compared to office workers (within their qualification class).</w:t>
            </w:r>
          </w:p>
          <w:p w:rsidR="004F2A4D" w:rsidRPr="00F43D2E" w:rsidRDefault="004F2A4D" w:rsidP="00AF5D62">
            <w:pPr>
              <w:pStyle w:val="Textpoznpodarou"/>
              <w:jc w:val="both"/>
              <w:rPr>
                <w:spacing w:val="-4"/>
                <w:sz w:val="13"/>
                <w:szCs w:val="13"/>
                <w:lang w:val="en-GB"/>
              </w:rPr>
            </w:pPr>
          </w:p>
        </w:tc>
      </w:tr>
      <w:tr w:rsidR="004F2A4D" w:rsidRPr="00F43D2E" w:rsidTr="00AF5D62">
        <w:tc>
          <w:tcPr>
            <w:tcW w:w="1054" w:type="pct"/>
          </w:tcPr>
          <w:p w:rsidR="004F2A4D" w:rsidRPr="00F43D2E" w:rsidRDefault="00066C0B" w:rsidP="00AF5D62">
            <w:pPr>
              <w:spacing w:line="240" w:lineRule="auto"/>
              <w:rPr>
                <w:sz w:val="16"/>
                <w:szCs w:val="16"/>
                <w:lang w:val="en-GB"/>
              </w:rPr>
            </w:pPr>
            <w:r w:rsidRPr="00F43D2E">
              <w:rPr>
                <w:sz w:val="16"/>
                <w:szCs w:val="16"/>
                <w:lang w:val="en-GB"/>
              </w:rPr>
              <w:t>Together with Germany and Malta, the Czech Republic belonged to countries with the lowest unemployment rate at the end of H1, for mal</w:t>
            </w:r>
            <w:r w:rsidR="008C3C7A">
              <w:rPr>
                <w:sz w:val="16"/>
                <w:szCs w:val="16"/>
                <w:lang w:val="en-GB"/>
              </w:rPr>
              <w:t>es the CR holds the best position</w:t>
            </w:r>
            <w:r w:rsidRPr="00F43D2E">
              <w:rPr>
                <w:sz w:val="16"/>
                <w:szCs w:val="16"/>
                <w:lang w:val="en-GB"/>
              </w:rPr>
              <w:t xml:space="preserve"> continuously already since April 2014</w:t>
            </w:r>
          </w:p>
        </w:tc>
        <w:tc>
          <w:tcPr>
            <w:tcW w:w="142" w:type="pct"/>
          </w:tcPr>
          <w:p w:rsidR="004F2A4D" w:rsidRPr="00F43D2E" w:rsidRDefault="004F2A4D" w:rsidP="00AF5D62">
            <w:pPr>
              <w:pStyle w:val="Textpoznpodarou"/>
              <w:jc w:val="both"/>
              <w:rPr>
                <w:lang w:val="en-GB"/>
              </w:rPr>
            </w:pPr>
          </w:p>
        </w:tc>
        <w:tc>
          <w:tcPr>
            <w:tcW w:w="3804" w:type="pct"/>
          </w:tcPr>
          <w:p w:rsidR="004F2A4D" w:rsidRPr="00F43D2E" w:rsidRDefault="00066C0B" w:rsidP="00AF5D62">
            <w:pPr>
              <w:pStyle w:val="Textpoznpodarou"/>
              <w:jc w:val="both"/>
              <w:rPr>
                <w:color w:val="0D0D0D"/>
                <w:lang w:val="en-GB"/>
              </w:rPr>
            </w:pPr>
            <w:r w:rsidRPr="00F43D2E">
              <w:rPr>
                <w:lang w:val="en-GB"/>
              </w:rPr>
              <w:t xml:space="preserve">Unemployment rate kept further </w:t>
            </w:r>
            <w:proofErr w:type="gramStart"/>
            <w:r w:rsidRPr="00F43D2E">
              <w:rPr>
                <w:lang w:val="en-GB"/>
              </w:rPr>
              <w:t>falling,</w:t>
            </w:r>
            <w:proofErr w:type="gramEnd"/>
            <w:r w:rsidRPr="00F43D2E">
              <w:rPr>
                <w:lang w:val="en-GB"/>
              </w:rPr>
              <w:t xml:space="preserve"> however, gradually it most likely met its limits. The proof is the weakening dynamics of the fall of the general unemployment rate (aged 15</w:t>
            </w:r>
            <w:r w:rsidRPr="00F43D2E">
              <w:rPr>
                <w:color w:val="0D0D0D"/>
                <w:lang w:val="en-GB"/>
              </w:rPr>
              <w:t>–</w:t>
            </w:r>
            <w:r w:rsidRPr="00F43D2E">
              <w:rPr>
                <w:lang w:val="en-GB"/>
              </w:rPr>
              <w:t>64 years, adjusted for seasonal effects</w:t>
            </w:r>
            <w:r w:rsidRPr="00F43D2E">
              <w:rPr>
                <w:color w:val="0D0D0D"/>
                <w:lang w:val="en-GB"/>
              </w:rPr>
              <w:t xml:space="preserve">) – it decreased only by 0.2 </w:t>
            </w:r>
            <w:r w:rsidR="00A95742">
              <w:rPr>
                <w:color w:val="0D0D0D"/>
                <w:lang w:val="en-GB"/>
              </w:rPr>
              <w:t>p.p.</w:t>
            </w:r>
            <w:r w:rsidRPr="00F43D2E">
              <w:rPr>
                <w:color w:val="0D0D0D"/>
                <w:lang w:val="en-GB"/>
              </w:rPr>
              <w:t xml:space="preserve"> between January and June 2016 (to 4.2%). The unemployment rate dropped in all education groups, the most for persons with</w:t>
            </w:r>
            <w:r w:rsidR="00C3609E" w:rsidRPr="00F43D2E">
              <w:rPr>
                <w:color w:val="0D0D0D"/>
                <w:lang w:val="en-GB"/>
              </w:rPr>
              <w:t xml:space="preserve"> the secondary education without the school leaving certificate, incl. apprentices </w:t>
            </w:r>
            <w:r w:rsidRPr="00F43D2E">
              <w:rPr>
                <w:color w:val="0D0D0D"/>
                <w:lang w:val="en-GB"/>
              </w:rPr>
              <w:t>(4</w:t>
            </w:r>
            <w:r w:rsidR="00C3609E" w:rsidRPr="00F43D2E">
              <w:rPr>
                <w:color w:val="0D0D0D"/>
                <w:lang w:val="en-GB"/>
              </w:rPr>
              <w:t>.</w:t>
            </w:r>
            <w:r w:rsidR="00CC06C7">
              <w:rPr>
                <w:color w:val="0D0D0D"/>
                <w:lang w:val="en-GB"/>
              </w:rPr>
              <w:t>2% in Q2, 5.7</w:t>
            </w:r>
            <w:r w:rsidRPr="00F43D2E">
              <w:rPr>
                <w:color w:val="0D0D0D"/>
                <w:lang w:val="en-GB"/>
              </w:rPr>
              <w:t xml:space="preserve">% a year before), on the contrary a high unemployment (within all EU countries) persists in the relative less numerous group of persons with </w:t>
            </w:r>
            <w:r w:rsidR="00C3609E" w:rsidRPr="00F43D2E">
              <w:rPr>
                <w:color w:val="0D0D0D"/>
                <w:lang w:val="en-GB"/>
              </w:rPr>
              <w:t xml:space="preserve">primary education </w:t>
            </w:r>
            <w:r w:rsidR="00CC06C7">
              <w:rPr>
                <w:color w:val="0D0D0D"/>
                <w:lang w:val="en-GB"/>
              </w:rPr>
              <w:t>(20.9%, it decreased only by 5.2</w:t>
            </w:r>
            <w:r w:rsidRPr="00F43D2E">
              <w:rPr>
                <w:color w:val="0D0D0D"/>
                <w:lang w:val="en-GB"/>
              </w:rPr>
              <w:t>% since the end of recession).</w:t>
            </w:r>
          </w:p>
          <w:p w:rsidR="00066C0B" w:rsidRPr="00F43D2E" w:rsidRDefault="00066C0B" w:rsidP="00AF5D62">
            <w:pPr>
              <w:pStyle w:val="Textpoznpodarou"/>
              <w:jc w:val="both"/>
              <w:rPr>
                <w:sz w:val="13"/>
                <w:szCs w:val="13"/>
                <w:lang w:val="en-GB"/>
              </w:rPr>
            </w:pPr>
          </w:p>
        </w:tc>
      </w:tr>
      <w:tr w:rsidR="004F2A4D" w:rsidRPr="00F43D2E" w:rsidTr="00AF5D62">
        <w:tc>
          <w:tcPr>
            <w:tcW w:w="1054" w:type="pct"/>
          </w:tcPr>
          <w:p w:rsidR="004F2A4D" w:rsidRPr="00F43D2E" w:rsidRDefault="00066C0B"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 xml:space="preserve">Growth of average wages accelerated to </w:t>
            </w:r>
            <w:r w:rsidR="00CC06C7">
              <w:rPr>
                <w:color w:val="0D0D0D"/>
                <w:sz w:val="16"/>
                <w:szCs w:val="16"/>
                <w:lang w:val="en-GB"/>
              </w:rPr>
              <w:t>4.2</w:t>
            </w:r>
            <w:r w:rsidRPr="00F43D2E">
              <w:rPr>
                <w:color w:val="0D0D0D"/>
                <w:sz w:val="16"/>
                <w:szCs w:val="16"/>
                <w:lang w:val="en-GB"/>
              </w:rPr>
              <w:t>% in H1, it represented the highest pace within H1 since 2008, when however the strong nominal growth was depreciated by high inflation</w:t>
            </w: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066C0B" w:rsidP="00AF5D62">
            <w:pPr>
              <w:spacing w:line="240" w:lineRule="auto"/>
              <w:rPr>
                <w:rFonts w:cs="Arial"/>
                <w:bCs/>
                <w:iCs/>
                <w:color w:val="0D0D0D" w:themeColor="text1" w:themeTint="F2"/>
                <w:spacing w:val="-4"/>
                <w:sz w:val="16"/>
                <w:szCs w:val="16"/>
                <w:lang w:val="en-GB"/>
              </w:rPr>
            </w:pPr>
            <w:r w:rsidRPr="00F43D2E">
              <w:rPr>
                <w:color w:val="0D0D0D"/>
                <w:sz w:val="16"/>
                <w:szCs w:val="16"/>
                <w:lang w:val="en-GB"/>
              </w:rPr>
              <w:t xml:space="preserve">Average wages were raised the most in the </w:t>
            </w:r>
            <w:proofErr w:type="spellStart"/>
            <w:r w:rsidRPr="00F43D2E">
              <w:rPr>
                <w:color w:val="0D0D0D"/>
                <w:sz w:val="16"/>
                <w:szCs w:val="16"/>
                <w:lang w:val="en-GB"/>
              </w:rPr>
              <w:t>Ustecky</w:t>
            </w:r>
            <w:proofErr w:type="spellEnd"/>
            <w:r w:rsidRPr="00F43D2E">
              <w:rPr>
                <w:color w:val="0D0D0D"/>
                <w:sz w:val="16"/>
                <w:szCs w:val="16"/>
                <w:lang w:val="en-GB"/>
              </w:rPr>
              <w:t xml:space="preserve"> region and </w:t>
            </w:r>
            <w:proofErr w:type="spellStart"/>
            <w:r w:rsidRPr="00F43D2E">
              <w:rPr>
                <w:color w:val="0D0D0D"/>
                <w:sz w:val="16"/>
                <w:szCs w:val="16"/>
                <w:lang w:val="en-GB"/>
              </w:rPr>
              <w:t>Vy</w:t>
            </w:r>
            <w:r w:rsidR="00CC06C7">
              <w:rPr>
                <w:color w:val="0D0D0D"/>
                <w:sz w:val="16"/>
                <w:szCs w:val="16"/>
                <w:lang w:val="en-GB"/>
              </w:rPr>
              <w:t>sočina</w:t>
            </w:r>
            <w:proofErr w:type="spellEnd"/>
            <w:r w:rsidR="00CC06C7">
              <w:rPr>
                <w:color w:val="0D0D0D"/>
                <w:sz w:val="16"/>
                <w:szCs w:val="16"/>
                <w:lang w:val="en-GB"/>
              </w:rPr>
              <w:t xml:space="preserve"> region (similarly by 4.6</w:t>
            </w:r>
            <w:r w:rsidRPr="00F43D2E">
              <w:rPr>
                <w:color w:val="0D0D0D"/>
                <w:sz w:val="16"/>
                <w:szCs w:val="16"/>
                <w:lang w:val="en-GB"/>
              </w:rPr>
              <w:t>%), volume of paid out wages gre</w:t>
            </w:r>
            <w:r w:rsidR="008C3C7A">
              <w:rPr>
                <w:color w:val="0D0D0D"/>
                <w:sz w:val="16"/>
                <w:szCs w:val="16"/>
                <w:lang w:val="en-GB"/>
              </w:rPr>
              <w:t>w the most year-on-year in the C</w:t>
            </w:r>
            <w:r w:rsidRPr="00F43D2E">
              <w:rPr>
                <w:color w:val="0D0D0D"/>
                <w:sz w:val="16"/>
                <w:szCs w:val="16"/>
                <w:lang w:val="en-GB"/>
              </w:rPr>
              <w:t>entral Bohemia (also due to the dynamic growth of employment in industry)</w:t>
            </w: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p w:rsidR="004F2A4D" w:rsidRPr="00F43D2E" w:rsidRDefault="004F2A4D" w:rsidP="00AF5D62">
            <w:pPr>
              <w:spacing w:line="240" w:lineRule="auto"/>
              <w:rPr>
                <w:rFonts w:cs="Arial"/>
                <w:bCs/>
                <w:iCs/>
                <w:color w:val="0D0D0D" w:themeColor="text1" w:themeTint="F2"/>
                <w:spacing w:val="-4"/>
                <w:sz w:val="16"/>
                <w:szCs w:val="16"/>
                <w:lang w:val="en-GB"/>
              </w:rPr>
            </w:pP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066C0B" w:rsidP="00AF5D62">
            <w:pPr>
              <w:pStyle w:val="Textpoznpodarou"/>
              <w:jc w:val="both"/>
              <w:rPr>
                <w:rFonts w:cs="Arial"/>
                <w:color w:val="0D0D0D" w:themeColor="text1" w:themeTint="F2"/>
                <w:spacing w:val="-4"/>
                <w:lang w:val="en-GB"/>
              </w:rPr>
            </w:pPr>
            <w:r w:rsidRPr="00F43D2E">
              <w:rPr>
                <w:color w:val="0D0D0D"/>
                <w:lang w:val="en-GB"/>
              </w:rPr>
              <w:t xml:space="preserve">Favourable economic development (mirrored also in the profitability of companies, but also in the continuing growth of orders in key branches) together with low and still falling unemployment rate accompanied by still more intensively articulated lack of employees (which has not been saturated even by foreign workers yet) push together on the wage growth. Business </w:t>
            </w:r>
            <w:r w:rsidR="000D431B" w:rsidRPr="00F43D2E">
              <w:rPr>
                <w:color w:val="0D0D0D"/>
                <w:lang w:val="en-GB"/>
              </w:rPr>
              <w:t>sphere</w:t>
            </w:r>
            <w:r w:rsidRPr="00F43D2E">
              <w:rPr>
                <w:color w:val="0D0D0D"/>
                <w:lang w:val="en-GB"/>
              </w:rPr>
              <w:t xml:space="preserve"> is also affected by the repeated increase of the wage tariffs in the public sector and more intensive activity of unions at the collective bargaining. The gradual rising of the minimal wage also has an effect in a part of the wage spectrum in businesses. Year-on-year growth of the average wages (to recalculated numbers of employees</w:t>
            </w:r>
            <w:r w:rsidR="008C3C7A">
              <w:rPr>
                <w:color w:val="0D0D0D"/>
                <w:lang w:val="en-GB"/>
              </w:rPr>
              <w:t xml:space="preserve"> - FTE</w:t>
            </w:r>
            <w:r w:rsidR="00CC06C7">
              <w:rPr>
                <w:lang w:val="en-GB"/>
              </w:rPr>
              <w:t>) amounted to 4.2</w:t>
            </w:r>
            <w:r w:rsidRPr="00F43D2E">
              <w:rPr>
                <w:lang w:val="en-GB"/>
              </w:rPr>
              <w:t xml:space="preserve">% in H1 and was the highest since the end of </w:t>
            </w:r>
            <w:r w:rsidR="0081315E">
              <w:rPr>
                <w:lang w:val="en-GB"/>
              </w:rPr>
              <w:t xml:space="preserve">the </w:t>
            </w:r>
            <w:r w:rsidRPr="00F43D2E">
              <w:rPr>
                <w:lang w:val="en-GB"/>
              </w:rPr>
              <w:t xml:space="preserve">year 2009 (when nevertheless the wage growth was accompanied by a considerable reduction especially of the low qualified </w:t>
            </w:r>
            <w:r w:rsidR="008C3C7A">
              <w:rPr>
                <w:lang w:val="en-GB"/>
              </w:rPr>
              <w:t xml:space="preserve">and </w:t>
            </w:r>
            <w:r w:rsidRPr="00F43D2E">
              <w:rPr>
                <w:lang w:val="en-GB"/>
              </w:rPr>
              <w:t>less paid jo</w:t>
            </w:r>
            <w:r w:rsidR="00235541">
              <w:rPr>
                <w:lang w:val="en-GB"/>
              </w:rPr>
              <w:t>b positions). Employees in the “low income”</w:t>
            </w:r>
            <w:r w:rsidRPr="00F43D2E">
              <w:rPr>
                <w:lang w:val="en-GB"/>
              </w:rPr>
              <w:t xml:space="preserve"> branches – accommodation, restaurants an</w:t>
            </w:r>
            <w:r w:rsidR="00CC06C7">
              <w:rPr>
                <w:lang w:val="en-GB"/>
              </w:rPr>
              <w:t>d food service activities (+6.9</w:t>
            </w:r>
            <w:r w:rsidRPr="00F43D2E">
              <w:rPr>
                <w:lang w:val="en-GB"/>
              </w:rPr>
              <w:t xml:space="preserve">%), cultural, amusement </w:t>
            </w:r>
            <w:r w:rsidR="00CC06C7">
              <w:rPr>
                <w:lang w:val="en-GB"/>
              </w:rPr>
              <w:t>and recreation activities (+5.8</w:t>
            </w:r>
            <w:r w:rsidRPr="00F43D2E">
              <w:rPr>
                <w:lang w:val="en-GB"/>
              </w:rPr>
              <w:t>%) and in administrative supp</w:t>
            </w:r>
            <w:r w:rsidR="00CC06C7">
              <w:rPr>
                <w:lang w:val="en-GB"/>
              </w:rPr>
              <w:t>ort services activities (+5.5</w:t>
            </w:r>
            <w:r w:rsidRPr="00F43D2E">
              <w:rPr>
                <w:lang w:val="en-GB"/>
              </w:rPr>
              <w:t>%) improved their position relatively the most. Among the best paid branches, the financial and insurance activities kept the primacy, also thanks to the paid out high extraordinary bonuses in Q2. The wage growth copied the rates attained in the whole economy in manufacturing both in Q1 and Q2.</w:t>
            </w:r>
            <w:r w:rsidR="004F2A4D" w:rsidRPr="00F43D2E">
              <w:rPr>
                <w:spacing w:val="-4"/>
                <w:lang w:val="en-GB"/>
              </w:rPr>
              <w:t xml:space="preserve"> </w:t>
            </w:r>
          </w:p>
          <w:p w:rsidR="004F2A4D" w:rsidRPr="00F43D2E" w:rsidRDefault="004F2A4D" w:rsidP="00AF5D62">
            <w:pPr>
              <w:pStyle w:val="Textpoznpodarou"/>
              <w:jc w:val="both"/>
              <w:rPr>
                <w:rFonts w:cs="Arial"/>
                <w:color w:val="0D0D0D" w:themeColor="text1" w:themeTint="F2"/>
                <w:spacing w:val="-4"/>
                <w:sz w:val="13"/>
                <w:szCs w:val="13"/>
                <w:lang w:val="en-GB"/>
              </w:rPr>
            </w:pPr>
          </w:p>
        </w:tc>
      </w:tr>
      <w:tr w:rsidR="004F2A4D" w:rsidRPr="00F43D2E" w:rsidTr="00AF5D62">
        <w:tc>
          <w:tcPr>
            <w:tcW w:w="1054" w:type="pct"/>
          </w:tcPr>
          <w:p w:rsidR="004F2A4D" w:rsidRPr="00F43D2E" w:rsidRDefault="00C17E06" w:rsidP="00AF5D62">
            <w:pPr>
              <w:spacing w:line="240" w:lineRule="auto"/>
              <w:rPr>
                <w:rFonts w:cs="Arial"/>
                <w:bCs/>
                <w:iCs/>
                <w:color w:val="0D0D0D" w:themeColor="text1" w:themeTint="F2"/>
                <w:spacing w:val="-2"/>
                <w:sz w:val="16"/>
                <w:szCs w:val="16"/>
                <w:lang w:val="en-GB"/>
              </w:rPr>
            </w:pPr>
            <w:r w:rsidRPr="00F43D2E">
              <w:rPr>
                <w:color w:val="0D0D0D"/>
                <w:sz w:val="16"/>
                <w:szCs w:val="16"/>
                <w:lang w:val="en-GB"/>
              </w:rPr>
              <w:t>Low inflationary environment accentuated the acceleration effect of the growth of wages</w:t>
            </w:r>
          </w:p>
        </w:tc>
        <w:tc>
          <w:tcPr>
            <w:tcW w:w="142" w:type="pct"/>
          </w:tcPr>
          <w:p w:rsidR="004F2A4D" w:rsidRPr="00F43D2E" w:rsidRDefault="004F2A4D" w:rsidP="00AF5D62">
            <w:pPr>
              <w:pStyle w:val="Textpoznpodarou"/>
              <w:jc w:val="both"/>
              <w:rPr>
                <w:color w:val="0D0D0D" w:themeColor="text1" w:themeTint="F2"/>
                <w:lang w:val="en-GB"/>
              </w:rPr>
            </w:pPr>
          </w:p>
        </w:tc>
        <w:tc>
          <w:tcPr>
            <w:tcW w:w="3804" w:type="pct"/>
          </w:tcPr>
          <w:p w:rsidR="004F2A4D" w:rsidRPr="00F43D2E" w:rsidRDefault="00C17E06" w:rsidP="00AF5D62">
            <w:pPr>
              <w:pStyle w:val="Textpoznpodarou"/>
              <w:jc w:val="both"/>
              <w:rPr>
                <w:rFonts w:cs="Arial"/>
                <w:color w:val="0D0D0D" w:themeColor="text1" w:themeTint="F2"/>
                <w:spacing w:val="-4"/>
                <w:sz w:val="14"/>
                <w:szCs w:val="14"/>
                <w:lang w:val="en-GB"/>
              </w:rPr>
            </w:pPr>
            <w:r w:rsidRPr="00F43D2E">
              <w:rPr>
                <w:lang w:val="en-GB"/>
              </w:rPr>
              <w:t>Wage differentiation mildly narrowed. T</w:t>
            </w:r>
            <w:r w:rsidR="008C3C7A">
              <w:rPr>
                <w:lang w:val="en-GB"/>
              </w:rPr>
              <w:t>he growth of the wage median clear</w:t>
            </w:r>
            <w:r w:rsidRPr="00F43D2E">
              <w:rPr>
                <w:lang w:val="en-GB"/>
              </w:rPr>
              <w:t>ly exceeded the dynamics of average wages already four quarters in a row. Low inflation rate and accelerating growth of the average wage positively impacted the development of the purchasing power of the employee earnings. The dynamic</w:t>
            </w:r>
            <w:r w:rsidR="00CC06C7">
              <w:rPr>
                <w:lang w:val="en-GB"/>
              </w:rPr>
              <w:t>s of real wages fastened to 3.8</w:t>
            </w:r>
            <w:r w:rsidRPr="00F43D2E">
              <w:rPr>
                <w:lang w:val="en-GB"/>
              </w:rPr>
              <w:t>% in H1, i.e. the highest year-on-year rate of growth since the end of 2009.</w:t>
            </w:r>
          </w:p>
        </w:tc>
      </w:tr>
    </w:tbl>
    <w:p w:rsidR="0033229B" w:rsidRPr="00F27D6C" w:rsidRDefault="0033229B" w:rsidP="004762D8">
      <w:pPr>
        <w:rPr>
          <w:szCs w:val="20"/>
          <w:lang w:val="en-GB" w:eastAsia="ar-SA"/>
        </w:rPr>
      </w:pPr>
    </w:p>
    <w:tbl>
      <w:tblPr>
        <w:tblW w:w="4986" w:type="pct"/>
        <w:tblLayout w:type="fixed"/>
        <w:tblCellMar>
          <w:left w:w="28" w:type="dxa"/>
          <w:right w:w="28" w:type="dxa"/>
        </w:tblCellMar>
        <w:tblLook w:val="04A0"/>
      </w:tblPr>
      <w:tblGrid>
        <w:gridCol w:w="758"/>
        <w:gridCol w:w="4091"/>
        <w:gridCol w:w="829"/>
        <w:gridCol w:w="3989"/>
      </w:tblGrid>
      <w:tr w:rsidR="00902D09" w:rsidRPr="00F43D2E" w:rsidTr="000F40CD">
        <w:tc>
          <w:tcPr>
            <w:tcW w:w="392" w:type="pct"/>
          </w:tcPr>
          <w:p w:rsidR="00902D09" w:rsidRPr="00F43D2E" w:rsidRDefault="00902D09" w:rsidP="000F40CD">
            <w:pPr>
              <w:pStyle w:val="Textpoznpodarou"/>
              <w:rPr>
                <w:lang w:val="en-GB" w:eastAsia="en-US"/>
              </w:rPr>
            </w:pPr>
            <w:r w:rsidRPr="00F43D2E">
              <w:rPr>
                <w:lang w:val="en-GB" w:eastAsia="en-US"/>
              </w:rPr>
              <w:lastRenderedPageBreak/>
              <w:t>Chart 15</w:t>
            </w:r>
          </w:p>
        </w:tc>
        <w:tc>
          <w:tcPr>
            <w:tcW w:w="2116" w:type="pct"/>
          </w:tcPr>
          <w:p w:rsidR="00902D09" w:rsidRPr="00F43D2E" w:rsidRDefault="00902D09" w:rsidP="000F40CD">
            <w:pPr>
              <w:pStyle w:val="Textpoznpodarou"/>
              <w:rPr>
                <w:lang w:val="en-GB" w:eastAsia="en-US"/>
              </w:rPr>
            </w:pPr>
            <w:r w:rsidRPr="00F43D2E">
              <w:rPr>
                <w:b/>
                <w:lang w:val="en-GB" w:eastAsia="en-US"/>
              </w:rPr>
              <w:t xml:space="preserve">Number of employed persons and employees </w:t>
            </w:r>
            <w:r w:rsidRPr="00F43D2E">
              <w:rPr>
                <w:spacing w:val="-4"/>
                <w:lang w:val="en-GB" w:eastAsia="en-US"/>
              </w:rPr>
              <w:t>(</w:t>
            </w:r>
            <w:r w:rsidRPr="00F43D2E">
              <w:rPr>
                <w:lang w:val="en-GB" w:eastAsia="en-US"/>
              </w:rPr>
              <w:t>national accounts data, seasonally adjusted</w:t>
            </w:r>
            <w:r w:rsidRPr="00F43D2E">
              <w:rPr>
                <w:spacing w:val="-4"/>
                <w:lang w:val="en-GB" w:eastAsia="en-US"/>
              </w:rPr>
              <w:t>, y/y in %)</w:t>
            </w:r>
          </w:p>
        </w:tc>
        <w:tc>
          <w:tcPr>
            <w:tcW w:w="429" w:type="pct"/>
          </w:tcPr>
          <w:p w:rsidR="00902D09" w:rsidRPr="00F43D2E" w:rsidRDefault="00902D09" w:rsidP="000F40CD">
            <w:pPr>
              <w:pStyle w:val="Textpoznpodarou"/>
              <w:rPr>
                <w:lang w:val="en-GB" w:eastAsia="en-US"/>
              </w:rPr>
            </w:pPr>
            <w:r w:rsidRPr="00F43D2E">
              <w:rPr>
                <w:lang w:val="en-GB" w:eastAsia="en-US"/>
              </w:rPr>
              <w:t>Chart 16</w:t>
            </w:r>
          </w:p>
        </w:tc>
        <w:tc>
          <w:tcPr>
            <w:tcW w:w="2063" w:type="pct"/>
          </w:tcPr>
          <w:p w:rsidR="00902D09" w:rsidRPr="00F43D2E" w:rsidRDefault="00902D09" w:rsidP="000F40CD">
            <w:pPr>
              <w:pStyle w:val="Textpoznpodarou"/>
              <w:rPr>
                <w:spacing w:val="-2"/>
                <w:lang w:val="en-GB" w:eastAsia="en-US"/>
              </w:rPr>
            </w:pPr>
            <w:r w:rsidRPr="00F43D2E">
              <w:rPr>
                <w:b/>
                <w:spacing w:val="-2"/>
                <w:lang w:val="en-GB" w:eastAsia="en-US"/>
              </w:rPr>
              <w:t xml:space="preserve">Gross monthly wage in nominal and real terms </w:t>
            </w:r>
            <w:r w:rsidRPr="00F43D2E">
              <w:rPr>
                <w:spacing w:val="-6"/>
                <w:lang w:val="en-GB" w:eastAsia="en-US"/>
              </w:rPr>
              <w:t>(</w:t>
            </w:r>
            <w:r>
              <w:rPr>
                <w:spacing w:val="-2"/>
                <w:lang w:val="en-GB" w:eastAsia="en-US"/>
              </w:rPr>
              <w:t>per</w:t>
            </w:r>
            <w:r w:rsidRPr="00F43D2E">
              <w:rPr>
                <w:spacing w:val="-2"/>
                <w:lang w:val="en-GB" w:eastAsia="en-US"/>
              </w:rPr>
              <w:t xml:space="preserve"> employee</w:t>
            </w:r>
            <w:r>
              <w:rPr>
                <w:spacing w:val="-2"/>
                <w:lang w:val="en-GB" w:eastAsia="en-US"/>
              </w:rPr>
              <w:t>, in FTE</w:t>
            </w:r>
            <w:r w:rsidRPr="00F43D2E">
              <w:rPr>
                <w:spacing w:val="-6"/>
                <w:lang w:val="en-GB" w:eastAsia="en-US"/>
              </w:rPr>
              <w:t>, y/y in %)</w:t>
            </w:r>
          </w:p>
        </w:tc>
      </w:tr>
      <w:tr w:rsidR="00902D09" w:rsidTr="000F40CD">
        <w:tc>
          <w:tcPr>
            <w:tcW w:w="2508" w:type="pct"/>
            <w:gridSpan w:val="2"/>
          </w:tcPr>
          <w:p w:rsidR="00902D09" w:rsidRDefault="008437F0" w:rsidP="000F40CD">
            <w:pPr>
              <w:pStyle w:val="Textpoznpodarou"/>
              <w:jc w:val="both"/>
            </w:pPr>
            <w:r>
              <w:rPr>
                <w:noProof/>
              </w:rPr>
              <w:drawing>
                <wp:inline distT="0" distB="0" distL="0" distR="0">
                  <wp:extent cx="3040380" cy="2262505"/>
                  <wp:effectExtent l="19050" t="0" r="7620" b="0"/>
                  <wp:docPr id="4"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3040380" cy="2262505"/>
                          </a:xfrm>
                          <a:prstGeom prst="rect">
                            <a:avLst/>
                          </a:prstGeom>
                          <a:noFill/>
                          <a:ln w="9525">
                            <a:noFill/>
                            <a:miter lim="800000"/>
                            <a:headEnd/>
                            <a:tailEnd/>
                          </a:ln>
                        </pic:spPr>
                      </pic:pic>
                    </a:graphicData>
                  </a:graphic>
                </wp:inline>
              </w:drawing>
            </w:r>
          </w:p>
        </w:tc>
        <w:tc>
          <w:tcPr>
            <w:tcW w:w="2492" w:type="pct"/>
            <w:gridSpan w:val="2"/>
          </w:tcPr>
          <w:p w:rsidR="00902D09" w:rsidRDefault="008437F0" w:rsidP="000F40CD">
            <w:pPr>
              <w:pStyle w:val="Textpoznpodarou"/>
              <w:jc w:val="both"/>
            </w:pPr>
            <w:r>
              <w:rPr>
                <w:noProof/>
              </w:rPr>
              <w:drawing>
                <wp:inline distT="0" distB="0" distL="0" distR="0">
                  <wp:extent cx="3028315" cy="2262505"/>
                  <wp:effectExtent l="19050" t="0" r="635"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028315" cy="2262505"/>
                          </a:xfrm>
                          <a:prstGeom prst="rect">
                            <a:avLst/>
                          </a:prstGeom>
                          <a:noFill/>
                          <a:ln w="9525">
                            <a:noFill/>
                            <a:miter lim="800000"/>
                            <a:headEnd/>
                            <a:tailEnd/>
                          </a:ln>
                        </pic:spPr>
                      </pic:pic>
                    </a:graphicData>
                  </a:graphic>
                </wp:inline>
              </w:drawing>
            </w:r>
          </w:p>
        </w:tc>
      </w:tr>
      <w:tr w:rsidR="00902D09" w:rsidTr="000F40CD">
        <w:tc>
          <w:tcPr>
            <w:tcW w:w="5000" w:type="pct"/>
            <w:gridSpan w:val="4"/>
          </w:tcPr>
          <w:p w:rsidR="00902D09" w:rsidRPr="005D0415" w:rsidRDefault="00902D09" w:rsidP="000F40CD">
            <w:pPr>
              <w:autoSpaceDE w:val="0"/>
              <w:autoSpaceDN w:val="0"/>
              <w:adjustRightInd w:val="0"/>
              <w:spacing w:line="240" w:lineRule="auto"/>
              <w:jc w:val="right"/>
              <w:rPr>
                <w:sz w:val="18"/>
                <w:szCs w:val="18"/>
                <w:lang w:val="en-GB" w:eastAsia="en-US"/>
              </w:rPr>
            </w:pPr>
            <w:r w:rsidRPr="00F43D2E">
              <w:rPr>
                <w:sz w:val="18"/>
                <w:szCs w:val="18"/>
                <w:lang w:val="en-GB" w:eastAsia="en-US"/>
              </w:rPr>
              <w:t>Source: CZSO</w:t>
            </w:r>
          </w:p>
        </w:tc>
      </w:tr>
    </w:tbl>
    <w:p w:rsidR="00902D09" w:rsidRPr="00F43D2E" w:rsidRDefault="00902D09" w:rsidP="004762D8">
      <w:pPr>
        <w:rPr>
          <w:sz w:val="14"/>
          <w:szCs w:val="14"/>
          <w:lang w:val="en-GB" w:eastAsia="ar-SA"/>
        </w:rPr>
      </w:pPr>
    </w:p>
    <w:sectPr w:rsidR="00902D09" w:rsidRPr="00F43D2E" w:rsidSect="00D43998">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ED" w:rsidRDefault="00777DED" w:rsidP="00E71A58">
      <w:r>
        <w:separator/>
      </w:r>
    </w:p>
  </w:endnote>
  <w:endnote w:type="continuationSeparator" w:id="0">
    <w:p w:rsidR="00777DED" w:rsidRDefault="00777DE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8437F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5C0A3F" w:rsidRPr="005A21E0">
      <w:rPr>
        <w:rFonts w:ascii="Arial" w:hAnsi="Arial" w:cs="Arial"/>
        <w:sz w:val="16"/>
        <w:szCs w:val="16"/>
      </w:rPr>
      <w:fldChar w:fldCharType="begin"/>
    </w:r>
    <w:r w:rsidRPr="005A21E0">
      <w:rPr>
        <w:rFonts w:ascii="Arial" w:hAnsi="Arial" w:cs="Arial"/>
        <w:sz w:val="16"/>
        <w:szCs w:val="16"/>
      </w:rPr>
      <w:instrText>PAGE   \* MERGEFORMAT</w:instrText>
    </w:r>
    <w:r w:rsidR="005C0A3F" w:rsidRPr="005A21E0">
      <w:rPr>
        <w:rFonts w:ascii="Arial" w:hAnsi="Arial" w:cs="Arial"/>
        <w:sz w:val="16"/>
        <w:szCs w:val="16"/>
      </w:rPr>
      <w:fldChar w:fldCharType="separate"/>
    </w:r>
    <w:r w:rsidR="00AC1B75">
      <w:rPr>
        <w:rFonts w:ascii="Arial" w:hAnsi="Arial" w:cs="Arial"/>
        <w:noProof/>
        <w:sz w:val="16"/>
        <w:szCs w:val="16"/>
      </w:rPr>
      <w:t>2</w:t>
    </w:r>
    <w:r w:rsidR="005C0A3F"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667271" w:rsidP="00357449">
    <w:pPr>
      <w:pStyle w:val="Zpat"/>
      <w:tabs>
        <w:tab w:val="clear" w:pos="4536"/>
        <w:tab w:val="clear" w:pos="9072"/>
        <w:tab w:val="left" w:pos="1134"/>
        <w:tab w:val="left" w:pos="1920"/>
        <w:tab w:val="center" w:pos="4820"/>
        <w:tab w:val="right" w:pos="9639"/>
      </w:tabs>
    </w:pPr>
    <w:r w:rsidRPr="00667271">
      <w:rPr>
        <w:noProof/>
        <w:lang w:eastAsia="cs-CZ"/>
      </w:rPr>
      <w:drawing>
        <wp:anchor distT="0" distB="0" distL="114300" distR="114300" simplePos="0" relativeHeight="251662848" behindDoc="0" locked="0" layoutInCell="1" allowOverlap="1">
          <wp:simplePos x="0" y="0"/>
          <wp:positionH relativeFrom="column">
            <wp:posOffset>67504</wp:posOffset>
          </wp:positionH>
          <wp:positionV relativeFrom="paragraph">
            <wp:posOffset>159704</wp:posOffset>
          </wp:positionV>
          <wp:extent cx="687787" cy="201954"/>
          <wp:effectExtent l="19050" t="0" r="0" b="0"/>
          <wp:wrapNone/>
          <wp:docPr id="13"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8437F0">
      <w:tab/>
    </w:r>
    <w:r w:rsidR="008437F0">
      <w:tab/>
    </w:r>
    <w:r w:rsidR="008437F0" w:rsidRPr="00DC5B3B">
      <w:t xml:space="preserve">                              </w:t>
    </w:r>
  </w:p>
  <w:p w:rsidR="008437F0" w:rsidRPr="00223E00" w:rsidRDefault="008437F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5C0A3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C0A3F" w:rsidRPr="00223E00">
      <w:rPr>
        <w:rFonts w:ascii="Arial" w:hAnsi="Arial" w:cs="Arial"/>
        <w:sz w:val="16"/>
        <w:szCs w:val="16"/>
      </w:rPr>
      <w:fldChar w:fldCharType="separate"/>
    </w:r>
    <w:r w:rsidR="00AC1B75">
      <w:rPr>
        <w:rFonts w:ascii="Arial" w:hAnsi="Arial" w:cs="Arial"/>
        <w:noProof/>
        <w:sz w:val="16"/>
        <w:szCs w:val="16"/>
      </w:rPr>
      <w:t>1</w:t>
    </w:r>
    <w:r w:rsidR="005C0A3F"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ED" w:rsidRDefault="00777DED" w:rsidP="00E71A58">
      <w:r>
        <w:separator/>
      </w:r>
    </w:p>
  </w:footnote>
  <w:footnote w:type="continuationSeparator" w:id="0">
    <w:p w:rsidR="00777DED" w:rsidRDefault="00777DED" w:rsidP="00E71A58">
      <w:r>
        <w:continuationSeparator/>
      </w:r>
    </w:p>
  </w:footnote>
  <w:footnote w:id="1">
    <w:p w:rsidR="008437F0" w:rsidRPr="00D33531" w:rsidRDefault="008437F0" w:rsidP="008F6627">
      <w:pPr>
        <w:pStyle w:val="Textpoznpodarou"/>
        <w:jc w:val="both"/>
        <w:rPr>
          <w:sz w:val="16"/>
          <w:szCs w:val="16"/>
          <w:lang w:val="en-GB"/>
        </w:rPr>
      </w:pPr>
      <w:r w:rsidRPr="00B4223A">
        <w:rPr>
          <w:rStyle w:val="Znakapoznpodarou"/>
          <w:sz w:val="16"/>
          <w:szCs w:val="16"/>
        </w:rPr>
        <w:footnoteRef/>
      </w:r>
      <w:r w:rsidRPr="00B4223A">
        <w:rPr>
          <w:sz w:val="16"/>
          <w:szCs w:val="16"/>
        </w:rPr>
        <w:t xml:space="preserve"> </w:t>
      </w:r>
      <w:r w:rsidRPr="00D33531">
        <w:rPr>
          <w:sz w:val="16"/>
          <w:szCs w:val="16"/>
          <w:lang w:val="en-GB"/>
        </w:rPr>
        <w:t>Unless stated otherwise, data are in the conception of the national accoun</w:t>
      </w:r>
      <w:r>
        <w:rPr>
          <w:sz w:val="16"/>
          <w:szCs w:val="16"/>
          <w:lang w:val="en-GB"/>
        </w:rPr>
        <w:t>t</w:t>
      </w:r>
      <w:r w:rsidRPr="00D33531">
        <w:rPr>
          <w:sz w:val="16"/>
          <w:szCs w:val="16"/>
          <w:lang w:val="en-GB"/>
        </w:rPr>
        <w:t>s and adjusted for seasonal effects in this chapter.</w:t>
      </w:r>
    </w:p>
  </w:footnote>
  <w:footnote w:id="2">
    <w:p w:rsidR="008437F0" w:rsidRPr="009F4126" w:rsidRDefault="008437F0" w:rsidP="008F6627">
      <w:pPr>
        <w:pStyle w:val="Textpoznpodarou"/>
        <w:jc w:val="both"/>
        <w:rPr>
          <w:sz w:val="16"/>
          <w:szCs w:val="16"/>
          <w:lang w:val="en-GB"/>
        </w:rPr>
      </w:pPr>
      <w:r w:rsidRPr="0042372A">
        <w:rPr>
          <w:rStyle w:val="Znakapoznpodarou"/>
          <w:sz w:val="16"/>
          <w:szCs w:val="16"/>
        </w:rPr>
        <w:footnoteRef/>
      </w:r>
      <w:r w:rsidRPr="0042372A">
        <w:rPr>
          <w:sz w:val="16"/>
          <w:szCs w:val="16"/>
        </w:rPr>
        <w:t xml:space="preserve"> </w:t>
      </w:r>
      <w:r w:rsidRPr="009F4126">
        <w:rPr>
          <w:sz w:val="16"/>
          <w:szCs w:val="16"/>
          <w:lang w:val="en-GB"/>
        </w:rPr>
        <w:t xml:space="preserve">This ratio decreased from 19.6 (June 2015) for instance in </w:t>
      </w:r>
      <w:proofErr w:type="spellStart"/>
      <w:r w:rsidRPr="009F4126">
        <w:rPr>
          <w:sz w:val="16"/>
          <w:szCs w:val="16"/>
          <w:lang w:val="en-GB"/>
        </w:rPr>
        <w:t>Bruntalsko</w:t>
      </w:r>
      <w:proofErr w:type="spellEnd"/>
      <w:r w:rsidRPr="009F4126">
        <w:rPr>
          <w:sz w:val="16"/>
          <w:szCs w:val="16"/>
          <w:lang w:val="en-GB"/>
        </w:rPr>
        <w:t xml:space="preserve"> to 7.6 (one year later). </w:t>
      </w:r>
      <w:proofErr w:type="gramStart"/>
      <w:r w:rsidRPr="009F4126">
        <w:rPr>
          <w:sz w:val="16"/>
          <w:szCs w:val="16"/>
          <w:lang w:val="en-GB"/>
        </w:rPr>
        <w:t xml:space="preserve">Similarly also in </w:t>
      </w:r>
      <w:proofErr w:type="spellStart"/>
      <w:r w:rsidRPr="009F4126">
        <w:rPr>
          <w:sz w:val="16"/>
          <w:szCs w:val="16"/>
          <w:lang w:val="en-GB"/>
        </w:rPr>
        <w:t>Mostecko</w:t>
      </w:r>
      <w:proofErr w:type="spellEnd"/>
      <w:r w:rsidRPr="009F4126">
        <w:rPr>
          <w:sz w:val="16"/>
          <w:szCs w:val="16"/>
          <w:lang w:val="en-GB"/>
        </w:rPr>
        <w:t xml:space="preserve"> (from 12.9 to 6.4) or the </w:t>
      </w:r>
      <w:proofErr w:type="spellStart"/>
      <w:r w:rsidRPr="009F4126">
        <w:rPr>
          <w:sz w:val="16"/>
          <w:szCs w:val="16"/>
          <w:lang w:val="en-GB"/>
        </w:rPr>
        <w:t>Ústí</w:t>
      </w:r>
      <w:proofErr w:type="spellEnd"/>
      <w:r w:rsidRPr="009F4126">
        <w:rPr>
          <w:sz w:val="16"/>
          <w:szCs w:val="16"/>
          <w:lang w:val="en-GB"/>
        </w:rPr>
        <w:t xml:space="preserve"> </w:t>
      </w:r>
      <w:proofErr w:type="spellStart"/>
      <w:r w:rsidRPr="009F4126">
        <w:rPr>
          <w:sz w:val="16"/>
          <w:szCs w:val="16"/>
          <w:lang w:val="en-GB"/>
        </w:rPr>
        <w:t>nad</w:t>
      </w:r>
      <w:proofErr w:type="spellEnd"/>
      <w:r w:rsidRPr="009F4126">
        <w:rPr>
          <w:sz w:val="16"/>
          <w:szCs w:val="16"/>
          <w:lang w:val="en-GB"/>
        </w:rPr>
        <w:t xml:space="preserve"> Labem region (from 18.7 to 11.7).</w:t>
      </w:r>
      <w:proofErr w:type="gramEnd"/>
      <w:r w:rsidRPr="009F4126">
        <w:rPr>
          <w:sz w:val="16"/>
          <w:szCs w:val="16"/>
          <w:lang w:val="en-GB"/>
        </w:rPr>
        <w:t xml:space="preserve"> Only eleven regions had more than 5 applicants per one vacancy this year in June, </w:t>
      </w:r>
      <w:r>
        <w:rPr>
          <w:sz w:val="16"/>
          <w:szCs w:val="16"/>
          <w:lang w:val="en-GB"/>
        </w:rPr>
        <w:t>on the contrary it was less tha</w:t>
      </w:r>
      <w:r w:rsidRPr="009F4126">
        <w:rPr>
          <w:sz w:val="16"/>
          <w:szCs w:val="16"/>
          <w:lang w:val="en-GB"/>
        </w:rPr>
        <w:t xml:space="preserve">n 1.5 in fourteen regions (all applicants could have been theoretically satisfied in </w:t>
      </w:r>
      <w:proofErr w:type="spellStart"/>
      <w:r w:rsidRPr="009F4126">
        <w:rPr>
          <w:sz w:val="16"/>
          <w:szCs w:val="16"/>
          <w:lang w:val="en-GB"/>
        </w:rPr>
        <w:t>Pardubicko</w:t>
      </w:r>
      <w:proofErr w:type="spellEnd"/>
      <w:r w:rsidRPr="009F4126">
        <w:rPr>
          <w:sz w:val="16"/>
          <w:szCs w:val="16"/>
          <w:lang w:val="en-GB"/>
        </w:rPr>
        <w:t xml:space="preserve">, </w:t>
      </w:r>
      <w:proofErr w:type="spellStart"/>
      <w:r w:rsidRPr="009F4126">
        <w:rPr>
          <w:sz w:val="16"/>
          <w:szCs w:val="16"/>
          <w:lang w:val="en-GB"/>
        </w:rPr>
        <w:t>Rokycansko</w:t>
      </w:r>
      <w:proofErr w:type="spellEnd"/>
      <w:r w:rsidRPr="009F4126">
        <w:rPr>
          <w:sz w:val="16"/>
          <w:szCs w:val="16"/>
          <w:lang w:val="en-GB"/>
        </w:rPr>
        <w:t xml:space="preserve"> and </w:t>
      </w:r>
      <w:proofErr w:type="spellStart"/>
      <w:r w:rsidRPr="009F4126">
        <w:rPr>
          <w:sz w:val="16"/>
          <w:szCs w:val="16"/>
          <w:lang w:val="en-GB"/>
        </w:rPr>
        <w:t>Rychnovsko</w:t>
      </w:r>
      <w:proofErr w:type="spellEnd"/>
      <w:r w:rsidRPr="009F4126">
        <w:rPr>
          <w:sz w:val="16"/>
          <w:szCs w:val="16"/>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163521" w:rsidRDefault="008437F0" w:rsidP="00163521">
    <w:pPr>
      <w:pStyle w:val="Zhlav"/>
      <w:tabs>
        <w:tab w:val="clear" w:pos="4536"/>
        <w:tab w:val="clear" w:pos="9072"/>
        <w:tab w:val="left" w:pos="-6379"/>
        <w:tab w:val="center" w:pos="4820"/>
        <w:tab w:val="right" w:pos="9639"/>
      </w:tabs>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D766EF" w:rsidRDefault="008437F0"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24108AF"/>
    <w:multiLevelType w:val="hybridMultilevel"/>
    <w:tmpl w:val="E36C612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B70BD"/>
    <w:rsid w:val="00000FA7"/>
    <w:rsid w:val="00001981"/>
    <w:rsid w:val="00001EFF"/>
    <w:rsid w:val="00003687"/>
    <w:rsid w:val="00003C43"/>
    <w:rsid w:val="00007044"/>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F14"/>
    <w:rsid w:val="000311C5"/>
    <w:rsid w:val="00031A9D"/>
    <w:rsid w:val="00032838"/>
    <w:rsid w:val="00032C12"/>
    <w:rsid w:val="00032E0C"/>
    <w:rsid w:val="00035CCF"/>
    <w:rsid w:val="00035DC9"/>
    <w:rsid w:val="00035FC6"/>
    <w:rsid w:val="0003705E"/>
    <w:rsid w:val="00037667"/>
    <w:rsid w:val="0004075D"/>
    <w:rsid w:val="000411E1"/>
    <w:rsid w:val="00041476"/>
    <w:rsid w:val="00041F1F"/>
    <w:rsid w:val="000426E5"/>
    <w:rsid w:val="00043E05"/>
    <w:rsid w:val="0004694F"/>
    <w:rsid w:val="000500DC"/>
    <w:rsid w:val="00052052"/>
    <w:rsid w:val="00052172"/>
    <w:rsid w:val="00053CBA"/>
    <w:rsid w:val="00053F27"/>
    <w:rsid w:val="00054E43"/>
    <w:rsid w:val="00055059"/>
    <w:rsid w:val="000553E4"/>
    <w:rsid w:val="000567FA"/>
    <w:rsid w:val="00056B26"/>
    <w:rsid w:val="00057C16"/>
    <w:rsid w:val="00057C8B"/>
    <w:rsid w:val="00060F26"/>
    <w:rsid w:val="00062D43"/>
    <w:rsid w:val="00062EC5"/>
    <w:rsid w:val="00064256"/>
    <w:rsid w:val="00066C0B"/>
    <w:rsid w:val="000706A4"/>
    <w:rsid w:val="00070A0C"/>
    <w:rsid w:val="00071F80"/>
    <w:rsid w:val="00072118"/>
    <w:rsid w:val="00073173"/>
    <w:rsid w:val="000779AC"/>
    <w:rsid w:val="00080AA8"/>
    <w:rsid w:val="00083803"/>
    <w:rsid w:val="00084393"/>
    <w:rsid w:val="0008716A"/>
    <w:rsid w:val="00087634"/>
    <w:rsid w:val="00091237"/>
    <w:rsid w:val="0009191B"/>
    <w:rsid w:val="000920EC"/>
    <w:rsid w:val="00092208"/>
    <w:rsid w:val="00092505"/>
    <w:rsid w:val="00092C9A"/>
    <w:rsid w:val="00095C0E"/>
    <w:rsid w:val="00096459"/>
    <w:rsid w:val="0009716E"/>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06"/>
    <w:rsid w:val="000C11D3"/>
    <w:rsid w:val="000C12F5"/>
    <w:rsid w:val="000C3408"/>
    <w:rsid w:val="000C5C0F"/>
    <w:rsid w:val="000C5D56"/>
    <w:rsid w:val="000C6498"/>
    <w:rsid w:val="000C6E0B"/>
    <w:rsid w:val="000C73BF"/>
    <w:rsid w:val="000D0D51"/>
    <w:rsid w:val="000D14B3"/>
    <w:rsid w:val="000D208B"/>
    <w:rsid w:val="000D263E"/>
    <w:rsid w:val="000D2B8D"/>
    <w:rsid w:val="000D2E41"/>
    <w:rsid w:val="000D342A"/>
    <w:rsid w:val="000D431B"/>
    <w:rsid w:val="000D5E7A"/>
    <w:rsid w:val="000D5FAA"/>
    <w:rsid w:val="000D65A4"/>
    <w:rsid w:val="000D6AEF"/>
    <w:rsid w:val="000E025B"/>
    <w:rsid w:val="000E0ECB"/>
    <w:rsid w:val="000E153A"/>
    <w:rsid w:val="000E19A8"/>
    <w:rsid w:val="000E1EEA"/>
    <w:rsid w:val="000E4A42"/>
    <w:rsid w:val="000E6476"/>
    <w:rsid w:val="000E78D2"/>
    <w:rsid w:val="000F3332"/>
    <w:rsid w:val="000F33EE"/>
    <w:rsid w:val="000F401E"/>
    <w:rsid w:val="000F40CD"/>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74"/>
    <w:rsid w:val="001041B6"/>
    <w:rsid w:val="001070EA"/>
    <w:rsid w:val="0011002A"/>
    <w:rsid w:val="001107CE"/>
    <w:rsid w:val="0011110A"/>
    <w:rsid w:val="001118AF"/>
    <w:rsid w:val="00111CA5"/>
    <w:rsid w:val="0011256E"/>
    <w:rsid w:val="0011352E"/>
    <w:rsid w:val="00114779"/>
    <w:rsid w:val="00114FC0"/>
    <w:rsid w:val="00115496"/>
    <w:rsid w:val="001165F9"/>
    <w:rsid w:val="00116DB9"/>
    <w:rsid w:val="00116F28"/>
    <w:rsid w:val="00121C39"/>
    <w:rsid w:val="00123255"/>
    <w:rsid w:val="00124572"/>
    <w:rsid w:val="00124D2D"/>
    <w:rsid w:val="00124DA1"/>
    <w:rsid w:val="00125326"/>
    <w:rsid w:val="00125CB5"/>
    <w:rsid w:val="00127535"/>
    <w:rsid w:val="001307BE"/>
    <w:rsid w:val="00130C8F"/>
    <w:rsid w:val="001314F2"/>
    <w:rsid w:val="001317DA"/>
    <w:rsid w:val="001323BA"/>
    <w:rsid w:val="0013254D"/>
    <w:rsid w:val="00133AAC"/>
    <w:rsid w:val="00133FBD"/>
    <w:rsid w:val="00135767"/>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5D03"/>
    <w:rsid w:val="001561B7"/>
    <w:rsid w:val="00156318"/>
    <w:rsid w:val="0015639A"/>
    <w:rsid w:val="0016081D"/>
    <w:rsid w:val="00160CF3"/>
    <w:rsid w:val="00160E61"/>
    <w:rsid w:val="001620FA"/>
    <w:rsid w:val="00162853"/>
    <w:rsid w:val="00163521"/>
    <w:rsid w:val="00163793"/>
    <w:rsid w:val="00167FB2"/>
    <w:rsid w:val="001707DE"/>
    <w:rsid w:val="00170B04"/>
    <w:rsid w:val="00170F47"/>
    <w:rsid w:val="001711F2"/>
    <w:rsid w:val="001714F2"/>
    <w:rsid w:val="00172264"/>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6BC"/>
    <w:rsid w:val="00191BAE"/>
    <w:rsid w:val="00193432"/>
    <w:rsid w:val="0019346C"/>
    <w:rsid w:val="00195444"/>
    <w:rsid w:val="001A0B1F"/>
    <w:rsid w:val="001A199D"/>
    <w:rsid w:val="001A2BDB"/>
    <w:rsid w:val="001A30F4"/>
    <w:rsid w:val="001A4C0D"/>
    <w:rsid w:val="001A5202"/>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3F60"/>
    <w:rsid w:val="001C4384"/>
    <w:rsid w:val="001C65FF"/>
    <w:rsid w:val="001D47E5"/>
    <w:rsid w:val="001D584C"/>
    <w:rsid w:val="001D5E1B"/>
    <w:rsid w:val="001D6655"/>
    <w:rsid w:val="001D66C1"/>
    <w:rsid w:val="001D70E4"/>
    <w:rsid w:val="001D7390"/>
    <w:rsid w:val="001D7C6F"/>
    <w:rsid w:val="001E0024"/>
    <w:rsid w:val="001E0C65"/>
    <w:rsid w:val="001E23E3"/>
    <w:rsid w:val="001E387A"/>
    <w:rsid w:val="001E3DA4"/>
    <w:rsid w:val="001E5830"/>
    <w:rsid w:val="001E684C"/>
    <w:rsid w:val="001E701C"/>
    <w:rsid w:val="001E724F"/>
    <w:rsid w:val="001E7C03"/>
    <w:rsid w:val="001F02AF"/>
    <w:rsid w:val="001F0649"/>
    <w:rsid w:val="001F28F4"/>
    <w:rsid w:val="001F2CC6"/>
    <w:rsid w:val="001F3055"/>
    <w:rsid w:val="001F31BC"/>
    <w:rsid w:val="001F378E"/>
    <w:rsid w:val="001F3C79"/>
    <w:rsid w:val="001F3E68"/>
    <w:rsid w:val="001F4597"/>
    <w:rsid w:val="001F56A9"/>
    <w:rsid w:val="001F5C6A"/>
    <w:rsid w:val="001F5E8F"/>
    <w:rsid w:val="001F63A7"/>
    <w:rsid w:val="001F670A"/>
    <w:rsid w:val="001F6A0E"/>
    <w:rsid w:val="001F6E5B"/>
    <w:rsid w:val="00200D15"/>
    <w:rsid w:val="0020223B"/>
    <w:rsid w:val="00203074"/>
    <w:rsid w:val="00203B46"/>
    <w:rsid w:val="00203DB3"/>
    <w:rsid w:val="002048E1"/>
    <w:rsid w:val="00207DB6"/>
    <w:rsid w:val="00210278"/>
    <w:rsid w:val="00210CC2"/>
    <w:rsid w:val="00210F5B"/>
    <w:rsid w:val="00210FFA"/>
    <w:rsid w:val="00211262"/>
    <w:rsid w:val="002115F5"/>
    <w:rsid w:val="00211AC9"/>
    <w:rsid w:val="00212B33"/>
    <w:rsid w:val="0021355B"/>
    <w:rsid w:val="0021385F"/>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0F82"/>
    <w:rsid w:val="002310F1"/>
    <w:rsid w:val="0023229C"/>
    <w:rsid w:val="0023355C"/>
    <w:rsid w:val="00234280"/>
    <w:rsid w:val="00235000"/>
    <w:rsid w:val="002350E3"/>
    <w:rsid w:val="00235330"/>
    <w:rsid w:val="00235541"/>
    <w:rsid w:val="00236443"/>
    <w:rsid w:val="002365BA"/>
    <w:rsid w:val="00240773"/>
    <w:rsid w:val="00240815"/>
    <w:rsid w:val="00240A5B"/>
    <w:rsid w:val="00240C76"/>
    <w:rsid w:val="002411EF"/>
    <w:rsid w:val="00241446"/>
    <w:rsid w:val="00242730"/>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3DCD"/>
    <w:rsid w:val="00274291"/>
    <w:rsid w:val="00276CFE"/>
    <w:rsid w:val="00277071"/>
    <w:rsid w:val="0027786C"/>
    <w:rsid w:val="00277BF7"/>
    <w:rsid w:val="00281416"/>
    <w:rsid w:val="00282556"/>
    <w:rsid w:val="0028471E"/>
    <w:rsid w:val="00285CD3"/>
    <w:rsid w:val="0028686A"/>
    <w:rsid w:val="00286E66"/>
    <w:rsid w:val="002870B7"/>
    <w:rsid w:val="0028751D"/>
    <w:rsid w:val="002919B5"/>
    <w:rsid w:val="00293441"/>
    <w:rsid w:val="00294238"/>
    <w:rsid w:val="0029493E"/>
    <w:rsid w:val="002962E0"/>
    <w:rsid w:val="00296C2E"/>
    <w:rsid w:val="002A0814"/>
    <w:rsid w:val="002A1B05"/>
    <w:rsid w:val="002A267F"/>
    <w:rsid w:val="002A3354"/>
    <w:rsid w:val="002A35EA"/>
    <w:rsid w:val="002A37B6"/>
    <w:rsid w:val="002A3BD5"/>
    <w:rsid w:val="002A43A2"/>
    <w:rsid w:val="002A44ED"/>
    <w:rsid w:val="002A4612"/>
    <w:rsid w:val="002A4F70"/>
    <w:rsid w:val="002A5263"/>
    <w:rsid w:val="002A6821"/>
    <w:rsid w:val="002A7239"/>
    <w:rsid w:val="002A74D2"/>
    <w:rsid w:val="002A7CDA"/>
    <w:rsid w:val="002A7F47"/>
    <w:rsid w:val="002B1544"/>
    <w:rsid w:val="002B1BF4"/>
    <w:rsid w:val="002B1DC1"/>
    <w:rsid w:val="002B2789"/>
    <w:rsid w:val="002B36C8"/>
    <w:rsid w:val="002B46DE"/>
    <w:rsid w:val="002B71B4"/>
    <w:rsid w:val="002B7240"/>
    <w:rsid w:val="002C0E23"/>
    <w:rsid w:val="002C0FF4"/>
    <w:rsid w:val="002C125A"/>
    <w:rsid w:val="002C2668"/>
    <w:rsid w:val="002C43BD"/>
    <w:rsid w:val="002C493D"/>
    <w:rsid w:val="002C5261"/>
    <w:rsid w:val="002C6091"/>
    <w:rsid w:val="002D0562"/>
    <w:rsid w:val="002D1B5A"/>
    <w:rsid w:val="002D2500"/>
    <w:rsid w:val="002D338A"/>
    <w:rsid w:val="002D3738"/>
    <w:rsid w:val="002D3F00"/>
    <w:rsid w:val="002D4B81"/>
    <w:rsid w:val="002D4D59"/>
    <w:rsid w:val="002D54BF"/>
    <w:rsid w:val="002D5E94"/>
    <w:rsid w:val="002D632D"/>
    <w:rsid w:val="002D6FC7"/>
    <w:rsid w:val="002E02A1"/>
    <w:rsid w:val="002E0982"/>
    <w:rsid w:val="002E0DB9"/>
    <w:rsid w:val="002E2CE4"/>
    <w:rsid w:val="002E34F3"/>
    <w:rsid w:val="002E435E"/>
    <w:rsid w:val="002E5B78"/>
    <w:rsid w:val="002E73F2"/>
    <w:rsid w:val="002F33FB"/>
    <w:rsid w:val="002F663A"/>
    <w:rsid w:val="002F68A4"/>
    <w:rsid w:val="002F7594"/>
    <w:rsid w:val="00300D6F"/>
    <w:rsid w:val="00301357"/>
    <w:rsid w:val="003016F6"/>
    <w:rsid w:val="00301D04"/>
    <w:rsid w:val="003035D4"/>
    <w:rsid w:val="00303DCB"/>
    <w:rsid w:val="00304771"/>
    <w:rsid w:val="00305736"/>
    <w:rsid w:val="00306C5B"/>
    <w:rsid w:val="00306E3B"/>
    <w:rsid w:val="003119B6"/>
    <w:rsid w:val="00312C3D"/>
    <w:rsid w:val="00314331"/>
    <w:rsid w:val="00314AA7"/>
    <w:rsid w:val="00317E31"/>
    <w:rsid w:val="00320214"/>
    <w:rsid w:val="003209D6"/>
    <w:rsid w:val="0032109A"/>
    <w:rsid w:val="0032214F"/>
    <w:rsid w:val="00322164"/>
    <w:rsid w:val="00323CF7"/>
    <w:rsid w:val="00323E61"/>
    <w:rsid w:val="0032513D"/>
    <w:rsid w:val="00326251"/>
    <w:rsid w:val="0032739C"/>
    <w:rsid w:val="00327DEE"/>
    <w:rsid w:val="00327FF5"/>
    <w:rsid w:val="003302DA"/>
    <w:rsid w:val="00330EB0"/>
    <w:rsid w:val="00332214"/>
    <w:rsid w:val="0033229B"/>
    <w:rsid w:val="003329F3"/>
    <w:rsid w:val="0033352E"/>
    <w:rsid w:val="00333690"/>
    <w:rsid w:val="00333D20"/>
    <w:rsid w:val="00333F53"/>
    <w:rsid w:val="003340EF"/>
    <w:rsid w:val="00334A49"/>
    <w:rsid w:val="0033536F"/>
    <w:rsid w:val="00335BB0"/>
    <w:rsid w:val="0033627B"/>
    <w:rsid w:val="003366FC"/>
    <w:rsid w:val="00337107"/>
    <w:rsid w:val="003406BD"/>
    <w:rsid w:val="00343474"/>
    <w:rsid w:val="00343553"/>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39C9"/>
    <w:rsid w:val="00384B8E"/>
    <w:rsid w:val="00384D8F"/>
    <w:rsid w:val="00385D98"/>
    <w:rsid w:val="00385EC5"/>
    <w:rsid w:val="0038658E"/>
    <w:rsid w:val="0039066E"/>
    <w:rsid w:val="00391C95"/>
    <w:rsid w:val="00392110"/>
    <w:rsid w:val="00394D49"/>
    <w:rsid w:val="00396DAC"/>
    <w:rsid w:val="003A0214"/>
    <w:rsid w:val="003A027D"/>
    <w:rsid w:val="003A1D74"/>
    <w:rsid w:val="003A2B4D"/>
    <w:rsid w:val="003A2D2B"/>
    <w:rsid w:val="003A2DD4"/>
    <w:rsid w:val="003A3B1C"/>
    <w:rsid w:val="003A4088"/>
    <w:rsid w:val="003A478C"/>
    <w:rsid w:val="003A4F82"/>
    <w:rsid w:val="003A5525"/>
    <w:rsid w:val="003A6750"/>
    <w:rsid w:val="003A6B38"/>
    <w:rsid w:val="003B0218"/>
    <w:rsid w:val="003B20D9"/>
    <w:rsid w:val="003B2580"/>
    <w:rsid w:val="003B2E63"/>
    <w:rsid w:val="003B3189"/>
    <w:rsid w:val="003B3A9D"/>
    <w:rsid w:val="003B3DDD"/>
    <w:rsid w:val="003B4683"/>
    <w:rsid w:val="003B5031"/>
    <w:rsid w:val="003B5A32"/>
    <w:rsid w:val="003B6105"/>
    <w:rsid w:val="003C03CC"/>
    <w:rsid w:val="003C04C4"/>
    <w:rsid w:val="003C26F4"/>
    <w:rsid w:val="003C3686"/>
    <w:rsid w:val="003C4852"/>
    <w:rsid w:val="003C5BC7"/>
    <w:rsid w:val="003C601E"/>
    <w:rsid w:val="003C66C4"/>
    <w:rsid w:val="003D2C4E"/>
    <w:rsid w:val="003D2CA4"/>
    <w:rsid w:val="003D3600"/>
    <w:rsid w:val="003D3825"/>
    <w:rsid w:val="003D3D90"/>
    <w:rsid w:val="003D3EC4"/>
    <w:rsid w:val="003D4760"/>
    <w:rsid w:val="003D49DC"/>
    <w:rsid w:val="003D4DD9"/>
    <w:rsid w:val="003D5D7A"/>
    <w:rsid w:val="003D653F"/>
    <w:rsid w:val="003E0663"/>
    <w:rsid w:val="003E0E1D"/>
    <w:rsid w:val="003E133F"/>
    <w:rsid w:val="003E2DA8"/>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5EC9"/>
    <w:rsid w:val="00406292"/>
    <w:rsid w:val="00406769"/>
    <w:rsid w:val="004078BD"/>
    <w:rsid w:val="00410132"/>
    <w:rsid w:val="00410B3B"/>
    <w:rsid w:val="00410BCD"/>
    <w:rsid w:val="00410DE5"/>
    <w:rsid w:val="0041175D"/>
    <w:rsid w:val="004117CE"/>
    <w:rsid w:val="004123BE"/>
    <w:rsid w:val="00414CE5"/>
    <w:rsid w:val="00416673"/>
    <w:rsid w:val="00420C0B"/>
    <w:rsid w:val="0042160D"/>
    <w:rsid w:val="00423A3C"/>
    <w:rsid w:val="0042681B"/>
    <w:rsid w:val="00427193"/>
    <w:rsid w:val="00430627"/>
    <w:rsid w:val="0043068A"/>
    <w:rsid w:val="004306E0"/>
    <w:rsid w:val="00431A03"/>
    <w:rsid w:val="00431D54"/>
    <w:rsid w:val="004329BE"/>
    <w:rsid w:val="00432C38"/>
    <w:rsid w:val="004342EC"/>
    <w:rsid w:val="00436227"/>
    <w:rsid w:val="00437C76"/>
    <w:rsid w:val="0044105C"/>
    <w:rsid w:val="00443E95"/>
    <w:rsid w:val="004441A0"/>
    <w:rsid w:val="00444268"/>
    <w:rsid w:val="00444326"/>
    <w:rsid w:val="004443BF"/>
    <w:rsid w:val="004447F3"/>
    <w:rsid w:val="00444C19"/>
    <w:rsid w:val="00445218"/>
    <w:rsid w:val="00445CDD"/>
    <w:rsid w:val="00446043"/>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7A6"/>
    <w:rsid w:val="00462843"/>
    <w:rsid w:val="004629FD"/>
    <w:rsid w:val="00462AD2"/>
    <w:rsid w:val="00463B4B"/>
    <w:rsid w:val="00463F4D"/>
    <w:rsid w:val="0046471F"/>
    <w:rsid w:val="00464BE8"/>
    <w:rsid w:val="00465019"/>
    <w:rsid w:val="00465FA4"/>
    <w:rsid w:val="0046613F"/>
    <w:rsid w:val="0046655D"/>
    <w:rsid w:val="00466AAE"/>
    <w:rsid w:val="0046765E"/>
    <w:rsid w:val="004676E2"/>
    <w:rsid w:val="00471EDD"/>
    <w:rsid w:val="00473E94"/>
    <w:rsid w:val="00473FB6"/>
    <w:rsid w:val="0047400C"/>
    <w:rsid w:val="004745D9"/>
    <w:rsid w:val="00475CF8"/>
    <w:rsid w:val="004762D8"/>
    <w:rsid w:val="004765B3"/>
    <w:rsid w:val="00476D29"/>
    <w:rsid w:val="00477241"/>
    <w:rsid w:val="00477EAF"/>
    <w:rsid w:val="00477EE0"/>
    <w:rsid w:val="00480AB8"/>
    <w:rsid w:val="00480C5D"/>
    <w:rsid w:val="0048139F"/>
    <w:rsid w:val="00481C00"/>
    <w:rsid w:val="00483053"/>
    <w:rsid w:val="00484874"/>
    <w:rsid w:val="00485230"/>
    <w:rsid w:val="004879E9"/>
    <w:rsid w:val="00487F81"/>
    <w:rsid w:val="00490247"/>
    <w:rsid w:val="0049104F"/>
    <w:rsid w:val="00491218"/>
    <w:rsid w:val="00491CFD"/>
    <w:rsid w:val="00493362"/>
    <w:rsid w:val="00494343"/>
    <w:rsid w:val="0049438A"/>
    <w:rsid w:val="00496B60"/>
    <w:rsid w:val="00496C2F"/>
    <w:rsid w:val="0049740D"/>
    <w:rsid w:val="004978D3"/>
    <w:rsid w:val="004A11F8"/>
    <w:rsid w:val="004A22BD"/>
    <w:rsid w:val="004A22FA"/>
    <w:rsid w:val="004A2517"/>
    <w:rsid w:val="004A269A"/>
    <w:rsid w:val="004A30FB"/>
    <w:rsid w:val="004A35DD"/>
    <w:rsid w:val="004A37D3"/>
    <w:rsid w:val="004A3AD6"/>
    <w:rsid w:val="004A4F28"/>
    <w:rsid w:val="004A52AA"/>
    <w:rsid w:val="004A5865"/>
    <w:rsid w:val="004A77DF"/>
    <w:rsid w:val="004B0295"/>
    <w:rsid w:val="004B0803"/>
    <w:rsid w:val="004B10A8"/>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2872"/>
    <w:rsid w:val="004D458D"/>
    <w:rsid w:val="004D504B"/>
    <w:rsid w:val="004D536E"/>
    <w:rsid w:val="004D76CC"/>
    <w:rsid w:val="004E1839"/>
    <w:rsid w:val="004E4A75"/>
    <w:rsid w:val="004E4DE8"/>
    <w:rsid w:val="004E541A"/>
    <w:rsid w:val="004E5A5C"/>
    <w:rsid w:val="004E7007"/>
    <w:rsid w:val="004E75F9"/>
    <w:rsid w:val="004E76D6"/>
    <w:rsid w:val="004E7F57"/>
    <w:rsid w:val="004F06F5"/>
    <w:rsid w:val="004F191F"/>
    <w:rsid w:val="004F2A4D"/>
    <w:rsid w:val="004F2A73"/>
    <w:rsid w:val="004F33A0"/>
    <w:rsid w:val="004F4353"/>
    <w:rsid w:val="004F447D"/>
    <w:rsid w:val="004F4C28"/>
    <w:rsid w:val="004F4E82"/>
    <w:rsid w:val="004F5470"/>
    <w:rsid w:val="004F5CC5"/>
    <w:rsid w:val="004F6350"/>
    <w:rsid w:val="005010BA"/>
    <w:rsid w:val="005028E1"/>
    <w:rsid w:val="0050692E"/>
    <w:rsid w:val="00507040"/>
    <w:rsid w:val="005073E8"/>
    <w:rsid w:val="005079F8"/>
    <w:rsid w:val="00510189"/>
    <w:rsid w:val="005108C0"/>
    <w:rsid w:val="00511873"/>
    <w:rsid w:val="0051367B"/>
    <w:rsid w:val="00513B7E"/>
    <w:rsid w:val="005140DE"/>
    <w:rsid w:val="00514474"/>
    <w:rsid w:val="005147E9"/>
    <w:rsid w:val="005175BC"/>
    <w:rsid w:val="0051778E"/>
    <w:rsid w:val="00521210"/>
    <w:rsid w:val="005215EF"/>
    <w:rsid w:val="00524637"/>
    <w:rsid w:val="00524FDD"/>
    <w:rsid w:val="00525128"/>
    <w:rsid w:val="00525137"/>
    <w:rsid w:val="005251DD"/>
    <w:rsid w:val="00526DB6"/>
    <w:rsid w:val="0053017A"/>
    <w:rsid w:val="00530492"/>
    <w:rsid w:val="00532854"/>
    <w:rsid w:val="005329D6"/>
    <w:rsid w:val="005350F2"/>
    <w:rsid w:val="00535152"/>
    <w:rsid w:val="00535359"/>
    <w:rsid w:val="005357A2"/>
    <w:rsid w:val="005359E3"/>
    <w:rsid w:val="00535D87"/>
    <w:rsid w:val="00535EF0"/>
    <w:rsid w:val="005363DF"/>
    <w:rsid w:val="005369F9"/>
    <w:rsid w:val="0053734B"/>
    <w:rsid w:val="005375B1"/>
    <w:rsid w:val="00537AFD"/>
    <w:rsid w:val="00537CB4"/>
    <w:rsid w:val="00540CD4"/>
    <w:rsid w:val="0054516B"/>
    <w:rsid w:val="0054559E"/>
    <w:rsid w:val="00550ACB"/>
    <w:rsid w:val="005513D5"/>
    <w:rsid w:val="005523B9"/>
    <w:rsid w:val="005545E0"/>
    <w:rsid w:val="00554865"/>
    <w:rsid w:val="00554E57"/>
    <w:rsid w:val="00555463"/>
    <w:rsid w:val="00562749"/>
    <w:rsid w:val="00562DE9"/>
    <w:rsid w:val="005638A5"/>
    <w:rsid w:val="00566381"/>
    <w:rsid w:val="00566A03"/>
    <w:rsid w:val="005700EF"/>
    <w:rsid w:val="00571932"/>
    <w:rsid w:val="00573C97"/>
    <w:rsid w:val="00574240"/>
    <w:rsid w:val="00575CDC"/>
    <w:rsid w:val="005765D5"/>
    <w:rsid w:val="00576A3E"/>
    <w:rsid w:val="0057703D"/>
    <w:rsid w:val="00580733"/>
    <w:rsid w:val="0058366F"/>
    <w:rsid w:val="00583715"/>
    <w:rsid w:val="00583D5B"/>
    <w:rsid w:val="00583FFD"/>
    <w:rsid w:val="00587CCD"/>
    <w:rsid w:val="005908AE"/>
    <w:rsid w:val="0059176E"/>
    <w:rsid w:val="00592854"/>
    <w:rsid w:val="00592A9F"/>
    <w:rsid w:val="00593152"/>
    <w:rsid w:val="00593CA3"/>
    <w:rsid w:val="00594161"/>
    <w:rsid w:val="00594969"/>
    <w:rsid w:val="00594B91"/>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0A3F"/>
    <w:rsid w:val="005C16CB"/>
    <w:rsid w:val="005C21D6"/>
    <w:rsid w:val="005C3C24"/>
    <w:rsid w:val="005C3F9F"/>
    <w:rsid w:val="005C406F"/>
    <w:rsid w:val="005C4A23"/>
    <w:rsid w:val="005C562C"/>
    <w:rsid w:val="005C5812"/>
    <w:rsid w:val="005C6400"/>
    <w:rsid w:val="005C700A"/>
    <w:rsid w:val="005C74F2"/>
    <w:rsid w:val="005C7F1E"/>
    <w:rsid w:val="005D25B4"/>
    <w:rsid w:val="005D374F"/>
    <w:rsid w:val="005D5802"/>
    <w:rsid w:val="005D6CFC"/>
    <w:rsid w:val="005D73E2"/>
    <w:rsid w:val="005D757A"/>
    <w:rsid w:val="005D7C4B"/>
    <w:rsid w:val="005E1E4B"/>
    <w:rsid w:val="005E223E"/>
    <w:rsid w:val="005E3006"/>
    <w:rsid w:val="005E362D"/>
    <w:rsid w:val="005E3A0C"/>
    <w:rsid w:val="005E3FAC"/>
    <w:rsid w:val="005E492C"/>
    <w:rsid w:val="005E4BAA"/>
    <w:rsid w:val="005E52EF"/>
    <w:rsid w:val="005E5B56"/>
    <w:rsid w:val="005E6059"/>
    <w:rsid w:val="005E6088"/>
    <w:rsid w:val="005E61DF"/>
    <w:rsid w:val="005E6B65"/>
    <w:rsid w:val="005E6B78"/>
    <w:rsid w:val="005E75B8"/>
    <w:rsid w:val="005F0976"/>
    <w:rsid w:val="005F26CE"/>
    <w:rsid w:val="005F4057"/>
    <w:rsid w:val="005F4088"/>
    <w:rsid w:val="005F4C83"/>
    <w:rsid w:val="005F601D"/>
    <w:rsid w:val="005F6119"/>
    <w:rsid w:val="005F7940"/>
    <w:rsid w:val="006000F4"/>
    <w:rsid w:val="0060107A"/>
    <w:rsid w:val="00601AFF"/>
    <w:rsid w:val="00602D1D"/>
    <w:rsid w:val="00604307"/>
    <w:rsid w:val="0060487F"/>
    <w:rsid w:val="00605814"/>
    <w:rsid w:val="00606B93"/>
    <w:rsid w:val="00607727"/>
    <w:rsid w:val="00610BD5"/>
    <w:rsid w:val="00611363"/>
    <w:rsid w:val="00611531"/>
    <w:rsid w:val="006118AA"/>
    <w:rsid w:val="006139C7"/>
    <w:rsid w:val="006153E3"/>
    <w:rsid w:val="00615BE6"/>
    <w:rsid w:val="006167AB"/>
    <w:rsid w:val="00617D2D"/>
    <w:rsid w:val="00617D83"/>
    <w:rsid w:val="00620430"/>
    <w:rsid w:val="00620AC5"/>
    <w:rsid w:val="00621575"/>
    <w:rsid w:val="006215FC"/>
    <w:rsid w:val="00624093"/>
    <w:rsid w:val="00624A23"/>
    <w:rsid w:val="00630F66"/>
    <w:rsid w:val="00631FC2"/>
    <w:rsid w:val="00632171"/>
    <w:rsid w:val="0063332A"/>
    <w:rsid w:val="006347F9"/>
    <w:rsid w:val="0063494E"/>
    <w:rsid w:val="00634C90"/>
    <w:rsid w:val="00635E79"/>
    <w:rsid w:val="00636E5E"/>
    <w:rsid w:val="0063769A"/>
    <w:rsid w:val="006379E0"/>
    <w:rsid w:val="006404A7"/>
    <w:rsid w:val="006407F3"/>
    <w:rsid w:val="006408EC"/>
    <w:rsid w:val="00640C96"/>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3FFB"/>
    <w:rsid w:val="00664B64"/>
    <w:rsid w:val="00665D67"/>
    <w:rsid w:val="00665D77"/>
    <w:rsid w:val="006660CD"/>
    <w:rsid w:val="00666EC8"/>
    <w:rsid w:val="00666F4B"/>
    <w:rsid w:val="00667271"/>
    <w:rsid w:val="006676D0"/>
    <w:rsid w:val="0066796E"/>
    <w:rsid w:val="00670FAC"/>
    <w:rsid w:val="006710C9"/>
    <w:rsid w:val="006716A5"/>
    <w:rsid w:val="00675CF1"/>
    <w:rsid w:val="00675E37"/>
    <w:rsid w:val="006764ED"/>
    <w:rsid w:val="00676AFC"/>
    <w:rsid w:val="00676F11"/>
    <w:rsid w:val="00677BFE"/>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0F1B"/>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B7B66"/>
    <w:rsid w:val="006B7BE9"/>
    <w:rsid w:val="006C090F"/>
    <w:rsid w:val="006C0935"/>
    <w:rsid w:val="006C0BCE"/>
    <w:rsid w:val="006C113F"/>
    <w:rsid w:val="006C2AED"/>
    <w:rsid w:val="006C38DD"/>
    <w:rsid w:val="006C457F"/>
    <w:rsid w:val="006C53C7"/>
    <w:rsid w:val="006C5577"/>
    <w:rsid w:val="006C559A"/>
    <w:rsid w:val="006C58FA"/>
    <w:rsid w:val="006D042D"/>
    <w:rsid w:val="006D06EF"/>
    <w:rsid w:val="006D142E"/>
    <w:rsid w:val="006D4497"/>
    <w:rsid w:val="006D4927"/>
    <w:rsid w:val="006D4E6F"/>
    <w:rsid w:val="006D5A0C"/>
    <w:rsid w:val="006D61F6"/>
    <w:rsid w:val="006E0EB0"/>
    <w:rsid w:val="006E1F4C"/>
    <w:rsid w:val="006E22C8"/>
    <w:rsid w:val="006E279A"/>
    <w:rsid w:val="006E2F3F"/>
    <w:rsid w:val="006E313B"/>
    <w:rsid w:val="006E442A"/>
    <w:rsid w:val="006E4434"/>
    <w:rsid w:val="006E59FC"/>
    <w:rsid w:val="006E5CFD"/>
    <w:rsid w:val="006E5D21"/>
    <w:rsid w:val="006E7E2C"/>
    <w:rsid w:val="006F1326"/>
    <w:rsid w:val="006F2BEE"/>
    <w:rsid w:val="006F3708"/>
    <w:rsid w:val="006F394E"/>
    <w:rsid w:val="006F3E6B"/>
    <w:rsid w:val="006F4619"/>
    <w:rsid w:val="006F4A59"/>
    <w:rsid w:val="00700232"/>
    <w:rsid w:val="007014C7"/>
    <w:rsid w:val="00702D6F"/>
    <w:rsid w:val="00703B6C"/>
    <w:rsid w:val="00703C6B"/>
    <w:rsid w:val="007047D5"/>
    <w:rsid w:val="00705D98"/>
    <w:rsid w:val="00707891"/>
    <w:rsid w:val="00707D23"/>
    <w:rsid w:val="00707D43"/>
    <w:rsid w:val="00711EF1"/>
    <w:rsid w:val="0071229A"/>
    <w:rsid w:val="00712572"/>
    <w:rsid w:val="00713495"/>
    <w:rsid w:val="00713EEB"/>
    <w:rsid w:val="007159D2"/>
    <w:rsid w:val="0072050E"/>
    <w:rsid w:val="00720FA2"/>
    <w:rsid w:val="007211F5"/>
    <w:rsid w:val="00722CE0"/>
    <w:rsid w:val="00724666"/>
    <w:rsid w:val="00725492"/>
    <w:rsid w:val="00726043"/>
    <w:rsid w:val="0072704A"/>
    <w:rsid w:val="00730AE8"/>
    <w:rsid w:val="007315DA"/>
    <w:rsid w:val="00731963"/>
    <w:rsid w:val="00733AF9"/>
    <w:rsid w:val="00734321"/>
    <w:rsid w:val="0073532E"/>
    <w:rsid w:val="00740310"/>
    <w:rsid w:val="00740652"/>
    <w:rsid w:val="00740F02"/>
    <w:rsid w:val="00740FEC"/>
    <w:rsid w:val="0074132E"/>
    <w:rsid w:val="00741493"/>
    <w:rsid w:val="007426B3"/>
    <w:rsid w:val="007426FD"/>
    <w:rsid w:val="0074329D"/>
    <w:rsid w:val="007442F7"/>
    <w:rsid w:val="00744376"/>
    <w:rsid w:val="007449EA"/>
    <w:rsid w:val="00744D00"/>
    <w:rsid w:val="00744D2B"/>
    <w:rsid w:val="00745273"/>
    <w:rsid w:val="00746DD9"/>
    <w:rsid w:val="0075057A"/>
    <w:rsid w:val="00751771"/>
    <w:rsid w:val="00751C1C"/>
    <w:rsid w:val="00752180"/>
    <w:rsid w:val="007521A1"/>
    <w:rsid w:val="00752BC3"/>
    <w:rsid w:val="00752FA1"/>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6370B"/>
    <w:rsid w:val="007642C3"/>
    <w:rsid w:val="0077058D"/>
    <w:rsid w:val="00772536"/>
    <w:rsid w:val="00773613"/>
    <w:rsid w:val="00774782"/>
    <w:rsid w:val="00776476"/>
    <w:rsid w:val="00776527"/>
    <w:rsid w:val="00777DED"/>
    <w:rsid w:val="007805E1"/>
    <w:rsid w:val="0078113E"/>
    <w:rsid w:val="00781834"/>
    <w:rsid w:val="007821DB"/>
    <w:rsid w:val="00782818"/>
    <w:rsid w:val="007838F1"/>
    <w:rsid w:val="00784C4A"/>
    <w:rsid w:val="00787432"/>
    <w:rsid w:val="00787507"/>
    <w:rsid w:val="007879F2"/>
    <w:rsid w:val="00791804"/>
    <w:rsid w:val="00791CF8"/>
    <w:rsid w:val="00791EF9"/>
    <w:rsid w:val="00792262"/>
    <w:rsid w:val="00793387"/>
    <w:rsid w:val="007934A6"/>
    <w:rsid w:val="00793BAE"/>
    <w:rsid w:val="00794E0A"/>
    <w:rsid w:val="00796642"/>
    <w:rsid w:val="007A11D9"/>
    <w:rsid w:val="007A327B"/>
    <w:rsid w:val="007A4048"/>
    <w:rsid w:val="007A45B1"/>
    <w:rsid w:val="007A4606"/>
    <w:rsid w:val="007A46C3"/>
    <w:rsid w:val="007A4CDD"/>
    <w:rsid w:val="007A62A6"/>
    <w:rsid w:val="007B03A6"/>
    <w:rsid w:val="007B0D67"/>
    <w:rsid w:val="007B1966"/>
    <w:rsid w:val="007B2779"/>
    <w:rsid w:val="007B3DCC"/>
    <w:rsid w:val="007B4518"/>
    <w:rsid w:val="007B5031"/>
    <w:rsid w:val="007B573F"/>
    <w:rsid w:val="007B78F8"/>
    <w:rsid w:val="007C0065"/>
    <w:rsid w:val="007C010B"/>
    <w:rsid w:val="007C0A4B"/>
    <w:rsid w:val="007C0CB9"/>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2FE"/>
    <w:rsid w:val="007F0845"/>
    <w:rsid w:val="007F16F9"/>
    <w:rsid w:val="007F17DF"/>
    <w:rsid w:val="007F3E3E"/>
    <w:rsid w:val="007F42E0"/>
    <w:rsid w:val="007F500D"/>
    <w:rsid w:val="007F5F14"/>
    <w:rsid w:val="007F7B54"/>
    <w:rsid w:val="00800073"/>
    <w:rsid w:val="008005D7"/>
    <w:rsid w:val="00801FDD"/>
    <w:rsid w:val="008020C2"/>
    <w:rsid w:val="0080255C"/>
    <w:rsid w:val="00806088"/>
    <w:rsid w:val="00806D07"/>
    <w:rsid w:val="0081019B"/>
    <w:rsid w:val="0081187C"/>
    <w:rsid w:val="00811E24"/>
    <w:rsid w:val="00812386"/>
    <w:rsid w:val="00812E2B"/>
    <w:rsid w:val="0081315E"/>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4D3"/>
    <w:rsid w:val="008269C3"/>
    <w:rsid w:val="00826ED1"/>
    <w:rsid w:val="00827181"/>
    <w:rsid w:val="0082733C"/>
    <w:rsid w:val="00827746"/>
    <w:rsid w:val="00827E77"/>
    <w:rsid w:val="0083017F"/>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0CF"/>
    <w:rsid w:val="00841D9F"/>
    <w:rsid w:val="00842604"/>
    <w:rsid w:val="008437F0"/>
    <w:rsid w:val="00843ECF"/>
    <w:rsid w:val="00845AB1"/>
    <w:rsid w:val="00846673"/>
    <w:rsid w:val="00846772"/>
    <w:rsid w:val="00850DFC"/>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2B9"/>
    <w:rsid w:val="0087594C"/>
    <w:rsid w:val="00876086"/>
    <w:rsid w:val="008765FA"/>
    <w:rsid w:val="008768D6"/>
    <w:rsid w:val="008775D1"/>
    <w:rsid w:val="008777BB"/>
    <w:rsid w:val="0087798D"/>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371"/>
    <w:rsid w:val="008A3A85"/>
    <w:rsid w:val="008A43E9"/>
    <w:rsid w:val="008A4CB1"/>
    <w:rsid w:val="008A615E"/>
    <w:rsid w:val="008A632B"/>
    <w:rsid w:val="008A6680"/>
    <w:rsid w:val="008A6BFE"/>
    <w:rsid w:val="008A7EB8"/>
    <w:rsid w:val="008B00C2"/>
    <w:rsid w:val="008B07EF"/>
    <w:rsid w:val="008B16DE"/>
    <w:rsid w:val="008B190E"/>
    <w:rsid w:val="008B1A8A"/>
    <w:rsid w:val="008B1FC9"/>
    <w:rsid w:val="008B531F"/>
    <w:rsid w:val="008B54A3"/>
    <w:rsid w:val="008B6B67"/>
    <w:rsid w:val="008B7306"/>
    <w:rsid w:val="008B775F"/>
    <w:rsid w:val="008B7C02"/>
    <w:rsid w:val="008B7D13"/>
    <w:rsid w:val="008B7F9E"/>
    <w:rsid w:val="008C034E"/>
    <w:rsid w:val="008C0E88"/>
    <w:rsid w:val="008C1399"/>
    <w:rsid w:val="008C1AA8"/>
    <w:rsid w:val="008C22A8"/>
    <w:rsid w:val="008C3C7A"/>
    <w:rsid w:val="008C5B43"/>
    <w:rsid w:val="008C63FD"/>
    <w:rsid w:val="008C6CB8"/>
    <w:rsid w:val="008C7815"/>
    <w:rsid w:val="008C7A07"/>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7B2"/>
    <w:rsid w:val="008E6AB3"/>
    <w:rsid w:val="008E6AD3"/>
    <w:rsid w:val="008E71A6"/>
    <w:rsid w:val="008E7695"/>
    <w:rsid w:val="008E77B6"/>
    <w:rsid w:val="008E7C55"/>
    <w:rsid w:val="008F032E"/>
    <w:rsid w:val="008F0F14"/>
    <w:rsid w:val="008F2F44"/>
    <w:rsid w:val="008F3423"/>
    <w:rsid w:val="008F3A8A"/>
    <w:rsid w:val="008F4FCE"/>
    <w:rsid w:val="008F5301"/>
    <w:rsid w:val="008F6627"/>
    <w:rsid w:val="008F6967"/>
    <w:rsid w:val="008F6A0C"/>
    <w:rsid w:val="008F6F38"/>
    <w:rsid w:val="008F7721"/>
    <w:rsid w:val="008F7D28"/>
    <w:rsid w:val="009003A8"/>
    <w:rsid w:val="009010A7"/>
    <w:rsid w:val="009010E3"/>
    <w:rsid w:val="00901AF3"/>
    <w:rsid w:val="00901CA8"/>
    <w:rsid w:val="00902BDD"/>
    <w:rsid w:val="00902CBE"/>
    <w:rsid w:val="00902D09"/>
    <w:rsid w:val="00902D74"/>
    <w:rsid w:val="00902EFF"/>
    <w:rsid w:val="00903E06"/>
    <w:rsid w:val="009040B3"/>
    <w:rsid w:val="00904B9D"/>
    <w:rsid w:val="00905A11"/>
    <w:rsid w:val="00905E96"/>
    <w:rsid w:val="009066E1"/>
    <w:rsid w:val="00907A41"/>
    <w:rsid w:val="009102BD"/>
    <w:rsid w:val="00910F93"/>
    <w:rsid w:val="0091255A"/>
    <w:rsid w:val="00913BCD"/>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27D62"/>
    <w:rsid w:val="009306BE"/>
    <w:rsid w:val="00930F8D"/>
    <w:rsid w:val="009319E3"/>
    <w:rsid w:val="00937B11"/>
    <w:rsid w:val="00940F1F"/>
    <w:rsid w:val="00941250"/>
    <w:rsid w:val="00941F4F"/>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7A"/>
    <w:rsid w:val="00973AAE"/>
    <w:rsid w:val="0097476C"/>
    <w:rsid w:val="00974923"/>
    <w:rsid w:val="00974D48"/>
    <w:rsid w:val="00974D5F"/>
    <w:rsid w:val="00975017"/>
    <w:rsid w:val="0097562D"/>
    <w:rsid w:val="009759DF"/>
    <w:rsid w:val="0098019B"/>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9684C"/>
    <w:rsid w:val="009A2014"/>
    <w:rsid w:val="009A3030"/>
    <w:rsid w:val="009A3A87"/>
    <w:rsid w:val="009A434E"/>
    <w:rsid w:val="009A4E12"/>
    <w:rsid w:val="009A5C68"/>
    <w:rsid w:val="009A6EF7"/>
    <w:rsid w:val="009B04D0"/>
    <w:rsid w:val="009B052C"/>
    <w:rsid w:val="009B0EF2"/>
    <w:rsid w:val="009B23A3"/>
    <w:rsid w:val="009B2C0E"/>
    <w:rsid w:val="009B4925"/>
    <w:rsid w:val="009B4B4B"/>
    <w:rsid w:val="009B68B8"/>
    <w:rsid w:val="009B6FD3"/>
    <w:rsid w:val="009B70BD"/>
    <w:rsid w:val="009C07A5"/>
    <w:rsid w:val="009C13A4"/>
    <w:rsid w:val="009C2A52"/>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26"/>
    <w:rsid w:val="009F41C4"/>
    <w:rsid w:val="009F5846"/>
    <w:rsid w:val="009F63D2"/>
    <w:rsid w:val="009F7B52"/>
    <w:rsid w:val="009F7D77"/>
    <w:rsid w:val="00A004D2"/>
    <w:rsid w:val="00A015EA"/>
    <w:rsid w:val="00A041F3"/>
    <w:rsid w:val="00A10CB1"/>
    <w:rsid w:val="00A10D66"/>
    <w:rsid w:val="00A12BA8"/>
    <w:rsid w:val="00A13993"/>
    <w:rsid w:val="00A1420C"/>
    <w:rsid w:val="00A1456C"/>
    <w:rsid w:val="00A14821"/>
    <w:rsid w:val="00A15E65"/>
    <w:rsid w:val="00A17754"/>
    <w:rsid w:val="00A2055B"/>
    <w:rsid w:val="00A20AAE"/>
    <w:rsid w:val="00A2253C"/>
    <w:rsid w:val="00A23545"/>
    <w:rsid w:val="00A23A55"/>
    <w:rsid w:val="00A23E43"/>
    <w:rsid w:val="00A23EF0"/>
    <w:rsid w:val="00A24F8C"/>
    <w:rsid w:val="00A2565B"/>
    <w:rsid w:val="00A262BF"/>
    <w:rsid w:val="00A271AD"/>
    <w:rsid w:val="00A276D5"/>
    <w:rsid w:val="00A30336"/>
    <w:rsid w:val="00A30BB5"/>
    <w:rsid w:val="00A30C37"/>
    <w:rsid w:val="00A3128F"/>
    <w:rsid w:val="00A31BE3"/>
    <w:rsid w:val="00A326D0"/>
    <w:rsid w:val="00A35287"/>
    <w:rsid w:val="00A378F8"/>
    <w:rsid w:val="00A40B19"/>
    <w:rsid w:val="00A41D07"/>
    <w:rsid w:val="00A424F8"/>
    <w:rsid w:val="00A42883"/>
    <w:rsid w:val="00A437B7"/>
    <w:rsid w:val="00A44D3A"/>
    <w:rsid w:val="00A46D48"/>
    <w:rsid w:val="00A46DE0"/>
    <w:rsid w:val="00A4778A"/>
    <w:rsid w:val="00A47C94"/>
    <w:rsid w:val="00A504C0"/>
    <w:rsid w:val="00A5067F"/>
    <w:rsid w:val="00A517C1"/>
    <w:rsid w:val="00A518E0"/>
    <w:rsid w:val="00A55301"/>
    <w:rsid w:val="00A572FB"/>
    <w:rsid w:val="00A57B3C"/>
    <w:rsid w:val="00A57F1B"/>
    <w:rsid w:val="00A600D2"/>
    <w:rsid w:val="00A6128E"/>
    <w:rsid w:val="00A62CE1"/>
    <w:rsid w:val="00A63114"/>
    <w:rsid w:val="00A631FA"/>
    <w:rsid w:val="00A64203"/>
    <w:rsid w:val="00A64348"/>
    <w:rsid w:val="00A644E1"/>
    <w:rsid w:val="00A711B0"/>
    <w:rsid w:val="00A721FB"/>
    <w:rsid w:val="00A727BA"/>
    <w:rsid w:val="00A72D4B"/>
    <w:rsid w:val="00A732AE"/>
    <w:rsid w:val="00A75E40"/>
    <w:rsid w:val="00A76965"/>
    <w:rsid w:val="00A76F5B"/>
    <w:rsid w:val="00A77AE4"/>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4EAE"/>
    <w:rsid w:val="00A95742"/>
    <w:rsid w:val="00A96463"/>
    <w:rsid w:val="00A97E3F"/>
    <w:rsid w:val="00AA020E"/>
    <w:rsid w:val="00AA09D3"/>
    <w:rsid w:val="00AA23FB"/>
    <w:rsid w:val="00AA34FE"/>
    <w:rsid w:val="00AA42AB"/>
    <w:rsid w:val="00AA559A"/>
    <w:rsid w:val="00AA5F10"/>
    <w:rsid w:val="00AB104D"/>
    <w:rsid w:val="00AB1441"/>
    <w:rsid w:val="00AB2AF1"/>
    <w:rsid w:val="00AB440B"/>
    <w:rsid w:val="00AB47E3"/>
    <w:rsid w:val="00AB7170"/>
    <w:rsid w:val="00AB74C5"/>
    <w:rsid w:val="00AB7BEE"/>
    <w:rsid w:val="00AB7DF2"/>
    <w:rsid w:val="00AC1B75"/>
    <w:rsid w:val="00AC1E3F"/>
    <w:rsid w:val="00AC1E88"/>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6331"/>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1E40"/>
    <w:rsid w:val="00B0231C"/>
    <w:rsid w:val="00B07C2A"/>
    <w:rsid w:val="00B13681"/>
    <w:rsid w:val="00B15DCD"/>
    <w:rsid w:val="00B17ACB"/>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8C5"/>
    <w:rsid w:val="00B37915"/>
    <w:rsid w:val="00B3793D"/>
    <w:rsid w:val="00B41BE6"/>
    <w:rsid w:val="00B42831"/>
    <w:rsid w:val="00B428A4"/>
    <w:rsid w:val="00B44FC4"/>
    <w:rsid w:val="00B457E7"/>
    <w:rsid w:val="00B45D1B"/>
    <w:rsid w:val="00B463F5"/>
    <w:rsid w:val="00B46D25"/>
    <w:rsid w:val="00B47430"/>
    <w:rsid w:val="00B47AC6"/>
    <w:rsid w:val="00B52D2D"/>
    <w:rsid w:val="00B52F8A"/>
    <w:rsid w:val="00B534EF"/>
    <w:rsid w:val="00B55BA8"/>
    <w:rsid w:val="00B55F15"/>
    <w:rsid w:val="00B561A6"/>
    <w:rsid w:val="00B60062"/>
    <w:rsid w:val="00B62960"/>
    <w:rsid w:val="00B63A11"/>
    <w:rsid w:val="00B63D16"/>
    <w:rsid w:val="00B63FD0"/>
    <w:rsid w:val="00B65C84"/>
    <w:rsid w:val="00B6608F"/>
    <w:rsid w:val="00B74317"/>
    <w:rsid w:val="00B76D1E"/>
    <w:rsid w:val="00B77BC8"/>
    <w:rsid w:val="00B800EB"/>
    <w:rsid w:val="00B822D2"/>
    <w:rsid w:val="00B83308"/>
    <w:rsid w:val="00B83D46"/>
    <w:rsid w:val="00B848B8"/>
    <w:rsid w:val="00B84A41"/>
    <w:rsid w:val="00B84D57"/>
    <w:rsid w:val="00B8504B"/>
    <w:rsid w:val="00B85689"/>
    <w:rsid w:val="00B86748"/>
    <w:rsid w:val="00B87C5F"/>
    <w:rsid w:val="00B907EA"/>
    <w:rsid w:val="00B91EC9"/>
    <w:rsid w:val="00B924CA"/>
    <w:rsid w:val="00B92A34"/>
    <w:rsid w:val="00B92A4B"/>
    <w:rsid w:val="00B92C76"/>
    <w:rsid w:val="00B93384"/>
    <w:rsid w:val="00B93616"/>
    <w:rsid w:val="00B94417"/>
    <w:rsid w:val="00B95566"/>
    <w:rsid w:val="00B95940"/>
    <w:rsid w:val="00B95EF8"/>
    <w:rsid w:val="00B95F50"/>
    <w:rsid w:val="00B96BD9"/>
    <w:rsid w:val="00B97DCE"/>
    <w:rsid w:val="00BA4358"/>
    <w:rsid w:val="00BB0274"/>
    <w:rsid w:val="00BB1CFD"/>
    <w:rsid w:val="00BB2C53"/>
    <w:rsid w:val="00BB32DA"/>
    <w:rsid w:val="00BB3A54"/>
    <w:rsid w:val="00BB4D26"/>
    <w:rsid w:val="00BB4E21"/>
    <w:rsid w:val="00BB7746"/>
    <w:rsid w:val="00BC22EB"/>
    <w:rsid w:val="00BC682B"/>
    <w:rsid w:val="00BC6B04"/>
    <w:rsid w:val="00BC6D27"/>
    <w:rsid w:val="00BD059A"/>
    <w:rsid w:val="00BD1708"/>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272F"/>
    <w:rsid w:val="00BE3282"/>
    <w:rsid w:val="00BE3381"/>
    <w:rsid w:val="00BE3F09"/>
    <w:rsid w:val="00BE670A"/>
    <w:rsid w:val="00BE6906"/>
    <w:rsid w:val="00BF18F4"/>
    <w:rsid w:val="00BF1A69"/>
    <w:rsid w:val="00BF3BC8"/>
    <w:rsid w:val="00BF3DF1"/>
    <w:rsid w:val="00BF4C31"/>
    <w:rsid w:val="00BF4E57"/>
    <w:rsid w:val="00BF537B"/>
    <w:rsid w:val="00BF53B8"/>
    <w:rsid w:val="00BF5F8B"/>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06"/>
    <w:rsid w:val="00C17E38"/>
    <w:rsid w:val="00C20744"/>
    <w:rsid w:val="00C20B1C"/>
    <w:rsid w:val="00C20C4D"/>
    <w:rsid w:val="00C2150A"/>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3609E"/>
    <w:rsid w:val="00C40F81"/>
    <w:rsid w:val="00C41463"/>
    <w:rsid w:val="00C419B4"/>
    <w:rsid w:val="00C41A72"/>
    <w:rsid w:val="00C42D45"/>
    <w:rsid w:val="00C4422D"/>
    <w:rsid w:val="00C45806"/>
    <w:rsid w:val="00C45ECA"/>
    <w:rsid w:val="00C476C5"/>
    <w:rsid w:val="00C503B0"/>
    <w:rsid w:val="00C511C2"/>
    <w:rsid w:val="00C5253B"/>
    <w:rsid w:val="00C527C6"/>
    <w:rsid w:val="00C53CDB"/>
    <w:rsid w:val="00C53D82"/>
    <w:rsid w:val="00C54748"/>
    <w:rsid w:val="00C55C1B"/>
    <w:rsid w:val="00C575FB"/>
    <w:rsid w:val="00C60696"/>
    <w:rsid w:val="00C60943"/>
    <w:rsid w:val="00C60EEF"/>
    <w:rsid w:val="00C6121D"/>
    <w:rsid w:val="00C615F1"/>
    <w:rsid w:val="00C61627"/>
    <w:rsid w:val="00C63B1A"/>
    <w:rsid w:val="00C64E60"/>
    <w:rsid w:val="00C657A4"/>
    <w:rsid w:val="00C6736C"/>
    <w:rsid w:val="00C71A1D"/>
    <w:rsid w:val="00C71EC4"/>
    <w:rsid w:val="00C71FD7"/>
    <w:rsid w:val="00C7591E"/>
    <w:rsid w:val="00C75C7E"/>
    <w:rsid w:val="00C75C9B"/>
    <w:rsid w:val="00C76D8E"/>
    <w:rsid w:val="00C772C1"/>
    <w:rsid w:val="00C77833"/>
    <w:rsid w:val="00C80C9B"/>
    <w:rsid w:val="00C8335E"/>
    <w:rsid w:val="00C83A6D"/>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A7C47"/>
    <w:rsid w:val="00CB1910"/>
    <w:rsid w:val="00CB2150"/>
    <w:rsid w:val="00CB28EE"/>
    <w:rsid w:val="00CB43A7"/>
    <w:rsid w:val="00CB4DF1"/>
    <w:rsid w:val="00CB5996"/>
    <w:rsid w:val="00CB6809"/>
    <w:rsid w:val="00CB7452"/>
    <w:rsid w:val="00CC06C7"/>
    <w:rsid w:val="00CC0E10"/>
    <w:rsid w:val="00CC1DAF"/>
    <w:rsid w:val="00CC2642"/>
    <w:rsid w:val="00CC2967"/>
    <w:rsid w:val="00CC2A36"/>
    <w:rsid w:val="00CC2E15"/>
    <w:rsid w:val="00CC3440"/>
    <w:rsid w:val="00CC3641"/>
    <w:rsid w:val="00CC3908"/>
    <w:rsid w:val="00CC62AD"/>
    <w:rsid w:val="00CC6CA2"/>
    <w:rsid w:val="00CC7B80"/>
    <w:rsid w:val="00CD2B3C"/>
    <w:rsid w:val="00CD30F6"/>
    <w:rsid w:val="00CD3B07"/>
    <w:rsid w:val="00CD482D"/>
    <w:rsid w:val="00CD4B29"/>
    <w:rsid w:val="00CD6954"/>
    <w:rsid w:val="00CD6DA3"/>
    <w:rsid w:val="00CD6EF1"/>
    <w:rsid w:val="00CD7E35"/>
    <w:rsid w:val="00CE21C7"/>
    <w:rsid w:val="00CE2682"/>
    <w:rsid w:val="00CE2756"/>
    <w:rsid w:val="00CE442A"/>
    <w:rsid w:val="00CE57D8"/>
    <w:rsid w:val="00CE617A"/>
    <w:rsid w:val="00CE6E3C"/>
    <w:rsid w:val="00CE74FE"/>
    <w:rsid w:val="00CE797F"/>
    <w:rsid w:val="00CF25D2"/>
    <w:rsid w:val="00CF28C2"/>
    <w:rsid w:val="00CF42BD"/>
    <w:rsid w:val="00CF51EC"/>
    <w:rsid w:val="00CF6A9D"/>
    <w:rsid w:val="00CF6CD7"/>
    <w:rsid w:val="00CF75EC"/>
    <w:rsid w:val="00D0037A"/>
    <w:rsid w:val="00D0061E"/>
    <w:rsid w:val="00D00DAF"/>
    <w:rsid w:val="00D017EC"/>
    <w:rsid w:val="00D01CDA"/>
    <w:rsid w:val="00D020FC"/>
    <w:rsid w:val="00D040DD"/>
    <w:rsid w:val="00D04E1B"/>
    <w:rsid w:val="00D0547B"/>
    <w:rsid w:val="00D076DB"/>
    <w:rsid w:val="00D07EFF"/>
    <w:rsid w:val="00D1067C"/>
    <w:rsid w:val="00D10DC5"/>
    <w:rsid w:val="00D11CBB"/>
    <w:rsid w:val="00D132AE"/>
    <w:rsid w:val="00D136D4"/>
    <w:rsid w:val="00D13830"/>
    <w:rsid w:val="00D13ECF"/>
    <w:rsid w:val="00D142E5"/>
    <w:rsid w:val="00D148CD"/>
    <w:rsid w:val="00D14E11"/>
    <w:rsid w:val="00D1611E"/>
    <w:rsid w:val="00D163CC"/>
    <w:rsid w:val="00D16E69"/>
    <w:rsid w:val="00D17F4A"/>
    <w:rsid w:val="00D205A9"/>
    <w:rsid w:val="00D217EE"/>
    <w:rsid w:val="00D245BA"/>
    <w:rsid w:val="00D26923"/>
    <w:rsid w:val="00D27856"/>
    <w:rsid w:val="00D27941"/>
    <w:rsid w:val="00D27D34"/>
    <w:rsid w:val="00D3006B"/>
    <w:rsid w:val="00D301CA"/>
    <w:rsid w:val="00D30740"/>
    <w:rsid w:val="00D31075"/>
    <w:rsid w:val="00D31445"/>
    <w:rsid w:val="00D31932"/>
    <w:rsid w:val="00D32AE0"/>
    <w:rsid w:val="00D33531"/>
    <w:rsid w:val="00D360DA"/>
    <w:rsid w:val="00D37689"/>
    <w:rsid w:val="00D378CC"/>
    <w:rsid w:val="00D4042C"/>
    <w:rsid w:val="00D40B9E"/>
    <w:rsid w:val="00D41281"/>
    <w:rsid w:val="00D42312"/>
    <w:rsid w:val="00D42F89"/>
    <w:rsid w:val="00D433F5"/>
    <w:rsid w:val="00D43998"/>
    <w:rsid w:val="00D439C2"/>
    <w:rsid w:val="00D446E3"/>
    <w:rsid w:val="00D451E0"/>
    <w:rsid w:val="00D45A1D"/>
    <w:rsid w:val="00D4615E"/>
    <w:rsid w:val="00D478E2"/>
    <w:rsid w:val="00D51535"/>
    <w:rsid w:val="00D5264C"/>
    <w:rsid w:val="00D547BA"/>
    <w:rsid w:val="00D55626"/>
    <w:rsid w:val="00D556BC"/>
    <w:rsid w:val="00D5626D"/>
    <w:rsid w:val="00D56631"/>
    <w:rsid w:val="00D56B60"/>
    <w:rsid w:val="00D56BA2"/>
    <w:rsid w:val="00D60277"/>
    <w:rsid w:val="00D60336"/>
    <w:rsid w:val="00D61F88"/>
    <w:rsid w:val="00D62901"/>
    <w:rsid w:val="00D63415"/>
    <w:rsid w:val="00D6470C"/>
    <w:rsid w:val="00D64853"/>
    <w:rsid w:val="00D64CB5"/>
    <w:rsid w:val="00D66D48"/>
    <w:rsid w:val="00D7162F"/>
    <w:rsid w:val="00D72897"/>
    <w:rsid w:val="00D73256"/>
    <w:rsid w:val="00D7344B"/>
    <w:rsid w:val="00D73A30"/>
    <w:rsid w:val="00D74C65"/>
    <w:rsid w:val="00D74F21"/>
    <w:rsid w:val="00D75DC2"/>
    <w:rsid w:val="00D766EF"/>
    <w:rsid w:val="00D76C03"/>
    <w:rsid w:val="00D77F8D"/>
    <w:rsid w:val="00D8119B"/>
    <w:rsid w:val="00D815C0"/>
    <w:rsid w:val="00D82462"/>
    <w:rsid w:val="00D868CE"/>
    <w:rsid w:val="00D86DAE"/>
    <w:rsid w:val="00D90116"/>
    <w:rsid w:val="00D90C1E"/>
    <w:rsid w:val="00D91BDF"/>
    <w:rsid w:val="00D91F2C"/>
    <w:rsid w:val="00D92EC1"/>
    <w:rsid w:val="00D93F09"/>
    <w:rsid w:val="00D954C2"/>
    <w:rsid w:val="00D97BB8"/>
    <w:rsid w:val="00DA097A"/>
    <w:rsid w:val="00DA1318"/>
    <w:rsid w:val="00DA1382"/>
    <w:rsid w:val="00DA28B7"/>
    <w:rsid w:val="00DA2FE8"/>
    <w:rsid w:val="00DA380E"/>
    <w:rsid w:val="00DA4AF6"/>
    <w:rsid w:val="00DB016E"/>
    <w:rsid w:val="00DB06E9"/>
    <w:rsid w:val="00DB19BD"/>
    <w:rsid w:val="00DB1D55"/>
    <w:rsid w:val="00DB378E"/>
    <w:rsid w:val="00DB3E9D"/>
    <w:rsid w:val="00DB47B9"/>
    <w:rsid w:val="00DB4FB8"/>
    <w:rsid w:val="00DB53CE"/>
    <w:rsid w:val="00DB549D"/>
    <w:rsid w:val="00DB5792"/>
    <w:rsid w:val="00DB6A88"/>
    <w:rsid w:val="00DB76AC"/>
    <w:rsid w:val="00DB7BA4"/>
    <w:rsid w:val="00DC213A"/>
    <w:rsid w:val="00DC226A"/>
    <w:rsid w:val="00DC257F"/>
    <w:rsid w:val="00DC2A9F"/>
    <w:rsid w:val="00DC350B"/>
    <w:rsid w:val="00DC3790"/>
    <w:rsid w:val="00DC408A"/>
    <w:rsid w:val="00DC436D"/>
    <w:rsid w:val="00DC519B"/>
    <w:rsid w:val="00DC5B3B"/>
    <w:rsid w:val="00DC6796"/>
    <w:rsid w:val="00DC78DF"/>
    <w:rsid w:val="00DC7D4C"/>
    <w:rsid w:val="00DD0821"/>
    <w:rsid w:val="00DD0E32"/>
    <w:rsid w:val="00DD2872"/>
    <w:rsid w:val="00DD2A62"/>
    <w:rsid w:val="00DD2BFE"/>
    <w:rsid w:val="00DD373E"/>
    <w:rsid w:val="00DD57AD"/>
    <w:rsid w:val="00DD7435"/>
    <w:rsid w:val="00DD7C6D"/>
    <w:rsid w:val="00DE009B"/>
    <w:rsid w:val="00DE0243"/>
    <w:rsid w:val="00DE08F8"/>
    <w:rsid w:val="00DE0C31"/>
    <w:rsid w:val="00DE2ED9"/>
    <w:rsid w:val="00DE319A"/>
    <w:rsid w:val="00DF0615"/>
    <w:rsid w:val="00DF0DC3"/>
    <w:rsid w:val="00DF21FD"/>
    <w:rsid w:val="00DF2873"/>
    <w:rsid w:val="00DF293C"/>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2B3"/>
    <w:rsid w:val="00E144D2"/>
    <w:rsid w:val="00E144D6"/>
    <w:rsid w:val="00E15346"/>
    <w:rsid w:val="00E15B7D"/>
    <w:rsid w:val="00E2097E"/>
    <w:rsid w:val="00E21337"/>
    <w:rsid w:val="00E215EA"/>
    <w:rsid w:val="00E21CAB"/>
    <w:rsid w:val="00E221FC"/>
    <w:rsid w:val="00E225C8"/>
    <w:rsid w:val="00E22E78"/>
    <w:rsid w:val="00E24619"/>
    <w:rsid w:val="00E25223"/>
    <w:rsid w:val="00E25999"/>
    <w:rsid w:val="00E263A8"/>
    <w:rsid w:val="00E30BEA"/>
    <w:rsid w:val="00E31764"/>
    <w:rsid w:val="00E32BC2"/>
    <w:rsid w:val="00E33433"/>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726"/>
    <w:rsid w:val="00E61EA8"/>
    <w:rsid w:val="00E630CB"/>
    <w:rsid w:val="00E63221"/>
    <w:rsid w:val="00E63672"/>
    <w:rsid w:val="00E64EA1"/>
    <w:rsid w:val="00E65898"/>
    <w:rsid w:val="00E668A6"/>
    <w:rsid w:val="00E669C7"/>
    <w:rsid w:val="00E703AD"/>
    <w:rsid w:val="00E70510"/>
    <w:rsid w:val="00E71262"/>
    <w:rsid w:val="00E71A58"/>
    <w:rsid w:val="00E737F6"/>
    <w:rsid w:val="00E737FB"/>
    <w:rsid w:val="00E7568F"/>
    <w:rsid w:val="00E764AE"/>
    <w:rsid w:val="00E7724B"/>
    <w:rsid w:val="00E81543"/>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3D3"/>
    <w:rsid w:val="00ED54D6"/>
    <w:rsid w:val="00ED5726"/>
    <w:rsid w:val="00EE0113"/>
    <w:rsid w:val="00EE0298"/>
    <w:rsid w:val="00EE0384"/>
    <w:rsid w:val="00EE1057"/>
    <w:rsid w:val="00EE10AA"/>
    <w:rsid w:val="00EE1637"/>
    <w:rsid w:val="00EE3679"/>
    <w:rsid w:val="00EE3B7A"/>
    <w:rsid w:val="00EE3E78"/>
    <w:rsid w:val="00EE495A"/>
    <w:rsid w:val="00EE5E02"/>
    <w:rsid w:val="00EE617D"/>
    <w:rsid w:val="00EE61BF"/>
    <w:rsid w:val="00EE6538"/>
    <w:rsid w:val="00EE6748"/>
    <w:rsid w:val="00EE6C6B"/>
    <w:rsid w:val="00EF0E75"/>
    <w:rsid w:val="00EF1542"/>
    <w:rsid w:val="00EF164E"/>
    <w:rsid w:val="00EF1F5A"/>
    <w:rsid w:val="00EF4685"/>
    <w:rsid w:val="00EF4CE3"/>
    <w:rsid w:val="00EF5397"/>
    <w:rsid w:val="00EF6BE3"/>
    <w:rsid w:val="00EF75D0"/>
    <w:rsid w:val="00EF76A9"/>
    <w:rsid w:val="00F00381"/>
    <w:rsid w:val="00F00D0E"/>
    <w:rsid w:val="00F00D3C"/>
    <w:rsid w:val="00F04811"/>
    <w:rsid w:val="00F0488C"/>
    <w:rsid w:val="00F0496E"/>
    <w:rsid w:val="00F04D10"/>
    <w:rsid w:val="00F053EA"/>
    <w:rsid w:val="00F0625B"/>
    <w:rsid w:val="00F101FF"/>
    <w:rsid w:val="00F104DF"/>
    <w:rsid w:val="00F10A33"/>
    <w:rsid w:val="00F10B64"/>
    <w:rsid w:val="00F1186C"/>
    <w:rsid w:val="00F1476A"/>
    <w:rsid w:val="00F14ACD"/>
    <w:rsid w:val="00F15BEF"/>
    <w:rsid w:val="00F172BE"/>
    <w:rsid w:val="00F1744E"/>
    <w:rsid w:val="00F1776C"/>
    <w:rsid w:val="00F2037E"/>
    <w:rsid w:val="00F20D17"/>
    <w:rsid w:val="00F2103E"/>
    <w:rsid w:val="00F214FC"/>
    <w:rsid w:val="00F21C31"/>
    <w:rsid w:val="00F220A9"/>
    <w:rsid w:val="00F23825"/>
    <w:rsid w:val="00F2389A"/>
    <w:rsid w:val="00F23FFF"/>
    <w:rsid w:val="00F2441D"/>
    <w:rsid w:val="00F24FAA"/>
    <w:rsid w:val="00F26197"/>
    <w:rsid w:val="00F264D6"/>
    <w:rsid w:val="00F26FDA"/>
    <w:rsid w:val="00F273D4"/>
    <w:rsid w:val="00F27D6C"/>
    <w:rsid w:val="00F307DD"/>
    <w:rsid w:val="00F3159B"/>
    <w:rsid w:val="00F318FC"/>
    <w:rsid w:val="00F31F76"/>
    <w:rsid w:val="00F325A3"/>
    <w:rsid w:val="00F32939"/>
    <w:rsid w:val="00F3364D"/>
    <w:rsid w:val="00F35ACD"/>
    <w:rsid w:val="00F365BF"/>
    <w:rsid w:val="00F36BF8"/>
    <w:rsid w:val="00F375BA"/>
    <w:rsid w:val="00F37760"/>
    <w:rsid w:val="00F403D1"/>
    <w:rsid w:val="00F43921"/>
    <w:rsid w:val="00F43D2E"/>
    <w:rsid w:val="00F44E1B"/>
    <w:rsid w:val="00F4524F"/>
    <w:rsid w:val="00F45530"/>
    <w:rsid w:val="00F4591F"/>
    <w:rsid w:val="00F47321"/>
    <w:rsid w:val="00F4736B"/>
    <w:rsid w:val="00F47997"/>
    <w:rsid w:val="00F47D05"/>
    <w:rsid w:val="00F50030"/>
    <w:rsid w:val="00F502F5"/>
    <w:rsid w:val="00F50B9D"/>
    <w:rsid w:val="00F51FC9"/>
    <w:rsid w:val="00F53243"/>
    <w:rsid w:val="00F53579"/>
    <w:rsid w:val="00F541ED"/>
    <w:rsid w:val="00F54B30"/>
    <w:rsid w:val="00F54B31"/>
    <w:rsid w:val="00F54FD3"/>
    <w:rsid w:val="00F55605"/>
    <w:rsid w:val="00F57CD7"/>
    <w:rsid w:val="00F62F02"/>
    <w:rsid w:val="00F6339F"/>
    <w:rsid w:val="00F63DDE"/>
    <w:rsid w:val="00F63FB7"/>
    <w:rsid w:val="00F64726"/>
    <w:rsid w:val="00F6561A"/>
    <w:rsid w:val="00F66243"/>
    <w:rsid w:val="00F665EB"/>
    <w:rsid w:val="00F70309"/>
    <w:rsid w:val="00F7078A"/>
    <w:rsid w:val="00F70E45"/>
    <w:rsid w:val="00F727D5"/>
    <w:rsid w:val="00F72F44"/>
    <w:rsid w:val="00F73A0C"/>
    <w:rsid w:val="00F7596B"/>
    <w:rsid w:val="00F759DC"/>
    <w:rsid w:val="00F7717C"/>
    <w:rsid w:val="00F771A5"/>
    <w:rsid w:val="00F77693"/>
    <w:rsid w:val="00F77D04"/>
    <w:rsid w:val="00F81697"/>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36EF"/>
    <w:rsid w:val="00FA7644"/>
    <w:rsid w:val="00FB0A9A"/>
    <w:rsid w:val="00FB16AD"/>
    <w:rsid w:val="00FB483B"/>
    <w:rsid w:val="00FB56F1"/>
    <w:rsid w:val="00FB5FD4"/>
    <w:rsid w:val="00FB6555"/>
    <w:rsid w:val="00FB6798"/>
    <w:rsid w:val="00FB67F3"/>
    <w:rsid w:val="00FC0D8A"/>
    <w:rsid w:val="00FC0E5F"/>
    <w:rsid w:val="00FC135D"/>
    <w:rsid w:val="00FC34A6"/>
    <w:rsid w:val="00FC3C84"/>
    <w:rsid w:val="00FC4660"/>
    <w:rsid w:val="00FC56DE"/>
    <w:rsid w:val="00FC5E01"/>
    <w:rsid w:val="00FD1261"/>
    <w:rsid w:val="00FD1627"/>
    <w:rsid w:val="00FD1BBD"/>
    <w:rsid w:val="00FD3B11"/>
    <w:rsid w:val="00FD473D"/>
    <w:rsid w:val="00FD4AAA"/>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5325993">
      <w:bodyDiv w:val="1"/>
      <w:marLeft w:val="0"/>
      <w:marRight w:val="0"/>
      <w:marTop w:val="0"/>
      <w:marBottom w:val="0"/>
      <w:divBdr>
        <w:top w:val="none" w:sz="0" w:space="0" w:color="auto"/>
        <w:left w:val="none" w:sz="0" w:space="0" w:color="auto"/>
        <w:bottom w:val="none" w:sz="0" w:space="0" w:color="auto"/>
        <w:right w:val="none" w:sz="0" w:space="0" w:color="auto"/>
      </w:divBdr>
    </w:div>
    <w:div w:id="63526688">
      <w:bodyDiv w:val="1"/>
      <w:marLeft w:val="0"/>
      <w:marRight w:val="0"/>
      <w:marTop w:val="0"/>
      <w:marBottom w:val="0"/>
      <w:divBdr>
        <w:top w:val="none" w:sz="0" w:space="0" w:color="auto"/>
        <w:left w:val="none" w:sz="0" w:space="0" w:color="auto"/>
        <w:bottom w:val="none" w:sz="0" w:space="0" w:color="auto"/>
        <w:right w:val="none" w:sz="0" w:space="0" w:color="auto"/>
      </w:divBdr>
    </w:div>
    <w:div w:id="114445636">
      <w:bodyDiv w:val="1"/>
      <w:marLeft w:val="0"/>
      <w:marRight w:val="0"/>
      <w:marTop w:val="0"/>
      <w:marBottom w:val="0"/>
      <w:divBdr>
        <w:top w:val="none" w:sz="0" w:space="0" w:color="auto"/>
        <w:left w:val="none" w:sz="0" w:space="0" w:color="auto"/>
        <w:bottom w:val="none" w:sz="0" w:space="0" w:color="auto"/>
        <w:right w:val="none" w:sz="0" w:space="0" w:color="auto"/>
      </w:divBdr>
    </w:div>
    <w:div w:id="228855498">
      <w:bodyDiv w:val="1"/>
      <w:marLeft w:val="0"/>
      <w:marRight w:val="0"/>
      <w:marTop w:val="0"/>
      <w:marBottom w:val="0"/>
      <w:divBdr>
        <w:top w:val="none" w:sz="0" w:space="0" w:color="auto"/>
        <w:left w:val="none" w:sz="0" w:space="0" w:color="auto"/>
        <w:bottom w:val="none" w:sz="0" w:space="0" w:color="auto"/>
        <w:right w:val="none" w:sz="0" w:space="0" w:color="auto"/>
      </w:divBdr>
    </w:div>
    <w:div w:id="484053728">
      <w:bodyDiv w:val="1"/>
      <w:marLeft w:val="0"/>
      <w:marRight w:val="0"/>
      <w:marTop w:val="0"/>
      <w:marBottom w:val="0"/>
      <w:divBdr>
        <w:top w:val="none" w:sz="0" w:space="0" w:color="auto"/>
        <w:left w:val="none" w:sz="0" w:space="0" w:color="auto"/>
        <w:bottom w:val="none" w:sz="0" w:space="0" w:color="auto"/>
        <w:right w:val="none" w:sz="0" w:space="0" w:color="auto"/>
      </w:divBdr>
    </w:div>
    <w:div w:id="506218342">
      <w:bodyDiv w:val="1"/>
      <w:marLeft w:val="0"/>
      <w:marRight w:val="0"/>
      <w:marTop w:val="0"/>
      <w:marBottom w:val="0"/>
      <w:divBdr>
        <w:top w:val="none" w:sz="0" w:space="0" w:color="auto"/>
        <w:left w:val="none" w:sz="0" w:space="0" w:color="auto"/>
        <w:bottom w:val="none" w:sz="0" w:space="0" w:color="auto"/>
        <w:right w:val="none" w:sz="0" w:space="0" w:color="auto"/>
      </w:divBdr>
    </w:div>
    <w:div w:id="529296442">
      <w:bodyDiv w:val="1"/>
      <w:marLeft w:val="0"/>
      <w:marRight w:val="0"/>
      <w:marTop w:val="0"/>
      <w:marBottom w:val="0"/>
      <w:divBdr>
        <w:top w:val="none" w:sz="0" w:space="0" w:color="auto"/>
        <w:left w:val="none" w:sz="0" w:space="0" w:color="auto"/>
        <w:bottom w:val="none" w:sz="0" w:space="0" w:color="auto"/>
        <w:right w:val="none" w:sz="0" w:space="0" w:color="auto"/>
      </w:divBdr>
    </w:div>
    <w:div w:id="603079723">
      <w:bodyDiv w:val="1"/>
      <w:marLeft w:val="0"/>
      <w:marRight w:val="0"/>
      <w:marTop w:val="0"/>
      <w:marBottom w:val="0"/>
      <w:divBdr>
        <w:top w:val="none" w:sz="0" w:space="0" w:color="auto"/>
        <w:left w:val="none" w:sz="0" w:space="0" w:color="auto"/>
        <w:bottom w:val="none" w:sz="0" w:space="0" w:color="auto"/>
        <w:right w:val="none" w:sz="0" w:space="0" w:color="auto"/>
      </w:divBdr>
    </w:div>
    <w:div w:id="614944147">
      <w:bodyDiv w:val="1"/>
      <w:marLeft w:val="0"/>
      <w:marRight w:val="0"/>
      <w:marTop w:val="0"/>
      <w:marBottom w:val="0"/>
      <w:divBdr>
        <w:top w:val="none" w:sz="0" w:space="0" w:color="auto"/>
        <w:left w:val="none" w:sz="0" w:space="0" w:color="auto"/>
        <w:bottom w:val="none" w:sz="0" w:space="0" w:color="auto"/>
        <w:right w:val="none" w:sz="0" w:space="0" w:color="auto"/>
      </w:divBdr>
    </w:div>
    <w:div w:id="628823926">
      <w:bodyDiv w:val="1"/>
      <w:marLeft w:val="0"/>
      <w:marRight w:val="0"/>
      <w:marTop w:val="0"/>
      <w:marBottom w:val="0"/>
      <w:divBdr>
        <w:top w:val="none" w:sz="0" w:space="0" w:color="auto"/>
        <w:left w:val="none" w:sz="0" w:space="0" w:color="auto"/>
        <w:bottom w:val="none" w:sz="0" w:space="0" w:color="auto"/>
        <w:right w:val="none" w:sz="0" w:space="0" w:color="auto"/>
      </w:divBdr>
    </w:div>
    <w:div w:id="732390569">
      <w:bodyDiv w:val="1"/>
      <w:marLeft w:val="0"/>
      <w:marRight w:val="0"/>
      <w:marTop w:val="0"/>
      <w:marBottom w:val="0"/>
      <w:divBdr>
        <w:top w:val="none" w:sz="0" w:space="0" w:color="auto"/>
        <w:left w:val="none" w:sz="0" w:space="0" w:color="auto"/>
        <w:bottom w:val="none" w:sz="0" w:space="0" w:color="auto"/>
        <w:right w:val="none" w:sz="0" w:space="0" w:color="auto"/>
      </w:divBdr>
    </w:div>
    <w:div w:id="748962139">
      <w:bodyDiv w:val="1"/>
      <w:marLeft w:val="0"/>
      <w:marRight w:val="0"/>
      <w:marTop w:val="0"/>
      <w:marBottom w:val="0"/>
      <w:divBdr>
        <w:top w:val="none" w:sz="0" w:space="0" w:color="auto"/>
        <w:left w:val="none" w:sz="0" w:space="0" w:color="auto"/>
        <w:bottom w:val="none" w:sz="0" w:space="0" w:color="auto"/>
        <w:right w:val="none" w:sz="0" w:space="0" w:color="auto"/>
      </w:divBdr>
    </w:div>
    <w:div w:id="767968854">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034768594">
      <w:bodyDiv w:val="1"/>
      <w:marLeft w:val="0"/>
      <w:marRight w:val="0"/>
      <w:marTop w:val="0"/>
      <w:marBottom w:val="0"/>
      <w:divBdr>
        <w:top w:val="none" w:sz="0" w:space="0" w:color="auto"/>
        <w:left w:val="none" w:sz="0" w:space="0" w:color="auto"/>
        <w:bottom w:val="none" w:sz="0" w:space="0" w:color="auto"/>
        <w:right w:val="none" w:sz="0" w:space="0" w:color="auto"/>
      </w:divBdr>
    </w:div>
    <w:div w:id="1069040061">
      <w:bodyDiv w:val="1"/>
      <w:marLeft w:val="0"/>
      <w:marRight w:val="0"/>
      <w:marTop w:val="0"/>
      <w:marBottom w:val="0"/>
      <w:divBdr>
        <w:top w:val="none" w:sz="0" w:space="0" w:color="auto"/>
        <w:left w:val="none" w:sz="0" w:space="0" w:color="auto"/>
        <w:bottom w:val="none" w:sz="0" w:space="0" w:color="auto"/>
        <w:right w:val="none" w:sz="0" w:space="0" w:color="auto"/>
      </w:divBdr>
    </w:div>
    <w:div w:id="1082026530">
      <w:bodyDiv w:val="1"/>
      <w:marLeft w:val="0"/>
      <w:marRight w:val="0"/>
      <w:marTop w:val="0"/>
      <w:marBottom w:val="0"/>
      <w:divBdr>
        <w:top w:val="none" w:sz="0" w:space="0" w:color="auto"/>
        <w:left w:val="none" w:sz="0" w:space="0" w:color="auto"/>
        <w:bottom w:val="none" w:sz="0" w:space="0" w:color="auto"/>
        <w:right w:val="none" w:sz="0" w:space="0" w:color="auto"/>
      </w:divBdr>
    </w:div>
    <w:div w:id="1212232217">
      <w:bodyDiv w:val="1"/>
      <w:marLeft w:val="0"/>
      <w:marRight w:val="0"/>
      <w:marTop w:val="0"/>
      <w:marBottom w:val="0"/>
      <w:divBdr>
        <w:top w:val="none" w:sz="0" w:space="0" w:color="auto"/>
        <w:left w:val="none" w:sz="0" w:space="0" w:color="auto"/>
        <w:bottom w:val="none" w:sz="0" w:space="0" w:color="auto"/>
        <w:right w:val="none" w:sz="0" w:space="0" w:color="auto"/>
      </w:divBdr>
    </w:div>
    <w:div w:id="1273784873">
      <w:bodyDiv w:val="1"/>
      <w:marLeft w:val="0"/>
      <w:marRight w:val="0"/>
      <w:marTop w:val="0"/>
      <w:marBottom w:val="0"/>
      <w:divBdr>
        <w:top w:val="none" w:sz="0" w:space="0" w:color="auto"/>
        <w:left w:val="none" w:sz="0" w:space="0" w:color="auto"/>
        <w:bottom w:val="none" w:sz="0" w:space="0" w:color="auto"/>
        <w:right w:val="none" w:sz="0" w:space="0" w:color="auto"/>
      </w:divBdr>
    </w:div>
    <w:div w:id="1305233296">
      <w:bodyDiv w:val="1"/>
      <w:marLeft w:val="0"/>
      <w:marRight w:val="0"/>
      <w:marTop w:val="0"/>
      <w:marBottom w:val="0"/>
      <w:divBdr>
        <w:top w:val="none" w:sz="0" w:space="0" w:color="auto"/>
        <w:left w:val="none" w:sz="0" w:space="0" w:color="auto"/>
        <w:bottom w:val="none" w:sz="0" w:space="0" w:color="auto"/>
        <w:right w:val="none" w:sz="0" w:space="0" w:color="auto"/>
      </w:divBdr>
    </w:div>
    <w:div w:id="1305769490">
      <w:bodyDiv w:val="1"/>
      <w:marLeft w:val="0"/>
      <w:marRight w:val="0"/>
      <w:marTop w:val="0"/>
      <w:marBottom w:val="0"/>
      <w:divBdr>
        <w:top w:val="none" w:sz="0" w:space="0" w:color="auto"/>
        <w:left w:val="none" w:sz="0" w:space="0" w:color="auto"/>
        <w:bottom w:val="none" w:sz="0" w:space="0" w:color="auto"/>
        <w:right w:val="none" w:sz="0" w:space="0" w:color="auto"/>
      </w:divBdr>
    </w:div>
    <w:div w:id="1328821066">
      <w:bodyDiv w:val="1"/>
      <w:marLeft w:val="0"/>
      <w:marRight w:val="0"/>
      <w:marTop w:val="0"/>
      <w:marBottom w:val="0"/>
      <w:divBdr>
        <w:top w:val="none" w:sz="0" w:space="0" w:color="auto"/>
        <w:left w:val="none" w:sz="0" w:space="0" w:color="auto"/>
        <w:bottom w:val="none" w:sz="0" w:space="0" w:color="auto"/>
        <w:right w:val="none" w:sz="0" w:space="0" w:color="auto"/>
      </w:divBdr>
    </w:div>
    <w:div w:id="1335111794">
      <w:bodyDiv w:val="1"/>
      <w:marLeft w:val="0"/>
      <w:marRight w:val="0"/>
      <w:marTop w:val="0"/>
      <w:marBottom w:val="0"/>
      <w:divBdr>
        <w:top w:val="none" w:sz="0" w:space="0" w:color="auto"/>
        <w:left w:val="none" w:sz="0" w:space="0" w:color="auto"/>
        <w:bottom w:val="none" w:sz="0" w:space="0" w:color="auto"/>
        <w:right w:val="none" w:sz="0" w:space="0" w:color="auto"/>
      </w:divBdr>
    </w:div>
    <w:div w:id="1337685621">
      <w:bodyDiv w:val="1"/>
      <w:marLeft w:val="0"/>
      <w:marRight w:val="0"/>
      <w:marTop w:val="0"/>
      <w:marBottom w:val="0"/>
      <w:divBdr>
        <w:top w:val="none" w:sz="0" w:space="0" w:color="auto"/>
        <w:left w:val="none" w:sz="0" w:space="0" w:color="auto"/>
        <w:bottom w:val="none" w:sz="0" w:space="0" w:color="auto"/>
        <w:right w:val="none" w:sz="0" w:space="0" w:color="auto"/>
      </w:divBdr>
    </w:div>
    <w:div w:id="1338507400">
      <w:bodyDiv w:val="1"/>
      <w:marLeft w:val="0"/>
      <w:marRight w:val="0"/>
      <w:marTop w:val="0"/>
      <w:marBottom w:val="0"/>
      <w:divBdr>
        <w:top w:val="none" w:sz="0" w:space="0" w:color="auto"/>
        <w:left w:val="none" w:sz="0" w:space="0" w:color="auto"/>
        <w:bottom w:val="none" w:sz="0" w:space="0" w:color="auto"/>
        <w:right w:val="none" w:sz="0" w:space="0" w:color="auto"/>
      </w:divBdr>
    </w:div>
    <w:div w:id="1450736267">
      <w:bodyDiv w:val="1"/>
      <w:marLeft w:val="0"/>
      <w:marRight w:val="0"/>
      <w:marTop w:val="0"/>
      <w:marBottom w:val="0"/>
      <w:divBdr>
        <w:top w:val="none" w:sz="0" w:space="0" w:color="auto"/>
        <w:left w:val="none" w:sz="0" w:space="0" w:color="auto"/>
        <w:bottom w:val="none" w:sz="0" w:space="0" w:color="auto"/>
        <w:right w:val="none" w:sz="0" w:space="0" w:color="auto"/>
      </w:divBdr>
    </w:div>
    <w:div w:id="1510412218">
      <w:bodyDiv w:val="1"/>
      <w:marLeft w:val="0"/>
      <w:marRight w:val="0"/>
      <w:marTop w:val="0"/>
      <w:marBottom w:val="0"/>
      <w:divBdr>
        <w:top w:val="none" w:sz="0" w:space="0" w:color="auto"/>
        <w:left w:val="none" w:sz="0" w:space="0" w:color="auto"/>
        <w:bottom w:val="none" w:sz="0" w:space="0" w:color="auto"/>
        <w:right w:val="none" w:sz="0" w:space="0" w:color="auto"/>
      </w:divBdr>
    </w:div>
    <w:div w:id="1526557819">
      <w:bodyDiv w:val="1"/>
      <w:marLeft w:val="0"/>
      <w:marRight w:val="0"/>
      <w:marTop w:val="0"/>
      <w:marBottom w:val="0"/>
      <w:divBdr>
        <w:top w:val="none" w:sz="0" w:space="0" w:color="auto"/>
        <w:left w:val="none" w:sz="0" w:space="0" w:color="auto"/>
        <w:bottom w:val="none" w:sz="0" w:space="0" w:color="auto"/>
        <w:right w:val="none" w:sz="0" w:space="0" w:color="auto"/>
      </w:divBdr>
    </w:div>
    <w:div w:id="1601647280">
      <w:bodyDiv w:val="1"/>
      <w:marLeft w:val="0"/>
      <w:marRight w:val="0"/>
      <w:marTop w:val="0"/>
      <w:marBottom w:val="0"/>
      <w:divBdr>
        <w:top w:val="none" w:sz="0" w:space="0" w:color="auto"/>
        <w:left w:val="none" w:sz="0" w:space="0" w:color="auto"/>
        <w:bottom w:val="none" w:sz="0" w:space="0" w:color="auto"/>
        <w:right w:val="none" w:sz="0" w:space="0" w:color="auto"/>
      </w:divBdr>
    </w:div>
    <w:div w:id="1619215650">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82510105">
      <w:bodyDiv w:val="1"/>
      <w:marLeft w:val="0"/>
      <w:marRight w:val="0"/>
      <w:marTop w:val="0"/>
      <w:marBottom w:val="0"/>
      <w:divBdr>
        <w:top w:val="none" w:sz="0" w:space="0" w:color="auto"/>
        <w:left w:val="none" w:sz="0" w:space="0" w:color="auto"/>
        <w:bottom w:val="none" w:sz="0" w:space="0" w:color="auto"/>
        <w:right w:val="none" w:sz="0" w:space="0" w:color="auto"/>
      </w:divBdr>
    </w:div>
    <w:div w:id="1698966458">
      <w:bodyDiv w:val="1"/>
      <w:marLeft w:val="0"/>
      <w:marRight w:val="0"/>
      <w:marTop w:val="0"/>
      <w:marBottom w:val="0"/>
      <w:divBdr>
        <w:top w:val="none" w:sz="0" w:space="0" w:color="auto"/>
        <w:left w:val="none" w:sz="0" w:space="0" w:color="auto"/>
        <w:bottom w:val="none" w:sz="0" w:space="0" w:color="auto"/>
        <w:right w:val="none" w:sz="0" w:space="0" w:color="auto"/>
      </w:divBdr>
    </w:div>
    <w:div w:id="1719623276">
      <w:bodyDiv w:val="1"/>
      <w:marLeft w:val="0"/>
      <w:marRight w:val="0"/>
      <w:marTop w:val="0"/>
      <w:marBottom w:val="0"/>
      <w:divBdr>
        <w:top w:val="none" w:sz="0" w:space="0" w:color="auto"/>
        <w:left w:val="none" w:sz="0" w:space="0" w:color="auto"/>
        <w:bottom w:val="none" w:sz="0" w:space="0" w:color="auto"/>
        <w:right w:val="none" w:sz="0" w:space="0" w:color="auto"/>
      </w:divBdr>
    </w:div>
    <w:div w:id="1877886469">
      <w:bodyDiv w:val="1"/>
      <w:marLeft w:val="0"/>
      <w:marRight w:val="0"/>
      <w:marTop w:val="0"/>
      <w:marBottom w:val="0"/>
      <w:divBdr>
        <w:top w:val="none" w:sz="0" w:space="0" w:color="auto"/>
        <w:left w:val="none" w:sz="0" w:space="0" w:color="auto"/>
        <w:bottom w:val="none" w:sz="0" w:space="0" w:color="auto"/>
        <w:right w:val="none" w:sz="0" w:space="0" w:color="auto"/>
      </w:divBdr>
    </w:div>
    <w:div w:id="1911116916">
      <w:bodyDiv w:val="1"/>
      <w:marLeft w:val="0"/>
      <w:marRight w:val="0"/>
      <w:marTop w:val="0"/>
      <w:marBottom w:val="0"/>
      <w:divBdr>
        <w:top w:val="none" w:sz="0" w:space="0" w:color="auto"/>
        <w:left w:val="none" w:sz="0" w:space="0" w:color="auto"/>
        <w:bottom w:val="none" w:sz="0" w:space="0" w:color="auto"/>
        <w:right w:val="none" w:sz="0" w:space="0" w:color="auto"/>
      </w:divBdr>
    </w:div>
    <w:div w:id="2040230636">
      <w:bodyDiv w:val="1"/>
      <w:marLeft w:val="0"/>
      <w:marRight w:val="0"/>
      <w:marTop w:val="0"/>
      <w:marBottom w:val="0"/>
      <w:divBdr>
        <w:top w:val="none" w:sz="0" w:space="0" w:color="auto"/>
        <w:left w:val="none" w:sz="0" w:space="0" w:color="auto"/>
        <w:bottom w:val="none" w:sz="0" w:space="0" w:color="auto"/>
        <w:right w:val="none" w:sz="0" w:space="0" w:color="auto"/>
      </w:divBdr>
    </w:div>
    <w:div w:id="2085099298">
      <w:bodyDiv w:val="1"/>
      <w:marLeft w:val="0"/>
      <w:marRight w:val="0"/>
      <w:marTop w:val="0"/>
      <w:marBottom w:val="0"/>
      <w:divBdr>
        <w:top w:val="none" w:sz="0" w:space="0" w:color="auto"/>
        <w:left w:val="none" w:sz="0" w:space="0" w:color="auto"/>
        <w:bottom w:val="none" w:sz="0" w:space="0" w:color="auto"/>
        <w:right w:val="none" w:sz="0" w:space="0" w:color="auto"/>
      </w:divBdr>
    </w:div>
    <w:div w:id="2097482922">
      <w:bodyDiv w:val="1"/>
      <w:marLeft w:val="0"/>
      <w:marRight w:val="0"/>
      <w:marTop w:val="0"/>
      <w:marBottom w:val="0"/>
      <w:divBdr>
        <w:top w:val="none" w:sz="0" w:space="0" w:color="auto"/>
        <w:left w:val="none" w:sz="0" w:space="0" w:color="auto"/>
        <w:bottom w:val="none" w:sz="0" w:space="0" w:color="auto"/>
        <w:right w:val="none" w:sz="0" w:space="0" w:color="auto"/>
      </w:divBdr>
    </w:div>
    <w:div w:id="21245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EE605-6ED9-4A16-A642-0D29C109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3</Pages>
  <Words>1492</Words>
  <Characters>8808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2016-10-19T12:45:00Z</cp:lastPrinted>
  <dcterms:created xsi:type="dcterms:W3CDTF">2016-10-21T17:05:00Z</dcterms:created>
  <dcterms:modified xsi:type="dcterms:W3CDTF">2016-10-21T17:06:00Z</dcterms:modified>
</cp:coreProperties>
</file>