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D3B" w:rsidRDefault="00336463" w:rsidP="00C32E6B">
      <w:pPr>
        <w:pStyle w:val="Nadpis2"/>
        <w:jc w:val="left"/>
      </w:pPr>
      <w:bookmarkStart w:id="0" w:name="_GoBack"/>
      <w:bookmarkEnd w:id="0"/>
      <w:r w:rsidRPr="00743EFD">
        <w:t>Methodological notes</w:t>
      </w:r>
      <w:r w:rsidR="00C32E6B" w:rsidRPr="00743EFD">
        <w:t xml:space="preserve"> </w:t>
      </w:r>
    </w:p>
    <w:p w:rsidR="00C32E6B" w:rsidRPr="00743EFD" w:rsidRDefault="00C32E6B" w:rsidP="00C32E6B">
      <w:pPr>
        <w:pStyle w:val="Nadpis2"/>
        <w:jc w:val="left"/>
      </w:pPr>
      <w:r w:rsidRPr="00743EFD">
        <w:t xml:space="preserve">of </w:t>
      </w:r>
      <w:r w:rsidR="00BA6D3B">
        <w:t>cross border movements of goods</w:t>
      </w:r>
    </w:p>
    <w:p w:rsidR="00336463" w:rsidRPr="00743EFD" w:rsidRDefault="00336463">
      <w:pPr>
        <w:jc w:val="both"/>
        <w:rPr>
          <w:rFonts w:ascii="Arial" w:eastAsia="Batang" w:hAnsi="Arial"/>
          <w:b/>
          <w:bCs/>
          <w:sz w:val="18"/>
          <w:lang w:val="en-GB"/>
        </w:rPr>
      </w:pPr>
    </w:p>
    <w:p w:rsidR="00336463" w:rsidRPr="00743EFD" w:rsidRDefault="00336463">
      <w:pPr>
        <w:jc w:val="both"/>
        <w:rPr>
          <w:rFonts w:ascii="Arial" w:eastAsia="Batang" w:hAnsi="Arial"/>
          <w:b/>
          <w:bCs/>
          <w:sz w:val="18"/>
          <w:lang w:val="en-GB"/>
        </w:rPr>
      </w:pPr>
    </w:p>
    <w:p w:rsidR="00FE5AE7" w:rsidRDefault="00FE5AE7" w:rsidP="008F640C">
      <w:pPr>
        <w:spacing w:after="120"/>
        <w:jc w:val="both"/>
        <w:rPr>
          <w:rFonts w:ascii="Arial" w:hAnsi="Arial"/>
          <w:bCs/>
          <w:sz w:val="18"/>
          <w:szCs w:val="20"/>
          <w:lang w:val="en-GB"/>
        </w:rPr>
      </w:pPr>
      <w:r w:rsidRPr="00653568">
        <w:rPr>
          <w:rFonts w:ascii="Arial" w:hAnsi="Arial"/>
          <w:b/>
          <w:bCs/>
          <w:sz w:val="18"/>
          <w:szCs w:val="20"/>
          <w:lang w:val="en-GB"/>
        </w:rPr>
        <w:t>Cross</w:t>
      </w:r>
      <w:r>
        <w:rPr>
          <w:rFonts w:ascii="Arial" w:hAnsi="Arial"/>
          <w:b/>
          <w:bCs/>
          <w:sz w:val="18"/>
          <w:szCs w:val="20"/>
          <w:lang w:val="en-GB"/>
        </w:rPr>
        <w:t xml:space="preserve"> </w:t>
      </w:r>
      <w:r w:rsidRPr="00653568">
        <w:rPr>
          <w:rFonts w:ascii="Arial" w:hAnsi="Arial"/>
          <w:b/>
          <w:bCs/>
          <w:sz w:val="18"/>
          <w:szCs w:val="20"/>
          <w:lang w:val="en-GB"/>
        </w:rPr>
        <w:t xml:space="preserve">border </w:t>
      </w:r>
      <w:r>
        <w:rPr>
          <w:rFonts w:ascii="Arial" w:hAnsi="Arial"/>
          <w:b/>
          <w:bCs/>
          <w:sz w:val="18"/>
          <w:szCs w:val="20"/>
          <w:lang w:val="en-GB"/>
        </w:rPr>
        <w:t>movements of goods</w:t>
      </w:r>
      <w:r w:rsidRPr="00653568">
        <w:rPr>
          <w:rFonts w:ascii="Arial" w:hAnsi="Arial"/>
          <w:b/>
          <w:bCs/>
          <w:sz w:val="18"/>
          <w:szCs w:val="20"/>
          <w:lang w:val="en-GB"/>
        </w:rPr>
        <w:t xml:space="preserve"> </w:t>
      </w:r>
      <w:r w:rsidRPr="00653568">
        <w:rPr>
          <w:rFonts w:ascii="Arial" w:hAnsi="Arial"/>
          <w:bCs/>
          <w:sz w:val="18"/>
          <w:szCs w:val="20"/>
          <w:lang w:val="en-GB"/>
        </w:rPr>
        <w:t>reflects only physical movements of goods across the border regardless of whether the trade between the Czech and foreign entities occurs. These data are internationally comparable and can be used as indicators of development of value of the trade</w:t>
      </w:r>
      <w:r>
        <w:rPr>
          <w:rFonts w:ascii="Arial" w:hAnsi="Arial"/>
          <w:bCs/>
          <w:sz w:val="18"/>
          <w:szCs w:val="20"/>
          <w:lang w:val="en-GB"/>
        </w:rPr>
        <w:t>.</w:t>
      </w:r>
    </w:p>
    <w:p w:rsidR="008F640C" w:rsidRPr="00653568" w:rsidRDefault="00336463" w:rsidP="008F640C">
      <w:pPr>
        <w:spacing w:after="120"/>
        <w:jc w:val="both"/>
        <w:rPr>
          <w:rFonts w:ascii="Arial" w:hAnsi="Arial"/>
          <w:sz w:val="18"/>
          <w:szCs w:val="20"/>
          <w:lang w:val="en-GB"/>
        </w:rPr>
      </w:pPr>
      <w:r w:rsidRPr="00653568">
        <w:rPr>
          <w:rFonts w:ascii="Arial" w:hAnsi="Arial"/>
          <w:sz w:val="18"/>
          <w:szCs w:val="20"/>
          <w:lang w:val="en-GB"/>
        </w:rPr>
        <w:t xml:space="preserve">The source of data on </w:t>
      </w:r>
      <w:r w:rsidR="00BE25CD">
        <w:rPr>
          <w:rFonts w:ascii="Arial" w:hAnsi="Arial"/>
          <w:sz w:val="18"/>
          <w:szCs w:val="20"/>
          <w:lang w:val="en-GB"/>
        </w:rPr>
        <w:t>cross border movements of goods</w:t>
      </w:r>
      <w:r w:rsidRPr="00653568">
        <w:rPr>
          <w:rFonts w:ascii="Arial" w:hAnsi="Arial"/>
          <w:sz w:val="18"/>
          <w:szCs w:val="20"/>
          <w:lang w:val="en-GB"/>
        </w:rPr>
        <w:t xml:space="preserve"> is information collected by customs authorities. Starting from processing of the January 2004 data, data collection and the first check are carried out by the </w:t>
      </w:r>
      <w:r w:rsidR="006A00FC" w:rsidRPr="00653568">
        <w:rPr>
          <w:rFonts w:ascii="Arial" w:hAnsi="Arial"/>
          <w:sz w:val="18"/>
          <w:szCs w:val="20"/>
          <w:lang w:val="en-GB"/>
        </w:rPr>
        <w:t>Customs Administration of the Czech Republic</w:t>
      </w:r>
      <w:r w:rsidRPr="00653568">
        <w:rPr>
          <w:rFonts w:ascii="Arial" w:hAnsi="Arial"/>
          <w:sz w:val="18"/>
          <w:szCs w:val="20"/>
          <w:lang w:val="en-GB"/>
        </w:rPr>
        <w:t>, whereas the Czech Statistical Office is in charge of further data processing, checks and publishing.</w:t>
      </w:r>
    </w:p>
    <w:p w:rsidR="00FE5AE7" w:rsidRPr="00653568" w:rsidRDefault="00FE5AE7" w:rsidP="00FE5AE7">
      <w:pPr>
        <w:spacing w:after="120"/>
        <w:jc w:val="both"/>
        <w:rPr>
          <w:rFonts w:ascii="Arial" w:hAnsi="Arial"/>
          <w:sz w:val="18"/>
          <w:szCs w:val="20"/>
          <w:lang w:val="en-GB"/>
        </w:rPr>
      </w:pPr>
      <w:r>
        <w:rPr>
          <w:rFonts w:ascii="Arial" w:hAnsi="Arial"/>
          <w:b/>
          <w:bCs/>
          <w:sz w:val="18"/>
          <w:szCs w:val="20"/>
          <w:lang w:val="en-GB"/>
        </w:rPr>
        <w:t>Statistics on cross border movements of goods</w:t>
      </w:r>
      <w:r w:rsidRPr="00653568">
        <w:rPr>
          <w:rFonts w:ascii="Arial" w:hAnsi="Arial"/>
          <w:b/>
          <w:bCs/>
          <w:sz w:val="18"/>
          <w:szCs w:val="20"/>
          <w:lang w:val="en-GB"/>
        </w:rPr>
        <w:t xml:space="preserve"> is made up of the sum of intra-Community trade (trade with the EU Member States) and trade with non-EU countries. </w:t>
      </w:r>
      <w:r w:rsidRPr="00653568">
        <w:rPr>
          <w:rFonts w:ascii="Arial" w:hAnsi="Arial"/>
          <w:sz w:val="18"/>
          <w:szCs w:val="20"/>
          <w:lang w:val="en-GB"/>
        </w:rPr>
        <w:t>Data on goods traded among EU Member States are supplied by reporting units to the customs office on the Intrastat forms, with information on</w:t>
      </w:r>
      <w:r w:rsidR="00FB79AF">
        <w:rPr>
          <w:rFonts w:ascii="Arial" w:hAnsi="Arial"/>
          <w:sz w:val="18"/>
          <w:szCs w:val="20"/>
          <w:lang w:val="en-GB"/>
        </w:rPr>
        <w:t xml:space="preserve"> dispatches of goods or </w:t>
      </w:r>
      <w:r w:rsidRPr="00653568">
        <w:rPr>
          <w:rFonts w:ascii="Arial" w:hAnsi="Arial"/>
          <w:sz w:val="18"/>
          <w:szCs w:val="20"/>
          <w:lang w:val="en-GB"/>
        </w:rPr>
        <w:t>arrivals of goods. Data on imported and exported goods in trade with non-EU countries are given in a Single Administrative Document. The Intrastat data processing includes mathematical and statistical imputations, which compensate for information lost due to non-response and introduction of statistical thresholds.</w:t>
      </w:r>
    </w:p>
    <w:p w:rsidR="00336463" w:rsidRPr="00653568" w:rsidRDefault="00336463" w:rsidP="00751E97">
      <w:pPr>
        <w:autoSpaceDE w:val="0"/>
        <w:autoSpaceDN w:val="0"/>
        <w:adjustRightInd w:val="0"/>
        <w:spacing w:after="120"/>
        <w:jc w:val="both"/>
        <w:rPr>
          <w:rFonts w:ascii="Arial" w:hAnsi="Arial"/>
          <w:sz w:val="18"/>
          <w:szCs w:val="20"/>
          <w:lang w:val="en-GB"/>
        </w:rPr>
      </w:pPr>
      <w:r w:rsidRPr="00653568">
        <w:rPr>
          <w:rFonts w:ascii="Arial" w:hAnsi="Arial"/>
          <w:sz w:val="18"/>
          <w:szCs w:val="20"/>
          <w:lang w:val="en-GB"/>
        </w:rPr>
        <w:t xml:space="preserve">In compliance with the binding regulations of the EU, the measurement of data on exports and imports is governed by Customs </w:t>
      </w:r>
      <w:r w:rsidR="00021D99" w:rsidRPr="00653568">
        <w:rPr>
          <w:rFonts w:ascii="Arial" w:hAnsi="Arial"/>
          <w:sz w:val="18"/>
          <w:szCs w:val="20"/>
          <w:lang w:val="en-GB"/>
        </w:rPr>
        <w:t>law</w:t>
      </w:r>
      <w:r w:rsidRPr="00653568">
        <w:rPr>
          <w:rFonts w:ascii="Arial" w:hAnsi="Arial"/>
          <w:sz w:val="18"/>
          <w:szCs w:val="20"/>
          <w:lang w:val="en-GB"/>
        </w:rPr>
        <w:t xml:space="preserve"> No </w:t>
      </w:r>
      <w:r w:rsidR="00021D99" w:rsidRPr="00653568">
        <w:rPr>
          <w:rFonts w:ascii="Arial" w:hAnsi="Arial"/>
          <w:sz w:val="18"/>
          <w:szCs w:val="20"/>
          <w:lang w:val="en-GB"/>
        </w:rPr>
        <w:t>242</w:t>
      </w:r>
      <w:r w:rsidRPr="00653568">
        <w:rPr>
          <w:rFonts w:ascii="Arial" w:hAnsi="Arial"/>
          <w:sz w:val="18"/>
          <w:szCs w:val="20"/>
          <w:lang w:val="en-GB"/>
        </w:rPr>
        <w:t>/</w:t>
      </w:r>
      <w:r w:rsidR="00021D99" w:rsidRPr="00653568">
        <w:rPr>
          <w:rFonts w:ascii="Arial" w:hAnsi="Arial"/>
          <w:sz w:val="18"/>
          <w:szCs w:val="20"/>
          <w:lang w:val="en-GB"/>
        </w:rPr>
        <w:t>2016</w:t>
      </w:r>
      <w:r w:rsidRPr="00653568">
        <w:rPr>
          <w:rFonts w:ascii="Arial" w:hAnsi="Arial"/>
          <w:sz w:val="18"/>
          <w:szCs w:val="20"/>
          <w:lang w:val="en-GB"/>
        </w:rPr>
        <w:t xml:space="preserve"> Coll., </w:t>
      </w:r>
      <w:r w:rsidR="00A32EBC" w:rsidRPr="00653568">
        <w:rPr>
          <w:rFonts w:ascii="Arial" w:hAnsi="Arial"/>
          <w:sz w:val="18"/>
          <w:szCs w:val="20"/>
          <w:lang w:val="en-GB"/>
        </w:rPr>
        <w:t>as amended</w:t>
      </w:r>
      <w:r w:rsidR="00021D99" w:rsidRPr="00653568">
        <w:rPr>
          <w:rFonts w:ascii="Arial" w:hAnsi="Arial"/>
          <w:sz w:val="18"/>
          <w:szCs w:val="20"/>
          <w:lang w:val="en-GB"/>
        </w:rPr>
        <w:t>.</w:t>
      </w:r>
      <w:r w:rsidRPr="00653568">
        <w:rPr>
          <w:rFonts w:ascii="Arial" w:hAnsi="Arial"/>
          <w:sz w:val="18"/>
          <w:szCs w:val="20"/>
          <w:lang w:val="en-GB"/>
        </w:rPr>
        <w:t xml:space="preserve"> </w:t>
      </w:r>
      <w:r w:rsidR="00FE5AE7" w:rsidRPr="003F1F87">
        <w:rPr>
          <w:rFonts w:ascii="Arial" w:hAnsi="Arial"/>
          <w:sz w:val="18"/>
          <w:szCs w:val="20"/>
          <w:lang w:val="en-GB"/>
        </w:rPr>
        <w:t>Intrastat is governed by Government regulation No 244/2016 Coll., implementing several provisions of Customs Act in the scope of statistics, as amended; and by Act No 235/2004 Coll., on Value Added Tax, as amended.</w:t>
      </w:r>
    </w:p>
    <w:p w:rsidR="00336463" w:rsidRPr="00653568" w:rsidRDefault="00336463" w:rsidP="00751E97">
      <w:pPr>
        <w:spacing w:after="120"/>
        <w:jc w:val="both"/>
        <w:rPr>
          <w:rFonts w:ascii="Arial" w:hAnsi="Arial"/>
          <w:sz w:val="18"/>
          <w:lang w:val="en-GB"/>
        </w:rPr>
      </w:pPr>
      <w:r w:rsidRPr="00653568">
        <w:rPr>
          <w:rFonts w:ascii="Arial" w:hAnsi="Arial"/>
          <w:sz w:val="18"/>
          <w:lang w:val="en-GB"/>
        </w:rPr>
        <w:t>Data on exports are compiled by country of destination and data on imports are compiled by country of origin.</w:t>
      </w:r>
    </w:p>
    <w:p w:rsidR="00653568" w:rsidRPr="00653568" w:rsidRDefault="00BE25CD" w:rsidP="00751E97">
      <w:pPr>
        <w:spacing w:after="120"/>
        <w:jc w:val="both"/>
        <w:rPr>
          <w:rFonts w:ascii="Arial" w:hAnsi="Arial"/>
          <w:sz w:val="18"/>
          <w:lang w:val="en-GB"/>
        </w:rPr>
      </w:pPr>
      <w:r w:rsidRPr="00BE25CD">
        <w:rPr>
          <w:rFonts w:ascii="Arial" w:hAnsi="Arial"/>
          <w:bCs/>
          <w:sz w:val="18"/>
          <w:szCs w:val="20"/>
          <w:lang w:val="en-GB"/>
        </w:rPr>
        <w:t>Statistics on cross border movements of goods is</w:t>
      </w:r>
      <w:r w:rsidR="00653568" w:rsidRPr="00BE25CD">
        <w:rPr>
          <w:rFonts w:ascii="Arial" w:hAnsi="Arial"/>
          <w:sz w:val="18"/>
          <w:lang w:val="en-GB"/>
        </w:rPr>
        <w:t xml:space="preserve"> published</w:t>
      </w:r>
      <w:r w:rsidR="00653568" w:rsidRPr="00653568">
        <w:rPr>
          <w:rFonts w:ascii="Arial" w:hAnsi="Arial"/>
          <w:sz w:val="18"/>
          <w:lang w:val="en-GB"/>
        </w:rPr>
        <w:t xml:space="preserve"> in FOB (Free O</w:t>
      </w:r>
      <w:r w:rsidR="00653568">
        <w:rPr>
          <w:rFonts w:ascii="Arial" w:hAnsi="Arial"/>
          <w:sz w:val="18"/>
          <w:lang w:val="en-GB"/>
        </w:rPr>
        <w:t>n</w:t>
      </w:r>
      <w:r w:rsidR="00653568" w:rsidRPr="00653568">
        <w:rPr>
          <w:rFonts w:ascii="Arial" w:hAnsi="Arial"/>
          <w:sz w:val="18"/>
          <w:lang w:val="en-GB"/>
        </w:rPr>
        <w:t xml:space="preserve"> Board) values for exports and CI</w:t>
      </w:r>
      <w:r w:rsidR="00653568">
        <w:rPr>
          <w:rFonts w:ascii="Arial" w:hAnsi="Arial"/>
          <w:sz w:val="18"/>
          <w:lang w:val="en-GB"/>
        </w:rPr>
        <w:t>F</w:t>
      </w:r>
      <w:r w:rsidR="00606D7E">
        <w:rPr>
          <w:rFonts w:ascii="Arial" w:hAnsi="Arial"/>
          <w:sz w:val="18"/>
          <w:lang w:val="en-GB"/>
        </w:rPr>
        <w:t xml:space="preserve"> (Cost, Insurance and </w:t>
      </w:r>
      <w:r w:rsidR="00653568" w:rsidRPr="00653568">
        <w:rPr>
          <w:rFonts w:ascii="Arial" w:hAnsi="Arial"/>
          <w:sz w:val="18"/>
          <w:lang w:val="en-GB"/>
        </w:rPr>
        <w:t xml:space="preserve">Freight) values for imports. </w:t>
      </w:r>
      <w:r w:rsidR="00653568" w:rsidRPr="00606D7E">
        <w:rPr>
          <w:rFonts w:ascii="Arial" w:hAnsi="Arial"/>
          <w:b/>
          <w:sz w:val="18"/>
          <w:lang w:val="en-GB"/>
        </w:rPr>
        <w:t>The FOB value of exports</w:t>
      </w:r>
      <w:r w:rsidR="00653568" w:rsidRPr="00653568">
        <w:rPr>
          <w:rFonts w:ascii="Arial" w:hAnsi="Arial"/>
          <w:sz w:val="18"/>
          <w:lang w:val="en-GB"/>
        </w:rPr>
        <w:t xml:space="preserve"> </w:t>
      </w:r>
      <w:r w:rsidR="00606D7E">
        <w:rPr>
          <w:rFonts w:ascii="Arial" w:hAnsi="Arial"/>
          <w:sz w:val="18"/>
          <w:lang w:val="en-GB"/>
        </w:rPr>
        <w:t>refers to the value of goods plus direct trading costs associated with transport to the country border of the CR (the statistical value) irresp</w:t>
      </w:r>
      <w:r w:rsidR="003F1F87">
        <w:rPr>
          <w:rFonts w:ascii="Arial" w:hAnsi="Arial"/>
          <w:sz w:val="18"/>
          <w:lang w:val="en-GB"/>
        </w:rPr>
        <w:t>ectively who is reimbursing the </w:t>
      </w:r>
      <w:r w:rsidR="00606D7E">
        <w:rPr>
          <w:rFonts w:ascii="Arial" w:hAnsi="Arial"/>
          <w:sz w:val="18"/>
          <w:lang w:val="en-GB"/>
        </w:rPr>
        <w:t xml:space="preserve">costs. </w:t>
      </w:r>
      <w:r w:rsidR="00606D7E" w:rsidRPr="00606D7E">
        <w:rPr>
          <w:rFonts w:ascii="Arial" w:hAnsi="Arial"/>
          <w:b/>
          <w:sz w:val="18"/>
          <w:lang w:val="en-GB"/>
        </w:rPr>
        <w:t>The CIF value of imports</w:t>
      </w:r>
      <w:r w:rsidR="00606D7E">
        <w:rPr>
          <w:rFonts w:ascii="Arial" w:hAnsi="Arial"/>
          <w:sz w:val="18"/>
          <w:lang w:val="en-GB"/>
        </w:rPr>
        <w:t xml:space="preserve"> refers to value of goods plus external direct trading costs associated with transport to the country border of the CR (the statistical value).</w:t>
      </w:r>
    </w:p>
    <w:p w:rsidR="00336463" w:rsidRDefault="00336463">
      <w:pPr>
        <w:jc w:val="both"/>
        <w:rPr>
          <w:rFonts w:ascii="Arial" w:hAnsi="Arial"/>
          <w:sz w:val="18"/>
          <w:lang w:val="en-GB"/>
        </w:rPr>
      </w:pPr>
    </w:p>
    <w:p w:rsidR="00BE25CD" w:rsidRDefault="00BE25CD">
      <w:pPr>
        <w:jc w:val="both"/>
        <w:rPr>
          <w:rFonts w:ascii="Arial" w:hAnsi="Arial"/>
          <w:sz w:val="18"/>
          <w:lang w:val="en-GB"/>
        </w:rPr>
      </w:pPr>
    </w:p>
    <w:p w:rsidR="00E11705" w:rsidRDefault="00E11705">
      <w:pPr>
        <w:jc w:val="both"/>
        <w:rPr>
          <w:rFonts w:ascii="Arial" w:hAnsi="Arial"/>
          <w:sz w:val="18"/>
          <w:lang w:val="en-GB"/>
        </w:rPr>
      </w:pPr>
    </w:p>
    <w:p w:rsidR="00BE25CD" w:rsidRDefault="00BE25CD">
      <w:pPr>
        <w:jc w:val="both"/>
        <w:rPr>
          <w:rFonts w:ascii="Arial" w:hAnsi="Arial"/>
          <w:sz w:val="18"/>
          <w:lang w:val="en-GB"/>
        </w:rPr>
      </w:pPr>
    </w:p>
    <w:p w:rsidR="00AA6055" w:rsidRDefault="00AA6055">
      <w:pPr>
        <w:jc w:val="both"/>
        <w:rPr>
          <w:rFonts w:ascii="Arial" w:hAnsi="Arial"/>
          <w:sz w:val="18"/>
          <w:lang w:val="en-GB"/>
        </w:rPr>
      </w:pPr>
    </w:p>
    <w:p w:rsidR="00AA6055" w:rsidRDefault="00AA6055">
      <w:pPr>
        <w:jc w:val="both"/>
        <w:rPr>
          <w:rFonts w:ascii="Arial" w:hAnsi="Arial"/>
          <w:sz w:val="18"/>
          <w:lang w:val="en-GB"/>
        </w:rPr>
      </w:pPr>
    </w:p>
    <w:p w:rsidR="00BE25CD" w:rsidRDefault="00BE25CD">
      <w:pPr>
        <w:jc w:val="both"/>
        <w:rPr>
          <w:rFonts w:ascii="Arial" w:hAnsi="Arial"/>
          <w:sz w:val="18"/>
          <w:lang w:val="en-GB"/>
        </w:rPr>
      </w:pPr>
    </w:p>
    <w:p w:rsidR="00E11705" w:rsidRDefault="00E11705">
      <w:pPr>
        <w:jc w:val="both"/>
        <w:rPr>
          <w:rFonts w:ascii="Arial" w:hAnsi="Arial"/>
          <w:sz w:val="18"/>
          <w:lang w:val="en-GB"/>
        </w:rPr>
      </w:pPr>
    </w:p>
    <w:p w:rsidR="00E11705" w:rsidRDefault="00E11705" w:rsidP="00BA6D3B">
      <w:pPr>
        <w:jc w:val="both"/>
        <w:rPr>
          <w:rFonts w:ascii="Arial" w:hAnsi="Arial"/>
          <w:b/>
          <w:bCs/>
          <w:sz w:val="18"/>
        </w:rPr>
      </w:pPr>
    </w:p>
    <w:p w:rsidR="00BA6D3B" w:rsidRDefault="00BA6D3B" w:rsidP="00BA6D3B">
      <w:pPr>
        <w:jc w:val="both"/>
        <w:rPr>
          <w:rFonts w:ascii="Arial" w:hAnsi="Arial"/>
          <w:b/>
          <w:bCs/>
          <w:sz w:val="18"/>
        </w:rPr>
      </w:pPr>
      <w:r>
        <w:rPr>
          <w:rFonts w:ascii="Arial" w:hAnsi="Arial"/>
          <w:b/>
          <w:bCs/>
          <w:sz w:val="18"/>
        </w:rPr>
        <w:t>_____________________</w:t>
      </w:r>
    </w:p>
    <w:p w:rsidR="0049311C" w:rsidRPr="00E11705" w:rsidRDefault="0049311C" w:rsidP="00AA6055">
      <w:pPr>
        <w:pStyle w:val="poznmky0"/>
        <w:spacing w:before="240" w:beforeAutospacing="0" w:after="120" w:afterAutospacing="0"/>
        <w:jc w:val="both"/>
        <w:rPr>
          <w:rStyle w:val="Zdraznn"/>
          <w:rFonts w:ascii="Arial" w:hAnsi="Arial" w:cs="Arial"/>
          <w:b/>
          <w:i w:val="0"/>
          <w:sz w:val="17"/>
          <w:szCs w:val="17"/>
          <w:lang w:val="en-GB"/>
        </w:rPr>
      </w:pPr>
      <w:r w:rsidRPr="00E11705">
        <w:rPr>
          <w:rStyle w:val="Zdraznn"/>
          <w:rFonts w:ascii="Arial" w:hAnsi="Arial" w:cs="Arial"/>
          <w:i w:val="0"/>
          <w:sz w:val="17"/>
          <w:szCs w:val="17"/>
          <w:lang w:val="en-GB"/>
        </w:rPr>
        <w:t>Since 2020, the Czech Statistical Office</w:t>
      </w:r>
      <w:r w:rsidR="00E60C37">
        <w:rPr>
          <w:rStyle w:val="Zdraznn"/>
          <w:rFonts w:ascii="Arial" w:hAnsi="Arial" w:cs="Arial"/>
          <w:i w:val="0"/>
          <w:sz w:val="17"/>
          <w:szCs w:val="17"/>
          <w:lang w:val="en-GB"/>
        </w:rPr>
        <w:t xml:space="preserve"> </w:t>
      </w:r>
      <w:r w:rsidRPr="00E11705">
        <w:rPr>
          <w:rStyle w:val="Zdraznn"/>
          <w:rFonts w:ascii="Arial" w:hAnsi="Arial" w:cs="Arial"/>
          <w:i w:val="0"/>
          <w:sz w:val="17"/>
          <w:szCs w:val="17"/>
          <w:lang w:val="en-GB"/>
        </w:rPr>
        <w:t>has changed the terminology and the manner in which data is presented. The external trade is now referred to as international trade. The data based on the change of ownership between residents and non-residents (former</w:t>
      </w:r>
      <w:r w:rsidR="00CD5249">
        <w:rPr>
          <w:rStyle w:val="Zdraznn"/>
          <w:rFonts w:ascii="Arial" w:hAnsi="Arial" w:cs="Arial"/>
          <w:i w:val="0"/>
          <w:sz w:val="17"/>
          <w:szCs w:val="17"/>
          <w:lang w:val="en-GB"/>
        </w:rPr>
        <w:t xml:space="preserve">ly </w:t>
      </w:r>
      <w:r w:rsidRPr="00E11705">
        <w:rPr>
          <w:rStyle w:val="Zdraznn"/>
          <w:rFonts w:ascii="Arial" w:hAnsi="Arial" w:cs="Arial"/>
          <w:i w:val="0"/>
          <w:sz w:val="17"/>
          <w:szCs w:val="17"/>
          <w:lang w:val="en-GB"/>
        </w:rPr>
        <w:t xml:space="preserve">called the </w:t>
      </w:r>
      <w:r w:rsidRPr="00E11705">
        <w:rPr>
          <w:rFonts w:ascii="Arial" w:hAnsi="Arial" w:cs="Arial"/>
          <w:i/>
          <w:sz w:val="17"/>
          <w:szCs w:val="17"/>
          <w:lang w:val="en-US"/>
        </w:rPr>
        <w:t>'</w:t>
      </w:r>
      <w:r w:rsidRPr="00E11705">
        <w:rPr>
          <w:rStyle w:val="Zdraznn"/>
          <w:rFonts w:ascii="Arial" w:hAnsi="Arial" w:cs="Arial"/>
          <w:i w:val="0"/>
          <w:sz w:val="17"/>
          <w:szCs w:val="17"/>
          <w:lang w:val="en-GB"/>
        </w:rPr>
        <w:t>national concept of external trade</w:t>
      </w:r>
      <w:r w:rsidRPr="00E11705">
        <w:rPr>
          <w:rFonts w:ascii="Arial" w:hAnsi="Arial" w:cs="Arial"/>
          <w:i/>
          <w:sz w:val="17"/>
          <w:szCs w:val="17"/>
          <w:lang w:val="en-US"/>
        </w:rPr>
        <w:t>')</w:t>
      </w:r>
      <w:r w:rsidRPr="00E11705">
        <w:rPr>
          <w:rStyle w:val="Zdraznn"/>
          <w:rFonts w:ascii="Arial" w:hAnsi="Arial" w:cs="Arial"/>
          <w:i w:val="0"/>
          <w:sz w:val="17"/>
          <w:szCs w:val="17"/>
          <w:lang w:val="en-GB"/>
        </w:rPr>
        <w:t>,</w:t>
      </w:r>
      <w:r w:rsidR="00CD5249">
        <w:rPr>
          <w:rStyle w:val="Zdraznn"/>
          <w:rFonts w:ascii="Arial" w:hAnsi="Arial" w:cs="Arial"/>
          <w:i w:val="0"/>
          <w:sz w:val="17"/>
          <w:szCs w:val="17"/>
          <w:lang w:val="en-GB"/>
        </w:rPr>
        <w:t xml:space="preserve"> is</w:t>
      </w:r>
      <w:r w:rsidRPr="00E11705">
        <w:rPr>
          <w:rStyle w:val="Zdraznn"/>
          <w:rFonts w:ascii="Arial" w:hAnsi="Arial" w:cs="Arial"/>
          <w:i w:val="0"/>
          <w:sz w:val="17"/>
          <w:szCs w:val="17"/>
          <w:lang w:val="en-GB"/>
        </w:rPr>
        <w:t xml:space="preserve"> now referred to as </w:t>
      </w:r>
      <w:r w:rsidRPr="00E11705">
        <w:rPr>
          <w:rFonts w:ascii="Arial" w:hAnsi="Arial" w:cs="Arial"/>
          <w:i/>
          <w:sz w:val="17"/>
          <w:szCs w:val="17"/>
          <w:lang w:val="en-US"/>
        </w:rPr>
        <w:t>'</w:t>
      </w:r>
      <w:r w:rsidRPr="00E11705">
        <w:rPr>
          <w:rStyle w:val="Zdraznn"/>
          <w:rFonts w:ascii="Arial" w:hAnsi="Arial" w:cs="Arial"/>
          <w:i w:val="0"/>
          <w:sz w:val="17"/>
          <w:szCs w:val="17"/>
          <w:lang w:val="en-GB"/>
        </w:rPr>
        <w:t>international trade in goods (change of ownership)</w:t>
      </w:r>
      <w:r w:rsidRPr="00E11705">
        <w:rPr>
          <w:rFonts w:ascii="Arial" w:hAnsi="Arial" w:cs="Arial"/>
          <w:i/>
          <w:sz w:val="17"/>
          <w:szCs w:val="17"/>
          <w:lang w:val="en-US"/>
        </w:rPr>
        <w:t>'</w:t>
      </w:r>
      <w:r w:rsidRPr="00E11705">
        <w:rPr>
          <w:rStyle w:val="Zdraznn"/>
          <w:rFonts w:ascii="Arial" w:hAnsi="Arial" w:cs="Arial"/>
          <w:i w:val="0"/>
          <w:sz w:val="17"/>
          <w:szCs w:val="17"/>
          <w:lang w:val="en-GB"/>
        </w:rPr>
        <w:t xml:space="preserve">. </w:t>
      </w:r>
      <w:r w:rsidRPr="00E11705">
        <w:rPr>
          <w:rStyle w:val="Zdraznn"/>
          <w:rFonts w:ascii="Arial" w:hAnsi="Arial" w:cs="Arial"/>
          <w:b/>
          <w:i w:val="0"/>
          <w:sz w:val="17"/>
          <w:szCs w:val="17"/>
          <w:lang w:val="en-GB"/>
        </w:rPr>
        <w:t xml:space="preserve">The </w:t>
      </w:r>
      <w:r w:rsidRPr="00E11705">
        <w:rPr>
          <w:rFonts w:ascii="Arial" w:hAnsi="Arial" w:cs="Arial"/>
          <w:b/>
          <w:i/>
          <w:sz w:val="17"/>
          <w:szCs w:val="17"/>
          <w:lang w:val="en-US"/>
        </w:rPr>
        <w:t>'</w:t>
      </w:r>
      <w:r w:rsidRPr="00E11705">
        <w:rPr>
          <w:rStyle w:val="Zdraznn"/>
          <w:rFonts w:ascii="Arial" w:hAnsi="Arial" w:cs="Arial"/>
          <w:b/>
          <w:i w:val="0"/>
          <w:sz w:val="17"/>
          <w:szCs w:val="17"/>
          <w:lang w:val="en-GB"/>
        </w:rPr>
        <w:t>cross-border concept of external trade</w:t>
      </w:r>
      <w:r w:rsidRPr="00E11705">
        <w:rPr>
          <w:rFonts w:ascii="Arial" w:hAnsi="Arial" w:cs="Arial"/>
          <w:b/>
          <w:i/>
          <w:sz w:val="17"/>
          <w:szCs w:val="17"/>
          <w:lang w:val="en-US"/>
        </w:rPr>
        <w:t>'</w:t>
      </w:r>
      <w:r w:rsidRPr="00E11705">
        <w:rPr>
          <w:rStyle w:val="Zdraznn"/>
          <w:rFonts w:ascii="Arial" w:hAnsi="Arial" w:cs="Arial"/>
          <w:b/>
          <w:i w:val="0"/>
          <w:sz w:val="17"/>
          <w:szCs w:val="17"/>
          <w:lang w:val="en-GB"/>
        </w:rPr>
        <w:t xml:space="preserve"> </w:t>
      </w:r>
      <w:r w:rsidR="00CD5249">
        <w:rPr>
          <w:rStyle w:val="Zdraznn"/>
          <w:rFonts w:ascii="Arial" w:hAnsi="Arial" w:cs="Arial"/>
          <w:b/>
          <w:i w:val="0"/>
          <w:sz w:val="17"/>
          <w:szCs w:val="17"/>
          <w:lang w:val="en-GB"/>
        </w:rPr>
        <w:t>is now</w:t>
      </w:r>
      <w:r w:rsidRPr="00E11705">
        <w:rPr>
          <w:rStyle w:val="Zdraznn"/>
          <w:rFonts w:ascii="Arial" w:hAnsi="Arial" w:cs="Arial"/>
          <w:b/>
          <w:i w:val="0"/>
          <w:sz w:val="17"/>
          <w:szCs w:val="17"/>
          <w:lang w:val="en-GB"/>
        </w:rPr>
        <w:t xml:space="preserve"> referred to </w:t>
      </w:r>
      <w:r w:rsidR="00CD5249">
        <w:rPr>
          <w:rStyle w:val="Zdraznn"/>
          <w:rFonts w:ascii="Arial" w:hAnsi="Arial" w:cs="Arial"/>
          <w:b/>
          <w:i w:val="0"/>
          <w:sz w:val="17"/>
          <w:szCs w:val="17"/>
          <w:lang w:val="en-GB"/>
        </w:rPr>
        <w:t xml:space="preserve">as </w:t>
      </w:r>
      <w:r w:rsidR="00420000">
        <w:rPr>
          <w:rStyle w:val="Zdraznn"/>
          <w:rFonts w:ascii="Arial" w:hAnsi="Arial" w:cs="Arial"/>
          <w:b/>
          <w:i w:val="0"/>
          <w:sz w:val="17"/>
          <w:szCs w:val="17"/>
          <w:lang w:val="en-GB"/>
        </w:rPr>
        <w:t>c</w:t>
      </w:r>
      <w:r w:rsidRPr="00E11705">
        <w:rPr>
          <w:rStyle w:val="Zdraznn"/>
          <w:rFonts w:ascii="Arial" w:hAnsi="Arial" w:cs="Arial"/>
          <w:b/>
          <w:i w:val="0"/>
          <w:sz w:val="17"/>
          <w:szCs w:val="17"/>
          <w:lang w:val="en-GB"/>
        </w:rPr>
        <w:t>ross-border movements of goods.</w:t>
      </w:r>
    </w:p>
    <w:p w:rsidR="0049311C" w:rsidRPr="00746B85" w:rsidRDefault="0049311C" w:rsidP="00E11705">
      <w:pPr>
        <w:spacing w:after="120"/>
        <w:jc w:val="both"/>
        <w:rPr>
          <w:rStyle w:val="Hypertextovodkaz"/>
          <w:rFonts w:ascii="Arial" w:hAnsi="Arial" w:cs="Arial"/>
          <w:i/>
          <w:iCs/>
          <w:sz w:val="17"/>
          <w:szCs w:val="17"/>
          <w:lang w:val="en-GB"/>
        </w:rPr>
      </w:pPr>
      <w:r w:rsidRPr="00746B85">
        <w:rPr>
          <w:rStyle w:val="Zdraznn"/>
          <w:rFonts w:ascii="Arial" w:hAnsi="Arial" w:cs="Arial"/>
          <w:i w:val="0"/>
          <w:sz w:val="17"/>
          <w:szCs w:val="17"/>
          <w:lang w:val="en-GB"/>
        </w:rPr>
        <w:t xml:space="preserve">Further information:  </w:t>
      </w:r>
      <w:hyperlink r:id="rId7" w:history="1">
        <w:r w:rsidRPr="00746B85">
          <w:rPr>
            <w:rStyle w:val="Hypertextovodkaz"/>
            <w:rFonts w:ascii="Arial" w:hAnsi="Arial" w:cs="Arial"/>
            <w:i/>
            <w:iCs/>
            <w:sz w:val="17"/>
            <w:szCs w:val="17"/>
            <w:lang w:val="en-GB"/>
          </w:rPr>
          <w:t>https://www.czso.cz/csu/czso/changes-in-international-trade-statistics</w:t>
        </w:r>
      </w:hyperlink>
      <w:r w:rsidRPr="00746B85">
        <w:rPr>
          <w:rStyle w:val="Hypertextovodkaz"/>
          <w:rFonts w:ascii="Arial" w:hAnsi="Arial" w:cs="Arial"/>
          <w:i/>
          <w:iCs/>
          <w:sz w:val="17"/>
          <w:szCs w:val="17"/>
          <w:lang w:val="en-GB"/>
        </w:rPr>
        <w:t>.</w:t>
      </w:r>
    </w:p>
    <w:p w:rsidR="0049311C" w:rsidRPr="00E11705" w:rsidRDefault="0049311C" w:rsidP="00E11705">
      <w:pPr>
        <w:jc w:val="both"/>
        <w:rPr>
          <w:rFonts w:ascii="Arial" w:hAnsi="Arial" w:cs="Arial"/>
          <w:sz w:val="17"/>
          <w:szCs w:val="17"/>
        </w:rPr>
      </w:pPr>
      <w:r w:rsidRPr="00E11705">
        <w:rPr>
          <w:rFonts w:ascii="Arial" w:hAnsi="Arial" w:cs="Arial"/>
          <w:b/>
          <w:bCs/>
          <w:iCs/>
          <w:sz w:val="17"/>
          <w:szCs w:val="17"/>
          <w:lang w:val="en-GB"/>
        </w:rPr>
        <w:t>Starting from the publishing data for February 2020 (on 6 April 2020), the method of updating data for the international trade in goods (change of ownership)</w:t>
      </w:r>
      <w:r w:rsidR="00C30877">
        <w:rPr>
          <w:rFonts w:ascii="Arial" w:hAnsi="Arial" w:cs="Arial"/>
          <w:b/>
          <w:bCs/>
          <w:iCs/>
          <w:sz w:val="17"/>
          <w:szCs w:val="17"/>
          <w:lang w:val="en-GB"/>
        </w:rPr>
        <w:t xml:space="preserve"> as well as for the cross-border movements of goods</w:t>
      </w:r>
      <w:r w:rsidRPr="00E11705">
        <w:rPr>
          <w:rFonts w:ascii="Arial" w:hAnsi="Arial" w:cs="Arial"/>
          <w:b/>
          <w:bCs/>
          <w:iCs/>
          <w:sz w:val="17"/>
          <w:szCs w:val="17"/>
          <w:lang w:val="en-GB"/>
        </w:rPr>
        <w:t xml:space="preserve"> </w:t>
      </w:r>
      <w:r w:rsidR="00A1696C">
        <w:rPr>
          <w:rFonts w:ascii="Arial" w:hAnsi="Arial" w:cs="Arial"/>
          <w:b/>
          <w:bCs/>
          <w:iCs/>
          <w:sz w:val="17"/>
          <w:szCs w:val="17"/>
          <w:lang w:val="en-GB"/>
        </w:rPr>
        <w:t>has</w:t>
      </w:r>
      <w:r w:rsidRPr="00E11705">
        <w:rPr>
          <w:rFonts w:ascii="Arial" w:hAnsi="Arial" w:cs="Arial"/>
          <w:b/>
          <w:bCs/>
          <w:iCs/>
          <w:sz w:val="17"/>
          <w:szCs w:val="17"/>
          <w:lang w:val="en-GB"/>
        </w:rPr>
        <w:t xml:space="preserve"> be</w:t>
      </w:r>
      <w:r w:rsidR="00A1696C">
        <w:rPr>
          <w:rFonts w:ascii="Arial" w:hAnsi="Arial" w:cs="Arial"/>
          <w:b/>
          <w:bCs/>
          <w:iCs/>
          <w:sz w:val="17"/>
          <w:szCs w:val="17"/>
          <w:lang w:val="en-GB"/>
        </w:rPr>
        <w:t>en</w:t>
      </w:r>
      <w:r w:rsidRPr="00E11705">
        <w:rPr>
          <w:rFonts w:ascii="Arial" w:hAnsi="Arial" w:cs="Arial"/>
          <w:b/>
          <w:bCs/>
          <w:iCs/>
          <w:sz w:val="17"/>
          <w:szCs w:val="17"/>
          <w:lang w:val="en-GB"/>
        </w:rPr>
        <w:t xml:space="preserve"> changed.</w:t>
      </w:r>
      <w:r w:rsidRPr="00E11705">
        <w:rPr>
          <w:rFonts w:ascii="Arial" w:hAnsi="Arial" w:cs="Arial"/>
          <w:iCs/>
          <w:sz w:val="17"/>
          <w:szCs w:val="17"/>
          <w:lang w:val="en-GB"/>
        </w:rPr>
        <w:t xml:space="preserve"> When data for the reference month is published, six previous months </w:t>
      </w:r>
      <w:r w:rsidR="00A1696C">
        <w:rPr>
          <w:rFonts w:ascii="Arial" w:hAnsi="Arial" w:cs="Arial"/>
          <w:iCs/>
          <w:sz w:val="17"/>
          <w:szCs w:val="17"/>
          <w:lang w:val="en-GB"/>
        </w:rPr>
        <w:t>are</w:t>
      </w:r>
      <w:r w:rsidRPr="00E11705">
        <w:rPr>
          <w:rFonts w:ascii="Arial" w:hAnsi="Arial" w:cs="Arial"/>
          <w:iCs/>
          <w:sz w:val="17"/>
          <w:szCs w:val="17"/>
          <w:lang w:val="en-GB"/>
        </w:rPr>
        <w:t xml:space="preserve"> updated. All months with preliminary data </w:t>
      </w:r>
      <w:r w:rsidR="00A1696C">
        <w:rPr>
          <w:rFonts w:ascii="Arial" w:hAnsi="Arial" w:cs="Arial"/>
          <w:iCs/>
          <w:sz w:val="17"/>
          <w:szCs w:val="17"/>
          <w:lang w:val="en-GB"/>
        </w:rPr>
        <w:t>are</w:t>
      </w:r>
      <w:r w:rsidRPr="00E11705">
        <w:rPr>
          <w:rFonts w:ascii="Arial" w:hAnsi="Arial" w:cs="Arial"/>
          <w:iCs/>
          <w:sz w:val="17"/>
          <w:szCs w:val="17"/>
          <w:lang w:val="en-GB"/>
        </w:rPr>
        <w:t xml:space="preserve"> updated when data for January, March and July is published. Final data shall be published always in September of the following year.</w:t>
      </w:r>
    </w:p>
    <w:p w:rsidR="00336463" w:rsidRPr="00743EFD" w:rsidRDefault="00336463">
      <w:pPr>
        <w:jc w:val="both"/>
        <w:rPr>
          <w:rFonts w:ascii="Arial" w:hAnsi="Arial"/>
          <w:b/>
          <w:bCs/>
          <w:sz w:val="18"/>
          <w:lang w:val="en-GB"/>
        </w:rPr>
      </w:pPr>
      <w:r w:rsidRPr="00743EFD">
        <w:rPr>
          <w:rFonts w:ascii="Arial" w:hAnsi="Arial"/>
          <w:b/>
          <w:bCs/>
          <w:sz w:val="18"/>
          <w:lang w:val="en-GB"/>
        </w:rPr>
        <w:t>_______________________</w:t>
      </w:r>
    </w:p>
    <w:p w:rsidR="00336463" w:rsidRPr="00743EFD" w:rsidRDefault="00336463">
      <w:pPr>
        <w:jc w:val="both"/>
        <w:rPr>
          <w:rFonts w:ascii="Arial" w:hAnsi="Arial"/>
          <w:sz w:val="18"/>
          <w:lang w:val="en-GB"/>
        </w:rPr>
      </w:pPr>
    </w:p>
    <w:p w:rsidR="007F6C6D" w:rsidRDefault="00745F7A" w:rsidP="00751E97">
      <w:pPr>
        <w:spacing w:after="120"/>
        <w:jc w:val="both"/>
        <w:rPr>
          <w:rFonts w:ascii="Arial" w:hAnsi="Arial" w:cs="Arial"/>
          <w:sz w:val="17"/>
          <w:lang w:val="en-GB"/>
        </w:rPr>
      </w:pPr>
      <w:r w:rsidRPr="00FA0E0C">
        <w:rPr>
          <w:rFonts w:ascii="Arial" w:hAnsi="Arial" w:cs="Arial"/>
          <w:sz w:val="17"/>
          <w:lang w:val="en-GB"/>
        </w:rPr>
        <w:t xml:space="preserve">The data for individual months of </w:t>
      </w:r>
      <w:r w:rsidR="009D5867">
        <w:rPr>
          <w:rFonts w:ascii="Arial" w:hAnsi="Arial" w:cs="Arial"/>
          <w:sz w:val="17"/>
          <w:lang w:val="en-GB"/>
        </w:rPr>
        <w:t>201</w:t>
      </w:r>
      <w:r w:rsidR="00AA6055">
        <w:rPr>
          <w:rFonts w:ascii="Arial" w:hAnsi="Arial" w:cs="Arial"/>
          <w:sz w:val="17"/>
          <w:lang w:val="en-GB"/>
        </w:rPr>
        <w:t>9</w:t>
      </w:r>
      <w:r w:rsidR="009D5867">
        <w:rPr>
          <w:rFonts w:ascii="Arial" w:hAnsi="Arial" w:cs="Arial"/>
          <w:sz w:val="17"/>
          <w:lang w:val="en-GB"/>
        </w:rPr>
        <w:t xml:space="preserve"> </w:t>
      </w:r>
      <w:r w:rsidR="00606D7E">
        <w:rPr>
          <w:rFonts w:ascii="Arial" w:hAnsi="Arial" w:cs="Arial"/>
          <w:sz w:val="17"/>
          <w:lang w:val="en-GB"/>
        </w:rPr>
        <w:t>are final. The data for individual months of</w:t>
      </w:r>
      <w:r w:rsidR="001F226A">
        <w:rPr>
          <w:rFonts w:ascii="Arial" w:hAnsi="Arial" w:cs="Arial"/>
          <w:sz w:val="17"/>
          <w:lang w:val="en-GB"/>
        </w:rPr>
        <w:t xml:space="preserve"> </w:t>
      </w:r>
      <w:r w:rsidR="00E11705">
        <w:rPr>
          <w:rFonts w:ascii="Arial" w:hAnsi="Arial" w:cs="Arial"/>
          <w:sz w:val="17"/>
          <w:lang w:val="en-GB"/>
        </w:rPr>
        <w:t xml:space="preserve">2020 </w:t>
      </w:r>
      <w:r w:rsidRPr="00FA0E0C">
        <w:rPr>
          <w:rFonts w:ascii="Arial" w:hAnsi="Arial" w:cs="Arial"/>
          <w:sz w:val="17"/>
          <w:lang w:val="en-GB"/>
        </w:rPr>
        <w:t xml:space="preserve">are </w:t>
      </w:r>
      <w:r w:rsidR="001B6110" w:rsidRPr="00FA0E0C">
        <w:rPr>
          <w:rFonts w:ascii="Arial" w:hAnsi="Arial" w:cs="Arial"/>
          <w:sz w:val="17"/>
          <w:lang w:val="en-GB"/>
        </w:rPr>
        <w:t>preliminary</w:t>
      </w:r>
      <w:r w:rsidRPr="00FA0E0C">
        <w:rPr>
          <w:rFonts w:ascii="Arial" w:hAnsi="Arial" w:cs="Arial"/>
          <w:sz w:val="17"/>
          <w:lang w:val="en-GB"/>
        </w:rPr>
        <w:t>.</w:t>
      </w:r>
      <w:r w:rsidR="007F6C6D" w:rsidRPr="00FA0E0C">
        <w:rPr>
          <w:rFonts w:ascii="Arial" w:hAnsi="Arial" w:cs="Arial"/>
          <w:sz w:val="17"/>
          <w:lang w:val="en-GB"/>
        </w:rPr>
        <w:t xml:space="preserve"> </w:t>
      </w:r>
    </w:p>
    <w:p w:rsidR="00336463" w:rsidRDefault="00336463" w:rsidP="00641680">
      <w:pPr>
        <w:jc w:val="both"/>
        <w:rPr>
          <w:rFonts w:ascii="Arial" w:hAnsi="Arial" w:cs="Arial"/>
          <w:sz w:val="17"/>
          <w:lang w:val="en-GB"/>
        </w:rPr>
      </w:pPr>
      <w:r w:rsidRPr="00743EFD">
        <w:rPr>
          <w:rFonts w:ascii="Arial" w:hAnsi="Arial" w:cs="Arial"/>
          <w:sz w:val="17"/>
          <w:lang w:val="en-GB"/>
        </w:rPr>
        <w:t>Casual differences on the last digit position arise from rounding off the absolute number.</w:t>
      </w:r>
    </w:p>
    <w:p w:rsidR="00641680" w:rsidRPr="00743EFD" w:rsidRDefault="00641680" w:rsidP="00641680">
      <w:pPr>
        <w:jc w:val="both"/>
        <w:rPr>
          <w:rFonts w:ascii="Arial" w:hAnsi="Arial"/>
          <w:b/>
          <w:bCs/>
          <w:sz w:val="18"/>
          <w:lang w:val="en-GB"/>
        </w:rPr>
      </w:pPr>
      <w:r w:rsidRPr="00743EFD">
        <w:rPr>
          <w:rFonts w:ascii="Arial" w:hAnsi="Arial"/>
          <w:b/>
          <w:bCs/>
          <w:sz w:val="18"/>
          <w:lang w:val="en-GB"/>
        </w:rPr>
        <w:t>_______________________</w:t>
      </w:r>
    </w:p>
    <w:p w:rsidR="00641680" w:rsidRDefault="00641680" w:rsidP="00751E97">
      <w:pPr>
        <w:spacing w:after="120"/>
        <w:jc w:val="both"/>
        <w:rPr>
          <w:rFonts w:ascii="Arial" w:hAnsi="Arial" w:cs="Arial"/>
          <w:sz w:val="17"/>
          <w:lang w:val="en-GB"/>
        </w:rPr>
      </w:pPr>
    </w:p>
    <w:p w:rsidR="00CC01BD" w:rsidRPr="00743EFD" w:rsidRDefault="00CC01BD" w:rsidP="00CC01BD">
      <w:pPr>
        <w:jc w:val="both"/>
        <w:rPr>
          <w:rFonts w:ascii="Arial" w:hAnsi="Arial" w:cs="Arial"/>
          <w:sz w:val="17"/>
          <w:lang w:val="en-GB"/>
        </w:rPr>
      </w:pPr>
      <w:r w:rsidRPr="00743EFD">
        <w:rPr>
          <w:rFonts w:ascii="Arial" w:hAnsi="Arial" w:cs="Arial"/>
          <w:sz w:val="17"/>
          <w:lang w:val="en-GB"/>
        </w:rPr>
        <w:t>EU</w:t>
      </w:r>
      <w:r w:rsidR="00641649" w:rsidRPr="00743EFD">
        <w:rPr>
          <w:rFonts w:ascii="Arial" w:hAnsi="Arial" w:cs="Arial"/>
          <w:sz w:val="17"/>
          <w:lang w:val="en-GB"/>
        </w:rPr>
        <w:t>2</w:t>
      </w:r>
      <w:r w:rsidR="00AE3418">
        <w:rPr>
          <w:rFonts w:ascii="Arial" w:hAnsi="Arial" w:cs="Arial"/>
          <w:sz w:val="17"/>
          <w:lang w:val="en-GB"/>
        </w:rPr>
        <w:t>7_2020</w:t>
      </w:r>
      <w:r w:rsidR="00641649" w:rsidRPr="00743EFD">
        <w:rPr>
          <w:rFonts w:ascii="Arial" w:hAnsi="Arial" w:cs="Arial"/>
          <w:sz w:val="17"/>
          <w:lang w:val="en-GB"/>
        </w:rPr>
        <w:t xml:space="preserve"> (European Union) - member states of the </w:t>
      </w:r>
      <w:r w:rsidRPr="00743EFD">
        <w:rPr>
          <w:rFonts w:ascii="Arial" w:hAnsi="Arial" w:cs="Arial"/>
          <w:sz w:val="17"/>
          <w:lang w:val="en-GB"/>
        </w:rPr>
        <w:t>European Union</w:t>
      </w:r>
      <w:r w:rsidR="00641649" w:rsidRPr="00743EFD">
        <w:rPr>
          <w:rFonts w:ascii="Arial" w:hAnsi="Arial" w:cs="Arial"/>
          <w:sz w:val="17"/>
          <w:lang w:val="en-GB"/>
        </w:rPr>
        <w:t xml:space="preserve"> from 1 </w:t>
      </w:r>
      <w:r w:rsidR="00AE3418">
        <w:rPr>
          <w:rFonts w:ascii="Arial" w:hAnsi="Arial" w:cs="Arial"/>
          <w:sz w:val="17"/>
          <w:lang w:val="en-GB"/>
        </w:rPr>
        <w:t>February</w:t>
      </w:r>
      <w:r w:rsidR="00641649" w:rsidRPr="00743EFD">
        <w:rPr>
          <w:rFonts w:ascii="Arial" w:hAnsi="Arial" w:cs="Arial"/>
          <w:sz w:val="17"/>
          <w:lang w:val="en-GB"/>
        </w:rPr>
        <w:t xml:space="preserve"> 20</w:t>
      </w:r>
      <w:r w:rsidR="00AE3418">
        <w:rPr>
          <w:rFonts w:ascii="Arial" w:hAnsi="Arial" w:cs="Arial"/>
          <w:sz w:val="17"/>
          <w:lang w:val="en-GB"/>
        </w:rPr>
        <w:t>20</w:t>
      </w:r>
      <w:r w:rsidRPr="00743EFD">
        <w:rPr>
          <w:rFonts w:ascii="Arial" w:hAnsi="Arial" w:cs="Arial"/>
          <w:sz w:val="17"/>
          <w:lang w:val="en-GB"/>
        </w:rPr>
        <w:t xml:space="preserve">: </w:t>
      </w:r>
    </w:p>
    <w:p w:rsidR="00CC01BD" w:rsidRDefault="00CC01BD" w:rsidP="00751E97">
      <w:pPr>
        <w:spacing w:after="120"/>
        <w:jc w:val="both"/>
        <w:rPr>
          <w:rFonts w:ascii="Arial" w:hAnsi="Arial" w:cs="Arial"/>
          <w:sz w:val="17"/>
          <w:lang w:val="en-GB"/>
        </w:rPr>
      </w:pPr>
      <w:r w:rsidRPr="00743EFD">
        <w:rPr>
          <w:rFonts w:ascii="Arial" w:hAnsi="Arial" w:cs="Arial"/>
          <w:sz w:val="17"/>
          <w:lang w:val="en-GB"/>
        </w:rPr>
        <w:t xml:space="preserve">Austria, Belgium, Bulgaria, </w:t>
      </w:r>
      <w:r w:rsidR="00641649" w:rsidRPr="00743EFD">
        <w:rPr>
          <w:rFonts w:ascii="Arial" w:hAnsi="Arial" w:cs="Arial"/>
          <w:sz w:val="17"/>
          <w:lang w:val="en-GB"/>
        </w:rPr>
        <w:t xml:space="preserve">Croatia, </w:t>
      </w:r>
      <w:r w:rsidRPr="00743EFD">
        <w:rPr>
          <w:rFonts w:ascii="Arial" w:hAnsi="Arial" w:cs="Arial"/>
          <w:sz w:val="17"/>
          <w:lang w:val="en-GB"/>
        </w:rPr>
        <w:t xml:space="preserve">Cyprus, Czech Republic, Denmark, Estonia, Finland, France, Germany, Greece, Hungary, Ireland, Italy, Latvia, Lithuania, Luxembourg, Malta, Netherlands, Poland, Portugal, Romania, Slovakia, Slovenia, Spain, Sweden </w:t>
      </w:r>
    </w:p>
    <w:p w:rsidR="00CC01BD" w:rsidRPr="00743EFD" w:rsidRDefault="00CC01BD" w:rsidP="00CC01BD">
      <w:pPr>
        <w:jc w:val="both"/>
        <w:rPr>
          <w:rFonts w:ascii="Arial" w:hAnsi="Arial" w:cs="Arial"/>
          <w:sz w:val="17"/>
          <w:lang w:val="en-GB"/>
        </w:rPr>
      </w:pPr>
      <w:r w:rsidRPr="00743EFD">
        <w:rPr>
          <w:rFonts w:ascii="Arial" w:hAnsi="Arial" w:cs="Arial"/>
          <w:sz w:val="17"/>
          <w:lang w:val="en-GB"/>
        </w:rPr>
        <w:t>Eurozone</w:t>
      </w:r>
      <w:r w:rsidR="00641649" w:rsidRPr="00743EFD">
        <w:rPr>
          <w:rFonts w:ascii="Arial" w:hAnsi="Arial" w:cs="Arial"/>
          <w:sz w:val="17"/>
          <w:lang w:val="en-GB"/>
        </w:rPr>
        <w:t>1</w:t>
      </w:r>
      <w:r w:rsidR="000F2E12">
        <w:rPr>
          <w:rFonts w:ascii="Arial" w:hAnsi="Arial" w:cs="Arial"/>
          <w:sz w:val="17"/>
          <w:lang w:val="en-GB"/>
        </w:rPr>
        <w:t>9 (Euro area – monetary union of 19 European Union member states)</w:t>
      </w:r>
      <w:r w:rsidRPr="00743EFD">
        <w:rPr>
          <w:rFonts w:ascii="Arial" w:hAnsi="Arial" w:cs="Arial"/>
          <w:sz w:val="17"/>
          <w:lang w:val="en-GB"/>
        </w:rPr>
        <w:t>:</w:t>
      </w:r>
    </w:p>
    <w:p w:rsidR="00CC01BD" w:rsidRDefault="00CC01BD" w:rsidP="00751E97">
      <w:pPr>
        <w:spacing w:after="120"/>
        <w:jc w:val="both"/>
        <w:rPr>
          <w:rFonts w:ascii="Arial" w:hAnsi="Arial" w:cs="Arial"/>
          <w:sz w:val="17"/>
          <w:lang w:val="en-GB"/>
        </w:rPr>
      </w:pPr>
      <w:r w:rsidRPr="00743EFD">
        <w:rPr>
          <w:rFonts w:ascii="Arial" w:hAnsi="Arial" w:cs="Arial"/>
          <w:sz w:val="17"/>
          <w:lang w:val="en-GB"/>
        </w:rPr>
        <w:t xml:space="preserve">Austria, Belgium, Cyprus, Estonia, Finland, France, Germany, Greece, Ireland, Italy, </w:t>
      </w:r>
      <w:r w:rsidR="00AE59EC" w:rsidRPr="00743EFD">
        <w:rPr>
          <w:rFonts w:ascii="Arial" w:hAnsi="Arial" w:cs="Arial"/>
          <w:sz w:val="17"/>
          <w:lang w:val="en-GB"/>
        </w:rPr>
        <w:t xml:space="preserve">Latvia, </w:t>
      </w:r>
      <w:r w:rsidR="000F2E12">
        <w:rPr>
          <w:rFonts w:ascii="Arial" w:hAnsi="Arial" w:cs="Arial"/>
          <w:sz w:val="17"/>
          <w:lang w:val="en-GB"/>
        </w:rPr>
        <w:t xml:space="preserve">Lithuania, </w:t>
      </w:r>
      <w:r w:rsidRPr="00743EFD">
        <w:rPr>
          <w:rFonts w:ascii="Arial" w:hAnsi="Arial" w:cs="Arial"/>
          <w:sz w:val="17"/>
          <w:lang w:val="en-GB"/>
        </w:rPr>
        <w:t xml:space="preserve">Luxembourg, Malta, Netherlands, Portugal, Slovakia, Slovenia, Spain </w:t>
      </w:r>
    </w:p>
    <w:p w:rsidR="001E2B19" w:rsidRPr="00743EFD" w:rsidRDefault="001E2B19" w:rsidP="000F6891">
      <w:pPr>
        <w:jc w:val="both"/>
        <w:rPr>
          <w:rFonts w:ascii="Arial" w:hAnsi="Arial" w:cs="Arial"/>
          <w:sz w:val="17"/>
          <w:lang w:val="en-GB"/>
        </w:rPr>
      </w:pPr>
      <w:r w:rsidRPr="00743EFD">
        <w:rPr>
          <w:rFonts w:ascii="Arial" w:hAnsi="Arial" w:cs="Arial"/>
          <w:sz w:val="17"/>
          <w:lang w:val="en-GB"/>
        </w:rPr>
        <w:t>Neighbouring countries:</w:t>
      </w:r>
    </w:p>
    <w:p w:rsidR="001E2B19" w:rsidRPr="00743EFD" w:rsidRDefault="001E2B19" w:rsidP="000F6891">
      <w:pPr>
        <w:jc w:val="both"/>
        <w:rPr>
          <w:rFonts w:ascii="Arial" w:hAnsi="Arial" w:cs="Arial"/>
          <w:sz w:val="17"/>
          <w:lang w:val="en-GB"/>
        </w:rPr>
      </w:pPr>
      <w:r w:rsidRPr="00743EFD">
        <w:rPr>
          <w:rFonts w:ascii="Arial" w:hAnsi="Arial" w:cs="Arial"/>
          <w:sz w:val="17"/>
          <w:lang w:val="en-GB"/>
        </w:rPr>
        <w:t>Austria, Germany, Poland, Slovakia</w:t>
      </w:r>
    </w:p>
    <w:sectPr w:rsidR="001E2B19" w:rsidRPr="00743EFD" w:rsidSect="001E2B19">
      <w:headerReference w:type="even" r:id="rId8"/>
      <w:footnotePr>
        <w:numRestart w:val="eachPage"/>
      </w:footnotePr>
      <w:pgSz w:w="11906" w:h="16838" w:code="9"/>
      <w:pgMar w:top="1418" w:right="1134" w:bottom="1418" w:left="113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08F" w:rsidRDefault="005E608F">
      <w:r>
        <w:separator/>
      </w:r>
    </w:p>
  </w:endnote>
  <w:endnote w:type="continuationSeparator" w:id="0">
    <w:p w:rsidR="005E608F" w:rsidRDefault="005E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E oby_ejné">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08F" w:rsidRDefault="005E608F">
      <w:r>
        <w:separator/>
      </w:r>
    </w:p>
  </w:footnote>
  <w:footnote w:type="continuationSeparator" w:id="0">
    <w:p w:rsidR="005E608F" w:rsidRDefault="005E6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463" w:rsidRDefault="00763CD6">
    <w:pPr>
      <w:pStyle w:val="Zhlav"/>
      <w:framePr w:wrap="around" w:vAnchor="text" w:hAnchor="margin" w:xAlign="center" w:y="1"/>
      <w:rPr>
        <w:rStyle w:val="slostrnky"/>
      </w:rPr>
    </w:pPr>
    <w:r>
      <w:rPr>
        <w:rStyle w:val="slostrnky"/>
      </w:rPr>
      <w:fldChar w:fldCharType="begin"/>
    </w:r>
    <w:r w:rsidR="00336463">
      <w:rPr>
        <w:rStyle w:val="slostrnky"/>
      </w:rPr>
      <w:instrText xml:space="preserve">PAGE  </w:instrText>
    </w:r>
    <w:r>
      <w:rPr>
        <w:rStyle w:val="slostrnky"/>
      </w:rPr>
      <w:fldChar w:fldCharType="end"/>
    </w:r>
  </w:p>
  <w:p w:rsidR="00336463" w:rsidRDefault="0033646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BF8"/>
    <w:rsid w:val="00021D99"/>
    <w:rsid w:val="00023876"/>
    <w:rsid w:val="000502D3"/>
    <w:rsid w:val="000924F4"/>
    <w:rsid w:val="000F2E12"/>
    <w:rsid w:val="000F6891"/>
    <w:rsid w:val="001474C6"/>
    <w:rsid w:val="0014778C"/>
    <w:rsid w:val="00167E23"/>
    <w:rsid w:val="0019042F"/>
    <w:rsid w:val="00196BF8"/>
    <w:rsid w:val="001B1B33"/>
    <w:rsid w:val="001B6110"/>
    <w:rsid w:val="001D0AE3"/>
    <w:rsid w:val="001E2B19"/>
    <w:rsid w:val="001E7989"/>
    <w:rsid w:val="001F226A"/>
    <w:rsid w:val="001F5CC3"/>
    <w:rsid w:val="002167D6"/>
    <w:rsid w:val="00224CB1"/>
    <w:rsid w:val="0026707E"/>
    <w:rsid w:val="0027592A"/>
    <w:rsid w:val="002C31AC"/>
    <w:rsid w:val="002F722C"/>
    <w:rsid w:val="00332D51"/>
    <w:rsid w:val="00336463"/>
    <w:rsid w:val="00341C09"/>
    <w:rsid w:val="00360FB3"/>
    <w:rsid w:val="00375731"/>
    <w:rsid w:val="003C58C4"/>
    <w:rsid w:val="003F1F87"/>
    <w:rsid w:val="00420000"/>
    <w:rsid w:val="0042483F"/>
    <w:rsid w:val="004322CC"/>
    <w:rsid w:val="00467867"/>
    <w:rsid w:val="0049311C"/>
    <w:rsid w:val="00497D5E"/>
    <w:rsid w:val="004A4B9F"/>
    <w:rsid w:val="00584DA2"/>
    <w:rsid w:val="00597931"/>
    <w:rsid w:val="005A27A9"/>
    <w:rsid w:val="005B410D"/>
    <w:rsid w:val="005C3E69"/>
    <w:rsid w:val="005E608F"/>
    <w:rsid w:val="00605EAD"/>
    <w:rsid w:val="00606D7E"/>
    <w:rsid w:val="00627C63"/>
    <w:rsid w:val="00641649"/>
    <w:rsid w:val="00641680"/>
    <w:rsid w:val="006502D1"/>
    <w:rsid w:val="00653568"/>
    <w:rsid w:val="00661374"/>
    <w:rsid w:val="006A00FC"/>
    <w:rsid w:val="006C49D7"/>
    <w:rsid w:val="006D018F"/>
    <w:rsid w:val="006D1B2B"/>
    <w:rsid w:val="006F50B5"/>
    <w:rsid w:val="006F5BDC"/>
    <w:rsid w:val="0071393D"/>
    <w:rsid w:val="00743EFD"/>
    <w:rsid w:val="00745F7A"/>
    <w:rsid w:val="00746B85"/>
    <w:rsid w:val="00751E97"/>
    <w:rsid w:val="00763CD6"/>
    <w:rsid w:val="00765BE4"/>
    <w:rsid w:val="0078091A"/>
    <w:rsid w:val="007C276F"/>
    <w:rsid w:val="007C3208"/>
    <w:rsid w:val="007F6C6D"/>
    <w:rsid w:val="00807E6E"/>
    <w:rsid w:val="00823551"/>
    <w:rsid w:val="00856D37"/>
    <w:rsid w:val="00860794"/>
    <w:rsid w:val="008B4D44"/>
    <w:rsid w:val="008B7361"/>
    <w:rsid w:val="008E69A2"/>
    <w:rsid w:val="008F640C"/>
    <w:rsid w:val="009017EF"/>
    <w:rsid w:val="00946C5F"/>
    <w:rsid w:val="00974D7B"/>
    <w:rsid w:val="009C46B7"/>
    <w:rsid w:val="009D106D"/>
    <w:rsid w:val="009D5867"/>
    <w:rsid w:val="009F3874"/>
    <w:rsid w:val="00A0701C"/>
    <w:rsid w:val="00A15FFA"/>
    <w:rsid w:val="00A1696C"/>
    <w:rsid w:val="00A17863"/>
    <w:rsid w:val="00A32EAE"/>
    <w:rsid w:val="00A32EBC"/>
    <w:rsid w:val="00A43E6A"/>
    <w:rsid w:val="00A6491C"/>
    <w:rsid w:val="00A91C81"/>
    <w:rsid w:val="00AA6055"/>
    <w:rsid w:val="00AD1BC9"/>
    <w:rsid w:val="00AE3418"/>
    <w:rsid w:val="00AE59EC"/>
    <w:rsid w:val="00B262A9"/>
    <w:rsid w:val="00B50768"/>
    <w:rsid w:val="00B54740"/>
    <w:rsid w:val="00B57220"/>
    <w:rsid w:val="00BA6D3B"/>
    <w:rsid w:val="00BB3AEF"/>
    <w:rsid w:val="00BE0206"/>
    <w:rsid w:val="00BE25CD"/>
    <w:rsid w:val="00BF7B11"/>
    <w:rsid w:val="00C30877"/>
    <w:rsid w:val="00C32E6B"/>
    <w:rsid w:val="00C346C9"/>
    <w:rsid w:val="00C36215"/>
    <w:rsid w:val="00C74F6B"/>
    <w:rsid w:val="00C84E23"/>
    <w:rsid w:val="00CC01BD"/>
    <w:rsid w:val="00CD3839"/>
    <w:rsid w:val="00CD5249"/>
    <w:rsid w:val="00D27960"/>
    <w:rsid w:val="00D6116A"/>
    <w:rsid w:val="00D64EF3"/>
    <w:rsid w:val="00DB0585"/>
    <w:rsid w:val="00DD4677"/>
    <w:rsid w:val="00DE363A"/>
    <w:rsid w:val="00DF31FF"/>
    <w:rsid w:val="00E11705"/>
    <w:rsid w:val="00E24EB5"/>
    <w:rsid w:val="00E41E44"/>
    <w:rsid w:val="00E60C37"/>
    <w:rsid w:val="00E95A46"/>
    <w:rsid w:val="00EC09AD"/>
    <w:rsid w:val="00EC3476"/>
    <w:rsid w:val="00F65EB5"/>
    <w:rsid w:val="00F95DDB"/>
    <w:rsid w:val="00FA0E0C"/>
    <w:rsid w:val="00FB0D9C"/>
    <w:rsid w:val="00FB79AF"/>
    <w:rsid w:val="00FC2A2A"/>
    <w:rsid w:val="00FE0720"/>
    <w:rsid w:val="00FE3036"/>
    <w:rsid w:val="00FE4A95"/>
    <w:rsid w:val="00FE5A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D39D3"/>
  <w15:docId w15:val="{95E6A2AA-E1A0-4F00-A33D-EAE39A43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2EAE"/>
    <w:rPr>
      <w:sz w:val="24"/>
      <w:szCs w:val="24"/>
    </w:rPr>
  </w:style>
  <w:style w:type="paragraph" w:styleId="Nadpis1">
    <w:name w:val="heading 1"/>
    <w:basedOn w:val="Normln"/>
    <w:next w:val="Normln"/>
    <w:qFormat/>
    <w:rsid w:val="00A32EAE"/>
    <w:pPr>
      <w:keepNext/>
      <w:outlineLvl w:val="0"/>
    </w:pPr>
    <w:rPr>
      <w:rFonts w:ascii="Arial" w:eastAsia="Batang" w:hAnsi="Arial"/>
      <w:b/>
      <w:bCs/>
      <w:sz w:val="18"/>
    </w:rPr>
  </w:style>
  <w:style w:type="paragraph" w:styleId="Nadpis2">
    <w:name w:val="heading 2"/>
    <w:basedOn w:val="Normln"/>
    <w:next w:val="Normln"/>
    <w:qFormat/>
    <w:rsid w:val="00A32EAE"/>
    <w:pPr>
      <w:keepNext/>
      <w:jc w:val="center"/>
      <w:outlineLvl w:val="1"/>
    </w:pPr>
    <w:rPr>
      <w:rFonts w:ascii="Arial" w:hAnsi="Arial"/>
      <w:b/>
      <w:bCs/>
      <w:sz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A32EAE"/>
    <w:rPr>
      <w:sz w:val="20"/>
      <w:szCs w:val="20"/>
    </w:rPr>
  </w:style>
  <w:style w:type="character" w:styleId="Znakapoznpodarou">
    <w:name w:val="footnote reference"/>
    <w:semiHidden/>
    <w:rsid w:val="00A32EAE"/>
    <w:rPr>
      <w:vertAlign w:val="superscript"/>
    </w:rPr>
  </w:style>
  <w:style w:type="paragraph" w:styleId="Nzev">
    <w:name w:val="Title"/>
    <w:basedOn w:val="Normln"/>
    <w:qFormat/>
    <w:rsid w:val="00A32EA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rFonts w:ascii="Times New Roman CE oby_ejné" w:hAnsi="Times New Roman CE oby_ejné"/>
      <w:b/>
      <w:bCs/>
      <w:sz w:val="30"/>
      <w:szCs w:val="30"/>
      <w:lang w:val="en-GB"/>
    </w:rPr>
  </w:style>
  <w:style w:type="paragraph" w:styleId="Zkladntext">
    <w:name w:val="Body Text"/>
    <w:basedOn w:val="Normln"/>
    <w:semiHidden/>
    <w:rsid w:val="00A32EAE"/>
    <w:pPr>
      <w:jc w:val="both"/>
    </w:pPr>
    <w:rPr>
      <w:rFonts w:ascii="Arial" w:hAnsi="Arial"/>
      <w:sz w:val="22"/>
      <w:lang w:val="en-GB"/>
    </w:rPr>
  </w:style>
  <w:style w:type="paragraph" w:styleId="Zkladntextodsazen">
    <w:name w:val="Body Text Indent"/>
    <w:basedOn w:val="Normln"/>
    <w:semiHidden/>
    <w:rsid w:val="00A32EAE"/>
    <w:pPr>
      <w:spacing w:line="360" w:lineRule="auto"/>
      <w:ind w:firstLine="708"/>
      <w:jc w:val="both"/>
    </w:pPr>
    <w:rPr>
      <w:rFonts w:ascii="Arial" w:hAnsi="Arial"/>
      <w:sz w:val="19"/>
    </w:rPr>
  </w:style>
  <w:style w:type="paragraph" w:styleId="Zkladntextodsazen2">
    <w:name w:val="Body Text Indent 2"/>
    <w:basedOn w:val="Normln"/>
    <w:semiHidden/>
    <w:rsid w:val="00A32EAE"/>
    <w:pPr>
      <w:spacing w:line="360" w:lineRule="auto"/>
      <w:ind w:firstLine="708"/>
      <w:jc w:val="both"/>
    </w:pPr>
    <w:rPr>
      <w:rFonts w:ascii="Arial" w:hAnsi="Arial"/>
      <w:sz w:val="20"/>
      <w:lang w:val="en-GB"/>
    </w:rPr>
  </w:style>
  <w:style w:type="paragraph" w:styleId="Zhlav">
    <w:name w:val="header"/>
    <w:basedOn w:val="Normln"/>
    <w:semiHidden/>
    <w:rsid w:val="00A32EAE"/>
    <w:pPr>
      <w:tabs>
        <w:tab w:val="center" w:pos="4536"/>
        <w:tab w:val="right" w:pos="9072"/>
      </w:tabs>
    </w:pPr>
  </w:style>
  <w:style w:type="character" w:styleId="slostrnky">
    <w:name w:val="page number"/>
    <w:basedOn w:val="Standardnpsmoodstavce"/>
    <w:semiHidden/>
    <w:rsid w:val="00A32EAE"/>
  </w:style>
  <w:style w:type="paragraph" w:styleId="Zpat">
    <w:name w:val="footer"/>
    <w:basedOn w:val="Normln"/>
    <w:semiHidden/>
    <w:rsid w:val="00A32EAE"/>
    <w:pPr>
      <w:tabs>
        <w:tab w:val="center" w:pos="4536"/>
        <w:tab w:val="right" w:pos="9072"/>
      </w:tabs>
    </w:pPr>
  </w:style>
  <w:style w:type="paragraph" w:styleId="Zkladntextodsazen3">
    <w:name w:val="Body Text Indent 3"/>
    <w:basedOn w:val="Normln"/>
    <w:semiHidden/>
    <w:rsid w:val="00A32EAE"/>
    <w:pPr>
      <w:ind w:firstLine="708"/>
      <w:jc w:val="both"/>
    </w:pPr>
    <w:rPr>
      <w:rFonts w:ascii="Arial" w:hAnsi="Arial"/>
      <w:sz w:val="16"/>
      <w:szCs w:val="20"/>
    </w:rPr>
  </w:style>
  <w:style w:type="paragraph" w:styleId="Zkladntext2">
    <w:name w:val="Body Text 2"/>
    <w:basedOn w:val="Normln"/>
    <w:semiHidden/>
    <w:rsid w:val="00A32EAE"/>
    <w:pPr>
      <w:jc w:val="both"/>
    </w:pPr>
    <w:rPr>
      <w:rFonts w:ascii="Arial" w:hAnsi="Arial"/>
      <w:sz w:val="20"/>
    </w:rPr>
  </w:style>
  <w:style w:type="paragraph" w:styleId="Zkladntext3">
    <w:name w:val="Body Text 3"/>
    <w:basedOn w:val="Normln"/>
    <w:semiHidden/>
    <w:rsid w:val="00A32EAE"/>
    <w:pPr>
      <w:autoSpaceDE w:val="0"/>
      <w:autoSpaceDN w:val="0"/>
      <w:adjustRightInd w:val="0"/>
    </w:pPr>
    <w:rPr>
      <w:rFonts w:ascii="Arial" w:hAnsi="Arial"/>
      <w:sz w:val="18"/>
      <w:szCs w:val="20"/>
      <w:lang w:val="en-GB"/>
    </w:rPr>
  </w:style>
  <w:style w:type="character" w:styleId="Hypertextovodkaz">
    <w:name w:val="Hyperlink"/>
    <w:uiPriority w:val="99"/>
    <w:unhideWhenUsed/>
    <w:rsid w:val="001F226A"/>
    <w:rPr>
      <w:color w:val="0000FF"/>
      <w:u w:val="single"/>
    </w:rPr>
  </w:style>
  <w:style w:type="paragraph" w:customStyle="1" w:styleId="poznmky0">
    <w:name w:val="poznmky0"/>
    <w:basedOn w:val="Normln"/>
    <w:rsid w:val="0049311C"/>
    <w:pPr>
      <w:spacing w:before="100" w:beforeAutospacing="1" w:after="100" w:afterAutospacing="1"/>
    </w:pPr>
  </w:style>
  <w:style w:type="character" w:styleId="Zdraznn">
    <w:name w:val="Emphasis"/>
    <w:uiPriority w:val="20"/>
    <w:qFormat/>
    <w:rsid w:val="004931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90727">
      <w:bodyDiv w:val="1"/>
      <w:marLeft w:val="0"/>
      <w:marRight w:val="0"/>
      <w:marTop w:val="0"/>
      <w:marBottom w:val="0"/>
      <w:divBdr>
        <w:top w:val="none" w:sz="0" w:space="0" w:color="auto"/>
        <w:left w:val="none" w:sz="0" w:space="0" w:color="auto"/>
        <w:bottom w:val="none" w:sz="0" w:space="0" w:color="auto"/>
        <w:right w:val="none" w:sz="0" w:space="0" w:color="auto"/>
      </w:divBdr>
      <w:divsChild>
        <w:div w:id="67754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zso.cz/csu/czso/changes-in-international-trade-statistic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9774E-4411-4C19-9243-50CEBF958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642</Words>
  <Characters>3790</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Metodická poznámka ke statistice</vt:lpstr>
    </vt:vector>
  </TitlesOfParts>
  <Company>csu</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Metodická poznámka ke statistice</dc:title>
  <dc:creator>csu</dc:creator>
  <cp:lastModifiedBy>Ing. Monika Bartlová</cp:lastModifiedBy>
  <cp:revision>7</cp:revision>
  <cp:lastPrinted>2016-08-30T11:58:00Z</cp:lastPrinted>
  <dcterms:created xsi:type="dcterms:W3CDTF">2020-05-04T09:47:00Z</dcterms:created>
  <dcterms:modified xsi:type="dcterms:W3CDTF">2020-09-30T07:51:00Z</dcterms:modified>
</cp:coreProperties>
</file>