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drawings/drawing1.xml" ContentType="application/vnd.openxmlformats-officedocument.drawingml.chartshapes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8AE1CD" w14:textId="615B1FBE" w:rsidR="006E7983" w:rsidRDefault="00224C30" w:rsidP="007C480F">
      <w:pPr>
        <w:tabs>
          <w:tab w:val="left" w:pos="851"/>
          <w:tab w:val="left" w:pos="993"/>
        </w:tabs>
        <w:jc w:val="center"/>
        <w:rPr>
          <w:rFonts w:ascii="Arial" w:hAnsi="Arial" w:cs="Arial"/>
          <w:sz w:val="32"/>
        </w:rPr>
      </w:pPr>
      <w:r w:rsidRPr="00AD565B">
        <w:rPr>
          <w:rFonts w:ascii="Arial" w:hAnsi="Arial" w:cs="Arial"/>
          <w:sz w:val="32"/>
        </w:rPr>
        <w:t>Vývoj</w:t>
      </w:r>
      <w:r w:rsidRPr="00AD565B">
        <w:rPr>
          <w:rFonts w:ascii="Arial" w:hAnsi="Arial" w:cs="Arial"/>
          <w:b/>
          <w:bCs/>
          <w:sz w:val="32"/>
        </w:rPr>
        <w:t xml:space="preserve"> </w:t>
      </w:r>
      <w:r w:rsidRPr="00AD565B">
        <w:rPr>
          <w:rFonts w:ascii="Arial" w:hAnsi="Arial" w:cs="Arial"/>
          <w:sz w:val="32"/>
        </w:rPr>
        <w:t>cen průmyslových výrobců v</w:t>
      </w:r>
      <w:r w:rsidR="00F17CA8">
        <w:rPr>
          <w:rFonts w:ascii="Arial" w:hAnsi="Arial" w:cs="Arial"/>
          <w:sz w:val="32"/>
        </w:rPr>
        <w:t> </w:t>
      </w:r>
      <w:r w:rsidR="00B45DF9">
        <w:rPr>
          <w:rFonts w:ascii="Arial" w:hAnsi="Arial" w:cs="Arial"/>
          <w:sz w:val="32"/>
        </w:rPr>
        <w:t>srpnu</w:t>
      </w:r>
      <w:r w:rsidR="00F17CA8">
        <w:rPr>
          <w:rFonts w:ascii="Arial" w:hAnsi="Arial" w:cs="Arial"/>
          <w:sz w:val="32"/>
        </w:rPr>
        <w:t xml:space="preserve"> 2026</w:t>
      </w:r>
    </w:p>
    <w:p w14:paraId="6E05524E" w14:textId="77777777" w:rsidR="00B74C74" w:rsidRPr="00A238DA" w:rsidRDefault="00B74C74" w:rsidP="007C480F">
      <w:pPr>
        <w:tabs>
          <w:tab w:val="left" w:pos="851"/>
          <w:tab w:val="left" w:pos="993"/>
        </w:tabs>
        <w:jc w:val="center"/>
        <w:rPr>
          <w:rFonts w:ascii="Arial" w:hAnsi="Arial" w:cs="Arial"/>
          <w:sz w:val="20"/>
          <w:szCs w:val="20"/>
        </w:rPr>
      </w:pPr>
    </w:p>
    <w:p w14:paraId="5D337C8F" w14:textId="77777777" w:rsidR="00FF2040" w:rsidRPr="00B45DF9" w:rsidRDefault="00FF2040" w:rsidP="004124D2">
      <w:pPr>
        <w:tabs>
          <w:tab w:val="left" w:pos="1276"/>
        </w:tabs>
        <w:rPr>
          <w:rFonts w:ascii="Arial" w:hAnsi="Arial" w:cs="Arial"/>
          <w:b/>
          <w:sz w:val="20"/>
          <w:szCs w:val="20"/>
        </w:rPr>
      </w:pPr>
      <w:r w:rsidRPr="00B45DF9">
        <w:rPr>
          <w:rFonts w:ascii="Arial" w:hAnsi="Arial" w:cs="Arial"/>
          <w:b/>
          <w:sz w:val="20"/>
          <w:szCs w:val="20"/>
        </w:rPr>
        <w:t>Meziměsíční srovnání:</w:t>
      </w:r>
    </w:p>
    <w:p w14:paraId="45A5707E" w14:textId="77777777" w:rsidR="000D2A3B" w:rsidRPr="00B45DF9" w:rsidRDefault="000D2A3B" w:rsidP="004124D2">
      <w:pPr>
        <w:tabs>
          <w:tab w:val="left" w:pos="1276"/>
        </w:tabs>
        <w:rPr>
          <w:rFonts w:ascii="Arial" w:hAnsi="Arial" w:cs="Arial"/>
          <w:b/>
          <w:sz w:val="20"/>
          <w:szCs w:val="20"/>
        </w:rPr>
      </w:pPr>
    </w:p>
    <w:p w14:paraId="73068D17" w14:textId="491A6CF5" w:rsidR="00892A55" w:rsidRDefault="00B45DF9" w:rsidP="004124D2">
      <w:pPr>
        <w:tabs>
          <w:tab w:val="left" w:pos="1276"/>
        </w:tabs>
        <w:rPr>
          <w:rFonts w:ascii="Arial" w:hAnsi="Arial" w:cs="Arial"/>
          <w:sz w:val="20"/>
          <w:szCs w:val="20"/>
        </w:rPr>
      </w:pPr>
      <w:r w:rsidRPr="00B45DF9">
        <w:rPr>
          <w:rFonts w:ascii="Arial" w:hAnsi="Arial" w:cs="Arial"/>
          <w:sz w:val="20"/>
          <w:szCs w:val="20"/>
        </w:rPr>
        <w:t xml:space="preserve">Ceny </w:t>
      </w:r>
      <w:r w:rsidRPr="00B45DF9">
        <w:rPr>
          <w:rFonts w:ascii="Arial" w:hAnsi="Arial" w:cs="Arial"/>
          <w:b/>
          <w:sz w:val="20"/>
          <w:szCs w:val="20"/>
        </w:rPr>
        <w:t xml:space="preserve">průmyslových výrobců </w:t>
      </w:r>
      <w:r w:rsidRPr="00B45DF9">
        <w:rPr>
          <w:rFonts w:ascii="Arial" w:hAnsi="Arial" w:cs="Arial"/>
          <w:bCs/>
          <w:sz w:val="20"/>
          <w:szCs w:val="20"/>
        </w:rPr>
        <w:t>se</w:t>
      </w:r>
      <w:r w:rsidRPr="00B45DF9">
        <w:rPr>
          <w:rFonts w:ascii="Arial" w:hAnsi="Arial" w:cs="Arial"/>
          <w:b/>
          <w:sz w:val="20"/>
          <w:szCs w:val="20"/>
        </w:rPr>
        <w:t xml:space="preserve"> meziměsíčně </w:t>
      </w:r>
      <w:r w:rsidRPr="00B45DF9">
        <w:rPr>
          <w:rFonts w:ascii="Arial" w:hAnsi="Arial" w:cs="Arial"/>
          <w:sz w:val="20"/>
          <w:szCs w:val="20"/>
        </w:rPr>
        <w:t xml:space="preserve">zvýšily o 0,4 %. </w:t>
      </w:r>
    </w:p>
    <w:p w14:paraId="2BC45131" w14:textId="77777777" w:rsidR="00B45DF9" w:rsidRPr="00B45DF9" w:rsidRDefault="00B45DF9" w:rsidP="004124D2">
      <w:pPr>
        <w:tabs>
          <w:tab w:val="left" w:pos="1276"/>
        </w:tabs>
        <w:rPr>
          <w:rFonts w:ascii="Arial" w:hAnsi="Arial" w:cs="Arial"/>
          <w:b/>
          <w:sz w:val="20"/>
          <w:szCs w:val="20"/>
        </w:rPr>
      </w:pPr>
    </w:p>
    <w:p w14:paraId="74B647D7" w14:textId="17778245" w:rsidR="00892A55" w:rsidRPr="00B45DF9" w:rsidRDefault="00560673" w:rsidP="007536DF">
      <w:pPr>
        <w:tabs>
          <w:tab w:val="left" w:pos="1134"/>
        </w:tabs>
        <w:rPr>
          <w:rFonts w:ascii="Arial" w:hAnsi="Arial" w:cs="Arial"/>
          <w:sz w:val="20"/>
          <w:szCs w:val="20"/>
        </w:rPr>
      </w:pPr>
      <w:r w:rsidRPr="00B45DF9">
        <w:rPr>
          <w:rFonts w:ascii="Arial" w:hAnsi="Arial" w:cs="Arial"/>
          <w:noProof/>
          <w:sz w:val="20"/>
          <w:szCs w:val="20"/>
        </w:rPr>
        <w:drawing>
          <wp:inline distT="0" distB="0" distL="0" distR="0" wp14:anchorId="5ECD5B52" wp14:editId="41E7FC71">
            <wp:extent cx="5760720" cy="3926205"/>
            <wp:effectExtent l="0" t="0" r="11430" b="17145"/>
            <wp:docPr id="2082059055" name="Graf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6004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14:paraId="55C05AE6" w14:textId="77777777" w:rsidR="00560673" w:rsidRPr="00B45DF9" w:rsidRDefault="00560673" w:rsidP="007536DF">
      <w:pPr>
        <w:tabs>
          <w:tab w:val="left" w:pos="1134"/>
        </w:tabs>
        <w:rPr>
          <w:rFonts w:ascii="Arial" w:hAnsi="Arial" w:cs="Arial"/>
          <w:sz w:val="20"/>
          <w:szCs w:val="20"/>
        </w:rPr>
      </w:pPr>
    </w:p>
    <w:p w14:paraId="75CA8E6D" w14:textId="77777777" w:rsidR="00B45DF9" w:rsidRDefault="00B45DF9" w:rsidP="00B45DF9">
      <w:pPr>
        <w:tabs>
          <w:tab w:val="left" w:pos="1276"/>
        </w:tabs>
        <w:rPr>
          <w:rFonts w:ascii="Arial" w:hAnsi="Arial" w:cs="Arial"/>
          <w:sz w:val="20"/>
          <w:szCs w:val="20"/>
        </w:rPr>
      </w:pPr>
      <w:r w:rsidRPr="00B45DF9">
        <w:rPr>
          <w:rFonts w:ascii="Arial" w:hAnsi="Arial" w:cs="Arial"/>
          <w:sz w:val="20"/>
          <w:szCs w:val="20"/>
        </w:rPr>
        <w:t xml:space="preserve">Ceny </w:t>
      </w:r>
      <w:r w:rsidRPr="00B45DF9">
        <w:rPr>
          <w:rFonts w:ascii="Arial" w:hAnsi="Arial" w:cs="Arial"/>
          <w:bCs/>
          <w:sz w:val="20"/>
          <w:szCs w:val="20"/>
        </w:rPr>
        <w:t xml:space="preserve">koksu a rafinovaných ropných výrobků </w:t>
      </w:r>
      <w:r w:rsidRPr="00B45DF9">
        <w:rPr>
          <w:rFonts w:ascii="Arial" w:hAnsi="Arial" w:cs="Arial"/>
          <w:sz w:val="20"/>
          <w:szCs w:val="20"/>
        </w:rPr>
        <w:t>výrazně vzrostly</w:t>
      </w:r>
      <w:r w:rsidRPr="00B45DF9">
        <w:rPr>
          <w:rFonts w:ascii="Arial" w:hAnsi="Arial" w:cs="Arial"/>
          <w:bCs/>
          <w:sz w:val="20"/>
          <w:szCs w:val="20"/>
        </w:rPr>
        <w:t xml:space="preserve">. Vyšší byly ceny </w:t>
      </w:r>
      <w:r w:rsidRPr="00B45DF9">
        <w:rPr>
          <w:rFonts w:ascii="Arial" w:hAnsi="Arial" w:cs="Arial"/>
          <w:sz w:val="20"/>
          <w:szCs w:val="20"/>
        </w:rPr>
        <w:t xml:space="preserve">elektřiny, plynu, páry a klimatizovaného vzduchu o 0,5 %, tiskařských a nahrávacích služeb o 1,7 % a ceny textilií o 2,7 %. </w:t>
      </w:r>
    </w:p>
    <w:p w14:paraId="44575700" w14:textId="77777777" w:rsidR="00B45DF9" w:rsidRDefault="00B45DF9" w:rsidP="00B45DF9">
      <w:pPr>
        <w:tabs>
          <w:tab w:val="left" w:pos="1276"/>
        </w:tabs>
        <w:rPr>
          <w:rFonts w:ascii="Arial" w:hAnsi="Arial" w:cs="Arial"/>
          <w:sz w:val="20"/>
          <w:szCs w:val="20"/>
        </w:rPr>
      </w:pPr>
    </w:p>
    <w:p w14:paraId="15D2E007" w14:textId="76C6D146" w:rsidR="00B45DF9" w:rsidRPr="00B45DF9" w:rsidRDefault="00B45DF9" w:rsidP="00B45DF9">
      <w:pPr>
        <w:tabs>
          <w:tab w:val="left" w:pos="1276"/>
        </w:tabs>
        <w:rPr>
          <w:rFonts w:ascii="Arial" w:hAnsi="Arial" w:cs="Arial"/>
          <w:b/>
          <w:sz w:val="20"/>
          <w:szCs w:val="20"/>
        </w:rPr>
      </w:pPr>
      <w:r w:rsidRPr="00B45DF9">
        <w:rPr>
          <w:rFonts w:ascii="Arial" w:hAnsi="Arial" w:cs="Arial"/>
          <w:sz w:val="20"/>
          <w:szCs w:val="20"/>
        </w:rPr>
        <w:t>Ceny chemických látek a přípravků se snížily o 2,7 %, pryžových a plastových výrobků o 0,9 % a ceny potravinářských výrobků o 0,1 %. Z toho ceny mléčných výrobků klesly o 0,8 %.</w:t>
      </w:r>
    </w:p>
    <w:p w14:paraId="7D2172FD" w14:textId="77777777" w:rsidR="00560673" w:rsidRPr="00B45DF9" w:rsidRDefault="00560673" w:rsidP="007536DF">
      <w:pPr>
        <w:tabs>
          <w:tab w:val="left" w:pos="1134"/>
        </w:tabs>
        <w:rPr>
          <w:rFonts w:ascii="Arial" w:hAnsi="Arial" w:cs="Arial"/>
          <w:sz w:val="20"/>
          <w:szCs w:val="20"/>
        </w:rPr>
      </w:pPr>
    </w:p>
    <w:p w14:paraId="4CBC2809" w14:textId="122CAD29" w:rsidR="007536DF" w:rsidRPr="00B45DF9" w:rsidRDefault="007536DF" w:rsidP="007536DF">
      <w:pPr>
        <w:tabs>
          <w:tab w:val="left" w:pos="1134"/>
        </w:tabs>
        <w:rPr>
          <w:rFonts w:ascii="Arial" w:hAnsi="Arial" w:cs="Arial"/>
          <w:sz w:val="20"/>
          <w:szCs w:val="20"/>
        </w:rPr>
      </w:pPr>
      <w:r w:rsidRPr="00B45DF9">
        <w:rPr>
          <w:rFonts w:ascii="Arial" w:hAnsi="Arial" w:cs="Arial"/>
          <w:sz w:val="20"/>
          <w:szCs w:val="20"/>
        </w:rPr>
        <w:t>Vybraná odvětví, která nejvíce ovlivnila výši celkového meziměsíčního indexu:</w:t>
      </w:r>
    </w:p>
    <w:p w14:paraId="26910994" w14:textId="77777777" w:rsidR="00B932DE" w:rsidRPr="00B45DF9" w:rsidRDefault="00B932DE" w:rsidP="007536DF">
      <w:pPr>
        <w:tabs>
          <w:tab w:val="left" w:pos="1134"/>
        </w:tabs>
        <w:rPr>
          <w:rFonts w:ascii="Arial" w:hAnsi="Arial" w:cs="Arial"/>
          <w:sz w:val="20"/>
          <w:szCs w:val="20"/>
        </w:rPr>
      </w:pPr>
    </w:p>
    <w:p w14:paraId="6958BB8E" w14:textId="5747553C" w:rsidR="00B85F70" w:rsidRPr="00B45DF9" w:rsidRDefault="00B932DE" w:rsidP="007536DF">
      <w:pPr>
        <w:tabs>
          <w:tab w:val="left" w:pos="1134"/>
        </w:tabs>
        <w:rPr>
          <w:rFonts w:ascii="Arial" w:hAnsi="Arial" w:cs="Arial"/>
          <w:sz w:val="20"/>
          <w:szCs w:val="20"/>
        </w:rPr>
      </w:pPr>
      <w:r w:rsidRPr="00B45DF9">
        <w:rPr>
          <w:rFonts w:ascii="Arial" w:hAnsi="Arial" w:cs="Arial"/>
          <w:noProof/>
          <w:sz w:val="20"/>
          <w:szCs w:val="20"/>
        </w:rPr>
        <w:drawing>
          <wp:inline distT="0" distB="0" distL="0" distR="0" wp14:anchorId="0C67B9B5" wp14:editId="1BD63499">
            <wp:extent cx="5760720" cy="1118870"/>
            <wp:effectExtent l="0" t="0" r="0" b="5080"/>
            <wp:docPr id="1318915383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118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F4A45D" w14:textId="090A6A3A" w:rsidR="00CA0EDE" w:rsidRPr="00B45DF9" w:rsidRDefault="00CA0EDE" w:rsidP="00B9177F">
      <w:pPr>
        <w:spacing w:line="276" w:lineRule="auto"/>
        <w:rPr>
          <w:rFonts w:ascii="Arial" w:hAnsi="Arial" w:cs="Arial"/>
          <w:b/>
          <w:sz w:val="20"/>
          <w:szCs w:val="20"/>
        </w:rPr>
      </w:pPr>
    </w:p>
    <w:p w14:paraId="61BBF1F1" w14:textId="768F8CDB" w:rsidR="00CF0CE3" w:rsidRPr="00B45DF9" w:rsidRDefault="00CF0CE3" w:rsidP="00B9177F">
      <w:pPr>
        <w:spacing w:line="276" w:lineRule="auto"/>
        <w:rPr>
          <w:rFonts w:ascii="Arial" w:hAnsi="Arial" w:cs="Arial"/>
          <w:b/>
          <w:sz w:val="20"/>
          <w:szCs w:val="20"/>
        </w:rPr>
      </w:pPr>
    </w:p>
    <w:p w14:paraId="2AB083FF" w14:textId="77777777" w:rsidR="00CF0CE3" w:rsidRPr="00B45DF9" w:rsidRDefault="00CF0CE3" w:rsidP="00B9177F">
      <w:pPr>
        <w:spacing w:line="276" w:lineRule="auto"/>
        <w:rPr>
          <w:rFonts w:ascii="Arial" w:hAnsi="Arial" w:cs="Arial"/>
          <w:b/>
          <w:sz w:val="20"/>
          <w:szCs w:val="20"/>
        </w:rPr>
      </w:pPr>
    </w:p>
    <w:p w14:paraId="0E5260C6" w14:textId="77777777" w:rsidR="00CA0EDE" w:rsidRPr="00B45DF9" w:rsidRDefault="00CA0EDE" w:rsidP="00B9177F">
      <w:pPr>
        <w:spacing w:line="276" w:lineRule="auto"/>
        <w:rPr>
          <w:rFonts w:ascii="Arial" w:hAnsi="Arial" w:cs="Arial"/>
          <w:b/>
          <w:sz w:val="20"/>
          <w:szCs w:val="20"/>
        </w:rPr>
      </w:pPr>
    </w:p>
    <w:p w14:paraId="758C8EE7" w14:textId="77777777" w:rsidR="00106FBA" w:rsidRPr="00B45DF9" w:rsidRDefault="00106FBA" w:rsidP="00B9177F">
      <w:pPr>
        <w:spacing w:line="276" w:lineRule="auto"/>
        <w:rPr>
          <w:rFonts w:ascii="Arial" w:hAnsi="Arial" w:cs="Arial"/>
          <w:b/>
          <w:sz w:val="20"/>
          <w:szCs w:val="20"/>
        </w:rPr>
      </w:pPr>
    </w:p>
    <w:p w14:paraId="2C53383E" w14:textId="77777777" w:rsidR="00106FBA" w:rsidRPr="00B45DF9" w:rsidRDefault="00106FBA" w:rsidP="00B9177F">
      <w:pPr>
        <w:spacing w:line="276" w:lineRule="auto"/>
        <w:rPr>
          <w:rFonts w:ascii="Arial" w:hAnsi="Arial" w:cs="Arial"/>
          <w:b/>
          <w:sz w:val="20"/>
          <w:szCs w:val="20"/>
        </w:rPr>
      </w:pPr>
    </w:p>
    <w:p w14:paraId="61CBBE3F" w14:textId="77777777" w:rsidR="008C32A8" w:rsidRPr="00B45DF9" w:rsidRDefault="008C32A8" w:rsidP="00B9177F">
      <w:pPr>
        <w:spacing w:line="276" w:lineRule="auto"/>
        <w:rPr>
          <w:rFonts w:ascii="Arial" w:hAnsi="Arial" w:cs="Arial"/>
          <w:b/>
          <w:sz w:val="20"/>
          <w:szCs w:val="20"/>
        </w:rPr>
      </w:pPr>
    </w:p>
    <w:p w14:paraId="3ABA7BDE" w14:textId="77777777" w:rsidR="008C32A8" w:rsidRPr="00B45DF9" w:rsidRDefault="008C32A8" w:rsidP="00B9177F">
      <w:pPr>
        <w:spacing w:line="276" w:lineRule="auto"/>
        <w:rPr>
          <w:rFonts w:ascii="Arial" w:hAnsi="Arial" w:cs="Arial"/>
          <w:b/>
          <w:sz w:val="20"/>
          <w:szCs w:val="20"/>
        </w:rPr>
      </w:pPr>
    </w:p>
    <w:p w14:paraId="613AA9D5" w14:textId="77777777" w:rsidR="008C32A8" w:rsidRPr="00B45DF9" w:rsidRDefault="008C32A8" w:rsidP="00B9177F">
      <w:pPr>
        <w:spacing w:line="276" w:lineRule="auto"/>
        <w:rPr>
          <w:rFonts w:ascii="Arial" w:hAnsi="Arial" w:cs="Arial"/>
          <w:b/>
          <w:sz w:val="20"/>
          <w:szCs w:val="20"/>
        </w:rPr>
      </w:pPr>
    </w:p>
    <w:p w14:paraId="38C13AB5" w14:textId="501EF70C" w:rsidR="005E1F75" w:rsidRDefault="00FF2040" w:rsidP="00B9177F">
      <w:pPr>
        <w:spacing w:line="276" w:lineRule="auto"/>
        <w:rPr>
          <w:rFonts w:ascii="Arial" w:hAnsi="Arial" w:cs="Arial"/>
          <w:b/>
          <w:sz w:val="20"/>
          <w:szCs w:val="20"/>
        </w:rPr>
      </w:pPr>
      <w:r w:rsidRPr="00B45DF9">
        <w:rPr>
          <w:rFonts w:ascii="Arial" w:hAnsi="Arial" w:cs="Arial"/>
          <w:b/>
          <w:sz w:val="20"/>
          <w:szCs w:val="20"/>
        </w:rPr>
        <w:lastRenderedPageBreak/>
        <w:t>Meziroční srovnání:</w:t>
      </w:r>
    </w:p>
    <w:p w14:paraId="65016096" w14:textId="77777777" w:rsidR="00B45DF9" w:rsidRPr="00B45DF9" w:rsidRDefault="00B45DF9" w:rsidP="00B9177F">
      <w:pPr>
        <w:spacing w:line="276" w:lineRule="auto"/>
        <w:rPr>
          <w:rFonts w:ascii="Arial" w:hAnsi="Arial" w:cs="Arial"/>
          <w:b/>
          <w:sz w:val="20"/>
          <w:szCs w:val="20"/>
        </w:rPr>
      </w:pPr>
    </w:p>
    <w:p w14:paraId="35AC2FBA" w14:textId="7B1A47C9" w:rsidR="00B45DF9" w:rsidRDefault="00B45DF9" w:rsidP="00B9177F">
      <w:pPr>
        <w:spacing w:line="276" w:lineRule="auto"/>
        <w:rPr>
          <w:rFonts w:ascii="Arial" w:hAnsi="Arial" w:cs="Arial"/>
          <w:bCs/>
          <w:sz w:val="20"/>
          <w:szCs w:val="20"/>
        </w:rPr>
      </w:pPr>
      <w:r w:rsidRPr="00B45DF9">
        <w:rPr>
          <w:rFonts w:ascii="Arial" w:hAnsi="Arial" w:cs="Arial"/>
          <w:b/>
          <w:bCs/>
          <w:sz w:val="20"/>
          <w:szCs w:val="20"/>
        </w:rPr>
        <w:t xml:space="preserve">Meziročně </w:t>
      </w:r>
      <w:r w:rsidRPr="00B45DF9">
        <w:rPr>
          <w:rFonts w:ascii="Arial" w:hAnsi="Arial" w:cs="Arial"/>
          <w:sz w:val="20"/>
          <w:szCs w:val="20"/>
        </w:rPr>
        <w:t xml:space="preserve">ceny </w:t>
      </w:r>
      <w:r w:rsidRPr="00B45DF9">
        <w:rPr>
          <w:rFonts w:ascii="Arial" w:hAnsi="Arial" w:cs="Arial"/>
          <w:b/>
          <w:bCs/>
          <w:sz w:val="20"/>
          <w:szCs w:val="20"/>
        </w:rPr>
        <w:t xml:space="preserve">průmyslových výrobců </w:t>
      </w:r>
      <w:r w:rsidRPr="00B45DF9">
        <w:rPr>
          <w:rFonts w:ascii="Arial" w:hAnsi="Arial" w:cs="Arial"/>
          <w:bCs/>
          <w:sz w:val="20"/>
          <w:szCs w:val="20"/>
        </w:rPr>
        <w:t xml:space="preserve">vzrostly o 2,0 % (v červenci o 1,6 %). </w:t>
      </w:r>
    </w:p>
    <w:p w14:paraId="2789707C" w14:textId="77777777" w:rsidR="00B45DF9" w:rsidRPr="00B45DF9" w:rsidRDefault="00B45DF9" w:rsidP="00B9177F">
      <w:pPr>
        <w:spacing w:line="276" w:lineRule="auto"/>
        <w:rPr>
          <w:rFonts w:ascii="Arial" w:hAnsi="Arial" w:cs="Arial"/>
          <w:b/>
          <w:sz w:val="20"/>
          <w:szCs w:val="20"/>
        </w:rPr>
      </w:pPr>
    </w:p>
    <w:p w14:paraId="1CEA04E4" w14:textId="1DD6A9E7" w:rsidR="008C32A8" w:rsidRPr="00B45DF9" w:rsidRDefault="00560673" w:rsidP="00892A55">
      <w:pPr>
        <w:rPr>
          <w:rFonts w:ascii="Arial" w:hAnsi="Arial" w:cs="Arial"/>
          <w:b/>
          <w:bCs/>
          <w:sz w:val="20"/>
          <w:szCs w:val="20"/>
        </w:rPr>
      </w:pPr>
      <w:r w:rsidRPr="00B45DF9">
        <w:rPr>
          <w:rFonts w:ascii="Arial" w:hAnsi="Arial" w:cs="Arial"/>
          <w:noProof/>
          <w:sz w:val="20"/>
          <w:szCs w:val="20"/>
        </w:rPr>
        <w:drawing>
          <wp:inline distT="0" distB="0" distL="0" distR="0" wp14:anchorId="4F40CA53" wp14:editId="45ED0F81">
            <wp:extent cx="5760720" cy="3498850"/>
            <wp:effectExtent l="0" t="0" r="11430" b="6350"/>
            <wp:docPr id="442600739" name="Graf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B904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14:paraId="7BD41370" w14:textId="77777777" w:rsidR="00560673" w:rsidRPr="00B45DF9" w:rsidRDefault="00560673" w:rsidP="00892A55">
      <w:pPr>
        <w:rPr>
          <w:rFonts w:ascii="Arial" w:hAnsi="Arial" w:cs="Arial"/>
          <w:b/>
          <w:bCs/>
          <w:sz w:val="20"/>
          <w:szCs w:val="20"/>
        </w:rPr>
      </w:pPr>
    </w:p>
    <w:p w14:paraId="5962CDC3" w14:textId="5D1D9739" w:rsidR="00560673" w:rsidRPr="00B45DF9" w:rsidRDefault="00560673" w:rsidP="00892A55">
      <w:pPr>
        <w:rPr>
          <w:rFonts w:ascii="Arial" w:hAnsi="Arial" w:cs="Arial"/>
          <w:b/>
          <w:bCs/>
          <w:sz w:val="20"/>
          <w:szCs w:val="20"/>
        </w:rPr>
      </w:pPr>
      <w:r w:rsidRPr="00B45DF9">
        <w:rPr>
          <w:rFonts w:ascii="Arial" w:hAnsi="Arial" w:cs="Arial"/>
          <w:noProof/>
          <w:sz w:val="20"/>
          <w:szCs w:val="20"/>
        </w:rPr>
        <w:drawing>
          <wp:inline distT="0" distB="0" distL="0" distR="0" wp14:anchorId="533F4F0E" wp14:editId="7DBB812E">
            <wp:extent cx="5760720" cy="4377055"/>
            <wp:effectExtent l="0" t="0" r="11430" b="4445"/>
            <wp:docPr id="968168321" name="Graf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BA04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69C912A2" w14:textId="77777777" w:rsidR="00892A55" w:rsidRPr="00B45DF9" w:rsidRDefault="00892A55" w:rsidP="00672386">
      <w:pPr>
        <w:rPr>
          <w:rFonts w:ascii="Arial" w:hAnsi="Arial" w:cs="Arial"/>
          <w:sz w:val="20"/>
          <w:szCs w:val="20"/>
        </w:rPr>
      </w:pPr>
    </w:p>
    <w:p w14:paraId="2E53B802" w14:textId="77777777" w:rsidR="00B45DF9" w:rsidRDefault="00B45DF9" w:rsidP="00B45DF9">
      <w:pPr>
        <w:spacing w:line="276" w:lineRule="auto"/>
        <w:rPr>
          <w:rFonts w:ascii="Arial" w:hAnsi="Arial" w:cs="Arial"/>
          <w:sz w:val="20"/>
          <w:szCs w:val="20"/>
        </w:rPr>
      </w:pPr>
      <w:r w:rsidRPr="00B45DF9">
        <w:rPr>
          <w:rFonts w:ascii="Arial" w:hAnsi="Arial" w:cs="Arial"/>
          <w:bCs/>
          <w:sz w:val="20"/>
          <w:szCs w:val="20"/>
        </w:rPr>
        <w:lastRenderedPageBreak/>
        <w:t>Významně vzrostly ceny</w:t>
      </w:r>
      <w:r w:rsidRPr="00B45DF9">
        <w:rPr>
          <w:rFonts w:ascii="Arial" w:hAnsi="Arial" w:cs="Arial"/>
          <w:sz w:val="20"/>
          <w:szCs w:val="20"/>
        </w:rPr>
        <w:t xml:space="preserve"> </w:t>
      </w:r>
      <w:r w:rsidRPr="00B45DF9">
        <w:rPr>
          <w:rFonts w:ascii="Arial" w:hAnsi="Arial" w:cs="Arial"/>
          <w:bCs/>
          <w:sz w:val="20"/>
          <w:szCs w:val="20"/>
        </w:rPr>
        <w:t xml:space="preserve">koksu a rafinovaných ropných výrobků. Zvýšily se ceny </w:t>
      </w:r>
      <w:r w:rsidRPr="00B45DF9">
        <w:rPr>
          <w:rFonts w:ascii="Arial" w:hAnsi="Arial" w:cs="Arial"/>
          <w:sz w:val="20"/>
          <w:szCs w:val="20"/>
        </w:rPr>
        <w:t xml:space="preserve">chemických látek a přípravků o 12,1 %, základních kovů o 5,6 % a </w:t>
      </w:r>
      <w:r w:rsidRPr="00B45DF9">
        <w:rPr>
          <w:rFonts w:ascii="Arial" w:hAnsi="Arial" w:cs="Arial"/>
          <w:bCs/>
          <w:sz w:val="20"/>
          <w:szCs w:val="20"/>
        </w:rPr>
        <w:t xml:space="preserve">ceny </w:t>
      </w:r>
      <w:r w:rsidRPr="00B45DF9">
        <w:rPr>
          <w:rFonts w:ascii="Arial" w:hAnsi="Arial" w:cs="Arial"/>
          <w:sz w:val="20"/>
          <w:szCs w:val="20"/>
        </w:rPr>
        <w:t xml:space="preserve">pryžových a plastových výrobků </w:t>
      </w:r>
      <w:r w:rsidRPr="00B45DF9">
        <w:rPr>
          <w:rFonts w:ascii="Arial" w:hAnsi="Arial" w:cs="Arial"/>
          <w:bCs/>
          <w:sz w:val="20"/>
          <w:szCs w:val="20"/>
        </w:rPr>
        <w:t>o 5,3 %</w:t>
      </w:r>
      <w:r w:rsidRPr="00B45DF9">
        <w:rPr>
          <w:rFonts w:ascii="Arial" w:hAnsi="Arial" w:cs="Arial"/>
          <w:sz w:val="20"/>
          <w:szCs w:val="20"/>
        </w:rPr>
        <w:t>. Vyšší byly ceny dřeva a dřevěných a korkových výrobků, kromě nábytku o 11,3 %.</w:t>
      </w:r>
    </w:p>
    <w:p w14:paraId="7D1C1932" w14:textId="77777777" w:rsidR="00B45DF9" w:rsidRDefault="00B45DF9" w:rsidP="00B45DF9">
      <w:pPr>
        <w:spacing w:line="276" w:lineRule="auto"/>
        <w:rPr>
          <w:rFonts w:ascii="Arial" w:hAnsi="Arial" w:cs="Arial"/>
          <w:sz w:val="20"/>
          <w:szCs w:val="20"/>
        </w:rPr>
      </w:pPr>
    </w:p>
    <w:p w14:paraId="3A40F4B6" w14:textId="5683107B" w:rsidR="00B45DF9" w:rsidRPr="00B45DF9" w:rsidRDefault="00B45DF9" w:rsidP="00B45DF9">
      <w:pPr>
        <w:spacing w:line="276" w:lineRule="auto"/>
        <w:rPr>
          <w:rFonts w:ascii="Arial" w:hAnsi="Arial" w:cs="Arial"/>
          <w:b/>
          <w:sz w:val="20"/>
          <w:szCs w:val="20"/>
        </w:rPr>
      </w:pPr>
      <w:r w:rsidRPr="00B45DF9">
        <w:rPr>
          <w:rFonts w:ascii="Arial" w:hAnsi="Arial" w:cs="Arial"/>
          <w:sz w:val="20"/>
          <w:szCs w:val="20"/>
        </w:rPr>
        <w:t>Klesly ceny elektřiny, plynu, páry a klimatizovaného vzduchu o 4,8 % a potravinářských výrobků o 5,6 %. Z toho byly nižší ceny mléčných výrobků o 15,8 % a ceny zpracovaného a konzervovaného masa a výrobků z masa o 6,9 %.</w:t>
      </w:r>
    </w:p>
    <w:p w14:paraId="1DCCC709" w14:textId="77777777" w:rsidR="00AF6262" w:rsidRPr="00B45DF9" w:rsidRDefault="00AF6262" w:rsidP="00672386">
      <w:pPr>
        <w:rPr>
          <w:rFonts w:ascii="Arial" w:hAnsi="Arial" w:cs="Arial"/>
          <w:sz w:val="20"/>
          <w:szCs w:val="20"/>
        </w:rPr>
      </w:pPr>
    </w:p>
    <w:p w14:paraId="1026D61F" w14:textId="77777777" w:rsidR="008C32A8" w:rsidRPr="00B45DF9" w:rsidRDefault="008C32A8" w:rsidP="00672386">
      <w:pPr>
        <w:rPr>
          <w:rFonts w:ascii="Arial" w:hAnsi="Arial" w:cs="Arial"/>
          <w:sz w:val="20"/>
          <w:szCs w:val="20"/>
        </w:rPr>
      </w:pPr>
    </w:p>
    <w:p w14:paraId="5AFC07E9" w14:textId="19E8B9A6" w:rsidR="007536DF" w:rsidRPr="00B45DF9" w:rsidRDefault="007536DF" w:rsidP="00672386">
      <w:pPr>
        <w:rPr>
          <w:rFonts w:ascii="Arial" w:hAnsi="Arial" w:cs="Arial"/>
          <w:sz w:val="20"/>
          <w:szCs w:val="20"/>
        </w:rPr>
      </w:pPr>
      <w:r w:rsidRPr="00B45DF9">
        <w:rPr>
          <w:rFonts w:ascii="Arial" w:hAnsi="Arial" w:cs="Arial"/>
          <w:sz w:val="20"/>
          <w:szCs w:val="20"/>
        </w:rPr>
        <w:t>Vybraná odvětví, která nejvíce ovlivnila výši celkového meziročního indexu:</w:t>
      </w:r>
    </w:p>
    <w:p w14:paraId="15E0FD21" w14:textId="77777777" w:rsidR="00257749" w:rsidRPr="00B45DF9" w:rsidRDefault="00257749" w:rsidP="00672386">
      <w:pPr>
        <w:rPr>
          <w:rFonts w:ascii="Arial" w:hAnsi="Arial" w:cs="Arial"/>
          <w:sz w:val="20"/>
          <w:szCs w:val="20"/>
        </w:rPr>
      </w:pPr>
    </w:p>
    <w:p w14:paraId="2B97EB96" w14:textId="2B16BC3D" w:rsidR="001738E7" w:rsidRPr="00B45DF9" w:rsidRDefault="00B932DE" w:rsidP="002103EA">
      <w:pPr>
        <w:spacing w:line="276" w:lineRule="auto"/>
        <w:rPr>
          <w:rFonts w:ascii="Arial" w:hAnsi="Arial" w:cs="Arial"/>
          <w:b/>
          <w:sz w:val="20"/>
          <w:szCs w:val="20"/>
        </w:rPr>
      </w:pPr>
      <w:r w:rsidRPr="00B45DF9">
        <w:rPr>
          <w:rFonts w:ascii="Arial" w:hAnsi="Arial" w:cs="Arial"/>
          <w:noProof/>
          <w:sz w:val="20"/>
          <w:szCs w:val="20"/>
        </w:rPr>
        <w:drawing>
          <wp:inline distT="0" distB="0" distL="0" distR="0" wp14:anchorId="644BC2A7" wp14:editId="38297673">
            <wp:extent cx="5760720" cy="2498090"/>
            <wp:effectExtent l="0" t="0" r="0" b="0"/>
            <wp:docPr id="1872053864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498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5AEB04" w14:textId="4953CCB6" w:rsidR="002F1FF9" w:rsidRPr="00B45DF9" w:rsidRDefault="002F1FF9" w:rsidP="002103EA">
      <w:pPr>
        <w:spacing w:line="276" w:lineRule="auto"/>
        <w:rPr>
          <w:rFonts w:ascii="Arial" w:hAnsi="Arial" w:cs="Arial"/>
          <w:b/>
          <w:sz w:val="20"/>
          <w:szCs w:val="20"/>
        </w:rPr>
      </w:pPr>
    </w:p>
    <w:p w14:paraId="1D8039DC" w14:textId="77777777" w:rsidR="00257749" w:rsidRPr="00B45DF9" w:rsidRDefault="00257749" w:rsidP="00FB6EF1">
      <w:pPr>
        <w:spacing w:line="276" w:lineRule="auto"/>
        <w:rPr>
          <w:rFonts w:ascii="Arial" w:hAnsi="Arial" w:cs="Arial"/>
          <w:b/>
          <w:sz w:val="20"/>
          <w:szCs w:val="20"/>
        </w:rPr>
      </w:pPr>
    </w:p>
    <w:p w14:paraId="166251DD" w14:textId="237F10F8" w:rsidR="00FB6EF1" w:rsidRPr="00B45DF9" w:rsidRDefault="002103EA" w:rsidP="00FB6EF1">
      <w:pPr>
        <w:spacing w:line="276" w:lineRule="auto"/>
        <w:rPr>
          <w:rFonts w:ascii="Arial" w:hAnsi="Arial" w:cs="Arial"/>
          <w:sz w:val="20"/>
          <w:szCs w:val="20"/>
        </w:rPr>
      </w:pPr>
      <w:r w:rsidRPr="00B45DF9">
        <w:rPr>
          <w:rFonts w:ascii="Arial" w:hAnsi="Arial" w:cs="Arial"/>
          <w:b/>
          <w:sz w:val="20"/>
          <w:szCs w:val="20"/>
        </w:rPr>
        <w:t xml:space="preserve">Klouzavý průměr </w:t>
      </w:r>
      <w:r w:rsidRPr="00B45DF9">
        <w:rPr>
          <w:rFonts w:ascii="Arial" w:hAnsi="Arial" w:cs="Arial"/>
          <w:sz w:val="20"/>
          <w:szCs w:val="20"/>
        </w:rPr>
        <w:t>úhrnného indexu cen průmyslových výrobců (tj. podíl průměru bazických indexů za posledních 12 měsíců k průměru bazických inde</w:t>
      </w:r>
      <w:r w:rsidR="001F22D3" w:rsidRPr="00B45DF9">
        <w:rPr>
          <w:rFonts w:ascii="Arial" w:hAnsi="Arial" w:cs="Arial"/>
          <w:sz w:val="20"/>
          <w:szCs w:val="20"/>
        </w:rPr>
        <w:t>xů za předchozích 12 měsíců) byl</w:t>
      </w:r>
      <w:r w:rsidR="003435B8" w:rsidRPr="00B45DF9">
        <w:rPr>
          <w:rFonts w:ascii="Arial" w:hAnsi="Arial" w:cs="Arial"/>
          <w:sz w:val="20"/>
          <w:szCs w:val="20"/>
        </w:rPr>
        <w:t xml:space="preserve"> </w:t>
      </w:r>
      <w:r w:rsidR="00B932DE" w:rsidRPr="00B45DF9">
        <w:rPr>
          <w:rFonts w:ascii="Arial" w:hAnsi="Arial" w:cs="Arial"/>
          <w:sz w:val="20"/>
          <w:szCs w:val="20"/>
        </w:rPr>
        <w:t>99,6</w:t>
      </w:r>
    </w:p>
    <w:p w14:paraId="282AC64A" w14:textId="77777777" w:rsidR="000E31E6" w:rsidRPr="00B45DF9" w:rsidRDefault="000E31E6" w:rsidP="00FB6EF1">
      <w:pPr>
        <w:spacing w:line="276" w:lineRule="auto"/>
        <w:rPr>
          <w:rFonts w:ascii="Arial" w:hAnsi="Arial" w:cs="Arial"/>
          <w:sz w:val="20"/>
          <w:szCs w:val="20"/>
        </w:rPr>
      </w:pPr>
    </w:p>
    <w:p w14:paraId="3FCE8932" w14:textId="77777777" w:rsidR="004440BA" w:rsidRPr="00B45DF9" w:rsidRDefault="004440BA" w:rsidP="00257749">
      <w:pPr>
        <w:rPr>
          <w:rFonts w:ascii="Arial" w:hAnsi="Arial" w:cs="Arial"/>
          <w:sz w:val="20"/>
          <w:szCs w:val="20"/>
        </w:rPr>
      </w:pPr>
    </w:p>
    <w:p w14:paraId="471CF5CF" w14:textId="77777777" w:rsidR="00B932DE" w:rsidRPr="00B45DF9" w:rsidRDefault="00B932DE" w:rsidP="00B932DE">
      <w:pPr>
        <w:rPr>
          <w:rFonts w:ascii="Arial" w:hAnsi="Arial" w:cs="Arial"/>
          <w:sz w:val="20"/>
          <w:szCs w:val="20"/>
        </w:rPr>
      </w:pPr>
      <w:r w:rsidRPr="00B45DF9">
        <w:rPr>
          <w:rFonts w:ascii="Arial" w:hAnsi="Arial" w:cs="Arial"/>
          <w:sz w:val="20"/>
          <w:szCs w:val="20"/>
        </w:rPr>
        <w:t xml:space="preserve">Při hodnocení podle </w:t>
      </w:r>
      <w:r w:rsidRPr="00B45DF9">
        <w:rPr>
          <w:rFonts w:ascii="Arial" w:hAnsi="Arial" w:cs="Arial"/>
          <w:b/>
          <w:sz w:val="20"/>
          <w:szCs w:val="20"/>
        </w:rPr>
        <w:t>hlavních průmyslových skupin</w:t>
      </w:r>
      <w:r w:rsidRPr="00B45DF9">
        <w:rPr>
          <w:rFonts w:ascii="Arial" w:hAnsi="Arial" w:cs="Arial"/>
          <w:sz w:val="20"/>
          <w:szCs w:val="20"/>
        </w:rPr>
        <w:t xml:space="preserve"> se </w:t>
      </w:r>
      <w:r w:rsidRPr="00B45DF9">
        <w:rPr>
          <w:rFonts w:ascii="Arial" w:hAnsi="Arial" w:cs="Arial"/>
          <w:b/>
          <w:sz w:val="20"/>
          <w:szCs w:val="20"/>
        </w:rPr>
        <w:t xml:space="preserve">meziročně </w:t>
      </w:r>
      <w:r w:rsidRPr="00B45DF9">
        <w:rPr>
          <w:rFonts w:ascii="Arial" w:hAnsi="Arial" w:cs="Arial"/>
          <w:bCs/>
          <w:sz w:val="20"/>
          <w:szCs w:val="20"/>
        </w:rPr>
        <w:t>zvýšily</w:t>
      </w:r>
      <w:r w:rsidRPr="00B45DF9">
        <w:rPr>
          <w:rFonts w:ascii="Arial" w:hAnsi="Arial" w:cs="Arial"/>
          <w:sz w:val="20"/>
          <w:szCs w:val="20"/>
        </w:rPr>
        <w:t xml:space="preserve"> ceny meziproduktů o 4,4 % a ceny energií o 3,4 %. Ceny zboží krátkodobé spotřeby se snížily o 2,5 %. Vyšší byly ceny </w:t>
      </w:r>
      <w:r w:rsidRPr="00B45DF9">
        <w:rPr>
          <w:rFonts w:ascii="Arial" w:hAnsi="Arial" w:cs="Arial"/>
          <w:b/>
          <w:sz w:val="20"/>
          <w:szCs w:val="20"/>
        </w:rPr>
        <w:t>průmyslových výrobců</w:t>
      </w:r>
      <w:r w:rsidRPr="00B45DF9">
        <w:rPr>
          <w:rFonts w:ascii="Arial" w:hAnsi="Arial" w:cs="Arial"/>
          <w:sz w:val="20"/>
          <w:szCs w:val="20"/>
        </w:rPr>
        <w:t xml:space="preserve"> </w:t>
      </w:r>
      <w:r w:rsidRPr="00B45DF9">
        <w:rPr>
          <w:rFonts w:ascii="Arial" w:hAnsi="Arial" w:cs="Arial"/>
          <w:b/>
          <w:sz w:val="20"/>
          <w:szCs w:val="20"/>
        </w:rPr>
        <w:t>bez energií</w:t>
      </w:r>
      <w:r w:rsidRPr="00B45DF9">
        <w:rPr>
          <w:rFonts w:ascii="Arial" w:hAnsi="Arial" w:cs="Arial"/>
          <w:sz w:val="20"/>
          <w:szCs w:val="20"/>
        </w:rPr>
        <w:t xml:space="preserve"> o 1,5 % (v červenci 1,4 %).</w:t>
      </w:r>
    </w:p>
    <w:p w14:paraId="0441030F" w14:textId="30F34016" w:rsidR="00892A55" w:rsidRPr="00B45DF9" w:rsidRDefault="00892A55" w:rsidP="00892A55">
      <w:pPr>
        <w:rPr>
          <w:rFonts w:ascii="Arial" w:hAnsi="Arial" w:cs="Arial"/>
          <w:sz w:val="20"/>
          <w:szCs w:val="20"/>
        </w:rPr>
      </w:pPr>
    </w:p>
    <w:p w14:paraId="232CE54C" w14:textId="6C9FCBF6" w:rsidR="00BC1E6D" w:rsidRPr="00B45DF9" w:rsidRDefault="00BC1E6D" w:rsidP="00BC1E6D">
      <w:pPr>
        <w:rPr>
          <w:rFonts w:ascii="Arial" w:hAnsi="Arial" w:cs="Arial"/>
          <w:sz w:val="20"/>
          <w:szCs w:val="20"/>
        </w:rPr>
      </w:pPr>
    </w:p>
    <w:p w14:paraId="2FA172B6" w14:textId="0C65683C" w:rsidR="004B75EB" w:rsidRPr="00B45DF9" w:rsidRDefault="004B75EB" w:rsidP="004B75EB">
      <w:pPr>
        <w:rPr>
          <w:rFonts w:ascii="Arial" w:hAnsi="Arial" w:cs="Arial"/>
          <w:sz w:val="20"/>
          <w:szCs w:val="20"/>
        </w:rPr>
      </w:pPr>
    </w:p>
    <w:p w14:paraId="258DE052" w14:textId="5FBA8516" w:rsidR="009072D5" w:rsidRPr="00B45DF9" w:rsidRDefault="009072D5" w:rsidP="009072D5">
      <w:pPr>
        <w:rPr>
          <w:rFonts w:ascii="Arial" w:hAnsi="Arial" w:cs="Arial"/>
          <w:b/>
          <w:sz w:val="20"/>
          <w:szCs w:val="20"/>
        </w:rPr>
      </w:pPr>
    </w:p>
    <w:p w14:paraId="2C7DF58B" w14:textId="08C41DCB" w:rsidR="00813F40" w:rsidRPr="00B45DF9" w:rsidRDefault="00FF2040" w:rsidP="00937F53">
      <w:pPr>
        <w:spacing w:line="276" w:lineRule="auto"/>
        <w:rPr>
          <w:rFonts w:ascii="Arial" w:hAnsi="Arial" w:cs="Arial"/>
          <w:b/>
          <w:sz w:val="20"/>
          <w:szCs w:val="20"/>
        </w:rPr>
      </w:pPr>
      <w:r w:rsidRPr="00B45DF9">
        <w:rPr>
          <w:rFonts w:ascii="Arial" w:hAnsi="Arial" w:cs="Arial"/>
          <w:b/>
          <w:sz w:val="20"/>
          <w:szCs w:val="20"/>
        </w:rPr>
        <w:t xml:space="preserve">Komentář k průměrným cenám průmyslových výrobců – </w:t>
      </w:r>
      <w:r w:rsidR="00B45DF9">
        <w:rPr>
          <w:rFonts w:ascii="Arial" w:hAnsi="Arial" w:cs="Arial"/>
          <w:b/>
          <w:sz w:val="20"/>
          <w:szCs w:val="20"/>
        </w:rPr>
        <w:t>srpen</w:t>
      </w:r>
      <w:r w:rsidR="004878D9" w:rsidRPr="00B45DF9">
        <w:rPr>
          <w:rFonts w:ascii="Arial" w:hAnsi="Arial" w:cs="Arial"/>
          <w:b/>
          <w:sz w:val="20"/>
          <w:szCs w:val="20"/>
        </w:rPr>
        <w:t xml:space="preserve"> 2</w:t>
      </w:r>
      <w:r w:rsidR="00F17CA8" w:rsidRPr="00B45DF9">
        <w:rPr>
          <w:rFonts w:ascii="Arial" w:hAnsi="Arial" w:cs="Arial"/>
          <w:b/>
          <w:sz w:val="20"/>
          <w:szCs w:val="20"/>
        </w:rPr>
        <w:t>026</w:t>
      </w:r>
    </w:p>
    <w:p w14:paraId="69F0DA72" w14:textId="77777777" w:rsidR="00DD4BEB" w:rsidRDefault="00DD4BEB" w:rsidP="00DD4BEB">
      <w:pPr>
        <w:rPr>
          <w:rFonts w:ascii="Arial" w:hAnsi="Arial" w:cs="Arial"/>
          <w:b/>
          <w:bCs/>
          <w:sz w:val="20"/>
          <w:szCs w:val="20"/>
        </w:rPr>
      </w:pPr>
    </w:p>
    <w:p w14:paraId="59651551" w14:textId="77777777" w:rsidR="00B45DF9" w:rsidRDefault="00B45DF9" w:rsidP="00B45DF9">
      <w:pPr>
        <w:rPr>
          <w:rFonts w:ascii="Arial" w:hAnsi="Arial" w:cs="Arial"/>
          <w:sz w:val="20"/>
          <w:szCs w:val="20"/>
        </w:rPr>
      </w:pPr>
      <w:r w:rsidRPr="007C7EC2">
        <w:rPr>
          <w:rFonts w:ascii="Arial" w:hAnsi="Arial" w:cs="Arial"/>
          <w:b/>
          <w:bCs/>
          <w:sz w:val="20"/>
          <w:szCs w:val="20"/>
        </w:rPr>
        <w:t>101111 Hovězí maso zadní bez kosti</w:t>
      </w:r>
      <w:r>
        <w:rPr>
          <w:rFonts w:ascii="Arial" w:hAnsi="Arial" w:cs="Arial"/>
          <w:sz w:val="20"/>
          <w:szCs w:val="20"/>
        </w:rPr>
        <w:t xml:space="preserve">: </w:t>
      </w:r>
      <w:r w:rsidRPr="007C7EC2">
        <w:rPr>
          <w:rFonts w:ascii="Arial" w:hAnsi="Arial" w:cs="Arial"/>
          <w:sz w:val="20"/>
          <w:szCs w:val="20"/>
        </w:rPr>
        <w:t>akční slevy i vliv nákupních cen</w:t>
      </w:r>
    </w:p>
    <w:p w14:paraId="15EFB280" w14:textId="77777777" w:rsidR="00B45DF9" w:rsidRDefault="00B45DF9" w:rsidP="00B45DF9">
      <w:pPr>
        <w:rPr>
          <w:rFonts w:ascii="Arial" w:hAnsi="Arial" w:cs="Arial"/>
          <w:sz w:val="20"/>
          <w:szCs w:val="20"/>
        </w:rPr>
      </w:pPr>
    </w:p>
    <w:p w14:paraId="279F8575" w14:textId="77777777" w:rsidR="00B45DF9" w:rsidRDefault="00B45DF9" w:rsidP="00B45DF9">
      <w:pPr>
        <w:rPr>
          <w:rFonts w:ascii="Arial" w:hAnsi="Arial" w:cs="Arial"/>
          <w:sz w:val="20"/>
          <w:szCs w:val="20"/>
        </w:rPr>
      </w:pPr>
      <w:r w:rsidRPr="007C7EC2">
        <w:rPr>
          <w:rFonts w:ascii="Arial" w:hAnsi="Arial" w:cs="Arial"/>
          <w:b/>
          <w:bCs/>
          <w:sz w:val="20"/>
          <w:szCs w:val="20"/>
        </w:rPr>
        <w:t>101112 Vepřová kýta bez kosti</w:t>
      </w:r>
      <w:r>
        <w:rPr>
          <w:rFonts w:ascii="Arial" w:hAnsi="Arial" w:cs="Arial"/>
          <w:sz w:val="20"/>
          <w:szCs w:val="20"/>
        </w:rPr>
        <w:t xml:space="preserve">: </w:t>
      </w:r>
      <w:r w:rsidRPr="007C7EC2">
        <w:rPr>
          <w:rFonts w:ascii="Arial" w:hAnsi="Arial" w:cs="Arial"/>
          <w:sz w:val="20"/>
          <w:szCs w:val="20"/>
        </w:rPr>
        <w:t>akce i nízká cena vepřového na trhu</w:t>
      </w:r>
    </w:p>
    <w:p w14:paraId="2DCFB2BF" w14:textId="77777777" w:rsidR="00B45DF9" w:rsidRDefault="00B45DF9" w:rsidP="00B45DF9">
      <w:pPr>
        <w:rPr>
          <w:rFonts w:ascii="Arial" w:hAnsi="Arial" w:cs="Arial"/>
          <w:sz w:val="20"/>
          <w:szCs w:val="20"/>
        </w:rPr>
      </w:pPr>
    </w:p>
    <w:p w14:paraId="140909AE" w14:textId="77777777" w:rsidR="00B45DF9" w:rsidRDefault="00B45DF9" w:rsidP="00B45DF9">
      <w:pPr>
        <w:rPr>
          <w:rFonts w:ascii="Arial" w:hAnsi="Arial" w:cs="Arial"/>
          <w:sz w:val="20"/>
          <w:szCs w:val="20"/>
        </w:rPr>
      </w:pPr>
      <w:r w:rsidRPr="007C7EC2">
        <w:rPr>
          <w:rFonts w:ascii="Arial" w:hAnsi="Arial" w:cs="Arial"/>
          <w:b/>
          <w:bCs/>
          <w:sz w:val="20"/>
          <w:szCs w:val="20"/>
        </w:rPr>
        <w:t>101314 Špekáčky:</w:t>
      </w:r>
      <w:r w:rsidRPr="007C7EC2">
        <w:rPr>
          <w:rFonts w:ascii="Arial" w:hAnsi="Arial" w:cs="Arial"/>
          <w:sz w:val="20"/>
          <w:szCs w:val="20"/>
        </w:rPr>
        <w:t xml:space="preserve"> vyšší cena po letních slevových akcích</w:t>
      </w:r>
    </w:p>
    <w:p w14:paraId="39C505D8" w14:textId="77777777" w:rsidR="00B45DF9" w:rsidRDefault="00B45DF9" w:rsidP="00B45DF9">
      <w:pPr>
        <w:rPr>
          <w:rFonts w:ascii="Arial" w:hAnsi="Arial" w:cs="Arial"/>
          <w:sz w:val="20"/>
          <w:szCs w:val="20"/>
        </w:rPr>
      </w:pPr>
    </w:p>
    <w:p w14:paraId="567DFAB2" w14:textId="77777777" w:rsidR="00B45DF9" w:rsidRDefault="00B45DF9" w:rsidP="00B45DF9">
      <w:pPr>
        <w:rPr>
          <w:rFonts w:ascii="Arial" w:hAnsi="Arial" w:cs="Arial"/>
          <w:sz w:val="20"/>
          <w:szCs w:val="20"/>
        </w:rPr>
      </w:pPr>
      <w:r w:rsidRPr="007C7EC2">
        <w:rPr>
          <w:rFonts w:ascii="Arial" w:hAnsi="Arial" w:cs="Arial"/>
          <w:b/>
          <w:bCs/>
          <w:sz w:val="20"/>
          <w:szCs w:val="20"/>
        </w:rPr>
        <w:t>108112 Cukr krystal</w:t>
      </w:r>
      <w:r>
        <w:rPr>
          <w:rFonts w:ascii="Arial" w:hAnsi="Arial" w:cs="Arial"/>
          <w:b/>
          <w:bCs/>
          <w:sz w:val="20"/>
          <w:szCs w:val="20"/>
        </w:rPr>
        <w:t>:</w:t>
      </w:r>
      <w:r w:rsidRPr="007C7EC2">
        <w:rPr>
          <w:rFonts w:ascii="Arial" w:hAnsi="Arial" w:cs="Arial"/>
          <w:sz w:val="20"/>
          <w:szCs w:val="20"/>
        </w:rPr>
        <w:t xml:space="preserve"> v</w:t>
      </w:r>
      <w:r>
        <w:rPr>
          <w:rFonts w:ascii="Arial" w:hAnsi="Arial" w:cs="Arial"/>
          <w:sz w:val="20"/>
          <w:szCs w:val="20"/>
        </w:rPr>
        <w:t>l</w:t>
      </w:r>
      <w:r w:rsidRPr="007C7EC2">
        <w:rPr>
          <w:rFonts w:ascii="Arial" w:hAnsi="Arial" w:cs="Arial"/>
          <w:sz w:val="20"/>
          <w:szCs w:val="20"/>
        </w:rPr>
        <w:t>iv trhu</w:t>
      </w:r>
    </w:p>
    <w:p w14:paraId="391AEF8F" w14:textId="77777777" w:rsidR="00B45DF9" w:rsidRPr="00B45DF9" w:rsidRDefault="00B45DF9" w:rsidP="00DD4BEB">
      <w:pPr>
        <w:rPr>
          <w:rFonts w:ascii="Arial" w:hAnsi="Arial" w:cs="Arial"/>
          <w:b/>
          <w:bCs/>
          <w:sz w:val="20"/>
          <w:szCs w:val="20"/>
        </w:rPr>
      </w:pPr>
    </w:p>
    <w:sectPr w:rsidR="00B45DF9" w:rsidRPr="00B45DF9" w:rsidSect="00AF20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690E"/>
    <w:rsid w:val="0000106B"/>
    <w:rsid w:val="000022D7"/>
    <w:rsid w:val="0001782E"/>
    <w:rsid w:val="000202E4"/>
    <w:rsid w:val="00020BE2"/>
    <w:rsid w:val="000223F3"/>
    <w:rsid w:val="00023DA6"/>
    <w:rsid w:val="00023E59"/>
    <w:rsid w:val="000254C0"/>
    <w:rsid w:val="00032AB0"/>
    <w:rsid w:val="00033058"/>
    <w:rsid w:val="00035BE7"/>
    <w:rsid w:val="00042A37"/>
    <w:rsid w:val="00042C6B"/>
    <w:rsid w:val="00044663"/>
    <w:rsid w:val="00045708"/>
    <w:rsid w:val="00045CEE"/>
    <w:rsid w:val="00046747"/>
    <w:rsid w:val="00046FC1"/>
    <w:rsid w:val="000477C0"/>
    <w:rsid w:val="00050637"/>
    <w:rsid w:val="000550B0"/>
    <w:rsid w:val="00055F1C"/>
    <w:rsid w:val="00061AA0"/>
    <w:rsid w:val="00062B13"/>
    <w:rsid w:val="00062CF4"/>
    <w:rsid w:val="0006766B"/>
    <w:rsid w:val="000678F4"/>
    <w:rsid w:val="0007002B"/>
    <w:rsid w:val="0007353A"/>
    <w:rsid w:val="00074098"/>
    <w:rsid w:val="0007418D"/>
    <w:rsid w:val="000741FE"/>
    <w:rsid w:val="00075487"/>
    <w:rsid w:val="00083E8E"/>
    <w:rsid w:val="00085AE9"/>
    <w:rsid w:val="00085D17"/>
    <w:rsid w:val="00086E5E"/>
    <w:rsid w:val="00087B53"/>
    <w:rsid w:val="00090D82"/>
    <w:rsid w:val="000926E5"/>
    <w:rsid w:val="00092D76"/>
    <w:rsid w:val="00093B86"/>
    <w:rsid w:val="0009716F"/>
    <w:rsid w:val="000978C7"/>
    <w:rsid w:val="000A0479"/>
    <w:rsid w:val="000A3B03"/>
    <w:rsid w:val="000A3FCB"/>
    <w:rsid w:val="000B0045"/>
    <w:rsid w:val="000B2012"/>
    <w:rsid w:val="000B40B5"/>
    <w:rsid w:val="000B474E"/>
    <w:rsid w:val="000C08CA"/>
    <w:rsid w:val="000C5DE1"/>
    <w:rsid w:val="000D0A77"/>
    <w:rsid w:val="000D1D25"/>
    <w:rsid w:val="000D28E7"/>
    <w:rsid w:val="000D2A3B"/>
    <w:rsid w:val="000D380B"/>
    <w:rsid w:val="000D6552"/>
    <w:rsid w:val="000D68AA"/>
    <w:rsid w:val="000D7CFF"/>
    <w:rsid w:val="000E31E6"/>
    <w:rsid w:val="000E35E5"/>
    <w:rsid w:val="000E5FED"/>
    <w:rsid w:val="000E66A8"/>
    <w:rsid w:val="000F05A3"/>
    <w:rsid w:val="000F186E"/>
    <w:rsid w:val="001024B5"/>
    <w:rsid w:val="00103356"/>
    <w:rsid w:val="00103E6B"/>
    <w:rsid w:val="00103F92"/>
    <w:rsid w:val="0010409B"/>
    <w:rsid w:val="00105427"/>
    <w:rsid w:val="00105D75"/>
    <w:rsid w:val="00106FBA"/>
    <w:rsid w:val="00111BF2"/>
    <w:rsid w:val="00113546"/>
    <w:rsid w:val="00117006"/>
    <w:rsid w:val="001178ED"/>
    <w:rsid w:val="00117E2E"/>
    <w:rsid w:val="00120962"/>
    <w:rsid w:val="0012169E"/>
    <w:rsid w:val="00122A60"/>
    <w:rsid w:val="00122B3C"/>
    <w:rsid w:val="00126429"/>
    <w:rsid w:val="00126495"/>
    <w:rsid w:val="0012740D"/>
    <w:rsid w:val="0013275B"/>
    <w:rsid w:val="00134B24"/>
    <w:rsid w:val="0013605E"/>
    <w:rsid w:val="00136357"/>
    <w:rsid w:val="00136D6E"/>
    <w:rsid w:val="00137BD3"/>
    <w:rsid w:val="001448DC"/>
    <w:rsid w:val="00146378"/>
    <w:rsid w:val="0014757F"/>
    <w:rsid w:val="001501C2"/>
    <w:rsid w:val="001508AA"/>
    <w:rsid w:val="00150C7F"/>
    <w:rsid w:val="001511F2"/>
    <w:rsid w:val="0015155D"/>
    <w:rsid w:val="00156776"/>
    <w:rsid w:val="00156EE7"/>
    <w:rsid w:val="00157CCC"/>
    <w:rsid w:val="001602F6"/>
    <w:rsid w:val="00161FE6"/>
    <w:rsid w:val="00162B49"/>
    <w:rsid w:val="00171EF3"/>
    <w:rsid w:val="00172892"/>
    <w:rsid w:val="001738E7"/>
    <w:rsid w:val="00175755"/>
    <w:rsid w:val="00176980"/>
    <w:rsid w:val="00184992"/>
    <w:rsid w:val="00185C3D"/>
    <w:rsid w:val="00190F5B"/>
    <w:rsid w:val="0019496E"/>
    <w:rsid w:val="00196D74"/>
    <w:rsid w:val="001A0948"/>
    <w:rsid w:val="001A27C4"/>
    <w:rsid w:val="001A7E52"/>
    <w:rsid w:val="001B3D82"/>
    <w:rsid w:val="001B50F0"/>
    <w:rsid w:val="001B5D34"/>
    <w:rsid w:val="001B5ED9"/>
    <w:rsid w:val="001B6EE4"/>
    <w:rsid w:val="001C097E"/>
    <w:rsid w:val="001C3C89"/>
    <w:rsid w:val="001C588B"/>
    <w:rsid w:val="001D3179"/>
    <w:rsid w:val="001E15AF"/>
    <w:rsid w:val="001E2575"/>
    <w:rsid w:val="001E650C"/>
    <w:rsid w:val="001F102A"/>
    <w:rsid w:val="001F12D2"/>
    <w:rsid w:val="001F22D3"/>
    <w:rsid w:val="001F5A1A"/>
    <w:rsid w:val="001F69EE"/>
    <w:rsid w:val="001F7468"/>
    <w:rsid w:val="00200845"/>
    <w:rsid w:val="002013D1"/>
    <w:rsid w:val="0020233F"/>
    <w:rsid w:val="00202CFF"/>
    <w:rsid w:val="002033EA"/>
    <w:rsid w:val="00204A1A"/>
    <w:rsid w:val="002068D1"/>
    <w:rsid w:val="002103EA"/>
    <w:rsid w:val="002139B4"/>
    <w:rsid w:val="002227CA"/>
    <w:rsid w:val="002234D6"/>
    <w:rsid w:val="00224C30"/>
    <w:rsid w:val="0022640E"/>
    <w:rsid w:val="00234633"/>
    <w:rsid w:val="00235F74"/>
    <w:rsid w:val="002440DC"/>
    <w:rsid w:val="002442A3"/>
    <w:rsid w:val="00244757"/>
    <w:rsid w:val="00244FDA"/>
    <w:rsid w:val="00256B85"/>
    <w:rsid w:val="00257749"/>
    <w:rsid w:val="00257A86"/>
    <w:rsid w:val="00262BF3"/>
    <w:rsid w:val="00262C3B"/>
    <w:rsid w:val="002646F1"/>
    <w:rsid w:val="002660C4"/>
    <w:rsid w:val="00277979"/>
    <w:rsid w:val="00277CCD"/>
    <w:rsid w:val="0028058B"/>
    <w:rsid w:val="00280EB3"/>
    <w:rsid w:val="0028404E"/>
    <w:rsid w:val="00285A29"/>
    <w:rsid w:val="002864C3"/>
    <w:rsid w:val="00290EE2"/>
    <w:rsid w:val="00291CAE"/>
    <w:rsid w:val="00294E35"/>
    <w:rsid w:val="002A1B44"/>
    <w:rsid w:val="002A20A9"/>
    <w:rsid w:val="002A3424"/>
    <w:rsid w:val="002A3B48"/>
    <w:rsid w:val="002A3CF4"/>
    <w:rsid w:val="002A6B83"/>
    <w:rsid w:val="002B1A4A"/>
    <w:rsid w:val="002B34C4"/>
    <w:rsid w:val="002C0A0E"/>
    <w:rsid w:val="002C2FDA"/>
    <w:rsid w:val="002C52BA"/>
    <w:rsid w:val="002D21CE"/>
    <w:rsid w:val="002D30AF"/>
    <w:rsid w:val="002D4A20"/>
    <w:rsid w:val="002E00B1"/>
    <w:rsid w:val="002E1BB4"/>
    <w:rsid w:val="002E37A6"/>
    <w:rsid w:val="002E424F"/>
    <w:rsid w:val="002E4B33"/>
    <w:rsid w:val="002E4D62"/>
    <w:rsid w:val="002E5AF7"/>
    <w:rsid w:val="002E6362"/>
    <w:rsid w:val="002F1FF9"/>
    <w:rsid w:val="002F380B"/>
    <w:rsid w:val="002F4EED"/>
    <w:rsid w:val="002F52EA"/>
    <w:rsid w:val="002F6771"/>
    <w:rsid w:val="0030021B"/>
    <w:rsid w:val="00300F53"/>
    <w:rsid w:val="00302EB4"/>
    <w:rsid w:val="003101B0"/>
    <w:rsid w:val="003118A9"/>
    <w:rsid w:val="00311EB7"/>
    <w:rsid w:val="003149EF"/>
    <w:rsid w:val="003159FB"/>
    <w:rsid w:val="00316C58"/>
    <w:rsid w:val="003178D3"/>
    <w:rsid w:val="003206BF"/>
    <w:rsid w:val="00322E8F"/>
    <w:rsid w:val="00325CA7"/>
    <w:rsid w:val="0032638E"/>
    <w:rsid w:val="00330357"/>
    <w:rsid w:val="00332459"/>
    <w:rsid w:val="0033347F"/>
    <w:rsid w:val="00335CBC"/>
    <w:rsid w:val="00340E6F"/>
    <w:rsid w:val="003435B8"/>
    <w:rsid w:val="003448B6"/>
    <w:rsid w:val="00350B23"/>
    <w:rsid w:val="00352062"/>
    <w:rsid w:val="00357423"/>
    <w:rsid w:val="0036165F"/>
    <w:rsid w:val="0036166C"/>
    <w:rsid w:val="0037287B"/>
    <w:rsid w:val="00375C47"/>
    <w:rsid w:val="00376E40"/>
    <w:rsid w:val="00377F2E"/>
    <w:rsid w:val="00381BD9"/>
    <w:rsid w:val="0038697C"/>
    <w:rsid w:val="003969B5"/>
    <w:rsid w:val="00396D4D"/>
    <w:rsid w:val="003A20A9"/>
    <w:rsid w:val="003B4449"/>
    <w:rsid w:val="003B47B1"/>
    <w:rsid w:val="003B4FEA"/>
    <w:rsid w:val="003B51B9"/>
    <w:rsid w:val="003C780A"/>
    <w:rsid w:val="003D4EEB"/>
    <w:rsid w:val="003D706C"/>
    <w:rsid w:val="003E2247"/>
    <w:rsid w:val="003E3523"/>
    <w:rsid w:val="003E4894"/>
    <w:rsid w:val="003E5603"/>
    <w:rsid w:val="003E6128"/>
    <w:rsid w:val="003E767F"/>
    <w:rsid w:val="003E7B1B"/>
    <w:rsid w:val="003F090B"/>
    <w:rsid w:val="003F5EA5"/>
    <w:rsid w:val="004047F7"/>
    <w:rsid w:val="00404DC9"/>
    <w:rsid w:val="004058C9"/>
    <w:rsid w:val="00406847"/>
    <w:rsid w:val="00407B11"/>
    <w:rsid w:val="00411AE0"/>
    <w:rsid w:val="00412275"/>
    <w:rsid w:val="004124D2"/>
    <w:rsid w:val="004159F2"/>
    <w:rsid w:val="004175FF"/>
    <w:rsid w:val="00420B51"/>
    <w:rsid w:val="00421872"/>
    <w:rsid w:val="00422C9E"/>
    <w:rsid w:val="00425B4C"/>
    <w:rsid w:val="004260D7"/>
    <w:rsid w:val="004339B8"/>
    <w:rsid w:val="00434D42"/>
    <w:rsid w:val="00435CD8"/>
    <w:rsid w:val="00436807"/>
    <w:rsid w:val="00436FA9"/>
    <w:rsid w:val="00440442"/>
    <w:rsid w:val="004440BA"/>
    <w:rsid w:val="00444463"/>
    <w:rsid w:val="00445652"/>
    <w:rsid w:val="00447BA3"/>
    <w:rsid w:val="004508AD"/>
    <w:rsid w:val="00450DC6"/>
    <w:rsid w:val="00451F0D"/>
    <w:rsid w:val="00460A69"/>
    <w:rsid w:val="00460F69"/>
    <w:rsid w:val="004614A7"/>
    <w:rsid w:val="004670F3"/>
    <w:rsid w:val="004678BA"/>
    <w:rsid w:val="004704DD"/>
    <w:rsid w:val="0047091B"/>
    <w:rsid w:val="00471D95"/>
    <w:rsid w:val="004724F3"/>
    <w:rsid w:val="004732E2"/>
    <w:rsid w:val="004751D4"/>
    <w:rsid w:val="004825D8"/>
    <w:rsid w:val="004878D9"/>
    <w:rsid w:val="00497183"/>
    <w:rsid w:val="004A0AE2"/>
    <w:rsid w:val="004B4730"/>
    <w:rsid w:val="004B4CA5"/>
    <w:rsid w:val="004B5F23"/>
    <w:rsid w:val="004B75EB"/>
    <w:rsid w:val="004C177C"/>
    <w:rsid w:val="004C1C89"/>
    <w:rsid w:val="004C2F62"/>
    <w:rsid w:val="004D6159"/>
    <w:rsid w:val="004D706E"/>
    <w:rsid w:val="004D7DFF"/>
    <w:rsid w:val="004E200F"/>
    <w:rsid w:val="004E3373"/>
    <w:rsid w:val="004E347C"/>
    <w:rsid w:val="004E4B06"/>
    <w:rsid w:val="004E6777"/>
    <w:rsid w:val="004E74E7"/>
    <w:rsid w:val="004F11BE"/>
    <w:rsid w:val="004F142B"/>
    <w:rsid w:val="00500868"/>
    <w:rsid w:val="005025B6"/>
    <w:rsid w:val="00504F7C"/>
    <w:rsid w:val="00506963"/>
    <w:rsid w:val="00513D80"/>
    <w:rsid w:val="005161D6"/>
    <w:rsid w:val="00520709"/>
    <w:rsid w:val="0052164B"/>
    <w:rsid w:val="00535B4A"/>
    <w:rsid w:val="00546770"/>
    <w:rsid w:val="005566DB"/>
    <w:rsid w:val="00557407"/>
    <w:rsid w:val="00560673"/>
    <w:rsid w:val="00560EB8"/>
    <w:rsid w:val="00560F0A"/>
    <w:rsid w:val="005617F2"/>
    <w:rsid w:val="00562C5B"/>
    <w:rsid w:val="0057148E"/>
    <w:rsid w:val="005724DE"/>
    <w:rsid w:val="00572DFA"/>
    <w:rsid w:val="00573148"/>
    <w:rsid w:val="005745D1"/>
    <w:rsid w:val="00580C4A"/>
    <w:rsid w:val="00581475"/>
    <w:rsid w:val="005823AF"/>
    <w:rsid w:val="0058565A"/>
    <w:rsid w:val="00585780"/>
    <w:rsid w:val="00585E7D"/>
    <w:rsid w:val="005872FA"/>
    <w:rsid w:val="005937E4"/>
    <w:rsid w:val="0059676F"/>
    <w:rsid w:val="005A1352"/>
    <w:rsid w:val="005A29CC"/>
    <w:rsid w:val="005A78DB"/>
    <w:rsid w:val="005B024E"/>
    <w:rsid w:val="005C03F2"/>
    <w:rsid w:val="005C06D9"/>
    <w:rsid w:val="005C220D"/>
    <w:rsid w:val="005C6810"/>
    <w:rsid w:val="005C6C3B"/>
    <w:rsid w:val="005D28C5"/>
    <w:rsid w:val="005D350A"/>
    <w:rsid w:val="005D5D38"/>
    <w:rsid w:val="005E1F75"/>
    <w:rsid w:val="005E5135"/>
    <w:rsid w:val="005E70CB"/>
    <w:rsid w:val="005F0136"/>
    <w:rsid w:val="005F1F5B"/>
    <w:rsid w:val="005F56CE"/>
    <w:rsid w:val="005F5E25"/>
    <w:rsid w:val="005F700E"/>
    <w:rsid w:val="00602E58"/>
    <w:rsid w:val="0060464A"/>
    <w:rsid w:val="006058C6"/>
    <w:rsid w:val="00606D36"/>
    <w:rsid w:val="00607528"/>
    <w:rsid w:val="006164FB"/>
    <w:rsid w:val="0061659D"/>
    <w:rsid w:val="006215B4"/>
    <w:rsid w:val="00624B68"/>
    <w:rsid w:val="0062686C"/>
    <w:rsid w:val="006325DE"/>
    <w:rsid w:val="00635BF4"/>
    <w:rsid w:val="0063614F"/>
    <w:rsid w:val="00636F9A"/>
    <w:rsid w:val="006427A4"/>
    <w:rsid w:val="00644056"/>
    <w:rsid w:val="00646F2B"/>
    <w:rsid w:val="00647755"/>
    <w:rsid w:val="00650170"/>
    <w:rsid w:val="00650A06"/>
    <w:rsid w:val="006513C0"/>
    <w:rsid w:val="00651A58"/>
    <w:rsid w:val="006526A1"/>
    <w:rsid w:val="00653453"/>
    <w:rsid w:val="00663167"/>
    <w:rsid w:val="00663CE1"/>
    <w:rsid w:val="0066435D"/>
    <w:rsid w:val="00664603"/>
    <w:rsid w:val="00666FF6"/>
    <w:rsid w:val="00670F46"/>
    <w:rsid w:val="00672386"/>
    <w:rsid w:val="0067544B"/>
    <w:rsid w:val="00675EC8"/>
    <w:rsid w:val="00676E87"/>
    <w:rsid w:val="00683450"/>
    <w:rsid w:val="006856E2"/>
    <w:rsid w:val="00686095"/>
    <w:rsid w:val="00687B18"/>
    <w:rsid w:val="00690877"/>
    <w:rsid w:val="00693E11"/>
    <w:rsid w:val="00695342"/>
    <w:rsid w:val="006977A1"/>
    <w:rsid w:val="006A0D23"/>
    <w:rsid w:val="006A2D17"/>
    <w:rsid w:val="006A48C6"/>
    <w:rsid w:val="006A4C35"/>
    <w:rsid w:val="006B1973"/>
    <w:rsid w:val="006B2ED7"/>
    <w:rsid w:val="006B3B7A"/>
    <w:rsid w:val="006B483F"/>
    <w:rsid w:val="006B6B00"/>
    <w:rsid w:val="006C07A1"/>
    <w:rsid w:val="006C11CE"/>
    <w:rsid w:val="006C155A"/>
    <w:rsid w:val="006C1DCC"/>
    <w:rsid w:val="006C6809"/>
    <w:rsid w:val="006C759F"/>
    <w:rsid w:val="006C75CC"/>
    <w:rsid w:val="006D0389"/>
    <w:rsid w:val="006D0B68"/>
    <w:rsid w:val="006D1AB5"/>
    <w:rsid w:val="006D3C62"/>
    <w:rsid w:val="006D4052"/>
    <w:rsid w:val="006E0F86"/>
    <w:rsid w:val="006E2BBD"/>
    <w:rsid w:val="006E31F6"/>
    <w:rsid w:val="006E3CE5"/>
    <w:rsid w:val="006E6DEF"/>
    <w:rsid w:val="006E7305"/>
    <w:rsid w:val="006E7983"/>
    <w:rsid w:val="006F041D"/>
    <w:rsid w:val="006F04B3"/>
    <w:rsid w:val="006F1A94"/>
    <w:rsid w:val="006F244F"/>
    <w:rsid w:val="006F2662"/>
    <w:rsid w:val="006F46B4"/>
    <w:rsid w:val="00700E93"/>
    <w:rsid w:val="00704561"/>
    <w:rsid w:val="00705002"/>
    <w:rsid w:val="0071017A"/>
    <w:rsid w:val="007115EE"/>
    <w:rsid w:val="00714272"/>
    <w:rsid w:val="007144D5"/>
    <w:rsid w:val="00714746"/>
    <w:rsid w:val="007153E8"/>
    <w:rsid w:val="00715E65"/>
    <w:rsid w:val="00716B1F"/>
    <w:rsid w:val="007219F4"/>
    <w:rsid w:val="00722138"/>
    <w:rsid w:val="00730FDF"/>
    <w:rsid w:val="00732D9A"/>
    <w:rsid w:val="00735F55"/>
    <w:rsid w:val="00736BD4"/>
    <w:rsid w:val="00737FA4"/>
    <w:rsid w:val="00747CC6"/>
    <w:rsid w:val="007536DF"/>
    <w:rsid w:val="007552DF"/>
    <w:rsid w:val="007556FF"/>
    <w:rsid w:val="0076091D"/>
    <w:rsid w:val="00761F0F"/>
    <w:rsid w:val="00763E61"/>
    <w:rsid w:val="007715AF"/>
    <w:rsid w:val="00771866"/>
    <w:rsid w:val="0077335E"/>
    <w:rsid w:val="00773693"/>
    <w:rsid w:val="00774F2D"/>
    <w:rsid w:val="00784238"/>
    <w:rsid w:val="00785634"/>
    <w:rsid w:val="00794CFF"/>
    <w:rsid w:val="00797786"/>
    <w:rsid w:val="007A00FA"/>
    <w:rsid w:val="007A484F"/>
    <w:rsid w:val="007B0BBD"/>
    <w:rsid w:val="007B13E2"/>
    <w:rsid w:val="007B3BC8"/>
    <w:rsid w:val="007B642D"/>
    <w:rsid w:val="007B65F1"/>
    <w:rsid w:val="007B78FC"/>
    <w:rsid w:val="007C480F"/>
    <w:rsid w:val="007C6B13"/>
    <w:rsid w:val="007D0933"/>
    <w:rsid w:val="007D4D1C"/>
    <w:rsid w:val="007D55D5"/>
    <w:rsid w:val="007E2343"/>
    <w:rsid w:val="007E2421"/>
    <w:rsid w:val="007E28A6"/>
    <w:rsid w:val="007E351E"/>
    <w:rsid w:val="007E3F25"/>
    <w:rsid w:val="007E49A7"/>
    <w:rsid w:val="007E5E47"/>
    <w:rsid w:val="007F1FCB"/>
    <w:rsid w:val="007F515A"/>
    <w:rsid w:val="007F5A58"/>
    <w:rsid w:val="00801C1B"/>
    <w:rsid w:val="00802BDA"/>
    <w:rsid w:val="00803942"/>
    <w:rsid w:val="0080581C"/>
    <w:rsid w:val="00807AC1"/>
    <w:rsid w:val="00810BDC"/>
    <w:rsid w:val="00812DEF"/>
    <w:rsid w:val="008132F7"/>
    <w:rsid w:val="008133E3"/>
    <w:rsid w:val="008137E8"/>
    <w:rsid w:val="00813F40"/>
    <w:rsid w:val="00816C56"/>
    <w:rsid w:val="0082067F"/>
    <w:rsid w:val="00820A9F"/>
    <w:rsid w:val="00823A8F"/>
    <w:rsid w:val="008251FA"/>
    <w:rsid w:val="008256AC"/>
    <w:rsid w:val="008318CB"/>
    <w:rsid w:val="00835415"/>
    <w:rsid w:val="00836A4B"/>
    <w:rsid w:val="00860B9A"/>
    <w:rsid w:val="00861923"/>
    <w:rsid w:val="008620AC"/>
    <w:rsid w:val="008714A1"/>
    <w:rsid w:val="00871706"/>
    <w:rsid w:val="0087470E"/>
    <w:rsid w:val="00875BF6"/>
    <w:rsid w:val="00875F95"/>
    <w:rsid w:val="008766E9"/>
    <w:rsid w:val="008857BC"/>
    <w:rsid w:val="00887784"/>
    <w:rsid w:val="0089290C"/>
    <w:rsid w:val="00892A55"/>
    <w:rsid w:val="00895BDA"/>
    <w:rsid w:val="0089617D"/>
    <w:rsid w:val="00897381"/>
    <w:rsid w:val="008A16DB"/>
    <w:rsid w:val="008B24A9"/>
    <w:rsid w:val="008C32A8"/>
    <w:rsid w:val="008C3B50"/>
    <w:rsid w:val="008C3DC1"/>
    <w:rsid w:val="008C4046"/>
    <w:rsid w:val="008C430C"/>
    <w:rsid w:val="008C48ED"/>
    <w:rsid w:val="008C596D"/>
    <w:rsid w:val="008C751B"/>
    <w:rsid w:val="008D4B17"/>
    <w:rsid w:val="008D76EA"/>
    <w:rsid w:val="008E0052"/>
    <w:rsid w:val="008E01DA"/>
    <w:rsid w:val="008E294B"/>
    <w:rsid w:val="008E488A"/>
    <w:rsid w:val="008E6E66"/>
    <w:rsid w:val="008E7298"/>
    <w:rsid w:val="008E7C34"/>
    <w:rsid w:val="008F025D"/>
    <w:rsid w:val="008F03D0"/>
    <w:rsid w:val="008F0728"/>
    <w:rsid w:val="008F23B3"/>
    <w:rsid w:val="008F4F04"/>
    <w:rsid w:val="008F5B73"/>
    <w:rsid w:val="00901376"/>
    <w:rsid w:val="00901972"/>
    <w:rsid w:val="009037C9"/>
    <w:rsid w:val="009072D5"/>
    <w:rsid w:val="00911F43"/>
    <w:rsid w:val="00913ECC"/>
    <w:rsid w:val="00914D16"/>
    <w:rsid w:val="00917AE3"/>
    <w:rsid w:val="00917CFF"/>
    <w:rsid w:val="009273B1"/>
    <w:rsid w:val="00930B44"/>
    <w:rsid w:val="009314B5"/>
    <w:rsid w:val="00931BB1"/>
    <w:rsid w:val="00933467"/>
    <w:rsid w:val="009343B5"/>
    <w:rsid w:val="00937F53"/>
    <w:rsid w:val="009420F1"/>
    <w:rsid w:val="0094536A"/>
    <w:rsid w:val="00946225"/>
    <w:rsid w:val="009472DD"/>
    <w:rsid w:val="00951E6E"/>
    <w:rsid w:val="00955638"/>
    <w:rsid w:val="00971276"/>
    <w:rsid w:val="0097344B"/>
    <w:rsid w:val="00973751"/>
    <w:rsid w:val="0098055F"/>
    <w:rsid w:val="00987312"/>
    <w:rsid w:val="00993ECE"/>
    <w:rsid w:val="00996B27"/>
    <w:rsid w:val="00996BBA"/>
    <w:rsid w:val="009975B6"/>
    <w:rsid w:val="009A4C74"/>
    <w:rsid w:val="009A5488"/>
    <w:rsid w:val="009A6510"/>
    <w:rsid w:val="009B2F28"/>
    <w:rsid w:val="009B6590"/>
    <w:rsid w:val="009B6CA3"/>
    <w:rsid w:val="009B6EF5"/>
    <w:rsid w:val="009C46F7"/>
    <w:rsid w:val="009D0DCE"/>
    <w:rsid w:val="009D34A0"/>
    <w:rsid w:val="009D38FD"/>
    <w:rsid w:val="009E083E"/>
    <w:rsid w:val="009E2DAF"/>
    <w:rsid w:val="009E6438"/>
    <w:rsid w:val="009F3935"/>
    <w:rsid w:val="009F44A8"/>
    <w:rsid w:val="009F5717"/>
    <w:rsid w:val="00A014FF"/>
    <w:rsid w:val="00A0182C"/>
    <w:rsid w:val="00A029D1"/>
    <w:rsid w:val="00A038D1"/>
    <w:rsid w:val="00A06D45"/>
    <w:rsid w:val="00A13216"/>
    <w:rsid w:val="00A238DA"/>
    <w:rsid w:val="00A356F1"/>
    <w:rsid w:val="00A403C8"/>
    <w:rsid w:val="00A42158"/>
    <w:rsid w:val="00A42F43"/>
    <w:rsid w:val="00A44295"/>
    <w:rsid w:val="00A44297"/>
    <w:rsid w:val="00A523C8"/>
    <w:rsid w:val="00A53EA0"/>
    <w:rsid w:val="00A60FCE"/>
    <w:rsid w:val="00A611E1"/>
    <w:rsid w:val="00A61BAD"/>
    <w:rsid w:val="00A61E69"/>
    <w:rsid w:val="00A6363C"/>
    <w:rsid w:val="00A63CF8"/>
    <w:rsid w:val="00A64D32"/>
    <w:rsid w:val="00A6766E"/>
    <w:rsid w:val="00A67C7B"/>
    <w:rsid w:val="00A70637"/>
    <w:rsid w:val="00A70E0C"/>
    <w:rsid w:val="00A72363"/>
    <w:rsid w:val="00A75009"/>
    <w:rsid w:val="00A76F65"/>
    <w:rsid w:val="00A76FFE"/>
    <w:rsid w:val="00A77F0E"/>
    <w:rsid w:val="00A80423"/>
    <w:rsid w:val="00A91A05"/>
    <w:rsid w:val="00A945B8"/>
    <w:rsid w:val="00A97E8A"/>
    <w:rsid w:val="00AA0CC0"/>
    <w:rsid w:val="00AA33DE"/>
    <w:rsid w:val="00AA350E"/>
    <w:rsid w:val="00AA576A"/>
    <w:rsid w:val="00AA7964"/>
    <w:rsid w:val="00AB1837"/>
    <w:rsid w:val="00AB3D5B"/>
    <w:rsid w:val="00AB7D40"/>
    <w:rsid w:val="00AC4DA4"/>
    <w:rsid w:val="00AC6404"/>
    <w:rsid w:val="00AD0D15"/>
    <w:rsid w:val="00AD3543"/>
    <w:rsid w:val="00AD5145"/>
    <w:rsid w:val="00AD565B"/>
    <w:rsid w:val="00AD6EDB"/>
    <w:rsid w:val="00AD7810"/>
    <w:rsid w:val="00AE7033"/>
    <w:rsid w:val="00AF208D"/>
    <w:rsid w:val="00AF6262"/>
    <w:rsid w:val="00AF7DC3"/>
    <w:rsid w:val="00B00954"/>
    <w:rsid w:val="00B00A26"/>
    <w:rsid w:val="00B01C62"/>
    <w:rsid w:val="00B03323"/>
    <w:rsid w:val="00B03691"/>
    <w:rsid w:val="00B074D1"/>
    <w:rsid w:val="00B1302C"/>
    <w:rsid w:val="00B13906"/>
    <w:rsid w:val="00B1685D"/>
    <w:rsid w:val="00B206C0"/>
    <w:rsid w:val="00B2180D"/>
    <w:rsid w:val="00B23957"/>
    <w:rsid w:val="00B24A49"/>
    <w:rsid w:val="00B31151"/>
    <w:rsid w:val="00B32C37"/>
    <w:rsid w:val="00B34E91"/>
    <w:rsid w:val="00B3603E"/>
    <w:rsid w:val="00B419F0"/>
    <w:rsid w:val="00B42510"/>
    <w:rsid w:val="00B4512F"/>
    <w:rsid w:val="00B45822"/>
    <w:rsid w:val="00B45DF9"/>
    <w:rsid w:val="00B46F4E"/>
    <w:rsid w:val="00B518C8"/>
    <w:rsid w:val="00B545A0"/>
    <w:rsid w:val="00B55175"/>
    <w:rsid w:val="00B56FE7"/>
    <w:rsid w:val="00B61BD1"/>
    <w:rsid w:val="00B625C7"/>
    <w:rsid w:val="00B64EBC"/>
    <w:rsid w:val="00B6681B"/>
    <w:rsid w:val="00B74347"/>
    <w:rsid w:val="00B74C74"/>
    <w:rsid w:val="00B775B7"/>
    <w:rsid w:val="00B77F7D"/>
    <w:rsid w:val="00B80596"/>
    <w:rsid w:val="00B83258"/>
    <w:rsid w:val="00B85E1C"/>
    <w:rsid w:val="00B85F70"/>
    <w:rsid w:val="00B9071F"/>
    <w:rsid w:val="00B9177F"/>
    <w:rsid w:val="00B932DE"/>
    <w:rsid w:val="00B934B4"/>
    <w:rsid w:val="00B95695"/>
    <w:rsid w:val="00B95718"/>
    <w:rsid w:val="00B9609B"/>
    <w:rsid w:val="00B96113"/>
    <w:rsid w:val="00BA05E1"/>
    <w:rsid w:val="00BA372B"/>
    <w:rsid w:val="00BA4875"/>
    <w:rsid w:val="00BA7EAA"/>
    <w:rsid w:val="00BB5ABE"/>
    <w:rsid w:val="00BB5DD5"/>
    <w:rsid w:val="00BB5E90"/>
    <w:rsid w:val="00BB6459"/>
    <w:rsid w:val="00BC1C9D"/>
    <w:rsid w:val="00BC1E6D"/>
    <w:rsid w:val="00BC28A8"/>
    <w:rsid w:val="00BC5E10"/>
    <w:rsid w:val="00BD2AF1"/>
    <w:rsid w:val="00BD74E2"/>
    <w:rsid w:val="00BE0BBE"/>
    <w:rsid w:val="00BE56EA"/>
    <w:rsid w:val="00BE6CD3"/>
    <w:rsid w:val="00BF14A3"/>
    <w:rsid w:val="00BF4B6F"/>
    <w:rsid w:val="00BF7491"/>
    <w:rsid w:val="00C03E6D"/>
    <w:rsid w:val="00C05115"/>
    <w:rsid w:val="00C05921"/>
    <w:rsid w:val="00C12D15"/>
    <w:rsid w:val="00C22829"/>
    <w:rsid w:val="00C24BD3"/>
    <w:rsid w:val="00C26498"/>
    <w:rsid w:val="00C31D50"/>
    <w:rsid w:val="00C43795"/>
    <w:rsid w:val="00C4718D"/>
    <w:rsid w:val="00C50954"/>
    <w:rsid w:val="00C52920"/>
    <w:rsid w:val="00C5587C"/>
    <w:rsid w:val="00C6219A"/>
    <w:rsid w:val="00C86135"/>
    <w:rsid w:val="00C90D0B"/>
    <w:rsid w:val="00C959FD"/>
    <w:rsid w:val="00C9674E"/>
    <w:rsid w:val="00C969A6"/>
    <w:rsid w:val="00CA0EDE"/>
    <w:rsid w:val="00CA2B35"/>
    <w:rsid w:val="00CA4712"/>
    <w:rsid w:val="00CB1C2D"/>
    <w:rsid w:val="00CB1C3A"/>
    <w:rsid w:val="00CB71B4"/>
    <w:rsid w:val="00CD5037"/>
    <w:rsid w:val="00CD70BD"/>
    <w:rsid w:val="00CE06BA"/>
    <w:rsid w:val="00CE0CD7"/>
    <w:rsid w:val="00CE17C4"/>
    <w:rsid w:val="00CE4FC6"/>
    <w:rsid w:val="00CE5237"/>
    <w:rsid w:val="00CE587E"/>
    <w:rsid w:val="00CE606A"/>
    <w:rsid w:val="00CE690E"/>
    <w:rsid w:val="00CF0CE3"/>
    <w:rsid w:val="00CF19F5"/>
    <w:rsid w:val="00CF1A97"/>
    <w:rsid w:val="00CF43B4"/>
    <w:rsid w:val="00CF52EA"/>
    <w:rsid w:val="00CF7C57"/>
    <w:rsid w:val="00D003E1"/>
    <w:rsid w:val="00D01202"/>
    <w:rsid w:val="00D02B71"/>
    <w:rsid w:val="00D0311F"/>
    <w:rsid w:val="00D04096"/>
    <w:rsid w:val="00D06386"/>
    <w:rsid w:val="00D128E4"/>
    <w:rsid w:val="00D1395E"/>
    <w:rsid w:val="00D14FCA"/>
    <w:rsid w:val="00D21F36"/>
    <w:rsid w:val="00D2319B"/>
    <w:rsid w:val="00D24D0A"/>
    <w:rsid w:val="00D257D0"/>
    <w:rsid w:val="00D314E5"/>
    <w:rsid w:val="00D32090"/>
    <w:rsid w:val="00D327C5"/>
    <w:rsid w:val="00D37091"/>
    <w:rsid w:val="00D403E7"/>
    <w:rsid w:val="00D41624"/>
    <w:rsid w:val="00D44441"/>
    <w:rsid w:val="00D454A1"/>
    <w:rsid w:val="00D473C0"/>
    <w:rsid w:val="00D47C05"/>
    <w:rsid w:val="00D50B6B"/>
    <w:rsid w:val="00D50F55"/>
    <w:rsid w:val="00D51BB8"/>
    <w:rsid w:val="00D525D0"/>
    <w:rsid w:val="00D62716"/>
    <w:rsid w:val="00D638F5"/>
    <w:rsid w:val="00D64689"/>
    <w:rsid w:val="00D706BC"/>
    <w:rsid w:val="00D72030"/>
    <w:rsid w:val="00D72A93"/>
    <w:rsid w:val="00D77E5D"/>
    <w:rsid w:val="00D77FD3"/>
    <w:rsid w:val="00D877E1"/>
    <w:rsid w:val="00D91ACE"/>
    <w:rsid w:val="00D92AC6"/>
    <w:rsid w:val="00D95A2B"/>
    <w:rsid w:val="00DA0E4E"/>
    <w:rsid w:val="00DA1C0C"/>
    <w:rsid w:val="00DA36BA"/>
    <w:rsid w:val="00DA3E37"/>
    <w:rsid w:val="00DA42F9"/>
    <w:rsid w:val="00DA6A61"/>
    <w:rsid w:val="00DA6EFB"/>
    <w:rsid w:val="00DA6F65"/>
    <w:rsid w:val="00DB0627"/>
    <w:rsid w:val="00DB23EA"/>
    <w:rsid w:val="00DB2688"/>
    <w:rsid w:val="00DB6A75"/>
    <w:rsid w:val="00DC1C2B"/>
    <w:rsid w:val="00DC21C7"/>
    <w:rsid w:val="00DC2B03"/>
    <w:rsid w:val="00DC426B"/>
    <w:rsid w:val="00DC497A"/>
    <w:rsid w:val="00DC54E8"/>
    <w:rsid w:val="00DC5A6B"/>
    <w:rsid w:val="00DD164D"/>
    <w:rsid w:val="00DD211F"/>
    <w:rsid w:val="00DD2F7C"/>
    <w:rsid w:val="00DD47FE"/>
    <w:rsid w:val="00DD4BEB"/>
    <w:rsid w:val="00DD6369"/>
    <w:rsid w:val="00DD64C4"/>
    <w:rsid w:val="00DE24F0"/>
    <w:rsid w:val="00DE3721"/>
    <w:rsid w:val="00DE5C41"/>
    <w:rsid w:val="00DE5CAD"/>
    <w:rsid w:val="00E00327"/>
    <w:rsid w:val="00E01B84"/>
    <w:rsid w:val="00E02309"/>
    <w:rsid w:val="00E10D42"/>
    <w:rsid w:val="00E123A9"/>
    <w:rsid w:val="00E12FED"/>
    <w:rsid w:val="00E15B3F"/>
    <w:rsid w:val="00E15D60"/>
    <w:rsid w:val="00E21485"/>
    <w:rsid w:val="00E21FD7"/>
    <w:rsid w:val="00E24491"/>
    <w:rsid w:val="00E25741"/>
    <w:rsid w:val="00E257E7"/>
    <w:rsid w:val="00E3262E"/>
    <w:rsid w:val="00E351D4"/>
    <w:rsid w:val="00E35289"/>
    <w:rsid w:val="00E422AF"/>
    <w:rsid w:val="00E43A05"/>
    <w:rsid w:val="00E45195"/>
    <w:rsid w:val="00E50CD7"/>
    <w:rsid w:val="00E51712"/>
    <w:rsid w:val="00E51E1F"/>
    <w:rsid w:val="00E54FFA"/>
    <w:rsid w:val="00E62C8D"/>
    <w:rsid w:val="00E7025F"/>
    <w:rsid w:val="00E704D6"/>
    <w:rsid w:val="00E75B71"/>
    <w:rsid w:val="00E8027F"/>
    <w:rsid w:val="00E8237E"/>
    <w:rsid w:val="00E82FC8"/>
    <w:rsid w:val="00E85E0D"/>
    <w:rsid w:val="00E86A23"/>
    <w:rsid w:val="00E915E0"/>
    <w:rsid w:val="00E91922"/>
    <w:rsid w:val="00E92612"/>
    <w:rsid w:val="00E96BBC"/>
    <w:rsid w:val="00EB5F8C"/>
    <w:rsid w:val="00EB6293"/>
    <w:rsid w:val="00EB65E6"/>
    <w:rsid w:val="00EC4029"/>
    <w:rsid w:val="00ED1B7F"/>
    <w:rsid w:val="00ED2B69"/>
    <w:rsid w:val="00ED497A"/>
    <w:rsid w:val="00ED55D0"/>
    <w:rsid w:val="00ED7DC7"/>
    <w:rsid w:val="00EE1D7C"/>
    <w:rsid w:val="00EE2D46"/>
    <w:rsid w:val="00EF1BEE"/>
    <w:rsid w:val="00F054BD"/>
    <w:rsid w:val="00F11DB8"/>
    <w:rsid w:val="00F17CA8"/>
    <w:rsid w:val="00F223E9"/>
    <w:rsid w:val="00F22DB1"/>
    <w:rsid w:val="00F25ED1"/>
    <w:rsid w:val="00F33E73"/>
    <w:rsid w:val="00F41689"/>
    <w:rsid w:val="00F42105"/>
    <w:rsid w:val="00F43181"/>
    <w:rsid w:val="00F43AC8"/>
    <w:rsid w:val="00F43C0B"/>
    <w:rsid w:val="00F50BBE"/>
    <w:rsid w:val="00F5102E"/>
    <w:rsid w:val="00F52EC5"/>
    <w:rsid w:val="00F533B8"/>
    <w:rsid w:val="00F54764"/>
    <w:rsid w:val="00F55152"/>
    <w:rsid w:val="00F57858"/>
    <w:rsid w:val="00F64FA4"/>
    <w:rsid w:val="00F65A0C"/>
    <w:rsid w:val="00F66265"/>
    <w:rsid w:val="00F84973"/>
    <w:rsid w:val="00F84BAE"/>
    <w:rsid w:val="00F858F7"/>
    <w:rsid w:val="00F86D68"/>
    <w:rsid w:val="00F90E5B"/>
    <w:rsid w:val="00F92903"/>
    <w:rsid w:val="00F93A0C"/>
    <w:rsid w:val="00F952CF"/>
    <w:rsid w:val="00F963D0"/>
    <w:rsid w:val="00FA1424"/>
    <w:rsid w:val="00FA6AA2"/>
    <w:rsid w:val="00FB5C6F"/>
    <w:rsid w:val="00FB6EF1"/>
    <w:rsid w:val="00FC1F43"/>
    <w:rsid w:val="00FC4849"/>
    <w:rsid w:val="00FC4A4B"/>
    <w:rsid w:val="00FC60A0"/>
    <w:rsid w:val="00FD0365"/>
    <w:rsid w:val="00FD3534"/>
    <w:rsid w:val="00FD6627"/>
    <w:rsid w:val="00FD7AC2"/>
    <w:rsid w:val="00FE089C"/>
    <w:rsid w:val="00FE412E"/>
    <w:rsid w:val="00FE4FD8"/>
    <w:rsid w:val="00FE5357"/>
    <w:rsid w:val="00FF1036"/>
    <w:rsid w:val="00FF2040"/>
    <w:rsid w:val="00FF4375"/>
    <w:rsid w:val="00FF5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854AF20"/>
  <w15:docId w15:val="{41890891-EA2F-4AD3-B4DA-707980861B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F208D"/>
    <w:rPr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5E5135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qFormat/>
    <w:rsid w:val="00AF208D"/>
    <w:pPr>
      <w:keepNext/>
      <w:spacing w:before="240" w:after="240"/>
      <w:jc w:val="both"/>
      <w:outlineLvl w:val="1"/>
    </w:pPr>
    <w:rPr>
      <w:rFonts w:ascii="Arial" w:hAnsi="Arial" w:cs="Arial"/>
      <w:b/>
      <w:bCs/>
      <w:iCs/>
      <w:sz w:val="20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2">
    <w:name w:val="Body Text 2"/>
    <w:basedOn w:val="Normln"/>
    <w:semiHidden/>
    <w:rsid w:val="00AF208D"/>
    <w:pPr>
      <w:jc w:val="both"/>
    </w:pPr>
    <w:rPr>
      <w:rFonts w:ascii="Arial" w:hAnsi="Arial" w:cs="Arial"/>
      <w:sz w:val="20"/>
    </w:rPr>
  </w:style>
  <w:style w:type="paragraph" w:styleId="Zkladntext">
    <w:name w:val="Body Text"/>
    <w:basedOn w:val="Normln"/>
    <w:semiHidden/>
    <w:rsid w:val="00AF208D"/>
    <w:rPr>
      <w:sz w:val="22"/>
    </w:rPr>
  </w:style>
  <w:style w:type="paragraph" w:styleId="Zkladntext3">
    <w:name w:val="Body Text 3"/>
    <w:basedOn w:val="Normln"/>
    <w:semiHidden/>
    <w:rsid w:val="00AF208D"/>
    <w:rPr>
      <w:rFonts w:ascii="Arial" w:hAnsi="Arial" w:cs="Arial"/>
      <w:sz w:val="20"/>
    </w:rPr>
  </w:style>
  <w:style w:type="paragraph" w:styleId="Zkladntextodsazen">
    <w:name w:val="Body Text Indent"/>
    <w:basedOn w:val="Normln"/>
    <w:semiHidden/>
    <w:rsid w:val="00AF208D"/>
    <w:pPr>
      <w:ind w:firstLine="708"/>
      <w:jc w:val="both"/>
    </w:pPr>
    <w:rPr>
      <w:rFonts w:ascii="Arial" w:hAnsi="Arial" w:cs="Arial"/>
      <w:sz w:val="20"/>
    </w:rPr>
  </w:style>
  <w:style w:type="character" w:customStyle="1" w:styleId="Nadpis1Char">
    <w:name w:val="Nadpis 1 Char"/>
    <w:link w:val="Nadpis1"/>
    <w:uiPriority w:val="9"/>
    <w:rsid w:val="005E5135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D28C5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D28C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44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93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72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33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73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9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7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63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3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3.xml"/><Relationship Id="rId3" Type="http://schemas.openxmlformats.org/officeDocument/2006/relationships/settings" Target="settings.xml"/><Relationship Id="rId7" Type="http://schemas.openxmlformats.org/officeDocument/2006/relationships/chart" Target="charts/chart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11" Type="http://schemas.openxmlformats.org/officeDocument/2006/relationships/theme" Target="theme/theme1.xml"/><Relationship Id="rId5" Type="http://schemas.openxmlformats.org/officeDocument/2006/relationships/chart" Target="charts/chart1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emf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1.xml"/><Relationship Id="rId1" Type="http://schemas.openxmlformats.org/officeDocument/2006/relationships/oleObject" Target="file:///C:\Users\beranek426\Documents\u\icpv\publikace\2026\08-2026\0110442608gk1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beranek426\Documents\u\icpv\publikace\2026\08-2026\0110442608gk2.xlsx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beranek426\Documents\u\icpv\publikace\2026\08-2026\0110442608gk2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200" b="1" i="0" u="none" strike="noStrike" baseline="0">
                <a:solidFill>
                  <a:srgbClr val="000000"/>
                </a:solidFill>
                <a:latin typeface="Arial CE"/>
                <a:ea typeface="Arial CE"/>
                <a:cs typeface="Arial CE"/>
              </a:defRPr>
            </a:pPr>
            <a:r>
              <a:rPr lang="cs-CZ" sz="1400"/>
              <a:t>Indexy cen průmyslových výrobců</a:t>
            </a:r>
          </a:p>
          <a:p>
            <a:pPr>
              <a:defRPr sz="1200" b="1" i="0" u="none" strike="noStrike" baseline="0">
                <a:solidFill>
                  <a:srgbClr val="000000"/>
                </a:solidFill>
                <a:latin typeface="Arial CE"/>
                <a:ea typeface="Arial CE"/>
                <a:cs typeface="Arial CE"/>
              </a:defRPr>
            </a:pPr>
            <a:r>
              <a:rPr lang="cs-CZ" sz="1000"/>
              <a:t>(změna proti předchozímu měsíci v %)</a:t>
            </a:r>
          </a:p>
        </c:rich>
      </c:tx>
      <c:layout>
        <c:manualLayout>
          <c:xMode val="edge"/>
          <c:yMode val="edge"/>
          <c:x val="0.30396101275776793"/>
          <c:y val="3.8045706714406366E-2"/>
        </c:manualLayout>
      </c:layout>
      <c:overlay val="0"/>
      <c:spPr>
        <a:noFill/>
        <a:ln w="25400">
          <a:noFill/>
        </a:ln>
      </c:spPr>
    </c:title>
    <c:autoTitleDeleted val="0"/>
    <c:view3D>
      <c:rotX val="0"/>
      <c:hPercent val="100"/>
      <c:rotY val="0"/>
      <c:depthPercent val="100"/>
      <c:rAngAx val="0"/>
      <c:perspective val="0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noFill/>
        <a:ln w="12700">
          <a:solidFill>
            <a:srgbClr val="808080"/>
          </a:solidFill>
          <a:prstDash val="solid"/>
        </a:ln>
      </c:spPr>
    </c:sideWall>
    <c:backWall>
      <c:thickness val="0"/>
      <c:spPr>
        <a:noFill/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8.9657964896306494E-2"/>
          <c:y val="0.11145263987173416"/>
          <c:w val="0.85955841314208437"/>
          <c:h val="0.75831567687655665"/>
        </c:manualLayout>
      </c:layout>
      <c:bar3DChart>
        <c:barDir val="col"/>
        <c:grouping val="standard"/>
        <c:varyColors val="0"/>
        <c:ser>
          <c:idx val="0"/>
          <c:order val="0"/>
          <c:tx>
            <c:strRef>
              <c:f>List1!$A$7</c:f>
              <c:strCache>
                <c:ptCount val="1"/>
                <c:pt idx="0">
                  <c:v>Průmysl celkem</c:v>
                </c:pt>
              </c:strCache>
            </c:strRef>
          </c:tx>
          <c:spPr>
            <a:solidFill>
              <a:srgbClr val="BC091B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3.5087719298245454E-3"/>
                  <c:y val="-2.8982857754363591E-5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FED5-4B1D-9392-23EDB9EB5529}"/>
                </c:ext>
              </c:extLst>
            </c:dLbl>
            <c:dLbl>
              <c:idx val="1"/>
              <c:layout>
                <c:manualLayout>
                  <c:x val="-3.504161191414805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FED5-4B1D-9392-23EDB9EB5529}"/>
                </c:ext>
              </c:extLst>
            </c:dLbl>
            <c:dLbl>
              <c:idx val="2"/>
              <c:layout>
                <c:manualLayout>
                  <c:x val="-2.2793203481143804E-6"/>
                  <c:y val="6.3324504033379671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4.5186158563293909E-2"/>
                      <c:h val="3.8664214569090062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2-FED5-4B1D-9392-23EDB9EB5529}"/>
                </c:ext>
              </c:extLst>
            </c:dLbl>
            <c:dLbl>
              <c:idx val="3"/>
              <c:layout>
                <c:manualLayout>
                  <c:x val="-1.7520375742506192E-3"/>
                  <c:y val="7.751799723994016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FED5-4B1D-9392-23EDB9EB5529}"/>
                </c:ext>
              </c:extLst>
            </c:dLbl>
            <c:dLbl>
              <c:idx val="4"/>
              <c:layout>
                <c:manualLayout>
                  <c:x val="-5.2631578947368741E-3"/>
                  <c:y val="-7.6920099125428014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FED5-4B1D-9392-23EDB9EB5529}"/>
                </c:ext>
              </c:extLst>
            </c:dLbl>
            <c:dLbl>
              <c:idx val="5"/>
              <c:layout>
                <c:manualLayout>
                  <c:x val="-1.7543859649123128E-3"/>
                  <c:y val="-9.4378984977300998E-17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FED5-4B1D-9392-23EDB9EB5529}"/>
                </c:ext>
              </c:extLst>
            </c:dLbl>
            <c:dLbl>
              <c:idx val="6"/>
              <c:layout>
                <c:manualLayout>
                  <c:x val="-5.2562417871222077E-3"/>
                  <c:y val="-2.5445287522732961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FED5-4B1D-9392-23EDB9EB5529}"/>
                </c:ext>
              </c:extLst>
            </c:dLbl>
            <c:dLbl>
              <c:idx val="7"/>
              <c:layout>
                <c:manualLayout>
                  <c:x val="-3.5087719298246257E-3"/>
                  <c:y val="5.2073885614187226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FED5-4B1D-9392-23EDB9EB5529}"/>
                </c:ext>
              </c:extLst>
            </c:dLbl>
            <c:dLbl>
              <c:idx val="8"/>
              <c:layout>
                <c:manualLayout>
                  <c:x val="-1.7543859649122807E-3"/>
                  <c:y val="5.1482067819482733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FED5-4B1D-9392-23EDB9EB5529}"/>
                </c:ext>
              </c:extLst>
            </c:dLbl>
            <c:dLbl>
              <c:idx val="9"/>
              <c:layout>
                <c:manualLayout>
                  <c:x val="0"/>
                  <c:y val="-2.5740020523107071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FED5-4B1D-9392-23EDB9EB5529}"/>
                </c:ext>
              </c:extLst>
            </c:dLbl>
            <c:dLbl>
              <c:idx val="10"/>
              <c:layout>
                <c:manualLayout>
                  <c:x val="0"/>
                  <c:y val="5.1486121366020859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FED5-4B1D-9392-23EDB9EB5529}"/>
                </c:ext>
              </c:extLst>
            </c:dLbl>
            <c:dLbl>
              <c:idx val="11"/>
              <c:layout>
                <c:manualLayout>
                  <c:x val="-6.4326742272101015E-17"/>
                  <c:y val="-9.4378984977300998E-17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FED5-4B1D-9392-23EDB9EB5529}"/>
                </c:ext>
              </c:extLst>
            </c:dLbl>
            <c:dLbl>
              <c:idx val="12"/>
              <c:layout>
                <c:manualLayout>
                  <c:x val="1.7543859649122807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C-FED5-4B1D-9392-23EDB9EB5529}"/>
                </c:ext>
              </c:extLst>
            </c:dLbl>
            <c:dLbl>
              <c:idx val="14"/>
              <c:layout>
                <c:manualLayout>
                  <c:x val="6.9070313577937116E-6"/>
                  <c:y val="-7.9688817276706697E-4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D-FED5-4B1D-9392-23EDB9EB5529}"/>
                </c:ext>
              </c:extLst>
            </c:dLbl>
            <c:dLbl>
              <c:idx val="15"/>
              <c:layout>
                <c:manualLayout>
                  <c:x val="-1.7520375742505871E-3"/>
                  <c:y val="-2.6029849100650706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E-FED5-4B1D-9392-23EDB9EB5529}"/>
                </c:ext>
              </c:extLst>
            </c:dLbl>
            <c:dLbl>
              <c:idx val="16"/>
              <c:layout>
                <c:manualLayout>
                  <c:x val="0"/>
                  <c:y val="7.6335862568198878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F-FED5-4B1D-9392-23EDB9EB5529}"/>
                </c:ext>
              </c:extLst>
            </c:dLbl>
            <c:dLbl>
              <c:idx val="17"/>
              <c:layout>
                <c:manualLayout>
                  <c:x val="-1.7543859649124093E-3"/>
                  <c:y val="-2.5740020523106126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0-FED5-4B1D-9392-23EDB9EB5529}"/>
                </c:ext>
              </c:extLst>
            </c:dLbl>
            <c:dLbl>
              <c:idx val="18"/>
              <c:layout>
                <c:manualLayout>
                  <c:x val="-2.6361375880646497E-3"/>
                  <c:y val="1.149606066213466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5.0449371460146428E-2"/>
                      <c:h val="5.662338357231355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11-FED5-4B1D-9392-23EDB9EB5529}"/>
                </c:ext>
              </c:extLst>
            </c:dLbl>
            <c:dLbl>
              <c:idx val="19"/>
              <c:layout>
                <c:manualLayout>
                  <c:x val="1.7543859649121521E-3"/>
                  <c:y val="-5.1473960726402699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2-FED5-4B1D-9392-23EDB9EB5529}"/>
                </c:ext>
              </c:extLst>
            </c:dLbl>
            <c:dLbl>
              <c:idx val="20"/>
              <c:layout>
                <c:manualLayout>
                  <c:x val="-1.7543859649122807E-3"/>
                  <c:y val="-2.8374825773502817E-5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3-FED5-4B1D-9392-23EDB9EB5529}"/>
                </c:ext>
              </c:extLst>
            </c:dLbl>
            <c:dLbl>
              <c:idx val="21"/>
              <c:layout>
                <c:manualLayout>
                  <c:x val="1.7543859649122807E-3"/>
                  <c:y val="-2.8780180427410001E-5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4-FED5-4B1D-9392-23EDB9EB5529}"/>
                </c:ext>
              </c:extLst>
            </c:dLbl>
            <c:dLbl>
              <c:idx val="22"/>
              <c:layout>
                <c:manualLayout>
                  <c:x val="1.6093383063830456E-5"/>
                  <c:y val="1.029013056676079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4.5199889487498264E-2"/>
                      <c:h val="4.3161960870709906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15-FED5-4B1D-9392-23EDB9EB5529}"/>
                </c:ext>
              </c:extLst>
            </c:dLbl>
            <c:dLbl>
              <c:idx val="23"/>
              <c:layout>
                <c:manualLayout>
                  <c:x val="-7.0106368282913294E-3"/>
                  <c:y val="-2.5733940203297519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6-FED5-4B1D-9392-23EDB9EB5529}"/>
                </c:ext>
              </c:extLst>
            </c:dLbl>
            <c:numFmt formatCode="0.0" sourceLinked="0"/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800" b="0" i="0" u="none" strike="noStrike" baseline="0">
                    <a:solidFill>
                      <a:srgbClr val="000000"/>
                    </a:solidFill>
                    <a:latin typeface="Arial CE"/>
                    <a:ea typeface="Arial CE"/>
                    <a:cs typeface="Arial CE"/>
                  </a:defRPr>
                </a:pPr>
                <a:endParaRPr lang="cs-CZ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List1!$B$6:$Y$6</c:f>
              <c:strCache>
                <c:ptCount val="24"/>
                <c:pt idx="0">
                  <c:v>IX.24</c:v>
                </c:pt>
                <c:pt idx="1">
                  <c:v>X.24</c:v>
                </c:pt>
                <c:pt idx="2">
                  <c:v>XI.24</c:v>
                </c:pt>
                <c:pt idx="3">
                  <c:v>XII.24</c:v>
                </c:pt>
                <c:pt idx="4">
                  <c:v>I.25</c:v>
                </c:pt>
                <c:pt idx="5">
                  <c:v>II.25</c:v>
                </c:pt>
                <c:pt idx="6">
                  <c:v>III.25</c:v>
                </c:pt>
                <c:pt idx="7">
                  <c:v>IV.25</c:v>
                </c:pt>
                <c:pt idx="8">
                  <c:v>V.25</c:v>
                </c:pt>
                <c:pt idx="9">
                  <c:v>VI.25</c:v>
                </c:pt>
                <c:pt idx="10">
                  <c:v>VII.25</c:v>
                </c:pt>
                <c:pt idx="11">
                  <c:v>VIII.25</c:v>
                </c:pt>
                <c:pt idx="12">
                  <c:v>IX.25</c:v>
                </c:pt>
                <c:pt idx="13">
                  <c:v>X.25</c:v>
                </c:pt>
                <c:pt idx="14">
                  <c:v>XI.25</c:v>
                </c:pt>
                <c:pt idx="15">
                  <c:v>XII.25</c:v>
                </c:pt>
                <c:pt idx="16">
                  <c:v>I.26</c:v>
                </c:pt>
                <c:pt idx="17">
                  <c:v>II.26</c:v>
                </c:pt>
                <c:pt idx="18">
                  <c:v>III.26</c:v>
                </c:pt>
                <c:pt idx="19">
                  <c:v>IV.26</c:v>
                </c:pt>
                <c:pt idx="20">
                  <c:v>V.26</c:v>
                </c:pt>
                <c:pt idx="21">
                  <c:v>VI.26</c:v>
                </c:pt>
                <c:pt idx="22">
                  <c:v>VII.26</c:v>
                </c:pt>
                <c:pt idx="23">
                  <c:v>VIII.26</c:v>
                </c:pt>
              </c:strCache>
            </c:strRef>
          </c:cat>
          <c:val>
            <c:numRef>
              <c:f>List1!$B$7:$Y$7</c:f>
              <c:numCache>
                <c:formatCode>0.0</c:formatCode>
                <c:ptCount val="24"/>
                <c:pt idx="0">
                  <c:v>-0.2</c:v>
                </c:pt>
                <c:pt idx="1">
                  <c:v>0.1</c:v>
                </c:pt>
                <c:pt idx="2">
                  <c:v>0.4</c:v>
                </c:pt>
                <c:pt idx="3" formatCode="General">
                  <c:v>0.6</c:v>
                </c:pt>
                <c:pt idx="4">
                  <c:v>0.2</c:v>
                </c:pt>
                <c:pt idx="5">
                  <c:v>-0.1</c:v>
                </c:pt>
                <c:pt idx="6">
                  <c:v>-0.3</c:v>
                </c:pt>
                <c:pt idx="7" formatCode="General">
                  <c:v>-0.8</c:v>
                </c:pt>
                <c:pt idx="8">
                  <c:v>-0.6</c:v>
                </c:pt>
                <c:pt idx="9">
                  <c:v>-0.2</c:v>
                </c:pt>
                <c:pt idx="10">
                  <c:v>0.1</c:v>
                </c:pt>
                <c:pt idx="11">
                  <c:v>0</c:v>
                </c:pt>
                <c:pt idx="12">
                  <c:v>-0.4</c:v>
                </c:pt>
                <c:pt idx="13">
                  <c:v>-0.1</c:v>
                </c:pt>
                <c:pt idx="14">
                  <c:v>0.3</c:v>
                </c:pt>
                <c:pt idx="15">
                  <c:v>-0.2</c:v>
                </c:pt>
                <c:pt idx="16" formatCode="General">
                  <c:v>-0.7</c:v>
                </c:pt>
                <c:pt idx="17">
                  <c:v>0.1</c:v>
                </c:pt>
                <c:pt idx="18">
                  <c:v>1.5</c:v>
                </c:pt>
                <c:pt idx="19">
                  <c:v>1.4</c:v>
                </c:pt>
                <c:pt idx="20">
                  <c:v>-0.1</c:v>
                </c:pt>
                <c:pt idx="21">
                  <c:v>-0.4</c:v>
                </c:pt>
                <c:pt idx="22" formatCode="General">
                  <c:v>0.3</c:v>
                </c:pt>
                <c:pt idx="23" formatCode="General">
                  <c:v>0.4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7-FED5-4B1D-9392-23EDB9EB5529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shape val="box"/>
        <c:axId val="37608448"/>
        <c:axId val="71779456"/>
        <c:axId val="4274368"/>
      </c:bar3DChart>
      <c:dateAx>
        <c:axId val="37608448"/>
        <c:scaling>
          <c:orientation val="minMax"/>
        </c:scaling>
        <c:delete val="0"/>
        <c:axPos val="b"/>
        <c:numFmt formatCode="mmm/yy" sourceLinked="0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-2700000" vert="horz"/>
          <a:lstStyle/>
          <a:p>
            <a:pPr>
              <a:defRPr sz="800" b="0" i="0" u="none" strike="noStrike" baseline="0">
                <a:solidFill>
                  <a:srgbClr val="000000"/>
                </a:solidFill>
                <a:latin typeface="Arial CE"/>
                <a:ea typeface="Arial CE"/>
                <a:cs typeface="Arial CE"/>
              </a:defRPr>
            </a:pPr>
            <a:endParaRPr lang="cs-CZ"/>
          </a:p>
        </c:txPr>
        <c:crossAx val="71779456"/>
        <c:crosses val="autoZero"/>
        <c:auto val="1"/>
        <c:lblOffset val="100"/>
        <c:baseTimeUnit val="months"/>
        <c:majorUnit val="1"/>
        <c:majorTimeUnit val="months"/>
        <c:minorUnit val="1"/>
        <c:minorTimeUnit val="months"/>
      </c:dateAx>
      <c:valAx>
        <c:axId val="71779456"/>
        <c:scaling>
          <c:orientation val="minMax"/>
          <c:max val="2"/>
          <c:min val="-1"/>
        </c:scaling>
        <c:delete val="0"/>
        <c:axPos val="l"/>
        <c:numFmt formatCode="0.0" sourceLinked="0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00" b="0" i="0" u="none" strike="noStrike" baseline="0">
                <a:solidFill>
                  <a:srgbClr val="000000"/>
                </a:solidFill>
                <a:latin typeface="Arial CE"/>
                <a:ea typeface="Arial CE"/>
                <a:cs typeface="Arial CE"/>
              </a:defRPr>
            </a:pPr>
            <a:endParaRPr lang="cs-CZ"/>
          </a:p>
        </c:txPr>
        <c:crossAx val="37608448"/>
        <c:crosses val="autoZero"/>
        <c:crossBetween val="between"/>
        <c:majorUnit val="0.5"/>
      </c:valAx>
      <c:serAx>
        <c:axId val="4274368"/>
        <c:scaling>
          <c:orientation val="minMax"/>
        </c:scaling>
        <c:delete val="1"/>
        <c:axPos val="b"/>
        <c:majorTickMark val="out"/>
        <c:minorTickMark val="none"/>
        <c:tickLblPos val="none"/>
        <c:crossAx val="71779456"/>
        <c:crosses val="autoZero"/>
      </c:serAx>
      <c:spPr>
        <a:noFill/>
        <a:ln w="25400">
          <a:noFill/>
        </a:ln>
      </c:spPr>
    </c:plotArea>
    <c:legend>
      <c:legendPos val="b"/>
      <c:layout>
        <c:manualLayout>
          <c:xMode val="edge"/>
          <c:yMode val="edge"/>
          <c:x val="0.37320103055449211"/>
          <c:y val="0.93304244483890386"/>
          <c:w val="0.2308207531877175"/>
          <c:h val="4.3836167877859197E-2"/>
        </c:manualLayout>
      </c:layout>
      <c:overlay val="0"/>
      <c:txPr>
        <a:bodyPr/>
        <a:lstStyle/>
        <a:p>
          <a:pPr>
            <a:defRPr sz="1000"/>
          </a:pPr>
          <a:endParaRPr lang="cs-CZ"/>
        </a:p>
      </c:txPr>
    </c:legend>
    <c:plotVisOnly val="1"/>
    <c:dispBlanksAs val="gap"/>
    <c:showDLblsOverMax val="0"/>
  </c:chart>
  <c:spPr>
    <a:solidFill>
      <a:srgbClr val="FFFFFF"/>
    </a:solidFill>
    <a:ln w="3175">
      <a:solidFill>
        <a:srgbClr val="000000"/>
      </a:solidFill>
      <a:prstDash val="solid"/>
    </a:ln>
  </c:spPr>
  <c:txPr>
    <a:bodyPr/>
    <a:lstStyle/>
    <a:p>
      <a:pPr>
        <a:defRPr sz="1425" b="0" i="0" u="none" strike="noStrike" baseline="0">
          <a:solidFill>
            <a:srgbClr val="000000"/>
          </a:solidFill>
          <a:latin typeface="Arial CE"/>
          <a:ea typeface="Arial CE"/>
          <a:cs typeface="Arial CE"/>
        </a:defRPr>
      </a:pPr>
      <a:endParaRPr lang="cs-CZ"/>
    </a:p>
  </c:txPr>
  <c:externalData r:id="rId1">
    <c:autoUpdate val="0"/>
  </c:externalData>
  <c:userShapes r:id="rId2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000" b="1" i="0" u="none" strike="noStrike" baseline="0">
                <a:solidFill>
                  <a:srgbClr val="000000"/>
                </a:solidFill>
                <a:latin typeface="Arial CE"/>
                <a:ea typeface="Arial CE"/>
                <a:cs typeface="Arial CE"/>
              </a:defRPr>
            </a:pPr>
            <a:r>
              <a:rPr lang="cs-CZ"/>
              <a:t>Indexy cen průmyslových výrobců</a:t>
            </a:r>
          </a:p>
          <a:p>
            <a:pPr>
              <a:defRPr sz="1000" b="1" i="0" u="none" strike="noStrike" baseline="0">
                <a:solidFill>
                  <a:srgbClr val="000000"/>
                </a:solidFill>
                <a:latin typeface="Arial CE"/>
                <a:ea typeface="Arial CE"/>
                <a:cs typeface="Arial CE"/>
              </a:defRPr>
            </a:pPr>
            <a:r>
              <a:rPr lang="cs-CZ"/>
              <a:t>(změna proti stejnému období předchozího roku</a:t>
            </a:r>
            <a:r>
              <a:rPr lang="cs-CZ" baseline="0"/>
              <a:t> v %)</a:t>
            </a:r>
            <a:endParaRPr lang="cs-CZ"/>
          </a:p>
        </c:rich>
      </c:tx>
      <c:layout>
        <c:manualLayout>
          <c:xMode val="edge"/>
          <c:yMode val="edge"/>
          <c:x val="0.28107374290078146"/>
          <c:y val="3.6745406824146977E-3"/>
        </c:manualLayout>
      </c:layout>
      <c:overlay val="0"/>
      <c:spPr>
        <a:noFill/>
        <a:ln w="25400">
          <a:noFill/>
        </a:ln>
      </c:spPr>
    </c:title>
    <c:autoTitleDeleted val="0"/>
    <c:plotArea>
      <c:layout>
        <c:manualLayout>
          <c:layoutTarget val="inner"/>
          <c:xMode val="edge"/>
          <c:yMode val="edge"/>
          <c:x val="9.9341014576567757E-2"/>
          <c:y val="0.1595202541429894"/>
          <c:w val="0.85828743864644041"/>
          <c:h val="0.61825990197827219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List1!$A$6</c:f>
              <c:strCache>
                <c:ptCount val="1"/>
                <c:pt idx="0">
                  <c:v>Průmysl celkem</c:v>
                </c:pt>
              </c:strCache>
            </c:strRef>
          </c:tx>
          <c:spPr>
            <a:solidFill>
              <a:srgbClr val="BC091B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List1!$B$5:$Y$5</c:f>
              <c:strCache>
                <c:ptCount val="24"/>
                <c:pt idx="0">
                  <c:v>IX.24</c:v>
                </c:pt>
                <c:pt idx="1">
                  <c:v>X.24</c:v>
                </c:pt>
                <c:pt idx="2">
                  <c:v>XI.24</c:v>
                </c:pt>
                <c:pt idx="3">
                  <c:v>XII.24</c:v>
                </c:pt>
                <c:pt idx="4">
                  <c:v>I.25</c:v>
                </c:pt>
                <c:pt idx="5">
                  <c:v>II.25</c:v>
                </c:pt>
                <c:pt idx="6">
                  <c:v>III.25</c:v>
                </c:pt>
                <c:pt idx="7">
                  <c:v>IV.25</c:v>
                </c:pt>
                <c:pt idx="8">
                  <c:v>V.25</c:v>
                </c:pt>
                <c:pt idx="9">
                  <c:v>VI.25</c:v>
                </c:pt>
                <c:pt idx="10">
                  <c:v>VII.25</c:v>
                </c:pt>
                <c:pt idx="11">
                  <c:v>VIII.25</c:v>
                </c:pt>
                <c:pt idx="12">
                  <c:v>IX.25</c:v>
                </c:pt>
                <c:pt idx="13">
                  <c:v>X.25</c:v>
                </c:pt>
                <c:pt idx="14">
                  <c:v>XI.25</c:v>
                </c:pt>
                <c:pt idx="15">
                  <c:v>XII.25</c:v>
                </c:pt>
                <c:pt idx="16">
                  <c:v>I.26</c:v>
                </c:pt>
                <c:pt idx="17">
                  <c:v>II.26</c:v>
                </c:pt>
                <c:pt idx="18">
                  <c:v>III.26</c:v>
                </c:pt>
                <c:pt idx="19">
                  <c:v>IV.26</c:v>
                </c:pt>
                <c:pt idx="20">
                  <c:v>V.26</c:v>
                </c:pt>
                <c:pt idx="21">
                  <c:v>VI.26</c:v>
                </c:pt>
                <c:pt idx="22">
                  <c:v>VII.26</c:v>
                </c:pt>
                <c:pt idx="23">
                  <c:v>VIII.26</c:v>
                </c:pt>
              </c:strCache>
            </c:strRef>
          </c:cat>
          <c:val>
            <c:numRef>
              <c:f>List1!$B$6:$Y$6</c:f>
              <c:numCache>
                <c:formatCode>0.0</c:formatCode>
                <c:ptCount val="24"/>
                <c:pt idx="0">
                  <c:v>0.6</c:v>
                </c:pt>
                <c:pt idx="1">
                  <c:v>0.8</c:v>
                </c:pt>
                <c:pt idx="2">
                  <c:v>1.7</c:v>
                </c:pt>
                <c:pt idx="3">
                  <c:v>2.8</c:v>
                </c:pt>
                <c:pt idx="4">
                  <c:v>0.5</c:v>
                </c:pt>
                <c:pt idx="5">
                  <c:v>-0.1</c:v>
                </c:pt>
                <c:pt idx="6">
                  <c:v>-0.3</c:v>
                </c:pt>
                <c:pt idx="7">
                  <c:v>-1.3</c:v>
                </c:pt>
                <c:pt idx="8">
                  <c:v>-0.8</c:v>
                </c:pt>
                <c:pt idx="9">
                  <c:v>-0.7</c:v>
                </c:pt>
                <c:pt idx="10">
                  <c:v>-1.2</c:v>
                </c:pt>
                <c:pt idx="11">
                  <c:v>-0.8</c:v>
                </c:pt>
                <c:pt idx="12">
                  <c:v>-1</c:v>
                </c:pt>
                <c:pt idx="13">
                  <c:v>-1.2</c:v>
                </c:pt>
                <c:pt idx="14">
                  <c:v>-1.3</c:v>
                </c:pt>
                <c:pt idx="15">
                  <c:v>-2.1</c:v>
                </c:pt>
                <c:pt idx="16">
                  <c:v>-3</c:v>
                </c:pt>
                <c:pt idx="17">
                  <c:v>-2.9</c:v>
                </c:pt>
                <c:pt idx="18">
                  <c:v>-1.1000000000000001</c:v>
                </c:pt>
                <c:pt idx="19">
                  <c:v>1</c:v>
                </c:pt>
                <c:pt idx="20">
                  <c:v>1.5</c:v>
                </c:pt>
                <c:pt idx="21" formatCode="General">
                  <c:v>1.3</c:v>
                </c:pt>
                <c:pt idx="22" formatCode="General">
                  <c:v>1.6</c:v>
                </c:pt>
                <c:pt idx="23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0F2B-441C-AF0C-BC75CE1345C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37571584"/>
        <c:axId val="37586816"/>
      </c:barChart>
      <c:dateAx>
        <c:axId val="37571584"/>
        <c:scaling>
          <c:orientation val="minMax"/>
        </c:scaling>
        <c:delete val="0"/>
        <c:axPos val="b"/>
        <c:numFmt formatCode="mmm/yy" sourceLinked="0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-2700000" vert="horz"/>
          <a:lstStyle/>
          <a:p>
            <a:pPr>
              <a:defRPr sz="800" b="0" i="0" u="none" strike="noStrike" baseline="0">
                <a:solidFill>
                  <a:srgbClr val="000000"/>
                </a:solidFill>
                <a:latin typeface="Arial CE"/>
                <a:ea typeface="Arial CE"/>
                <a:cs typeface="Arial CE"/>
              </a:defRPr>
            </a:pPr>
            <a:endParaRPr lang="cs-CZ"/>
          </a:p>
        </c:txPr>
        <c:crossAx val="37586816"/>
        <c:crosses val="autoZero"/>
        <c:auto val="1"/>
        <c:lblOffset val="100"/>
        <c:baseTimeUnit val="months"/>
        <c:majorUnit val="1"/>
        <c:majorTimeUnit val="months"/>
        <c:minorUnit val="1"/>
        <c:minorTimeUnit val="months"/>
      </c:dateAx>
      <c:valAx>
        <c:axId val="37586816"/>
        <c:scaling>
          <c:orientation val="minMax"/>
          <c:max val="3"/>
          <c:min val="-4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ysDash"/>
            </a:ln>
          </c:spPr>
        </c:majorGridlines>
        <c:title>
          <c:tx>
            <c:rich>
              <a:bodyPr rot="-5400000" vert="horz"/>
              <a:lstStyle/>
              <a:p>
                <a:pPr algn="ctr">
                  <a:defRPr sz="900" b="1" i="0" u="none" strike="noStrike" baseline="0">
                    <a:solidFill>
                      <a:srgbClr val="000000"/>
                    </a:solidFill>
                    <a:latin typeface="Arial CE"/>
                    <a:ea typeface="Arial CE"/>
                    <a:cs typeface="Arial CE"/>
                  </a:defRPr>
                </a:pPr>
                <a:r>
                  <a:rPr lang="cs-CZ" sz="800"/>
                  <a:t>meziroční tempo růstu (%)</a:t>
                </a:r>
              </a:p>
            </c:rich>
          </c:tx>
          <c:layout>
            <c:manualLayout>
              <c:xMode val="edge"/>
              <c:yMode val="edge"/>
              <c:x val="2.3069679849340868E-2"/>
              <c:y val="0.22002089544632164"/>
            </c:manualLayout>
          </c:layout>
          <c:overlay val="0"/>
          <c:spPr>
            <a:noFill/>
            <a:ln w="25400">
              <a:noFill/>
            </a:ln>
          </c:spPr>
        </c:title>
        <c:numFmt formatCode="0.0" sourceLinked="0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25" b="0" i="0" u="none" strike="noStrike" baseline="0">
                <a:solidFill>
                  <a:srgbClr val="000000"/>
                </a:solidFill>
                <a:latin typeface="Arial CE"/>
                <a:ea typeface="Arial CE"/>
                <a:cs typeface="Arial CE"/>
              </a:defRPr>
            </a:pPr>
            <a:endParaRPr lang="cs-CZ"/>
          </a:p>
        </c:txPr>
        <c:crossAx val="37571584"/>
        <c:crosses val="autoZero"/>
        <c:crossBetween val="between"/>
      </c:valAx>
      <c:spPr>
        <a:ln w="12700">
          <a:solidFill>
            <a:srgbClr val="808080"/>
          </a:solidFill>
          <a:prstDash val="solid"/>
        </a:ln>
      </c:spPr>
    </c:plotArea>
    <c:legend>
      <c:legendPos val="b"/>
      <c:layout>
        <c:manualLayout>
          <c:xMode val="edge"/>
          <c:yMode val="edge"/>
          <c:x val="0.40860032326467666"/>
          <c:y val="0.90301144648585596"/>
          <c:w val="0.16395539540608273"/>
          <c:h val="7.3840405365995912E-2"/>
        </c:manualLayout>
      </c:layout>
      <c:overlay val="0"/>
      <c:spPr>
        <a:ln w="0" cmpd="sng"/>
      </c:spPr>
    </c:legend>
    <c:plotVisOnly val="1"/>
    <c:dispBlanksAs val="gap"/>
    <c:showDLblsOverMax val="0"/>
  </c:chart>
  <c:spPr>
    <a:solidFill>
      <a:srgbClr val="FFFFFF"/>
    </a:solidFill>
    <a:ln w="3175">
      <a:solidFill>
        <a:srgbClr val="000000"/>
      </a:solidFill>
      <a:prstDash val="solid"/>
    </a:ln>
  </c:spPr>
  <c:txPr>
    <a:bodyPr/>
    <a:lstStyle/>
    <a:p>
      <a:pPr>
        <a:defRPr sz="900" b="0" i="0" u="none" strike="noStrike" baseline="0">
          <a:solidFill>
            <a:srgbClr val="000000"/>
          </a:solidFill>
          <a:latin typeface="Arial CE"/>
          <a:ea typeface="Arial CE"/>
          <a:cs typeface="Arial CE"/>
        </a:defRPr>
      </a:pPr>
      <a:endParaRPr lang="cs-CZ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 marL="0" marR="0" indent="0" algn="ctr" defTabSz="914400" rtl="0" eaLnBrk="1" fontAlgn="auto" latinLnBrk="0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Tx/>
              <a:buSzTx/>
              <a:buFontTx/>
              <a:buNone/>
              <a:tabLst/>
              <a:defRPr sz="1000" b="1" i="0" u="none" strike="noStrike" kern="1200" baseline="0">
                <a:solidFill>
                  <a:srgbClr val="000000"/>
                </a:solidFill>
                <a:latin typeface="Arial CE"/>
                <a:ea typeface="Arial CE"/>
                <a:cs typeface="Arial CE"/>
              </a:defRPr>
            </a:pPr>
            <a:r>
              <a:rPr lang="cs-CZ" sz="1000"/>
              <a:t>Indexy cen průmyslových výrobců</a:t>
            </a:r>
          </a:p>
          <a:p>
            <a:pPr marL="0" marR="0" indent="0" algn="ctr" defTabSz="914400" rtl="0" eaLnBrk="1" fontAlgn="auto" latinLnBrk="0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Tx/>
              <a:buSzTx/>
              <a:buFontTx/>
              <a:buNone/>
              <a:tabLst/>
              <a:defRPr sz="1000" b="1" i="0" u="none" strike="noStrike" kern="1200" baseline="0">
                <a:solidFill>
                  <a:srgbClr val="000000"/>
                </a:solidFill>
                <a:latin typeface="Arial CE"/>
                <a:ea typeface="Arial CE"/>
                <a:cs typeface="Arial CE"/>
              </a:defRPr>
            </a:pPr>
            <a:r>
              <a:rPr lang="cs-CZ" sz="1000" b="1" i="0" baseline="0">
                <a:effectLst/>
              </a:rPr>
              <a:t>(změna proti stejnému období předchozího roku v %)</a:t>
            </a:r>
            <a:endParaRPr lang="cs-CZ" sz="1000">
              <a:effectLst/>
            </a:endParaRPr>
          </a:p>
          <a:p>
            <a:pPr marL="0" marR="0" indent="0" algn="ctr" defTabSz="914400" rtl="0" eaLnBrk="1" fontAlgn="auto" latinLnBrk="0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Tx/>
              <a:buSzTx/>
              <a:buFontTx/>
              <a:buNone/>
              <a:tabLst/>
              <a:defRPr sz="1000" b="1" i="0" u="none" strike="noStrike" kern="1200" baseline="0">
                <a:solidFill>
                  <a:srgbClr val="000000"/>
                </a:solidFill>
                <a:latin typeface="Arial CE"/>
                <a:ea typeface="Arial CE"/>
                <a:cs typeface="Arial CE"/>
              </a:defRPr>
            </a:pPr>
            <a:endParaRPr lang="cs-CZ" sz="1000"/>
          </a:p>
        </c:rich>
      </c:tx>
      <c:layout>
        <c:manualLayout>
          <c:xMode val="edge"/>
          <c:yMode val="edge"/>
          <c:x val="0.27674097075893683"/>
          <c:y val="1.4587142124475819E-3"/>
        </c:manualLayout>
      </c:layout>
      <c:overlay val="0"/>
      <c:spPr>
        <a:noFill/>
        <a:ln w="25400">
          <a:noFill/>
        </a:ln>
      </c:spPr>
    </c:title>
    <c:autoTitleDeleted val="0"/>
    <c:plotArea>
      <c:layout>
        <c:manualLayout>
          <c:layoutTarget val="inner"/>
          <c:xMode val="edge"/>
          <c:yMode val="edge"/>
          <c:x val="9.8372851280913831E-2"/>
          <c:y val="9.2429385720724302E-2"/>
          <c:w val="0.85972111936712137"/>
          <c:h val="0.66663939421365437"/>
        </c:manualLayout>
      </c:layout>
      <c:barChart>
        <c:barDir val="col"/>
        <c:grouping val="clustered"/>
        <c:varyColors val="0"/>
        <c:ser>
          <c:idx val="1"/>
          <c:order val="1"/>
          <c:tx>
            <c:strRef>
              <c:f>List1!$A$11</c:f>
              <c:strCache>
                <c:ptCount val="1"/>
                <c:pt idx="0">
                  <c:v>Výrobky a služby zprac. průmyslu</c:v>
                </c:pt>
              </c:strCache>
            </c:strRef>
          </c:tx>
          <c:spPr>
            <a:solidFill>
              <a:srgbClr val="009471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List1!$B$9:$Y$9</c:f>
              <c:strCache>
                <c:ptCount val="24"/>
                <c:pt idx="0">
                  <c:v>IX.24</c:v>
                </c:pt>
                <c:pt idx="1">
                  <c:v>X.24</c:v>
                </c:pt>
                <c:pt idx="2">
                  <c:v>XI.24</c:v>
                </c:pt>
                <c:pt idx="3">
                  <c:v>XII.24</c:v>
                </c:pt>
                <c:pt idx="4">
                  <c:v>I.25</c:v>
                </c:pt>
                <c:pt idx="5">
                  <c:v>II.25</c:v>
                </c:pt>
                <c:pt idx="6">
                  <c:v>III.25</c:v>
                </c:pt>
                <c:pt idx="7">
                  <c:v>IV.25</c:v>
                </c:pt>
                <c:pt idx="8">
                  <c:v>V.25</c:v>
                </c:pt>
                <c:pt idx="9">
                  <c:v>VI.25</c:v>
                </c:pt>
                <c:pt idx="10">
                  <c:v>VII.25</c:v>
                </c:pt>
                <c:pt idx="11">
                  <c:v>VIII.25</c:v>
                </c:pt>
                <c:pt idx="12">
                  <c:v>IX.25</c:v>
                </c:pt>
                <c:pt idx="13">
                  <c:v>X.25</c:v>
                </c:pt>
                <c:pt idx="14">
                  <c:v>XI.25</c:v>
                </c:pt>
                <c:pt idx="15">
                  <c:v>XII.25</c:v>
                </c:pt>
                <c:pt idx="16">
                  <c:v>I.26</c:v>
                </c:pt>
                <c:pt idx="17">
                  <c:v>II.26</c:v>
                </c:pt>
                <c:pt idx="18">
                  <c:v>III.26</c:v>
                </c:pt>
                <c:pt idx="19">
                  <c:v>IV.26</c:v>
                </c:pt>
                <c:pt idx="20">
                  <c:v>V.26</c:v>
                </c:pt>
                <c:pt idx="21">
                  <c:v>VI.26</c:v>
                </c:pt>
                <c:pt idx="22">
                  <c:v>VII.26</c:v>
                </c:pt>
                <c:pt idx="23">
                  <c:v>VIII.26</c:v>
                </c:pt>
              </c:strCache>
            </c:strRef>
          </c:cat>
          <c:val>
            <c:numRef>
              <c:f>List1!$B$11:$Y$11</c:f>
              <c:numCache>
                <c:formatCode>0.0</c:formatCode>
                <c:ptCount val="24"/>
                <c:pt idx="0">
                  <c:v>-0.8</c:v>
                </c:pt>
                <c:pt idx="1">
                  <c:v>-0.3</c:v>
                </c:pt>
                <c:pt idx="2">
                  <c:v>0.5</c:v>
                </c:pt>
                <c:pt idx="3">
                  <c:v>1</c:v>
                </c:pt>
                <c:pt idx="4">
                  <c:v>1.3</c:v>
                </c:pt>
                <c:pt idx="5">
                  <c:v>0.4</c:v>
                </c:pt>
                <c:pt idx="6">
                  <c:v>-0.4</c:v>
                </c:pt>
                <c:pt idx="7">
                  <c:v>-0.9</c:v>
                </c:pt>
                <c:pt idx="8">
                  <c:v>0</c:v>
                </c:pt>
                <c:pt idx="9">
                  <c:v>0.3</c:v>
                </c:pt>
                <c:pt idx="10">
                  <c:v>-0.4</c:v>
                </c:pt>
                <c:pt idx="11">
                  <c:v>-0.4</c:v>
                </c:pt>
                <c:pt idx="12">
                  <c:v>-0.1</c:v>
                </c:pt>
                <c:pt idx="13">
                  <c:v>-0.7</c:v>
                </c:pt>
                <c:pt idx="14">
                  <c:v>-0.8</c:v>
                </c:pt>
                <c:pt idx="15">
                  <c:v>-1.1000000000000001</c:v>
                </c:pt>
                <c:pt idx="16">
                  <c:v>-1.8</c:v>
                </c:pt>
                <c:pt idx="17">
                  <c:v>-1.7000000000000028</c:v>
                </c:pt>
                <c:pt idx="18">
                  <c:v>1.2</c:v>
                </c:pt>
                <c:pt idx="19">
                  <c:v>3.1</c:v>
                </c:pt>
                <c:pt idx="20">
                  <c:v>3.6</c:v>
                </c:pt>
                <c:pt idx="21" formatCode="General">
                  <c:v>2.8</c:v>
                </c:pt>
                <c:pt idx="22" formatCode="General">
                  <c:v>3.2</c:v>
                </c:pt>
                <c:pt idx="23">
                  <c:v>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832-4EA1-9FD8-9A53FDCD90EE}"/>
            </c:ext>
          </c:extLst>
        </c:ser>
        <c:ser>
          <c:idx val="2"/>
          <c:order val="2"/>
          <c:tx>
            <c:strRef>
              <c:f>List1!$A$12</c:f>
              <c:strCache>
                <c:ptCount val="1"/>
                <c:pt idx="0">
                  <c:v>Elektřina, plyn, pára a klimat. vzduch</c:v>
                </c:pt>
              </c:strCache>
            </c:strRef>
          </c:tx>
          <c:spPr>
            <a:solidFill>
              <a:srgbClr val="CC9610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List1!$B$9:$Y$9</c:f>
              <c:strCache>
                <c:ptCount val="24"/>
                <c:pt idx="0">
                  <c:v>IX.24</c:v>
                </c:pt>
                <c:pt idx="1">
                  <c:v>X.24</c:v>
                </c:pt>
                <c:pt idx="2">
                  <c:v>XI.24</c:v>
                </c:pt>
                <c:pt idx="3">
                  <c:v>XII.24</c:v>
                </c:pt>
                <c:pt idx="4">
                  <c:v>I.25</c:v>
                </c:pt>
                <c:pt idx="5">
                  <c:v>II.25</c:v>
                </c:pt>
                <c:pt idx="6">
                  <c:v>III.25</c:v>
                </c:pt>
                <c:pt idx="7">
                  <c:v>IV.25</c:v>
                </c:pt>
                <c:pt idx="8">
                  <c:v>V.25</c:v>
                </c:pt>
                <c:pt idx="9">
                  <c:v>VI.25</c:v>
                </c:pt>
                <c:pt idx="10">
                  <c:v>VII.25</c:v>
                </c:pt>
                <c:pt idx="11">
                  <c:v>VIII.25</c:v>
                </c:pt>
                <c:pt idx="12">
                  <c:v>IX.25</c:v>
                </c:pt>
                <c:pt idx="13">
                  <c:v>X.25</c:v>
                </c:pt>
                <c:pt idx="14">
                  <c:v>XI.25</c:v>
                </c:pt>
                <c:pt idx="15">
                  <c:v>XII.25</c:v>
                </c:pt>
                <c:pt idx="16">
                  <c:v>I.26</c:v>
                </c:pt>
                <c:pt idx="17">
                  <c:v>II.26</c:v>
                </c:pt>
                <c:pt idx="18">
                  <c:v>III.26</c:v>
                </c:pt>
                <c:pt idx="19">
                  <c:v>IV.26</c:v>
                </c:pt>
                <c:pt idx="20">
                  <c:v>V.26</c:v>
                </c:pt>
                <c:pt idx="21">
                  <c:v>VI.26</c:v>
                </c:pt>
                <c:pt idx="22">
                  <c:v>VII.26</c:v>
                </c:pt>
                <c:pt idx="23">
                  <c:v>VIII.26</c:v>
                </c:pt>
              </c:strCache>
            </c:strRef>
          </c:cat>
          <c:val>
            <c:numRef>
              <c:f>List1!$B$12:$Y$12</c:f>
              <c:numCache>
                <c:formatCode>0.0</c:formatCode>
                <c:ptCount val="24"/>
                <c:pt idx="0">
                  <c:v>5</c:v>
                </c:pt>
                <c:pt idx="1">
                  <c:v>4.7</c:v>
                </c:pt>
                <c:pt idx="2">
                  <c:v>6</c:v>
                </c:pt>
                <c:pt idx="3">
                  <c:v>9.3000000000000007</c:v>
                </c:pt>
                <c:pt idx="4">
                  <c:v>-2</c:v>
                </c:pt>
                <c:pt idx="5">
                  <c:v>-1.6</c:v>
                </c:pt>
                <c:pt idx="6">
                  <c:v>0</c:v>
                </c:pt>
                <c:pt idx="7">
                  <c:v>-2.9</c:v>
                </c:pt>
                <c:pt idx="8">
                  <c:v>-3.5</c:v>
                </c:pt>
                <c:pt idx="9">
                  <c:v>-3.7</c:v>
                </c:pt>
                <c:pt idx="10">
                  <c:v>-4</c:v>
                </c:pt>
                <c:pt idx="11">
                  <c:v>-2</c:v>
                </c:pt>
                <c:pt idx="12">
                  <c:v>-3.8</c:v>
                </c:pt>
                <c:pt idx="13">
                  <c:v>-2.6</c:v>
                </c:pt>
                <c:pt idx="14">
                  <c:v>-3.2</c:v>
                </c:pt>
                <c:pt idx="15">
                  <c:v>-5.6</c:v>
                </c:pt>
                <c:pt idx="16">
                  <c:v>-7.4</c:v>
                </c:pt>
                <c:pt idx="17">
                  <c:v>-7.1</c:v>
                </c:pt>
                <c:pt idx="18">
                  <c:v>-9.1999999999999993</c:v>
                </c:pt>
                <c:pt idx="19">
                  <c:v>-6.4</c:v>
                </c:pt>
                <c:pt idx="20">
                  <c:v>-6</c:v>
                </c:pt>
                <c:pt idx="21" formatCode="General">
                  <c:v>-4.4000000000000004</c:v>
                </c:pt>
                <c:pt idx="22" formatCode="General">
                  <c:v>-3.9</c:v>
                </c:pt>
                <c:pt idx="23">
                  <c:v>-4.8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2832-4EA1-9FD8-9A53FDCD90E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71836800"/>
        <c:axId val="71878144"/>
      </c:barChart>
      <c:lineChart>
        <c:grouping val="standard"/>
        <c:varyColors val="0"/>
        <c:ser>
          <c:idx val="0"/>
          <c:order val="0"/>
          <c:tx>
            <c:strRef>
              <c:f>List1!$A$10</c:f>
              <c:strCache>
                <c:ptCount val="1"/>
                <c:pt idx="0">
                  <c:v>Těžba a dobývání</c:v>
                </c:pt>
              </c:strCache>
            </c:strRef>
          </c:tx>
          <c:spPr>
            <a:ln w="25400">
              <a:solidFill>
                <a:srgbClr val="0071BC"/>
              </a:solidFill>
              <a:prstDash val="solid"/>
            </a:ln>
          </c:spPr>
          <c:marker>
            <c:symbol val="diamond"/>
            <c:size val="7"/>
            <c:spPr>
              <a:solidFill>
                <a:srgbClr val="000080"/>
              </a:solidFill>
              <a:ln>
                <a:solidFill>
                  <a:srgbClr val="000080"/>
                </a:solidFill>
                <a:prstDash val="solid"/>
              </a:ln>
            </c:spPr>
          </c:marker>
          <c:cat>
            <c:strRef>
              <c:f>List1!$B$9:$Y$9</c:f>
              <c:strCache>
                <c:ptCount val="24"/>
                <c:pt idx="0">
                  <c:v>IX.24</c:v>
                </c:pt>
                <c:pt idx="1">
                  <c:v>X.24</c:v>
                </c:pt>
                <c:pt idx="2">
                  <c:v>XI.24</c:v>
                </c:pt>
                <c:pt idx="3">
                  <c:v>XII.24</c:v>
                </c:pt>
                <c:pt idx="4">
                  <c:v>I.25</c:v>
                </c:pt>
                <c:pt idx="5">
                  <c:v>II.25</c:v>
                </c:pt>
                <c:pt idx="6">
                  <c:v>III.25</c:v>
                </c:pt>
                <c:pt idx="7">
                  <c:v>IV.25</c:v>
                </c:pt>
                <c:pt idx="8">
                  <c:v>V.25</c:v>
                </c:pt>
                <c:pt idx="9">
                  <c:v>VI.25</c:v>
                </c:pt>
                <c:pt idx="10">
                  <c:v>VII.25</c:v>
                </c:pt>
                <c:pt idx="11">
                  <c:v>VIII.25</c:v>
                </c:pt>
                <c:pt idx="12">
                  <c:v>IX.25</c:v>
                </c:pt>
                <c:pt idx="13">
                  <c:v>X.25</c:v>
                </c:pt>
                <c:pt idx="14">
                  <c:v>XI.25</c:v>
                </c:pt>
                <c:pt idx="15">
                  <c:v>XII.25</c:v>
                </c:pt>
                <c:pt idx="16">
                  <c:v>I.26</c:v>
                </c:pt>
                <c:pt idx="17">
                  <c:v>II.26</c:v>
                </c:pt>
                <c:pt idx="18">
                  <c:v>III.26</c:v>
                </c:pt>
                <c:pt idx="19">
                  <c:v>IV.26</c:v>
                </c:pt>
                <c:pt idx="20">
                  <c:v>V.26</c:v>
                </c:pt>
                <c:pt idx="21">
                  <c:v>VI.26</c:v>
                </c:pt>
                <c:pt idx="22">
                  <c:v>VII.26</c:v>
                </c:pt>
                <c:pt idx="23">
                  <c:v>VIII.26</c:v>
                </c:pt>
              </c:strCache>
            </c:strRef>
          </c:cat>
          <c:val>
            <c:numRef>
              <c:f>List1!$B$10:$Y$10</c:f>
              <c:numCache>
                <c:formatCode>0.0</c:formatCode>
                <c:ptCount val="24"/>
                <c:pt idx="0">
                  <c:v>-1.1000000000000001</c:v>
                </c:pt>
                <c:pt idx="1">
                  <c:v>-1.8</c:v>
                </c:pt>
                <c:pt idx="2">
                  <c:v>-1.9</c:v>
                </c:pt>
                <c:pt idx="3">
                  <c:v>-1.6</c:v>
                </c:pt>
                <c:pt idx="4">
                  <c:v>-0.8</c:v>
                </c:pt>
                <c:pt idx="5">
                  <c:v>-2.8</c:v>
                </c:pt>
                <c:pt idx="6">
                  <c:v>-4</c:v>
                </c:pt>
                <c:pt idx="7">
                  <c:v>-4.5</c:v>
                </c:pt>
                <c:pt idx="8">
                  <c:v>-4.2</c:v>
                </c:pt>
                <c:pt idx="9">
                  <c:v>-3.9</c:v>
                </c:pt>
                <c:pt idx="10">
                  <c:v>-4.2</c:v>
                </c:pt>
                <c:pt idx="11">
                  <c:v>-4.4000000000000004</c:v>
                </c:pt>
                <c:pt idx="12">
                  <c:v>-4.0999999999999996</c:v>
                </c:pt>
                <c:pt idx="13">
                  <c:v>-4.0999999999999996</c:v>
                </c:pt>
                <c:pt idx="14">
                  <c:v>-4.0999999999999996</c:v>
                </c:pt>
                <c:pt idx="15">
                  <c:v>-4.2</c:v>
                </c:pt>
                <c:pt idx="16">
                  <c:v>-1.9</c:v>
                </c:pt>
                <c:pt idx="17">
                  <c:v>-1.5</c:v>
                </c:pt>
                <c:pt idx="18">
                  <c:v>0.4</c:v>
                </c:pt>
                <c:pt idx="19">
                  <c:v>1.7</c:v>
                </c:pt>
                <c:pt idx="20">
                  <c:v>2.2999999999999998</c:v>
                </c:pt>
                <c:pt idx="21" formatCode="General">
                  <c:v>2.1</c:v>
                </c:pt>
                <c:pt idx="22" formatCode="General">
                  <c:v>1.9</c:v>
                </c:pt>
                <c:pt idx="23">
                  <c:v>2.2999999999999998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2832-4EA1-9FD8-9A53FDCD90EE}"/>
            </c:ext>
          </c:extLst>
        </c:ser>
        <c:ser>
          <c:idx val="3"/>
          <c:order val="3"/>
          <c:tx>
            <c:strRef>
              <c:f>List1!$A$13</c:f>
              <c:strCache>
                <c:ptCount val="1"/>
                <c:pt idx="0">
                  <c:v>Zásobování vodou, služby souv. s odpad. vodami</c:v>
                </c:pt>
              </c:strCache>
            </c:strRef>
          </c:tx>
          <c:spPr>
            <a:ln w="25400">
              <a:solidFill>
                <a:srgbClr val="685B7A"/>
              </a:solidFill>
              <a:prstDash val="solid"/>
            </a:ln>
          </c:spPr>
          <c:marker>
            <c:symbol val="x"/>
            <c:size val="3"/>
            <c:spPr>
              <a:noFill/>
              <a:ln>
                <a:solidFill>
                  <a:srgbClr val="000000"/>
                </a:solidFill>
                <a:prstDash val="solid"/>
              </a:ln>
            </c:spPr>
          </c:marker>
          <c:cat>
            <c:strRef>
              <c:f>List1!$B$9:$Y$9</c:f>
              <c:strCache>
                <c:ptCount val="24"/>
                <c:pt idx="0">
                  <c:v>IX.24</c:v>
                </c:pt>
                <c:pt idx="1">
                  <c:v>X.24</c:v>
                </c:pt>
                <c:pt idx="2">
                  <c:v>XI.24</c:v>
                </c:pt>
                <c:pt idx="3">
                  <c:v>XII.24</c:v>
                </c:pt>
                <c:pt idx="4">
                  <c:v>I.25</c:v>
                </c:pt>
                <c:pt idx="5">
                  <c:v>II.25</c:v>
                </c:pt>
                <c:pt idx="6">
                  <c:v>III.25</c:v>
                </c:pt>
                <c:pt idx="7">
                  <c:v>IV.25</c:v>
                </c:pt>
                <c:pt idx="8">
                  <c:v>V.25</c:v>
                </c:pt>
                <c:pt idx="9">
                  <c:v>VI.25</c:v>
                </c:pt>
                <c:pt idx="10">
                  <c:v>VII.25</c:v>
                </c:pt>
                <c:pt idx="11">
                  <c:v>VIII.25</c:v>
                </c:pt>
                <c:pt idx="12">
                  <c:v>IX.25</c:v>
                </c:pt>
                <c:pt idx="13">
                  <c:v>X.25</c:v>
                </c:pt>
                <c:pt idx="14">
                  <c:v>XI.25</c:v>
                </c:pt>
                <c:pt idx="15">
                  <c:v>XII.25</c:v>
                </c:pt>
                <c:pt idx="16">
                  <c:v>I.26</c:v>
                </c:pt>
                <c:pt idx="17">
                  <c:v>II.26</c:v>
                </c:pt>
                <c:pt idx="18">
                  <c:v>III.26</c:v>
                </c:pt>
                <c:pt idx="19">
                  <c:v>IV.26</c:v>
                </c:pt>
                <c:pt idx="20">
                  <c:v>V.26</c:v>
                </c:pt>
                <c:pt idx="21">
                  <c:v>VI.26</c:v>
                </c:pt>
                <c:pt idx="22">
                  <c:v>VII.26</c:v>
                </c:pt>
                <c:pt idx="23">
                  <c:v>VIII.26</c:v>
                </c:pt>
              </c:strCache>
            </c:strRef>
          </c:cat>
          <c:val>
            <c:numRef>
              <c:f>List1!$B$13:$Y$13</c:f>
              <c:numCache>
                <c:formatCode>0.0</c:formatCode>
                <c:ptCount val="24"/>
                <c:pt idx="0">
                  <c:v>9.1999999999999993</c:v>
                </c:pt>
                <c:pt idx="1">
                  <c:v>9.1999999999999993</c:v>
                </c:pt>
                <c:pt idx="2">
                  <c:v>9.1999999999999993</c:v>
                </c:pt>
                <c:pt idx="3">
                  <c:v>9.1999999999999993</c:v>
                </c:pt>
                <c:pt idx="4">
                  <c:v>4.0999999999999996</c:v>
                </c:pt>
                <c:pt idx="5">
                  <c:v>4.0999999999999996</c:v>
                </c:pt>
                <c:pt idx="6">
                  <c:v>4.0999999999999996</c:v>
                </c:pt>
                <c:pt idx="7">
                  <c:v>4.0999999999999996</c:v>
                </c:pt>
                <c:pt idx="8">
                  <c:v>4.0999999999999996</c:v>
                </c:pt>
                <c:pt idx="9">
                  <c:v>4.0999999999999996</c:v>
                </c:pt>
                <c:pt idx="10">
                  <c:v>4.0999999999999996</c:v>
                </c:pt>
                <c:pt idx="11">
                  <c:v>4.0999999999999996</c:v>
                </c:pt>
                <c:pt idx="12">
                  <c:v>4.0999999999999996</c:v>
                </c:pt>
                <c:pt idx="13">
                  <c:v>4.0999999999999996</c:v>
                </c:pt>
                <c:pt idx="14">
                  <c:v>4.0999999999999996</c:v>
                </c:pt>
                <c:pt idx="15">
                  <c:v>4.0999999999999996</c:v>
                </c:pt>
                <c:pt idx="16">
                  <c:v>3.9</c:v>
                </c:pt>
                <c:pt idx="17">
                  <c:v>3.9</c:v>
                </c:pt>
                <c:pt idx="18">
                  <c:v>3.9</c:v>
                </c:pt>
                <c:pt idx="19">
                  <c:v>3.9</c:v>
                </c:pt>
                <c:pt idx="20">
                  <c:v>3.9</c:v>
                </c:pt>
                <c:pt idx="21" formatCode="General">
                  <c:v>3.9</c:v>
                </c:pt>
                <c:pt idx="22" formatCode="General">
                  <c:v>3.9</c:v>
                </c:pt>
                <c:pt idx="23">
                  <c:v>3.9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3-2832-4EA1-9FD8-9A53FDCD90E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71836800"/>
        <c:axId val="71878144"/>
      </c:lineChart>
      <c:dateAx>
        <c:axId val="71836800"/>
        <c:scaling>
          <c:orientation val="minMax"/>
        </c:scaling>
        <c:delete val="0"/>
        <c:axPos val="b"/>
        <c:numFmt formatCode="mmm/yy" sourceLinked="0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-2700000" vert="horz"/>
          <a:lstStyle/>
          <a:p>
            <a:pPr>
              <a:defRPr sz="825" b="0" i="0" u="none" strike="noStrike" baseline="0">
                <a:solidFill>
                  <a:srgbClr val="000000"/>
                </a:solidFill>
                <a:latin typeface="Arial CE"/>
                <a:ea typeface="Arial CE"/>
                <a:cs typeface="Arial CE"/>
              </a:defRPr>
            </a:pPr>
            <a:endParaRPr lang="cs-CZ"/>
          </a:p>
        </c:txPr>
        <c:crossAx val="71878144"/>
        <c:crosses val="autoZero"/>
        <c:auto val="1"/>
        <c:lblOffset val="100"/>
        <c:baseTimeUnit val="months"/>
        <c:majorUnit val="1"/>
        <c:majorTimeUnit val="months"/>
        <c:minorUnit val="1"/>
        <c:minorTimeUnit val="months"/>
      </c:dateAx>
      <c:valAx>
        <c:axId val="71878144"/>
        <c:scaling>
          <c:orientation val="minMax"/>
          <c:max val="10"/>
          <c:min val="-10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ysDash"/>
            </a:ln>
          </c:spPr>
        </c:majorGridlines>
        <c:title>
          <c:tx>
            <c:rich>
              <a:bodyPr rot="-5400000" vert="horz"/>
              <a:lstStyle/>
              <a:p>
                <a:pPr algn="ctr">
                  <a:defRPr sz="900" b="1" i="0" u="none" strike="noStrike" baseline="0">
                    <a:solidFill>
                      <a:srgbClr val="000000"/>
                    </a:solidFill>
                    <a:latin typeface="Arial CE"/>
                    <a:ea typeface="Arial CE"/>
                    <a:cs typeface="Arial CE"/>
                  </a:defRPr>
                </a:pPr>
                <a:r>
                  <a:rPr lang="cs-CZ" sz="800"/>
                  <a:t>meziroční tempo růstu (%)</a:t>
                </a:r>
              </a:p>
            </c:rich>
          </c:tx>
          <c:layout>
            <c:manualLayout>
              <c:xMode val="edge"/>
              <c:yMode val="edge"/>
              <c:x val="1.5536726923219104E-2"/>
              <c:y val="0.27828786918876941"/>
            </c:manualLayout>
          </c:layout>
          <c:overlay val="0"/>
          <c:spPr>
            <a:noFill/>
            <a:ln w="25400">
              <a:noFill/>
            </a:ln>
          </c:spPr>
        </c:title>
        <c:numFmt formatCode="0.0" sourceLinked="0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25" b="0" i="0" u="none" strike="noStrike" baseline="0">
                <a:solidFill>
                  <a:srgbClr val="000000"/>
                </a:solidFill>
                <a:latin typeface="Arial CE"/>
                <a:ea typeface="Arial CE"/>
                <a:cs typeface="Arial CE"/>
              </a:defRPr>
            </a:pPr>
            <a:endParaRPr lang="cs-CZ"/>
          </a:p>
        </c:txPr>
        <c:crossAx val="71836800"/>
        <c:crosses val="autoZero"/>
        <c:crossBetween val="between"/>
        <c:majorUnit val="2"/>
      </c:valAx>
      <c:spPr>
        <a:solidFill>
          <a:schemeClr val="bg1"/>
        </a:solidFill>
        <a:ln w="12700">
          <a:solidFill>
            <a:srgbClr val="808080"/>
          </a:solidFill>
          <a:prstDash val="solid"/>
        </a:ln>
      </c:spPr>
    </c:plotArea>
    <c:legend>
      <c:legendPos val="r"/>
      <c:layout>
        <c:manualLayout>
          <c:xMode val="edge"/>
          <c:yMode val="edge"/>
          <c:x val="7.7683782484935876E-2"/>
          <c:y val="0.87699082486484059"/>
          <c:w val="0.88841920816235243"/>
          <c:h val="0.11649216575200827"/>
        </c:manualLayout>
      </c:layout>
      <c:overlay val="0"/>
      <c:spPr>
        <a:solidFill>
          <a:srgbClr val="FFFFFF"/>
        </a:solidFill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825" b="0" i="0" u="none" strike="noStrike" baseline="0">
              <a:solidFill>
                <a:srgbClr val="000000"/>
              </a:solidFill>
              <a:latin typeface="Arial CE"/>
              <a:ea typeface="Arial CE"/>
              <a:cs typeface="Arial CE"/>
            </a:defRPr>
          </a:pPr>
          <a:endParaRPr lang="cs-CZ"/>
        </a:p>
      </c:txPr>
    </c:legend>
    <c:plotVisOnly val="1"/>
    <c:dispBlanksAs val="gap"/>
    <c:showDLblsOverMax val="0"/>
  </c:chart>
  <c:spPr>
    <a:solidFill>
      <a:srgbClr val="FFFFFF"/>
    </a:solidFill>
    <a:ln w="3175">
      <a:solidFill>
        <a:srgbClr val="000000"/>
      </a:solidFill>
      <a:prstDash val="solid"/>
    </a:ln>
  </c:spPr>
  <c:txPr>
    <a:bodyPr/>
    <a:lstStyle/>
    <a:p>
      <a:pPr>
        <a:defRPr sz="1200" b="0" i="0" u="none" strike="noStrike" baseline="0">
          <a:solidFill>
            <a:srgbClr val="000000"/>
          </a:solidFill>
          <a:latin typeface="Arial CE"/>
          <a:ea typeface="Arial CE"/>
          <a:cs typeface="Arial CE"/>
        </a:defRPr>
      </a:pPr>
      <a:endParaRPr lang="cs-CZ"/>
    </a:p>
  </c:txPr>
  <c:externalData r:id="rId1">
    <c:autoUpdate val="0"/>
  </c:externalData>
</c:chartSpac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0.00657</cdr:x>
      <cdr:y>0.30512</cdr:y>
    </cdr:from>
    <cdr:to>
      <cdr:x>0.03942</cdr:x>
      <cdr:y>0.68182</cdr:y>
    </cdr:to>
    <cdr:sp macro="" textlink="">
      <cdr:nvSpPr>
        <cdr:cNvPr id="2" name="TextovéPole 1"/>
        <cdr:cNvSpPr txBox="1"/>
      </cdr:nvSpPr>
      <cdr:spPr>
        <a:xfrm xmlns:a="http://schemas.openxmlformats.org/drawingml/2006/main">
          <a:off x="47624" y="1476376"/>
          <a:ext cx="238126" cy="1822747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vert="vert270" wrap="none" rtlCol="0"/>
        <a:lstStyle xmlns:a="http://schemas.openxmlformats.org/drawingml/2006/main"/>
        <a:p xmlns:a="http://schemas.openxmlformats.org/drawingml/2006/main">
          <a:r>
            <a:rPr lang="cs-CZ" sz="880" b="1">
              <a:latin typeface="Arial" pitchFamily="34" charset="0"/>
              <a:cs typeface="Arial" pitchFamily="34" charset="0"/>
            </a:rPr>
            <a:t>meziměsíční tempo růstu (%)</a:t>
          </a:r>
        </a:p>
        <a:p xmlns:a="http://schemas.openxmlformats.org/drawingml/2006/main">
          <a:endParaRPr lang="cs-CZ" sz="880" b="1">
            <a:latin typeface="Arial" pitchFamily="34" charset="0"/>
            <a:cs typeface="Arial" pitchFamily="34" charset="0"/>
          </a:endParaRPr>
        </a:p>
      </cdr:txBody>
    </cdr:sp>
  </cdr:relSizeAnchor>
</c:userShape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93DC14-2A78-4E7C-83AE-D7F413EBB6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1855</TotalTime>
  <Pages>3</Pages>
  <Words>289</Words>
  <Characters>1710</Characters>
  <Application>Microsoft Office Word</Application>
  <DocSecurity>0</DocSecurity>
  <Lines>14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Vývoj cen průmyslových výrobců v říjnu 2007</vt:lpstr>
    </vt:vector>
  </TitlesOfParts>
  <Company>CSU</Company>
  <LinksUpToDate>false</LinksUpToDate>
  <CharactersWithSpaces>1996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Vývoj cen průmyslových výrobců v říjnu 2007</dc:title>
  <dc:subject/>
  <dc:creator>simakova</dc:creator>
  <cp:keywords/>
  <dc:description/>
  <cp:lastModifiedBy>Beránek Miloslav</cp:lastModifiedBy>
  <cp:revision>76</cp:revision>
  <cp:lastPrinted>2024-11-13T08:41:00Z</cp:lastPrinted>
  <dcterms:created xsi:type="dcterms:W3CDTF">2024-10-10T07:26:00Z</dcterms:created>
  <dcterms:modified xsi:type="dcterms:W3CDTF">2026-09-14T07:49:00Z</dcterms:modified>
</cp:coreProperties>
</file>