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Default="0036700F" w:rsidP="000C45A4">
      <w:pPr>
        <w:spacing w:line="240" w:lineRule="auto"/>
        <w:rPr>
          <w:rFonts w:cs="Arial"/>
        </w:rPr>
      </w:pPr>
      <w:r w:rsidRPr="0036700F">
        <w:rPr>
          <w:noProof/>
          <w:lang w:val="en-US" w:eastAsia="en-US"/>
        </w:rPr>
        <w:pict>
          <v:shapetype id="_x0000_t202" coordsize="21600,21600" o:spt="202" path="m,l,21600r21600,l21600,xe">
            <v:stroke joinstyle="miter"/>
            <v:path gradientshapeok="t" o:connecttype="rect"/>
          </v:shapetype>
          <v:shape id="Textové pole 2" o:spid="_x0000_s1026"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Et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N7uwS23&#10;AgAArwUAAA4AAAAAAAAAAAAAAAAALgIAAGRycy9lMm9Eb2MueG1sUEsBAi0AFAAGAAgAAAAhAAdl&#10;cHfhAAAADgEAAA8AAAAAAAAAAAAAAAAAEQUAAGRycy9kb3ducmV2LnhtbFBLBQYAAAAABAAEAPMA&#10;AAAfBgAAAAA=&#10;" filled="f" stroked="f">
            <v:textbox inset="0,0,0,0">
              <w:txbxContent>
                <w:p w:rsidR="00FA0110" w:rsidRPr="001648D6" w:rsidRDefault="00FA0110" w:rsidP="004F191F">
                  <w:pPr>
                    <w:rPr>
                      <w:lang w:val="en-GB"/>
                    </w:rPr>
                  </w:pPr>
                  <w:r w:rsidRPr="001648D6">
                    <w:rPr>
                      <w:lang w:val="en-GB"/>
                    </w:rPr>
                    <w:t>Czech Statistical Office, Prague, 2016</w:t>
                  </w:r>
                </w:p>
              </w:txbxContent>
            </v:textbox>
            <w10:wrap anchorx="page" anchory="page"/>
            <w10:anchorlock/>
          </v:shape>
        </w:pict>
      </w:r>
      <w:r w:rsidRPr="0036700F">
        <w:rPr>
          <w:noProof/>
          <w:lang w:val="en-US" w:eastAsia="en-US"/>
        </w:rPr>
        <w:pict>
          <v:shape id="_x0000_s1027" type="#_x0000_t202" style="position:absolute;margin-left:134.65pt;margin-top:612.45pt;width:394.65pt;height:112.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" filled="f" stroked="f">
            <v:textbox inset="0,0,0,0">
              <w:txbxContent>
                <w:p w:rsidR="00FA0110" w:rsidRPr="005C4244" w:rsidRDefault="00FA0110" w:rsidP="004F2A73">
                  <w:pPr>
                    <w:pStyle w:val="TL-Identifikace-dole"/>
                    <w:rPr>
                      <w:lang w:val="en-GB"/>
                    </w:rPr>
                  </w:pPr>
                  <w:r w:rsidRPr="005C4244">
                    <w:rPr>
                      <w:lang w:val="en-GB"/>
                    </w:rPr>
                    <w:t>Prepared by: Office of the President of the CZSO, Compendious Analyses Unit</w:t>
                  </w:r>
                </w:p>
                <w:p w:rsidR="00FA0110" w:rsidRPr="005C4244" w:rsidRDefault="00FA0110" w:rsidP="004F191F">
                  <w:pPr>
                    <w:pStyle w:val="TL-Identifikace-dole"/>
                    <w:rPr>
                      <w:lang w:val="en-GB"/>
                    </w:rPr>
                  </w:pPr>
                  <w:r>
                    <w:rPr>
                      <w:lang w:val="en-GB"/>
                    </w:rPr>
                    <w:t>Department director</w:t>
                  </w:r>
                  <w:r w:rsidRPr="005C4244">
                    <w:rPr>
                      <w:lang w:val="en-GB"/>
                    </w:rPr>
                    <w:t>: Egor Sidorov, Ph.D.</w:t>
                  </w:r>
                </w:p>
                <w:p w:rsidR="00FA0110" w:rsidRPr="009B4830" w:rsidRDefault="00FA0110" w:rsidP="004F191F">
                  <w:pPr>
                    <w:pStyle w:val="TL-Identifikace-dole"/>
                    <w:rPr>
                      <w:lang w:val="fr-FR"/>
                    </w:rPr>
                  </w:pPr>
                  <w:r w:rsidRPr="005C4244">
                    <w:rPr>
                      <w:lang w:val="en-GB"/>
                    </w:rPr>
                    <w:t xml:space="preserve">Authors of publication: Bc. Jiří Kamenický, Ing. </w:t>
                  </w:r>
                  <w:r w:rsidRPr="009B4830">
                    <w:rPr>
                      <w:lang w:val="fr-FR"/>
                    </w:rPr>
                    <w:t>Lukáš Kučera</w:t>
                  </w:r>
                </w:p>
                <w:p w:rsidR="00FA0110" w:rsidRPr="005C4244" w:rsidRDefault="00FA0110" w:rsidP="004F191F">
                  <w:pPr>
                    <w:pStyle w:val="TL-Identifikace-dole"/>
                    <w:rPr>
                      <w:lang w:val="en-GB"/>
                    </w:rPr>
                  </w:pPr>
                  <w:r w:rsidRPr="009B4830">
                    <w:rPr>
                      <w:lang w:val="fr-FR"/>
                    </w:rPr>
                    <w:t xml:space="preserve">Contact person: Ing. </w:t>
                  </w:r>
                  <w:r w:rsidRPr="005C4244">
                    <w:rPr>
                      <w:lang w:val="en-GB"/>
                    </w:rPr>
                    <w:t>Lukáš Kučera</w:t>
                  </w:r>
                </w:p>
                <w:p w:rsidR="00FA0110" w:rsidRPr="005C4244" w:rsidRDefault="00FA0110" w:rsidP="004F191F">
                  <w:pPr>
                    <w:pStyle w:val="TL-Identifikace-dole"/>
                    <w:rPr>
                      <w:lang w:val="en-GB"/>
                    </w:rPr>
                  </w:pPr>
                  <w:r>
                    <w:rPr>
                      <w:lang w:val="en-GB"/>
                    </w:rPr>
                    <w:t xml:space="preserve">                          </w:t>
                  </w:r>
                  <w:proofErr w:type="gramStart"/>
                  <w:r w:rsidRPr="005C4244">
                    <w:rPr>
                      <w:lang w:val="en-GB"/>
                    </w:rPr>
                    <w:t>e-mail</w:t>
                  </w:r>
                  <w:proofErr w:type="gramEnd"/>
                  <w:r w:rsidRPr="005C4244">
                    <w:rPr>
                      <w:lang w:val="en-GB"/>
                    </w:rPr>
                    <w:t xml:space="preserve">: </w:t>
                  </w:r>
                  <w:hyperlink r:id="rId8" w:history="1">
                    <w:r w:rsidRPr="005C4244">
                      <w:rPr>
                        <w:rStyle w:val="Hypertextovodkaz"/>
                        <w:lang w:val="en-GB"/>
                      </w:rPr>
                      <w:t>lukas.kucera@czso.cz</w:t>
                    </w:r>
                  </w:hyperlink>
                  <w:r w:rsidRPr="005C4244">
                    <w:rPr>
                      <w:lang w:val="en-GB"/>
                    </w:rPr>
                    <w:t xml:space="preserve">, ph. no.: </w:t>
                  </w:r>
                  <w:r>
                    <w:rPr>
                      <w:lang w:val="en-GB"/>
                    </w:rPr>
                    <w:t xml:space="preserve">(+420) </w:t>
                  </w:r>
                  <w:r w:rsidRPr="005C4244">
                    <w:rPr>
                      <w:lang w:val="en-GB"/>
                    </w:rPr>
                    <w:t>274 052 254</w:t>
                  </w:r>
                </w:p>
              </w:txbxContent>
            </v:textbox>
            <w10:wrap anchorx="page" anchory="page"/>
            <w10:anchorlock/>
          </v:shape>
        </w:pict>
      </w:r>
      <w:r w:rsidRPr="0036700F">
        <w:rPr>
          <w:noProof/>
          <w:lang w:val="en-US" w:eastAsia="en-US"/>
        </w:rPr>
        <w:pict>
          <v:shape id="Text Box 25" o:spid="_x0000_s102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" filled="f" stroked="f">
            <v:textbox inset="0,0,0,0">
              <w:txbxContent>
                <w:p w:rsidR="00FA0110" w:rsidRPr="005C4244" w:rsidRDefault="00FA0110" w:rsidP="005C4244">
                  <w:pPr>
                    <w:pStyle w:val="TL-identifikace-sted"/>
                    <w:rPr>
                      <w:lang w:val="en-GB"/>
                    </w:rPr>
                  </w:pPr>
                  <w:r w:rsidRPr="005C4244">
                    <w:rPr>
                      <w:lang w:val="en-GB"/>
                    </w:rPr>
                    <w:t>Summary data on the Czech Republic</w:t>
                  </w:r>
                </w:p>
                <w:p w:rsidR="00FA0110" w:rsidRPr="005C4244" w:rsidRDefault="00FA0110" w:rsidP="004F191F">
                  <w:pPr>
                    <w:pStyle w:val="TL-identifikace-sted"/>
                    <w:rPr>
                      <w:color w:val="000000"/>
                      <w:lang w:val="en-GB"/>
                    </w:rPr>
                  </w:pPr>
                  <w:r w:rsidRPr="005C4244">
                    <w:rPr>
                      <w:color w:val="000000"/>
                      <w:lang w:val="en-GB"/>
                    </w:rPr>
                    <w:t>P</w:t>
                  </w:r>
                  <w:r>
                    <w:rPr>
                      <w:color w:val="000000"/>
                      <w:lang w:val="en-GB"/>
                    </w:rPr>
                    <w:t>rague, 29</w:t>
                  </w:r>
                  <w:r w:rsidRPr="00977343">
                    <w:rPr>
                      <w:color w:val="000000"/>
                      <w:vertAlign w:val="superscript"/>
                      <w:lang w:val="en-GB"/>
                    </w:rPr>
                    <w:t>th</w:t>
                  </w:r>
                  <w:r>
                    <w:rPr>
                      <w:color w:val="000000"/>
                      <w:lang w:val="en-GB"/>
                    </w:rPr>
                    <w:t xml:space="preserve"> April</w:t>
                  </w:r>
                  <w:r w:rsidRPr="005C4244">
                    <w:rPr>
                      <w:color w:val="000000"/>
                      <w:lang w:val="en-GB"/>
                    </w:rPr>
                    <w:t xml:space="preserve"> 2016</w:t>
                  </w:r>
                </w:p>
                <w:p w:rsidR="00FA0110" w:rsidRPr="005C4244" w:rsidRDefault="00FA0110" w:rsidP="004F191F">
                  <w:pPr>
                    <w:pStyle w:val="TL-identifikace-sted"/>
                    <w:rPr>
                      <w:lang w:val="en-GB"/>
                    </w:rPr>
                  </w:pPr>
                  <w:r>
                    <w:rPr>
                      <w:lang w:val="en-GB"/>
                    </w:rPr>
                    <w:t>Publication code: 320194</w:t>
                  </w:r>
                  <w:r w:rsidRPr="005C4244">
                    <w:rPr>
                      <w:lang w:val="en-GB"/>
                    </w:rPr>
                    <w:t>-15</w:t>
                  </w:r>
                </w:p>
                <w:p w:rsidR="00FA0110" w:rsidRPr="005C4244" w:rsidRDefault="00FA0110" w:rsidP="004F191F">
                  <w:pPr>
                    <w:spacing w:after="200"/>
                    <w:rPr>
                      <w:sz w:val="24"/>
                      <w:lang w:val="en-GB"/>
                    </w:rPr>
                  </w:pPr>
                  <w:r>
                    <w:rPr>
                      <w:sz w:val="24"/>
                      <w:lang w:val="en-GB"/>
                    </w:rPr>
                    <w:t>Reference No.: 1065</w:t>
                  </w:r>
                  <w:r w:rsidRPr="005C4244">
                    <w:rPr>
                      <w:sz w:val="24"/>
                      <w:lang w:val="en-GB"/>
                    </w:rPr>
                    <w:t>/2016-01</w:t>
                  </w:r>
                </w:p>
                <w:p w:rsidR="00FA0110" w:rsidRPr="005C4244" w:rsidRDefault="00FA0110" w:rsidP="004F191F">
                  <w:pPr>
                    <w:spacing w:after="200"/>
                    <w:rPr>
                      <w:sz w:val="24"/>
                      <w:lang w:val="en-GB"/>
                    </w:rPr>
                  </w:pPr>
                  <w:r w:rsidRPr="007B517F">
                    <w:rPr>
                      <w:sz w:val="24"/>
                      <w:lang w:val="en-GB"/>
                    </w:rPr>
                    <w:t>Yearly publication number</w:t>
                  </w:r>
                  <w:r>
                    <w:rPr>
                      <w:sz w:val="24"/>
                      <w:lang w:val="en-GB"/>
                    </w:rPr>
                    <w:t>: 2</w:t>
                  </w:r>
                </w:p>
              </w:txbxContent>
            </v:textbox>
            <w10:wrap anchorx="page" anchory="page"/>
            <w10:anchorlock/>
          </v:shape>
        </w:pict>
      </w:r>
      <w:r w:rsidRPr="0036700F">
        <w:rPr>
          <w:noProof/>
          <w:lang w:val="en-US" w:eastAsia="en-US"/>
        </w:rPr>
        <w:pict>
          <v:shape id="_x0000_s1029"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" filled="f" stroked="f">
            <v:textbox style="mso-fit-shape-to-text:t" inset="0,0,0,0">
              <w:txbxContent>
                <w:p w:rsidR="00FA0110" w:rsidRPr="001C357A" w:rsidRDefault="00FA0110" w:rsidP="001C357A">
                  <w:pPr>
                    <w:pStyle w:val="Podtitul"/>
                    <w:rPr>
                      <w:sz w:val="56"/>
                      <w:szCs w:val="56"/>
                    </w:rPr>
                  </w:pPr>
                  <w:r>
                    <w:rPr>
                      <w:sz w:val="56"/>
                      <w:szCs w:val="56"/>
                    </w:rPr>
                    <w:t>THE CZECH ECONOMY DEVELOPMENT IN 2015</w:t>
                  </w:r>
                </w:p>
                <w:p w:rsidR="00FA0110" w:rsidRPr="009B04D0" w:rsidRDefault="00FA0110" w:rsidP="004F191F">
                  <w:pPr>
                    <w:pStyle w:val="Podtitul"/>
                  </w:pPr>
                </w:p>
              </w:txbxContent>
            </v:textbox>
            <w10:wrap anchorx="page" anchory="page"/>
            <w10:anchorlock/>
          </v:shape>
        </w:pict>
      </w:r>
      <w:r w:rsidRPr="0036700F">
        <w:rPr>
          <w:noProof/>
          <w:lang w:val="en-US" w:eastAsia="en-US"/>
        </w:rPr>
        <w:pict>
          <v:group id="Group 24" o:spid="_x0000_s1037" style="position:absolute;margin-left:45.1pt;margin-top:36.8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9dhoCcAAI7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">
            <o:lock v:ext="edit" aspectratio="t"/>
            <v:rect id="Rectangle 9" o:spid="_x0000_s1040" style="position:absolute;left:1215;top:901;width:676;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2mcEA&#10;AADbAAAADwAAAGRycy9kb3ducmV2LnhtbERPy2rCQBTdF/yH4Rbc1Ukr2JA6ilgEwbpoLGR7m7lN&#10;BjN3Qmby8O87C8Hl4bzX28k2YqDOG8cKXhcJCOLSacOVgp/L4SUF4QOyxsYxKbiRh+1m9rTGTLuR&#10;v2nIQyViCPsMFdQhtJmUvqzJol+4ljhyf66zGCLsKqk7HGO4beRbkqykRcOxocaW9jWV17y3Coz8&#10;Gm1+Lj5d0rcXU7z/pj6clJo/T7sPEIGm8BDf3UetYBnXx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yNpnBAAAA2wAAAA8AAAAAAAAAAAAAAAAAmAIAAGRycy9kb3du&#10;cmV2LnhtbFBLBQYAAAAABAAEAPUAAACGAwAAAAA=&#10;" fillcolor="#0071bc" stroked="f">
              <o:lock v:ext="edit" aspectratio="t"/>
            </v:rect>
            <v:rect id="Rectangle 10" o:spid="_x0000_s1039" style="position:absolute;left:567;top:1131;width:13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TAsIA&#10;AADbAAAADwAAAGRycy9kb3ducmV2LnhtbESPQYvCMBSE74L/ITxhb5q6wirVKKIsCLt7sApen82z&#10;DTYvpYm2/nuzIHgcZuYbZrHqbCXu1HjjWMF4lIAgzp02XCg4Hr6HMxA+IGusHJOCB3lYLfu9Baba&#10;tbynexYKESHsU1RQhlCnUvq8JIt+5Gri6F1cYzFE2RRSN9hGuK3kZ5J8SYuG40KJNW1Kyq/ZzSow&#10;8re12d9p65JbfTCn6Xnmw49SH4NuPQcRqAvv8Ku90womY/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MCwgAAANsAAAAPAAAAAAAAAAAAAAAAAJgCAABkcnMvZG93&#10;bnJldi54bWxQSwUGAAAAAAQABAD1AAAAhwMAAAAA&#10;" fillcolor="#0071bc" stroked="f">
              <o:lock v:ext="edit" aspectratio="t"/>
            </v:rect>
            <v:rect id="Rectangle 11" o:spid="_x0000_s1038" style="position:absolute;left:1288;top:1361;width:60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NdcQA&#10;AADbAAAADwAAAGRycy9kb3ducmV2LnhtbESPQWvCQBSE7wX/w/KE3pqNFtoQXUUshULbQxMh12f2&#10;mSxm34bsauK/dwuFHoeZ+YZZbyfbiSsN3jhWsEhSEMS104YbBYfy/SkD4QOyxs4xKbiRh+1m9rDG&#10;XLuRf+hahEZECPscFbQh9LmUvm7Jok9cTxy9kxsshiiHRuoBxwi3nVym6Yu0aDgutNjTvqX6XFys&#10;AiO/Rlt8V28uvfSlqV6PmQ+fSj3Op90KRKAp/If/2h9awfMS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DXXEAAAA2wAAAA8AAAAAAAAAAAAAAAAAmAIAAGRycy9k&#10;b3ducmV2LnhtbFBLBQYAAAAABAAEAPUAAACJAwAAAAA=&#10;" fillcolor="#0071bc" stroked="f">
              <o:lock v:ext="edit" aspectratio="t"/>
            </v:rect>
            <v:shape id="Freeform 12" o:spid="_x0000_s1030"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vccEA&#10;AADbAAAADwAAAGRycy9kb3ducmV2LnhtbESPQYvCMBSE78L+h/CEvdlUV0S6Rimysoonq94fzdum&#10;2LyUJmr33xtB8DjMzDfMYtXbRtyo87VjBeMkBUFcOl1zpeB03IzmIHxA1tg4JgX/5GG1/BgsMNPu&#10;zge6FaESEcI+QwUmhDaT0peGLPrEtcTR+3OdxRBlV0nd4T3CbSMnaTqTFmuOCwZbWhsqL8XVKvjJ&#10;yVB+atcF75rz7/myn9S7vVKfwz7/BhGoD+/wq73VCr6m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ZL3H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SqsYA&#10;AADbAAAADwAAAGRycy9kb3ducmV2LnhtbESPT2vCQBTE7wW/w/KEXqRuWlEkuopYCuIfqKY99PbI&#10;PpNg9m3Y3Zr47V2h0OMwM79h5svO1OJKzleWFbwOExDEudUVFwq+so+XKQgfkDXWlknBjTwsF72n&#10;Oabatnyk6ykUIkLYp6igDKFJpfR5SQb90DbE0TtbZzBE6QqpHbYRbmr5liQTabDiuFBiQ+uS8svp&#10;1yhYZ/W3G+3b3dEN3jfbn0Mhs8OnUs/9bjUDEagL/+G/9kYrGI3h8SX+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NSqs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AXMUA&#10;AADbAAAADwAAAGRycy9kb3ducmV2LnhtbESPT2vCQBTE70K/w/IKvYhuaiFIdBVbSeut+AfPz+wz&#10;CWbfprtbk357Vyh4HGbmN8x82ZtGXMn52rKC13ECgriwuuZSwWGfj6YgfEDW2FgmBX/kYbl4Gswx&#10;07bjLV13oRQRwj5DBVUIbSalLyoy6Me2JY7e2TqDIUpXSu2wi3DTyEmSpNJgzXGhwpY+Kiouu1+j&#10;YJIeT1/5pnz/bj5/hk6f1/mwWyv18tyvZiAC9eER/m9vtIK3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3QBcxQAAANsAAAAPAAAAAAAAAAAAAAAAAJgCAABkcnMv&#10;ZG93bnJldi54bWxQSwUGAAAAAAQABAD1AAAAig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D31932">
      <w:pPr>
        <w:autoSpaceDE w:val="0"/>
        <w:autoSpaceDN w:val="0"/>
        <w:adjustRightInd w:val="0"/>
        <w:spacing w:line="240" w:lineRule="auto"/>
        <w:jc w:val="both"/>
        <w:rPr>
          <w:rFonts w:cs="Arial"/>
        </w:rPr>
      </w:pPr>
    </w:p>
    <w:p w:rsidR="00576A3E" w:rsidRDefault="0036700F" w:rsidP="00D31932">
      <w:pPr>
        <w:autoSpaceDE w:val="0"/>
        <w:autoSpaceDN w:val="0"/>
        <w:adjustRightInd w:val="0"/>
        <w:spacing w:line="240" w:lineRule="auto"/>
        <w:jc w:val="both"/>
        <w:rPr>
          <w:rFonts w:cs="Arial"/>
          <w:lang w:eastAsia="ar-SA"/>
        </w:rPr>
      </w:pPr>
      <w:r w:rsidRPr="0036700F">
        <w:rPr>
          <w:noProof/>
          <w:lang w:val="en-US" w:eastAsia="en-US"/>
        </w:rPr>
        <w:pict>
          <v:line id="Přímá spojnice 33" o:spid="_x0000_s1036" style="position:absolute;left:0;text-align:left;z-index:251656704;visibility:visible;mso-wrap-distance-top:-6e-5mm;mso-wrap-distance-bottom:-6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Pr>
          <w:rFonts w:cs="Arial"/>
        </w:rPr>
        <w:br w:type="page"/>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pPr>
        <w:spacing w:line="240" w:lineRule="auto"/>
        <w:rPr>
          <w:rFonts w:cs="Arial"/>
          <w:lang w:eastAsia="ar-SA"/>
        </w:rPr>
      </w:pPr>
    </w:p>
    <w:p w:rsidR="00576A3E" w:rsidRDefault="00576A3E" w:rsidP="0060487F">
      <w:pPr>
        <w:pStyle w:val="Styl1"/>
        <w:rPr>
          <w:rFonts w:cs="Arial"/>
          <w:sz w:val="20"/>
        </w:rPr>
      </w:pPr>
    </w:p>
    <w:p w:rsidR="00576A3E" w:rsidRPr="006404A7" w:rsidRDefault="0036700F" w:rsidP="0060487F">
      <w:pPr>
        <w:pStyle w:val="Styl1"/>
        <w:rPr>
          <w:rFonts w:cs="Arial"/>
          <w:color w:val="7DB41E"/>
          <w:sz w:val="20"/>
          <w:szCs w:val="20"/>
        </w:rPr>
      </w:pPr>
      <w:r w:rsidRPr="0036700F">
        <w:rPr>
          <w:noProof/>
          <w:lang w:val="en-US" w:eastAsia="en-US"/>
        </w:rPr>
        <w:pict>
          <v:shape id="_x0000_s1035" type="#_x0000_t202" style="position:absolute;margin-left:56.7pt;margin-top:116.25pt;width:481.9pt;height:59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5vA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" filled="f" stroked="f">
            <v:textbox inset="0,0,0,0">
              <w:txbxContent>
                <w:p w:rsidR="00FA0110" w:rsidRPr="00D14EA6" w:rsidRDefault="00FA0110" w:rsidP="001648D6">
                  <w:pPr>
                    <w:pStyle w:val="TL-Kontakty"/>
                    <w:rPr>
                      <w:lang w:val="en-GB"/>
                    </w:rPr>
                  </w:pPr>
                  <w:r w:rsidRPr="00D14EA6">
                    <w:rPr>
                      <w:caps w:val="0"/>
                      <w:lang w:val="en-GB"/>
                    </w:rPr>
                    <w:t>CONTACTS IN THE HEADQUARTERS</w:t>
                  </w:r>
                </w:p>
                <w:p w:rsidR="00FA0110" w:rsidRPr="00D14EA6" w:rsidRDefault="00FA0110" w:rsidP="00BD366B">
                  <w:pPr>
                    <w:spacing w:after="80" w:line="240" w:lineRule="auto"/>
                    <w:rPr>
                      <w:b/>
                      <w:color w:val="0071BC"/>
                      <w:lang w:val="en-GB"/>
                    </w:rPr>
                  </w:pPr>
                  <w:r w:rsidRPr="00D14EA6">
                    <w:rPr>
                      <w:b/>
                      <w:color w:val="0071BC"/>
                      <w:lang w:val="en-GB"/>
                    </w:rPr>
                    <w:t xml:space="preserve">Czech Statistical Office | </w:t>
                  </w:r>
                  <w:r w:rsidRPr="00D14EA6">
                    <w:rPr>
                      <w:lang w:val="en-GB"/>
                    </w:rPr>
                    <w:t xml:space="preserve">Na padesátém 81, 100 82 Praha 10 | ph.: 274 051 111 | </w:t>
                  </w:r>
                  <w:r w:rsidRPr="00D14EA6">
                    <w:rPr>
                      <w:b/>
                      <w:bCs/>
                      <w:lang w:val="en-GB"/>
                    </w:rPr>
                    <w:t>www.czso.cz</w:t>
                  </w:r>
                </w:p>
                <w:p w:rsidR="00FA0110" w:rsidRPr="009B4830" w:rsidRDefault="00FA0110" w:rsidP="00BD366B">
                  <w:pPr>
                    <w:spacing w:after="80" w:line="240" w:lineRule="auto"/>
                    <w:rPr>
                      <w:lang w:val="fr-FR"/>
                    </w:rPr>
                  </w:pPr>
                  <w:r w:rsidRPr="009B4830">
                    <w:rPr>
                      <w:b/>
                      <w:lang w:val="fr-FR"/>
                    </w:rPr>
                    <w:t>Information Services</w:t>
                  </w:r>
                  <w:r w:rsidRPr="009B4830">
                    <w:rPr>
                      <w:lang w:val="fr-FR"/>
                    </w:rPr>
                    <w:t xml:space="preserve"> |</w:t>
                  </w:r>
                  <w:r w:rsidRPr="009B4830">
                    <w:rPr>
                      <w:b/>
                      <w:lang w:val="fr-FR"/>
                    </w:rPr>
                    <w:t xml:space="preserve"> </w:t>
                  </w:r>
                  <w:r w:rsidRPr="009B4830">
                    <w:rPr>
                      <w:lang w:val="fr-FR"/>
                    </w:rPr>
                    <w:t>ph.: 274 052 648, 274 052 304, 274 052 451 | e-mail: infoservis@czso.cz</w:t>
                  </w:r>
                </w:p>
                <w:p w:rsidR="00FA0110" w:rsidRPr="00D14EA6" w:rsidRDefault="00FA0110" w:rsidP="00BD366B">
                  <w:pPr>
                    <w:spacing w:after="80" w:line="240" w:lineRule="auto"/>
                    <w:rPr>
                      <w:b/>
                      <w:lang w:val="en-GB"/>
                    </w:rPr>
                  </w:pPr>
                  <w:r w:rsidRPr="00D14EA6">
                    <w:rPr>
                      <w:b/>
                      <w:lang w:val="en-GB"/>
                    </w:rPr>
                    <w:t>CZSO Publications Shop</w:t>
                  </w:r>
                  <w:r w:rsidRPr="00D14EA6">
                    <w:rPr>
                      <w:lang w:val="en-GB"/>
                    </w:rPr>
                    <w:t xml:space="preserve"> | ph.: 274 052 361 | e-mail: prodejna@czso.cz</w:t>
                  </w:r>
                </w:p>
                <w:p w:rsidR="00FA0110" w:rsidRPr="00D14EA6" w:rsidRDefault="00FA0110" w:rsidP="00BD366B">
                  <w:pPr>
                    <w:spacing w:after="80" w:line="240" w:lineRule="auto"/>
                    <w:rPr>
                      <w:b/>
                      <w:lang w:val="en-GB"/>
                    </w:rPr>
                  </w:pPr>
                  <w:r w:rsidRPr="00D14EA6">
                    <w:rPr>
                      <w:b/>
                      <w:lang w:val="en-GB"/>
                    </w:rPr>
                    <w:t>European data (ESDS), international comparison</w:t>
                  </w:r>
                  <w:r w:rsidRPr="00D14EA6">
                    <w:rPr>
                      <w:lang w:val="en-GB"/>
                    </w:rPr>
                    <w:t xml:space="preserve"> | ph.: 274 052 347, 274 052 757 | e-mail: esds@czso.cz</w:t>
                  </w:r>
                </w:p>
                <w:p w:rsidR="00FA0110" w:rsidRPr="00D14EA6" w:rsidRDefault="00FA0110" w:rsidP="00BD366B">
                  <w:pPr>
                    <w:spacing w:after="80" w:line="240" w:lineRule="auto"/>
                    <w:rPr>
                      <w:b/>
                      <w:lang w:val="en-GB"/>
                    </w:rPr>
                  </w:pPr>
                  <w:r w:rsidRPr="00D14EA6">
                    <w:rPr>
                      <w:b/>
                      <w:lang w:val="en-GB"/>
                    </w:rPr>
                    <w:t>Central Statistical Library</w:t>
                  </w:r>
                  <w:r w:rsidRPr="00D14EA6">
                    <w:rPr>
                      <w:lang w:val="en-GB"/>
                    </w:rPr>
                    <w:t xml:space="preserve"> | ph.: 274 052 361 | e-mail: knihovna@czso.cz</w:t>
                  </w:r>
                </w:p>
                <w:p w:rsidR="00FA0110" w:rsidRPr="00D14EA6" w:rsidRDefault="00FA0110" w:rsidP="00BD366B">
                  <w:pPr>
                    <w:spacing w:line="240" w:lineRule="auto"/>
                    <w:rPr>
                      <w:lang w:val="en-GB"/>
                    </w:rPr>
                  </w:pPr>
                </w:p>
                <w:p w:rsidR="00FA0110" w:rsidRPr="00D14EA6" w:rsidRDefault="00FA0110" w:rsidP="004F06F5">
                  <w:pPr>
                    <w:pStyle w:val="TL-Kontakty"/>
                    <w:rPr>
                      <w:lang w:val="en-GB"/>
                    </w:rPr>
                  </w:pPr>
                  <w:r w:rsidRPr="00D14EA6">
                    <w:rPr>
                      <w:lang w:val="en-GB"/>
                    </w:rPr>
                    <w:t>INFORMATION SERVICES IN THE REGIONS</w:t>
                  </w:r>
                </w:p>
                <w:p w:rsidR="00FA0110" w:rsidRPr="00D14EA6" w:rsidRDefault="00FA0110" w:rsidP="00BD366B">
                  <w:pPr>
                    <w:spacing w:line="240" w:lineRule="auto"/>
                    <w:rPr>
                      <w:lang w:val="en-GB"/>
                    </w:rPr>
                  </w:pPr>
                  <w:r w:rsidRPr="00D14EA6">
                    <w:rPr>
                      <w:b/>
                      <w:color w:val="0071BC"/>
                      <w:lang w:val="en-GB"/>
                    </w:rPr>
                    <w:t>Capital city Prague</w:t>
                  </w:r>
                  <w:r w:rsidRPr="00D14EA6">
                    <w:rPr>
                      <w:lang w:val="en-GB"/>
                    </w:rPr>
                    <w:t xml:space="preserve"> | Na padesátém 81, 100 82 Praha 10 | ph.: 274 052 673, 274 054 223</w:t>
                  </w:r>
                </w:p>
                <w:p w:rsidR="00FA0110" w:rsidRPr="00264AF7" w:rsidRDefault="00FA0110" w:rsidP="00BD366B">
                  <w:pPr>
                    <w:spacing w:line="240" w:lineRule="auto"/>
                    <w:rPr>
                      <w:b/>
                      <w:lang w:val="it-IT"/>
                    </w:rPr>
                  </w:pPr>
                  <w:r w:rsidRPr="00264AF7">
                    <w:rPr>
                      <w:lang w:val="it-IT"/>
                    </w:rPr>
                    <w:t xml:space="preserve">e-mail: infoservispraha@czso.cz | </w:t>
                  </w:r>
                  <w:r w:rsidRPr="00264AF7">
                    <w:rPr>
                      <w:b/>
                      <w:lang w:val="it-IT"/>
                    </w:rPr>
                    <w:t>www.praha.czso.cz</w:t>
                  </w:r>
                </w:p>
                <w:p w:rsidR="00FA0110" w:rsidRPr="00264AF7" w:rsidRDefault="00FA0110" w:rsidP="00BD366B">
                  <w:pPr>
                    <w:spacing w:line="240" w:lineRule="auto"/>
                    <w:rPr>
                      <w:lang w:val="it-IT"/>
                    </w:rPr>
                  </w:pPr>
                </w:p>
                <w:p w:rsidR="00FA0110" w:rsidRPr="00264AF7" w:rsidRDefault="00FA0110" w:rsidP="00BD366B">
                  <w:pPr>
                    <w:spacing w:line="240" w:lineRule="auto"/>
                    <w:rPr>
                      <w:b/>
                      <w:color w:val="0071BC"/>
                      <w:lang w:val="it-IT"/>
                    </w:rPr>
                  </w:pPr>
                  <w:r w:rsidRPr="00264AF7">
                    <w:rPr>
                      <w:b/>
                      <w:color w:val="0071BC"/>
                      <w:lang w:val="it-IT"/>
                    </w:rPr>
                    <w:t>Central Bohemia</w:t>
                  </w:r>
                  <w:r w:rsidRPr="00264AF7">
                    <w:rPr>
                      <w:lang w:val="it-IT"/>
                    </w:rPr>
                    <w:t xml:space="preserve"> | Na padesátém 81, 100 82 Praha 10 |</w:t>
                  </w:r>
                  <w:r w:rsidRPr="00264AF7">
                    <w:rPr>
                      <w:b/>
                      <w:lang w:val="it-IT"/>
                    </w:rPr>
                    <w:t xml:space="preserve"> </w:t>
                  </w:r>
                  <w:r w:rsidRPr="00264AF7">
                    <w:rPr>
                      <w:lang w:val="it-IT"/>
                    </w:rPr>
                    <w:t>ph.: 274 054 175</w:t>
                  </w:r>
                </w:p>
                <w:p w:rsidR="00FA0110" w:rsidRPr="00264AF7" w:rsidRDefault="00FA0110" w:rsidP="00BD366B">
                  <w:pPr>
                    <w:spacing w:line="240" w:lineRule="auto"/>
                    <w:rPr>
                      <w:lang w:val="it-IT"/>
                    </w:rPr>
                  </w:pPr>
                  <w:r w:rsidRPr="00264AF7">
                    <w:rPr>
                      <w:lang w:val="it-IT"/>
                    </w:rPr>
                    <w:t xml:space="preserve">e-mail: infoservisstc@czso.cz | </w:t>
                  </w:r>
                  <w:r w:rsidRPr="00264AF7">
                    <w:rPr>
                      <w:b/>
                      <w:lang w:val="it-IT"/>
                    </w:rPr>
                    <w:t>www.stredocesky.czso.cz</w:t>
                  </w:r>
                </w:p>
                <w:p w:rsidR="00FA0110" w:rsidRPr="00264AF7" w:rsidRDefault="00FA0110" w:rsidP="00BD366B">
                  <w:pPr>
                    <w:spacing w:line="240" w:lineRule="auto"/>
                    <w:rPr>
                      <w:lang w:val="it-IT"/>
                    </w:rPr>
                  </w:pPr>
                </w:p>
                <w:p w:rsidR="00FA0110" w:rsidRPr="00264AF7" w:rsidRDefault="00FA0110" w:rsidP="00BD366B">
                  <w:pPr>
                    <w:spacing w:line="240" w:lineRule="auto"/>
                    <w:rPr>
                      <w:b/>
                      <w:color w:val="0071BC"/>
                      <w:lang w:val="it-IT"/>
                    </w:rPr>
                  </w:pPr>
                  <w:r w:rsidRPr="00264AF7">
                    <w:rPr>
                      <w:b/>
                      <w:color w:val="0071BC"/>
                      <w:lang w:val="it-IT"/>
                    </w:rPr>
                    <w:t>České Budějovice</w:t>
                  </w:r>
                  <w:r w:rsidRPr="00264AF7">
                    <w:rPr>
                      <w:lang w:val="it-IT"/>
                    </w:rPr>
                    <w:t xml:space="preserve"> | Žižkova 1, 370 77 České Budějovice | ph.: 386 718 440</w:t>
                  </w:r>
                </w:p>
                <w:p w:rsidR="00FA0110" w:rsidRPr="00264AF7" w:rsidRDefault="00FA0110" w:rsidP="00BD366B">
                  <w:pPr>
                    <w:spacing w:line="240" w:lineRule="auto"/>
                    <w:rPr>
                      <w:lang w:val="it-IT"/>
                    </w:rPr>
                  </w:pPr>
                  <w:r w:rsidRPr="00264AF7">
                    <w:rPr>
                      <w:lang w:val="it-IT"/>
                    </w:rPr>
                    <w:t xml:space="preserve">e-mail: infoserviscb@czso.cz | </w:t>
                  </w:r>
                  <w:r w:rsidRPr="00264AF7">
                    <w:rPr>
                      <w:b/>
                      <w:lang w:val="it-IT"/>
                    </w:rPr>
                    <w:t>www.cbudejovice.czso.cz</w:t>
                  </w:r>
                </w:p>
                <w:p w:rsidR="00FA0110" w:rsidRPr="00264AF7" w:rsidRDefault="00FA0110" w:rsidP="00BD366B">
                  <w:pPr>
                    <w:spacing w:line="240" w:lineRule="auto"/>
                    <w:rPr>
                      <w:lang w:val="it-IT"/>
                    </w:rPr>
                  </w:pPr>
                </w:p>
                <w:p w:rsidR="00FA0110" w:rsidRPr="00264AF7" w:rsidRDefault="00FA0110" w:rsidP="00BD366B">
                  <w:pPr>
                    <w:spacing w:line="240" w:lineRule="auto"/>
                    <w:rPr>
                      <w:b/>
                      <w:color w:val="0071BC"/>
                      <w:lang w:val="it-IT"/>
                    </w:rPr>
                  </w:pPr>
                  <w:r w:rsidRPr="00264AF7">
                    <w:rPr>
                      <w:b/>
                      <w:color w:val="0071BC"/>
                      <w:lang w:val="it-IT"/>
                    </w:rPr>
                    <w:t>Plzeň</w:t>
                  </w:r>
                  <w:r w:rsidRPr="00264AF7">
                    <w:rPr>
                      <w:lang w:val="it-IT"/>
                    </w:rPr>
                    <w:t xml:space="preserve"> | Slovanská alej 36, 326 64 Plzeň | ph.: 377 612 108, 377 612 249</w:t>
                  </w:r>
                </w:p>
                <w:p w:rsidR="00FA0110" w:rsidRPr="00264AF7" w:rsidRDefault="00FA0110" w:rsidP="00BD366B">
                  <w:pPr>
                    <w:spacing w:line="240" w:lineRule="auto"/>
                    <w:rPr>
                      <w:lang w:val="it-IT"/>
                    </w:rPr>
                  </w:pPr>
                  <w:r w:rsidRPr="00264AF7">
                    <w:rPr>
                      <w:lang w:val="it-IT"/>
                    </w:rPr>
                    <w:t xml:space="preserve">e-mail: infoservisplzen@czso.cz | </w:t>
                  </w:r>
                  <w:r w:rsidRPr="00264AF7">
                    <w:rPr>
                      <w:b/>
                      <w:lang w:val="it-IT"/>
                    </w:rPr>
                    <w:t>www.plzen.czso.cz</w:t>
                  </w:r>
                </w:p>
                <w:p w:rsidR="00FA0110" w:rsidRPr="00264AF7" w:rsidRDefault="00FA0110" w:rsidP="00BD366B">
                  <w:pPr>
                    <w:spacing w:line="240" w:lineRule="auto"/>
                    <w:rPr>
                      <w:lang w:val="it-IT"/>
                    </w:rPr>
                  </w:pPr>
                </w:p>
                <w:p w:rsidR="00FA0110" w:rsidRPr="00264AF7" w:rsidRDefault="00FA0110" w:rsidP="00BD366B">
                  <w:pPr>
                    <w:spacing w:line="240" w:lineRule="auto"/>
                    <w:rPr>
                      <w:b/>
                      <w:color w:val="0071BC"/>
                      <w:lang w:val="it-IT"/>
                    </w:rPr>
                  </w:pPr>
                  <w:r w:rsidRPr="00264AF7">
                    <w:rPr>
                      <w:b/>
                      <w:color w:val="0071BC"/>
                      <w:lang w:val="it-IT"/>
                    </w:rPr>
                    <w:t>Karlovy Vary</w:t>
                  </w:r>
                  <w:r w:rsidRPr="00264AF7">
                    <w:rPr>
                      <w:lang w:val="it-IT"/>
                    </w:rPr>
                    <w:t xml:space="preserve"> | Sportovní 28, 360 01 Karlovy Vary | ph.: 353 114 529, 353 114 525</w:t>
                  </w:r>
                </w:p>
                <w:p w:rsidR="00FA0110" w:rsidRPr="00264AF7" w:rsidRDefault="00FA0110" w:rsidP="00BD366B">
                  <w:pPr>
                    <w:spacing w:line="240" w:lineRule="auto"/>
                    <w:rPr>
                      <w:b/>
                      <w:lang w:val="it-IT"/>
                    </w:rPr>
                  </w:pPr>
                  <w:r w:rsidRPr="00264AF7">
                    <w:rPr>
                      <w:lang w:val="it-IT"/>
                    </w:rPr>
                    <w:t xml:space="preserve">e-mail: infoserviskv@czso.cz | </w:t>
                  </w:r>
                  <w:r w:rsidRPr="00264AF7">
                    <w:rPr>
                      <w:b/>
                      <w:lang w:val="it-IT"/>
                    </w:rPr>
                    <w:t>www.kvary.czso.cz</w:t>
                  </w:r>
                </w:p>
                <w:p w:rsidR="00FA0110" w:rsidRPr="00264AF7" w:rsidRDefault="00FA0110" w:rsidP="00BD366B">
                  <w:pPr>
                    <w:spacing w:line="240" w:lineRule="auto"/>
                    <w:rPr>
                      <w:lang w:val="it-IT"/>
                    </w:rPr>
                  </w:pPr>
                </w:p>
                <w:p w:rsidR="00FA0110" w:rsidRPr="00264AF7" w:rsidRDefault="00FA0110" w:rsidP="00BD366B">
                  <w:pPr>
                    <w:spacing w:line="240" w:lineRule="auto"/>
                    <w:rPr>
                      <w:b/>
                      <w:bCs/>
                      <w:color w:val="0071BC"/>
                      <w:lang w:val="it-IT"/>
                    </w:rPr>
                  </w:pPr>
                  <w:r w:rsidRPr="00264AF7">
                    <w:rPr>
                      <w:b/>
                      <w:bCs/>
                      <w:color w:val="0071BC"/>
                      <w:lang w:val="it-IT"/>
                    </w:rPr>
                    <w:t>Ústí nad Labem</w:t>
                  </w:r>
                  <w:r w:rsidRPr="00264AF7">
                    <w:rPr>
                      <w:lang w:val="it-IT"/>
                    </w:rPr>
                    <w:t xml:space="preserve"> | </w:t>
                  </w:r>
                  <w:r w:rsidRPr="00264AF7">
                    <w:rPr>
                      <w:bCs/>
                      <w:lang w:val="it-IT"/>
                    </w:rPr>
                    <w:t>Špálova 2684, 400 11 Ústí nad Labem</w:t>
                  </w:r>
                  <w:r w:rsidRPr="00264AF7">
                    <w:rPr>
                      <w:lang w:val="it-IT"/>
                    </w:rPr>
                    <w:t xml:space="preserve"> | </w:t>
                  </w:r>
                  <w:r w:rsidRPr="00264AF7">
                    <w:rPr>
                      <w:bCs/>
                      <w:lang w:val="it-IT"/>
                    </w:rPr>
                    <w:t>ph.: 472 706 176, 472 706 121</w:t>
                  </w:r>
                </w:p>
                <w:p w:rsidR="00FA0110" w:rsidRPr="00264AF7" w:rsidRDefault="00FA0110" w:rsidP="00BD366B">
                  <w:pPr>
                    <w:spacing w:line="240" w:lineRule="auto"/>
                    <w:rPr>
                      <w:bCs/>
                      <w:lang w:val="it-IT"/>
                    </w:rPr>
                  </w:pPr>
                  <w:r w:rsidRPr="00264AF7">
                    <w:rPr>
                      <w:bCs/>
                      <w:lang w:val="it-IT"/>
                    </w:rPr>
                    <w:t>e-mail: infoservisul@czso.cz</w:t>
                  </w:r>
                  <w:r w:rsidRPr="00264AF7">
                    <w:rPr>
                      <w:lang w:val="it-IT"/>
                    </w:rPr>
                    <w:t xml:space="preserve"> | </w:t>
                  </w:r>
                  <w:r w:rsidRPr="00264AF7">
                    <w:rPr>
                      <w:b/>
                      <w:bCs/>
                      <w:lang w:val="it-IT"/>
                    </w:rPr>
                    <w:t>www.ustinadlabem.czso.cz</w:t>
                  </w:r>
                </w:p>
                <w:p w:rsidR="00FA0110" w:rsidRPr="00264AF7" w:rsidRDefault="00FA0110" w:rsidP="00BD366B">
                  <w:pPr>
                    <w:spacing w:line="240" w:lineRule="auto"/>
                    <w:rPr>
                      <w:bCs/>
                      <w:lang w:val="it-IT"/>
                    </w:rPr>
                  </w:pPr>
                </w:p>
                <w:p w:rsidR="00FA0110" w:rsidRPr="00264AF7" w:rsidRDefault="00FA0110" w:rsidP="00BD366B">
                  <w:pPr>
                    <w:spacing w:line="240" w:lineRule="auto"/>
                    <w:rPr>
                      <w:b/>
                      <w:bCs/>
                      <w:color w:val="0071BC"/>
                      <w:lang w:val="it-IT"/>
                    </w:rPr>
                  </w:pPr>
                  <w:r w:rsidRPr="00264AF7">
                    <w:rPr>
                      <w:b/>
                      <w:bCs/>
                      <w:color w:val="0071BC"/>
                      <w:lang w:val="it-IT"/>
                    </w:rPr>
                    <w:t>Liberec</w:t>
                  </w:r>
                  <w:r w:rsidRPr="00264AF7">
                    <w:rPr>
                      <w:lang w:val="it-IT"/>
                    </w:rPr>
                    <w:t xml:space="preserve"> | </w:t>
                  </w:r>
                  <w:r w:rsidRPr="00264AF7">
                    <w:rPr>
                      <w:bCs/>
                      <w:lang w:val="it-IT"/>
                    </w:rPr>
                    <w:t>Nám. Dr. Edvarda Beneše 585/26, 460 01 Liberec 1</w:t>
                  </w:r>
                  <w:r w:rsidRPr="00264AF7">
                    <w:rPr>
                      <w:lang w:val="it-IT"/>
                    </w:rPr>
                    <w:t xml:space="preserve"> | ph</w:t>
                  </w:r>
                  <w:r w:rsidRPr="00264AF7">
                    <w:rPr>
                      <w:bCs/>
                      <w:lang w:val="it-IT"/>
                    </w:rPr>
                    <w:t>.: 485 238 811</w:t>
                  </w:r>
                </w:p>
                <w:p w:rsidR="00FA0110" w:rsidRPr="00264AF7" w:rsidRDefault="00FA0110" w:rsidP="00BD366B">
                  <w:pPr>
                    <w:spacing w:line="240" w:lineRule="auto"/>
                    <w:rPr>
                      <w:bCs/>
                      <w:lang w:val="it-IT"/>
                    </w:rPr>
                  </w:pPr>
                  <w:r w:rsidRPr="00264AF7">
                    <w:rPr>
                      <w:bCs/>
                      <w:lang w:val="it-IT"/>
                    </w:rPr>
                    <w:t>e-mail: infoservislbc@czso.cz</w:t>
                  </w:r>
                  <w:r w:rsidRPr="00264AF7">
                    <w:rPr>
                      <w:lang w:val="it-IT"/>
                    </w:rPr>
                    <w:t xml:space="preserve"> | </w:t>
                  </w:r>
                  <w:r w:rsidRPr="00264AF7">
                    <w:rPr>
                      <w:b/>
                      <w:bCs/>
                      <w:lang w:val="it-IT"/>
                    </w:rPr>
                    <w:t>www.liberec.czso.cz</w:t>
                  </w:r>
                </w:p>
                <w:p w:rsidR="00FA0110" w:rsidRPr="00264AF7" w:rsidRDefault="00FA0110" w:rsidP="00BD366B">
                  <w:pPr>
                    <w:spacing w:line="240" w:lineRule="auto"/>
                    <w:rPr>
                      <w:bCs/>
                      <w:lang w:val="it-IT"/>
                    </w:rPr>
                  </w:pPr>
                </w:p>
                <w:p w:rsidR="00FA0110" w:rsidRPr="00264AF7" w:rsidRDefault="00FA0110" w:rsidP="00BD366B">
                  <w:pPr>
                    <w:spacing w:line="240" w:lineRule="auto"/>
                    <w:rPr>
                      <w:b/>
                      <w:bCs/>
                      <w:color w:val="0071BC"/>
                      <w:lang w:val="it-IT"/>
                    </w:rPr>
                  </w:pPr>
                  <w:r w:rsidRPr="00264AF7">
                    <w:rPr>
                      <w:b/>
                      <w:bCs/>
                      <w:color w:val="0071BC"/>
                      <w:lang w:val="it-IT"/>
                    </w:rPr>
                    <w:t>Hradec Králové</w:t>
                  </w:r>
                  <w:r w:rsidRPr="00264AF7">
                    <w:rPr>
                      <w:lang w:val="it-IT"/>
                    </w:rPr>
                    <w:t xml:space="preserve"> | </w:t>
                  </w:r>
                  <w:r w:rsidRPr="00264AF7">
                    <w:rPr>
                      <w:bCs/>
                      <w:lang w:val="it-IT"/>
                    </w:rPr>
                    <w:t>Myslivečkova 914, 500 03 Hradec Králové 3</w:t>
                  </w:r>
                  <w:r w:rsidRPr="00264AF7">
                    <w:rPr>
                      <w:lang w:val="it-IT"/>
                    </w:rPr>
                    <w:t xml:space="preserve"> | ph</w:t>
                  </w:r>
                  <w:r w:rsidRPr="00264AF7">
                    <w:rPr>
                      <w:bCs/>
                      <w:lang w:val="it-IT"/>
                    </w:rPr>
                    <w:t>.: 495 762 322, 495 762 317</w:t>
                  </w:r>
                </w:p>
                <w:p w:rsidR="00FA0110" w:rsidRPr="00264AF7" w:rsidRDefault="00FA0110" w:rsidP="00BD366B">
                  <w:pPr>
                    <w:spacing w:line="240" w:lineRule="auto"/>
                    <w:rPr>
                      <w:bCs/>
                      <w:lang w:val="it-IT"/>
                    </w:rPr>
                  </w:pPr>
                  <w:r w:rsidRPr="00264AF7">
                    <w:rPr>
                      <w:bCs/>
                      <w:lang w:val="it-IT"/>
                    </w:rPr>
                    <w:t>e-mail: infoservishk@czso.cz</w:t>
                  </w:r>
                  <w:r w:rsidRPr="00264AF7">
                    <w:rPr>
                      <w:lang w:val="it-IT"/>
                    </w:rPr>
                    <w:t xml:space="preserve"> | </w:t>
                  </w:r>
                  <w:r w:rsidRPr="00264AF7">
                    <w:rPr>
                      <w:b/>
                      <w:bCs/>
                      <w:lang w:val="it-IT"/>
                    </w:rPr>
                    <w:t>www.hradeckralove.czso.cz</w:t>
                  </w:r>
                </w:p>
                <w:p w:rsidR="00FA0110" w:rsidRPr="00264AF7" w:rsidRDefault="00FA0110" w:rsidP="00BD366B">
                  <w:pPr>
                    <w:spacing w:line="240" w:lineRule="auto"/>
                    <w:rPr>
                      <w:bCs/>
                      <w:lang w:val="it-IT"/>
                    </w:rPr>
                  </w:pPr>
                </w:p>
                <w:p w:rsidR="00FA0110" w:rsidRPr="00264AF7" w:rsidRDefault="00FA0110" w:rsidP="00BD366B">
                  <w:pPr>
                    <w:spacing w:line="240" w:lineRule="auto"/>
                    <w:rPr>
                      <w:b/>
                      <w:bCs/>
                      <w:color w:val="0071BC"/>
                      <w:lang w:val="it-IT"/>
                    </w:rPr>
                  </w:pPr>
                  <w:r w:rsidRPr="00264AF7">
                    <w:rPr>
                      <w:b/>
                      <w:bCs/>
                      <w:color w:val="0071BC"/>
                      <w:lang w:val="it-IT"/>
                    </w:rPr>
                    <w:t>Pardubice</w:t>
                  </w:r>
                  <w:r w:rsidRPr="00264AF7">
                    <w:rPr>
                      <w:lang w:val="it-IT"/>
                    </w:rPr>
                    <w:t xml:space="preserve"> | </w:t>
                  </w:r>
                  <w:r w:rsidRPr="00264AF7">
                    <w:rPr>
                      <w:bCs/>
                      <w:lang w:val="it-IT"/>
                    </w:rPr>
                    <w:t>V Ráji 872, 531 53 Pardubice</w:t>
                  </w:r>
                  <w:r w:rsidRPr="00264AF7">
                    <w:rPr>
                      <w:lang w:val="it-IT"/>
                    </w:rPr>
                    <w:t xml:space="preserve"> | </w:t>
                  </w:r>
                  <w:r w:rsidRPr="00264AF7">
                    <w:rPr>
                      <w:bCs/>
                      <w:lang w:val="it-IT"/>
                    </w:rPr>
                    <w:t>ph.: 466 743 480, 466 743 418</w:t>
                  </w:r>
                </w:p>
                <w:p w:rsidR="00FA0110" w:rsidRPr="00264AF7" w:rsidRDefault="00FA0110" w:rsidP="00BD366B">
                  <w:pPr>
                    <w:spacing w:line="240" w:lineRule="auto"/>
                    <w:rPr>
                      <w:bCs/>
                      <w:lang w:val="it-IT"/>
                    </w:rPr>
                  </w:pPr>
                  <w:r w:rsidRPr="00264AF7">
                    <w:rPr>
                      <w:bCs/>
                      <w:lang w:val="it-IT"/>
                    </w:rPr>
                    <w:t>e-mail: infoservispa@czso.cz</w:t>
                  </w:r>
                  <w:r w:rsidRPr="00264AF7">
                    <w:rPr>
                      <w:lang w:val="it-IT"/>
                    </w:rPr>
                    <w:t xml:space="preserve"> | </w:t>
                  </w:r>
                  <w:r w:rsidRPr="00264AF7">
                    <w:rPr>
                      <w:b/>
                      <w:bCs/>
                      <w:lang w:val="it-IT"/>
                    </w:rPr>
                    <w:t>www.pardubice.czso.cz</w:t>
                  </w:r>
                </w:p>
                <w:p w:rsidR="00FA0110" w:rsidRPr="00264AF7" w:rsidRDefault="00FA0110" w:rsidP="00BD366B">
                  <w:pPr>
                    <w:spacing w:line="240" w:lineRule="auto"/>
                    <w:rPr>
                      <w:bCs/>
                      <w:lang w:val="it-IT"/>
                    </w:rPr>
                  </w:pPr>
                </w:p>
                <w:p w:rsidR="00FA0110" w:rsidRPr="00264AF7" w:rsidRDefault="00FA0110" w:rsidP="00BD366B">
                  <w:pPr>
                    <w:spacing w:line="240" w:lineRule="auto"/>
                    <w:rPr>
                      <w:b/>
                      <w:bCs/>
                      <w:color w:val="0071BC"/>
                      <w:lang w:val="it-IT"/>
                    </w:rPr>
                  </w:pPr>
                  <w:r w:rsidRPr="00264AF7">
                    <w:rPr>
                      <w:b/>
                      <w:bCs/>
                      <w:color w:val="0071BC"/>
                      <w:lang w:val="it-IT"/>
                    </w:rPr>
                    <w:t>Jihlava</w:t>
                  </w:r>
                  <w:r w:rsidRPr="00264AF7">
                    <w:rPr>
                      <w:lang w:val="it-IT"/>
                    </w:rPr>
                    <w:t xml:space="preserve"> | </w:t>
                  </w:r>
                  <w:r w:rsidRPr="00264AF7">
                    <w:rPr>
                      <w:bCs/>
                      <w:lang w:val="it-IT"/>
                    </w:rPr>
                    <w:t>Ke Skalce 30, 586 01 Jihlava</w:t>
                  </w:r>
                  <w:r w:rsidRPr="00264AF7">
                    <w:rPr>
                      <w:lang w:val="it-IT"/>
                    </w:rPr>
                    <w:t xml:space="preserve"> | ph</w:t>
                  </w:r>
                  <w:r w:rsidRPr="00264AF7">
                    <w:rPr>
                      <w:bCs/>
                      <w:lang w:val="it-IT"/>
                    </w:rPr>
                    <w:t>.: 567 109 062, 567 109 080</w:t>
                  </w:r>
                </w:p>
                <w:p w:rsidR="00FA0110" w:rsidRPr="00264AF7" w:rsidRDefault="00FA0110" w:rsidP="00BD366B">
                  <w:pPr>
                    <w:spacing w:line="240" w:lineRule="auto"/>
                    <w:rPr>
                      <w:bCs/>
                      <w:lang w:val="it-IT"/>
                    </w:rPr>
                  </w:pPr>
                  <w:r w:rsidRPr="00264AF7">
                    <w:rPr>
                      <w:bCs/>
                      <w:lang w:val="it-IT"/>
                    </w:rPr>
                    <w:t>e-mail: infoservisvys@czso.cz</w:t>
                  </w:r>
                  <w:r w:rsidRPr="00264AF7">
                    <w:rPr>
                      <w:lang w:val="it-IT"/>
                    </w:rPr>
                    <w:t xml:space="preserve"> | </w:t>
                  </w:r>
                  <w:r w:rsidRPr="00264AF7">
                    <w:rPr>
                      <w:b/>
                      <w:bCs/>
                      <w:lang w:val="it-IT"/>
                    </w:rPr>
                    <w:t>www.jihlava.czso.cz</w:t>
                  </w:r>
                </w:p>
                <w:p w:rsidR="00FA0110" w:rsidRPr="00264AF7" w:rsidRDefault="00FA0110" w:rsidP="00BD366B">
                  <w:pPr>
                    <w:spacing w:line="240" w:lineRule="auto"/>
                    <w:rPr>
                      <w:bCs/>
                      <w:lang w:val="it-IT"/>
                    </w:rPr>
                  </w:pPr>
                </w:p>
                <w:p w:rsidR="00FA0110" w:rsidRPr="00264AF7" w:rsidRDefault="00FA0110" w:rsidP="00BD366B">
                  <w:pPr>
                    <w:spacing w:line="240" w:lineRule="auto"/>
                    <w:rPr>
                      <w:b/>
                      <w:bCs/>
                      <w:lang w:val="it-IT"/>
                    </w:rPr>
                  </w:pPr>
                  <w:r w:rsidRPr="00264AF7">
                    <w:rPr>
                      <w:b/>
                      <w:bCs/>
                      <w:color w:val="0071BC"/>
                      <w:lang w:val="it-IT"/>
                    </w:rPr>
                    <w:t>Brno</w:t>
                  </w:r>
                  <w:r w:rsidRPr="00264AF7">
                    <w:rPr>
                      <w:lang w:val="it-IT"/>
                    </w:rPr>
                    <w:t xml:space="preserve"> | </w:t>
                  </w:r>
                  <w:r w:rsidRPr="00264AF7">
                    <w:rPr>
                      <w:bCs/>
                      <w:lang w:val="it-IT"/>
                    </w:rPr>
                    <w:t>Jezuitská 2, 601 59 Brno</w:t>
                  </w:r>
                  <w:r w:rsidRPr="00264AF7">
                    <w:rPr>
                      <w:lang w:val="it-IT"/>
                    </w:rPr>
                    <w:t xml:space="preserve"> | ph</w:t>
                  </w:r>
                  <w:r w:rsidRPr="00264AF7">
                    <w:rPr>
                      <w:bCs/>
                      <w:lang w:val="it-IT"/>
                    </w:rPr>
                    <w:t>.: 542 528 115, 542 528 105</w:t>
                  </w:r>
                </w:p>
                <w:p w:rsidR="00FA0110" w:rsidRPr="00264AF7" w:rsidRDefault="00FA0110" w:rsidP="00BD366B">
                  <w:pPr>
                    <w:spacing w:line="240" w:lineRule="auto"/>
                    <w:rPr>
                      <w:bCs/>
                      <w:lang w:val="it-IT"/>
                    </w:rPr>
                  </w:pPr>
                  <w:r w:rsidRPr="00264AF7">
                    <w:rPr>
                      <w:bCs/>
                      <w:lang w:val="it-IT"/>
                    </w:rPr>
                    <w:t>e-mail: infoservisbrno@czso.cz</w:t>
                  </w:r>
                  <w:r w:rsidRPr="00264AF7">
                    <w:rPr>
                      <w:lang w:val="it-IT"/>
                    </w:rPr>
                    <w:t xml:space="preserve"> | </w:t>
                  </w:r>
                  <w:r w:rsidRPr="00264AF7">
                    <w:rPr>
                      <w:b/>
                      <w:bCs/>
                      <w:lang w:val="it-IT"/>
                    </w:rPr>
                    <w:t>www.brno.czso.cz</w:t>
                  </w:r>
                </w:p>
                <w:p w:rsidR="00FA0110" w:rsidRPr="00264AF7" w:rsidRDefault="00FA0110" w:rsidP="00BD366B">
                  <w:pPr>
                    <w:spacing w:line="240" w:lineRule="auto"/>
                    <w:rPr>
                      <w:bCs/>
                      <w:lang w:val="it-IT"/>
                    </w:rPr>
                  </w:pPr>
                </w:p>
                <w:p w:rsidR="00FA0110" w:rsidRPr="00264AF7" w:rsidRDefault="00FA0110" w:rsidP="00BD366B">
                  <w:pPr>
                    <w:spacing w:line="240" w:lineRule="auto"/>
                    <w:rPr>
                      <w:b/>
                      <w:bCs/>
                      <w:lang w:val="it-IT"/>
                    </w:rPr>
                  </w:pPr>
                  <w:r w:rsidRPr="00264AF7">
                    <w:rPr>
                      <w:b/>
                      <w:bCs/>
                      <w:color w:val="0071BC"/>
                      <w:lang w:val="it-IT"/>
                    </w:rPr>
                    <w:t>Olomouc</w:t>
                  </w:r>
                  <w:r w:rsidRPr="00264AF7">
                    <w:rPr>
                      <w:lang w:val="it-IT"/>
                    </w:rPr>
                    <w:t xml:space="preserve"> | </w:t>
                  </w:r>
                  <w:r w:rsidRPr="00264AF7">
                    <w:rPr>
                      <w:bCs/>
                      <w:lang w:val="it-IT"/>
                    </w:rPr>
                    <w:t>Jeremenkova 1142/42, 772 11 Olomouc</w:t>
                  </w:r>
                  <w:r w:rsidRPr="00264AF7">
                    <w:rPr>
                      <w:lang w:val="it-IT"/>
                    </w:rPr>
                    <w:t xml:space="preserve"> | </w:t>
                  </w:r>
                  <w:r w:rsidRPr="00264AF7">
                    <w:rPr>
                      <w:bCs/>
                      <w:lang w:val="it-IT"/>
                    </w:rPr>
                    <w:t>ph.: 585 731 516, 585 731 509</w:t>
                  </w:r>
                </w:p>
                <w:p w:rsidR="00FA0110" w:rsidRPr="00264AF7" w:rsidRDefault="00FA0110" w:rsidP="00BD366B">
                  <w:pPr>
                    <w:spacing w:line="240" w:lineRule="auto"/>
                    <w:rPr>
                      <w:bCs/>
                      <w:lang w:val="it-IT"/>
                    </w:rPr>
                  </w:pPr>
                  <w:r w:rsidRPr="00264AF7">
                    <w:rPr>
                      <w:bCs/>
                      <w:lang w:val="it-IT"/>
                    </w:rPr>
                    <w:t>e-mail: infoservisolom@czso.cz</w:t>
                  </w:r>
                  <w:r w:rsidRPr="00264AF7">
                    <w:rPr>
                      <w:lang w:val="it-IT"/>
                    </w:rPr>
                    <w:t xml:space="preserve"> | </w:t>
                  </w:r>
                  <w:r w:rsidRPr="00264AF7">
                    <w:rPr>
                      <w:b/>
                      <w:bCs/>
                      <w:lang w:val="it-IT"/>
                    </w:rPr>
                    <w:t>www.olomouc.czso.cz</w:t>
                  </w:r>
                </w:p>
                <w:p w:rsidR="00FA0110" w:rsidRPr="00264AF7" w:rsidRDefault="00FA0110" w:rsidP="00BD366B">
                  <w:pPr>
                    <w:spacing w:line="240" w:lineRule="auto"/>
                    <w:rPr>
                      <w:bCs/>
                      <w:lang w:val="it-IT"/>
                    </w:rPr>
                  </w:pPr>
                </w:p>
                <w:p w:rsidR="00FA0110" w:rsidRPr="00264AF7" w:rsidRDefault="00FA0110" w:rsidP="00BD366B">
                  <w:pPr>
                    <w:spacing w:line="240" w:lineRule="auto"/>
                    <w:rPr>
                      <w:b/>
                      <w:bCs/>
                      <w:lang w:val="it-IT"/>
                    </w:rPr>
                  </w:pPr>
                  <w:r w:rsidRPr="00264AF7">
                    <w:rPr>
                      <w:b/>
                      <w:bCs/>
                      <w:color w:val="0071BC"/>
                      <w:lang w:val="it-IT"/>
                    </w:rPr>
                    <w:t>Ostrava</w:t>
                  </w:r>
                  <w:r w:rsidRPr="00264AF7">
                    <w:rPr>
                      <w:lang w:val="it-IT"/>
                    </w:rPr>
                    <w:t xml:space="preserve"> | </w:t>
                  </w:r>
                  <w:r w:rsidRPr="00264AF7">
                    <w:rPr>
                      <w:bCs/>
                      <w:lang w:val="it-IT"/>
                    </w:rPr>
                    <w:t>Repinova 17, 702 03 Ostrava</w:t>
                  </w:r>
                  <w:r w:rsidRPr="00264AF7">
                    <w:rPr>
                      <w:lang w:val="it-IT"/>
                    </w:rPr>
                    <w:t xml:space="preserve"> | </w:t>
                  </w:r>
                  <w:r w:rsidRPr="00264AF7">
                    <w:rPr>
                      <w:bCs/>
                      <w:lang w:val="it-IT"/>
                    </w:rPr>
                    <w:t>ph.: 595 131 230, 595 131 232</w:t>
                  </w:r>
                </w:p>
                <w:p w:rsidR="00FA0110" w:rsidRPr="00264AF7" w:rsidRDefault="00FA0110" w:rsidP="00BD366B">
                  <w:pPr>
                    <w:spacing w:line="240" w:lineRule="auto"/>
                    <w:rPr>
                      <w:bCs/>
                      <w:lang w:val="it-IT"/>
                    </w:rPr>
                  </w:pPr>
                  <w:r w:rsidRPr="00264AF7">
                    <w:rPr>
                      <w:bCs/>
                      <w:lang w:val="it-IT"/>
                    </w:rPr>
                    <w:t>e-mail: infoservis_ov@czso.cz</w:t>
                  </w:r>
                  <w:r w:rsidRPr="00264AF7">
                    <w:rPr>
                      <w:lang w:val="it-IT"/>
                    </w:rPr>
                    <w:t xml:space="preserve"> | </w:t>
                  </w:r>
                  <w:r w:rsidRPr="00264AF7">
                    <w:rPr>
                      <w:b/>
                      <w:bCs/>
                      <w:lang w:val="it-IT"/>
                    </w:rPr>
                    <w:t>www.ostrava.czso.cz</w:t>
                  </w:r>
                </w:p>
                <w:p w:rsidR="00FA0110" w:rsidRPr="00264AF7" w:rsidRDefault="00FA0110" w:rsidP="00BD366B">
                  <w:pPr>
                    <w:spacing w:line="240" w:lineRule="auto"/>
                    <w:rPr>
                      <w:bCs/>
                      <w:lang w:val="it-IT"/>
                    </w:rPr>
                  </w:pPr>
                </w:p>
                <w:p w:rsidR="00FA0110" w:rsidRPr="00264AF7" w:rsidRDefault="00FA0110" w:rsidP="00BD366B">
                  <w:pPr>
                    <w:spacing w:line="240" w:lineRule="auto"/>
                    <w:rPr>
                      <w:bCs/>
                      <w:lang w:val="it-IT"/>
                    </w:rPr>
                  </w:pPr>
                  <w:r w:rsidRPr="00264AF7">
                    <w:rPr>
                      <w:b/>
                      <w:bCs/>
                      <w:color w:val="0071BC"/>
                      <w:lang w:val="it-IT"/>
                    </w:rPr>
                    <w:t>Zlín</w:t>
                  </w:r>
                  <w:r w:rsidRPr="00264AF7">
                    <w:rPr>
                      <w:lang w:val="it-IT"/>
                    </w:rPr>
                    <w:t xml:space="preserve"> | </w:t>
                  </w:r>
                  <w:r w:rsidRPr="00264AF7">
                    <w:rPr>
                      <w:bCs/>
                      <w:lang w:val="it-IT"/>
                    </w:rPr>
                    <w:t>tř. Tomáše Bati 1565, 761 76 Zlín</w:t>
                  </w:r>
                  <w:r w:rsidRPr="00264AF7">
                    <w:rPr>
                      <w:lang w:val="it-IT"/>
                    </w:rPr>
                    <w:t xml:space="preserve"> | </w:t>
                  </w:r>
                  <w:r w:rsidRPr="00264AF7">
                    <w:rPr>
                      <w:bCs/>
                      <w:lang w:val="it-IT"/>
                    </w:rPr>
                    <w:t>ph.: 577 004 931, 577 004 935</w:t>
                  </w:r>
                </w:p>
                <w:p w:rsidR="00FA0110" w:rsidRPr="00264AF7" w:rsidRDefault="00FA0110" w:rsidP="00BD366B">
                  <w:pPr>
                    <w:spacing w:line="240" w:lineRule="auto"/>
                    <w:rPr>
                      <w:bCs/>
                      <w:lang w:val="it-IT"/>
                    </w:rPr>
                  </w:pPr>
                  <w:r w:rsidRPr="00264AF7">
                    <w:rPr>
                      <w:bCs/>
                      <w:lang w:val="it-IT"/>
                    </w:rPr>
                    <w:t>e-mail: infoservis-zl@czso.cz</w:t>
                  </w:r>
                  <w:r w:rsidRPr="00264AF7">
                    <w:rPr>
                      <w:lang w:val="it-IT"/>
                    </w:rPr>
                    <w:t xml:space="preserve"> | </w:t>
                  </w:r>
                  <w:r w:rsidRPr="00264AF7">
                    <w:rPr>
                      <w:b/>
                      <w:bCs/>
                      <w:lang w:val="it-IT"/>
                    </w:rPr>
                    <w:t>www.zlin.czso.cz</w:t>
                  </w:r>
                </w:p>
                <w:p w:rsidR="00FA0110" w:rsidRPr="00B27293" w:rsidRDefault="00FA0110" w:rsidP="00BD366B">
                  <w:pPr>
                    <w:spacing w:line="240" w:lineRule="auto"/>
                  </w:pPr>
                </w:p>
              </w:txbxContent>
            </v:textbox>
            <w10:wrap anchorx="page" anchory="page"/>
            <w10:anchorlock/>
          </v:shape>
        </w:pict>
      </w:r>
      <w:r w:rsidRPr="0036700F">
        <w:rPr>
          <w:noProof/>
          <w:lang w:val="en-US" w:eastAsia="en-US"/>
        </w:rPr>
        <w:pict>
          <v:shape id="_x0000_s1034" type="#_x0000_t202" style="position:absolute;margin-left:56.95pt;margin-top:56.95pt;width:500.85pt;height:33.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" filled="f" stroked="f">
            <v:textbox style="mso-fit-shape-to-text:t" inset="0,0,0,0">
              <w:txbxContent>
                <w:p w:rsidR="00FA0110" w:rsidRPr="00F76E62" w:rsidRDefault="00FA0110" w:rsidP="001648D6">
                  <w:pPr>
                    <w:rPr>
                      <w:b/>
                      <w:bCs/>
                      <w:sz w:val="24"/>
                      <w:lang w:val="en-GB"/>
                    </w:rPr>
                  </w:pPr>
                  <w:r w:rsidRPr="00F76E62">
                    <w:rPr>
                      <w:b/>
                      <w:color w:val="0071BC"/>
                      <w:sz w:val="24"/>
                      <w:lang w:val="en-GB"/>
                    </w:rPr>
                    <w:t xml:space="preserve">Are you interested in the latest data connected with inflation, GDP, population, average wages and much more? You can find them on the CZSO web page: </w:t>
                  </w:r>
                  <w:r w:rsidRPr="00F76E62">
                    <w:rPr>
                      <w:b/>
                      <w:bCs/>
                      <w:sz w:val="24"/>
                      <w:lang w:val="en-GB"/>
                    </w:rPr>
                    <w:t>www.czso.cz</w:t>
                  </w:r>
                </w:p>
                <w:p w:rsidR="00FA0110" w:rsidRPr="004F4353" w:rsidRDefault="00FA0110" w:rsidP="0060487F">
                  <w:pPr>
                    <w:rPr>
                      <w:b/>
                      <w:bCs/>
                      <w:sz w:val="24"/>
                    </w:rPr>
                  </w:pPr>
                </w:p>
              </w:txbxContent>
            </v:textbox>
            <w10:wrap anchorx="page" anchory="page"/>
            <w10:anchorlock/>
          </v:shape>
        </w:pict>
      </w:r>
      <w:r w:rsidRPr="0036700F">
        <w:rPr>
          <w:noProof/>
          <w:lang w:val="en-US" w:eastAsia="en-US"/>
        </w:rPr>
        <w:pict>
          <v:shape id="_x0000_s1033" type="#_x0000_t202" style="position:absolute;margin-left:56.35pt;margin-top:747pt;width:481.9pt;height:28.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ITb&#10;K+66AgAAtgUAAA4AAAAAAAAAAAAAAAAALgIAAGRycy9lMm9Eb2MueG1sUEsBAi0AFAAGAAgAAAAh&#10;AOVfJPrhAAAADgEAAA8AAAAAAAAAAAAAAAAAFAUAAGRycy9kb3ducmV2LnhtbFBLBQYAAAAABAAE&#10;APMAAAAiBgAAAAA=&#10;" filled="f" stroked="f">
            <v:textbox inset="0,0,0,0">
              <w:txbxContent>
                <w:p w:rsidR="00FA0110" w:rsidRPr="00841D9F" w:rsidRDefault="00FA0110" w:rsidP="004F06F5"/>
                <w:p w:rsidR="00FA0110" w:rsidRPr="00D14EA6" w:rsidRDefault="00FA0110" w:rsidP="004F06F5">
                  <w:pPr>
                    <w:rPr>
                      <w:lang w:val="en-GB"/>
                    </w:rPr>
                  </w:pPr>
                  <w:r w:rsidRPr="00841D9F">
                    <w:t xml:space="preserve">© </w:t>
                  </w:r>
                  <w:r w:rsidRPr="00D14EA6">
                    <w:rPr>
                      <w:lang w:val="en-GB"/>
                    </w:rPr>
                    <w:t>Czech Statistical Office, Prague, 2016</w:t>
                  </w:r>
                </w:p>
              </w:txbxContent>
            </v:textbox>
            <w10:wrap anchorx="page" anchory="page"/>
            <w10:anchorlock/>
          </v:shape>
        </w:pict>
      </w:r>
    </w:p>
    <w:p w:rsidR="00576A3E" w:rsidRDefault="00576A3E" w:rsidP="00F04811">
      <w:pPr>
        <w:pStyle w:val="Zkladnodstavec"/>
        <w:spacing w:after="240"/>
        <w:rPr>
          <w:rFonts w:ascii="Arial" w:hAnsi="Arial" w:cs="Arial"/>
          <w:b/>
          <w:color w:val="A5007B"/>
          <w:sz w:val="32"/>
          <w:szCs w:val="32"/>
        </w:rPr>
      </w:pPr>
    </w:p>
    <w:p w:rsidR="00576A3E" w:rsidRPr="0060487F" w:rsidRDefault="00576A3E">
      <w:pPr>
        <w:rPr>
          <w:rFonts w:cs="Arial"/>
          <w:b/>
          <w:color w:val="A5007B"/>
          <w:sz w:val="32"/>
          <w:szCs w:val="32"/>
        </w:rPr>
        <w:sectPr w:rsidR="00576A3E" w:rsidRPr="0060487F" w:rsidSect="00D5626D">
          <w:pgSz w:w="11906" w:h="16838" w:code="9"/>
          <w:pgMar w:top="1134" w:right="1134" w:bottom="1418" w:left="1134" w:header="709" w:footer="709" w:gutter="0"/>
          <w:cols w:space="708"/>
          <w:titlePg/>
          <w:docGrid w:linePitch="360"/>
        </w:sectPr>
      </w:pPr>
    </w:p>
    <w:p w:rsidR="00576A3E" w:rsidRPr="001C357A" w:rsidRDefault="00451DCC" w:rsidP="008C6CB8">
      <w:pPr>
        <w:pStyle w:val="Nadpis1"/>
        <w:rPr>
          <w:rFonts w:cs="Arial"/>
          <w:color w:val="808080"/>
        </w:rPr>
      </w:pPr>
      <w:bookmarkStart w:id="0" w:name="_Toc412459447"/>
      <w:bookmarkStart w:id="1" w:name="_Toc449604555"/>
      <w:r>
        <w:lastRenderedPageBreak/>
        <w:t>Contents</w:t>
      </w:r>
      <w:bookmarkEnd w:id="0"/>
      <w:bookmarkEnd w:id="1"/>
    </w:p>
    <w:p w:rsidR="00C203DF" w:rsidRDefault="0036700F">
      <w:pPr>
        <w:pStyle w:val="Obsah1"/>
        <w:rPr>
          <w:rFonts w:asciiTheme="minorHAnsi" w:eastAsiaTheme="minorEastAsia" w:hAnsiTheme="minorHAnsi" w:cstheme="minorBidi"/>
          <w:b w:val="0"/>
          <w:sz w:val="22"/>
          <w:szCs w:val="22"/>
          <w:lang w:eastAsia="cs-CZ"/>
        </w:rPr>
      </w:pPr>
      <w:r w:rsidRPr="0036700F">
        <w:fldChar w:fldCharType="begin"/>
      </w:r>
      <w:r w:rsidR="00576A3E" w:rsidRPr="00E921C7">
        <w:instrText xml:space="preserve"> TOC \o "1-3" \h \z \u </w:instrText>
      </w:r>
      <w:r w:rsidRPr="0036700F">
        <w:fldChar w:fldCharType="separate"/>
      </w:r>
      <w:hyperlink w:anchor="_Toc449604555" w:history="1">
        <w:r w:rsidR="00C203DF" w:rsidRPr="00CB36F1">
          <w:rPr>
            <w:rStyle w:val="Hypertextovodkaz"/>
          </w:rPr>
          <w:t>Contents</w:t>
        </w:r>
        <w:r w:rsidR="00C203DF">
          <w:rPr>
            <w:webHidden/>
          </w:rPr>
          <w:tab/>
        </w:r>
        <w:r>
          <w:rPr>
            <w:webHidden/>
          </w:rPr>
          <w:fldChar w:fldCharType="begin"/>
        </w:r>
        <w:r w:rsidR="00C203DF">
          <w:rPr>
            <w:webHidden/>
          </w:rPr>
          <w:instrText xml:space="preserve"> PAGEREF _Toc449604555 \h </w:instrText>
        </w:r>
        <w:r>
          <w:rPr>
            <w:webHidden/>
          </w:rPr>
        </w:r>
        <w:r>
          <w:rPr>
            <w:webHidden/>
          </w:rPr>
          <w:fldChar w:fldCharType="separate"/>
        </w:r>
        <w:r w:rsidR="00C203DF">
          <w:rPr>
            <w:webHidden/>
          </w:rPr>
          <w:t>3</w:t>
        </w:r>
        <w:r>
          <w:rPr>
            <w:webHidden/>
          </w:rPr>
          <w:fldChar w:fldCharType="end"/>
        </w:r>
      </w:hyperlink>
    </w:p>
    <w:p w:rsidR="00C203DF" w:rsidRDefault="0036700F">
      <w:pPr>
        <w:pStyle w:val="Obsah1"/>
        <w:rPr>
          <w:rFonts w:asciiTheme="minorHAnsi" w:eastAsiaTheme="minorEastAsia" w:hAnsiTheme="minorHAnsi" w:cstheme="minorBidi"/>
          <w:b w:val="0"/>
          <w:sz w:val="22"/>
          <w:szCs w:val="22"/>
          <w:lang w:eastAsia="cs-CZ"/>
        </w:rPr>
      </w:pPr>
      <w:hyperlink w:anchor="_Toc449604556" w:history="1">
        <w:r w:rsidR="00C203DF" w:rsidRPr="00CB36F1">
          <w:rPr>
            <w:rStyle w:val="Hypertextovodkaz"/>
          </w:rPr>
          <w:t>1.</w:t>
        </w:r>
        <w:r w:rsidR="00C203DF">
          <w:rPr>
            <w:rFonts w:asciiTheme="minorHAnsi" w:eastAsiaTheme="minorEastAsia" w:hAnsiTheme="minorHAnsi" w:cstheme="minorBidi"/>
            <w:b w:val="0"/>
            <w:sz w:val="22"/>
            <w:szCs w:val="22"/>
            <w:lang w:eastAsia="cs-CZ"/>
          </w:rPr>
          <w:tab/>
        </w:r>
        <w:r w:rsidR="00C203DF" w:rsidRPr="00CB36F1">
          <w:rPr>
            <w:rStyle w:val="Hypertextovodkaz"/>
          </w:rPr>
          <w:t>Summary</w:t>
        </w:r>
        <w:r w:rsidR="00C203DF">
          <w:rPr>
            <w:webHidden/>
          </w:rPr>
          <w:tab/>
        </w:r>
        <w:r>
          <w:rPr>
            <w:webHidden/>
          </w:rPr>
          <w:fldChar w:fldCharType="begin"/>
        </w:r>
        <w:r w:rsidR="00C203DF">
          <w:rPr>
            <w:webHidden/>
          </w:rPr>
          <w:instrText xml:space="preserve"> PAGEREF _Toc449604556 \h </w:instrText>
        </w:r>
        <w:r>
          <w:rPr>
            <w:webHidden/>
          </w:rPr>
        </w:r>
        <w:r>
          <w:rPr>
            <w:webHidden/>
          </w:rPr>
          <w:fldChar w:fldCharType="separate"/>
        </w:r>
        <w:r w:rsidR="00C203DF">
          <w:rPr>
            <w:webHidden/>
          </w:rPr>
          <w:t>4</w:t>
        </w:r>
        <w:r>
          <w:rPr>
            <w:webHidden/>
          </w:rPr>
          <w:fldChar w:fldCharType="end"/>
        </w:r>
      </w:hyperlink>
    </w:p>
    <w:p w:rsidR="00C203DF" w:rsidRDefault="0036700F">
      <w:pPr>
        <w:pStyle w:val="Obsah1"/>
        <w:rPr>
          <w:rFonts w:asciiTheme="minorHAnsi" w:eastAsiaTheme="minorEastAsia" w:hAnsiTheme="minorHAnsi" w:cstheme="minorBidi"/>
          <w:b w:val="0"/>
          <w:sz w:val="22"/>
          <w:szCs w:val="22"/>
          <w:lang w:eastAsia="cs-CZ"/>
        </w:rPr>
      </w:pPr>
      <w:hyperlink w:anchor="_Toc449604557" w:history="1">
        <w:r w:rsidR="00C203DF" w:rsidRPr="00CB36F1">
          <w:rPr>
            <w:rStyle w:val="Hypertextovodkaz"/>
            <w:lang w:val="en-GB"/>
          </w:rPr>
          <w:t>2.</w:t>
        </w:r>
        <w:r w:rsidR="00C203DF">
          <w:rPr>
            <w:rFonts w:asciiTheme="minorHAnsi" w:eastAsiaTheme="minorEastAsia" w:hAnsiTheme="minorHAnsi" w:cstheme="minorBidi"/>
            <w:b w:val="0"/>
            <w:sz w:val="22"/>
            <w:szCs w:val="22"/>
            <w:lang w:eastAsia="cs-CZ"/>
          </w:rPr>
          <w:tab/>
        </w:r>
        <w:r w:rsidR="00C203DF" w:rsidRPr="00CB36F1">
          <w:rPr>
            <w:rStyle w:val="Hypertextovodkaz"/>
            <w:lang w:val="en-GB"/>
          </w:rPr>
          <w:t>Overall Economic Performance</w:t>
        </w:r>
        <w:r w:rsidR="00C203DF">
          <w:rPr>
            <w:webHidden/>
          </w:rPr>
          <w:tab/>
        </w:r>
        <w:r>
          <w:rPr>
            <w:webHidden/>
          </w:rPr>
          <w:fldChar w:fldCharType="begin"/>
        </w:r>
        <w:r w:rsidR="00C203DF">
          <w:rPr>
            <w:webHidden/>
          </w:rPr>
          <w:instrText xml:space="preserve"> PAGEREF _Toc449604557 \h </w:instrText>
        </w:r>
        <w:r>
          <w:rPr>
            <w:webHidden/>
          </w:rPr>
        </w:r>
        <w:r>
          <w:rPr>
            <w:webHidden/>
          </w:rPr>
          <w:fldChar w:fldCharType="separate"/>
        </w:r>
        <w:r w:rsidR="00C203DF">
          <w:rPr>
            <w:webHidden/>
          </w:rPr>
          <w:t>5</w:t>
        </w:r>
        <w:r>
          <w:rPr>
            <w:webHidden/>
          </w:rPr>
          <w:fldChar w:fldCharType="end"/>
        </w:r>
      </w:hyperlink>
    </w:p>
    <w:p w:rsidR="00C203DF" w:rsidRDefault="0036700F">
      <w:pPr>
        <w:pStyle w:val="Obsah1"/>
        <w:rPr>
          <w:rFonts w:asciiTheme="minorHAnsi" w:eastAsiaTheme="minorEastAsia" w:hAnsiTheme="minorHAnsi" w:cstheme="minorBidi"/>
          <w:b w:val="0"/>
          <w:sz w:val="22"/>
          <w:szCs w:val="22"/>
          <w:lang w:eastAsia="cs-CZ"/>
        </w:rPr>
      </w:pPr>
      <w:hyperlink w:anchor="_Toc449604558" w:history="1">
        <w:r w:rsidR="00C203DF" w:rsidRPr="00CB36F1">
          <w:rPr>
            <w:rStyle w:val="Hypertextovodkaz"/>
            <w:lang w:val="en-GB"/>
          </w:rPr>
          <w:t>3.</w:t>
        </w:r>
        <w:r w:rsidR="00C203DF">
          <w:rPr>
            <w:rFonts w:asciiTheme="minorHAnsi" w:eastAsiaTheme="minorEastAsia" w:hAnsiTheme="minorHAnsi" w:cstheme="minorBidi"/>
            <w:b w:val="0"/>
            <w:sz w:val="22"/>
            <w:szCs w:val="22"/>
            <w:lang w:eastAsia="cs-CZ"/>
          </w:rPr>
          <w:tab/>
        </w:r>
        <w:r w:rsidR="00C203DF" w:rsidRPr="00CB36F1">
          <w:rPr>
            <w:rStyle w:val="Hypertextovodkaz"/>
            <w:lang w:val="en-GB"/>
          </w:rPr>
          <w:t>Branches Performance</w:t>
        </w:r>
        <w:r w:rsidR="00C203DF">
          <w:rPr>
            <w:webHidden/>
          </w:rPr>
          <w:tab/>
        </w:r>
        <w:r>
          <w:rPr>
            <w:webHidden/>
          </w:rPr>
          <w:fldChar w:fldCharType="begin"/>
        </w:r>
        <w:r w:rsidR="00C203DF">
          <w:rPr>
            <w:webHidden/>
          </w:rPr>
          <w:instrText xml:space="preserve"> PAGEREF _Toc449604558 \h </w:instrText>
        </w:r>
        <w:r>
          <w:rPr>
            <w:webHidden/>
          </w:rPr>
        </w:r>
        <w:r>
          <w:rPr>
            <w:webHidden/>
          </w:rPr>
          <w:fldChar w:fldCharType="separate"/>
        </w:r>
        <w:r w:rsidR="00C203DF">
          <w:rPr>
            <w:webHidden/>
          </w:rPr>
          <w:t>8</w:t>
        </w:r>
        <w:r>
          <w:rPr>
            <w:webHidden/>
          </w:rPr>
          <w:fldChar w:fldCharType="end"/>
        </w:r>
      </w:hyperlink>
    </w:p>
    <w:p w:rsidR="00C203DF" w:rsidRDefault="0036700F">
      <w:pPr>
        <w:pStyle w:val="Obsah1"/>
        <w:rPr>
          <w:rFonts w:asciiTheme="minorHAnsi" w:eastAsiaTheme="minorEastAsia" w:hAnsiTheme="minorHAnsi" w:cstheme="minorBidi"/>
          <w:b w:val="0"/>
          <w:sz w:val="22"/>
          <w:szCs w:val="22"/>
          <w:lang w:eastAsia="cs-CZ"/>
        </w:rPr>
      </w:pPr>
      <w:hyperlink w:anchor="_Toc449604559" w:history="1">
        <w:r w:rsidR="00C203DF" w:rsidRPr="00CB36F1">
          <w:rPr>
            <w:rStyle w:val="Hypertextovodkaz"/>
            <w:lang w:val="en-GB"/>
          </w:rPr>
          <w:t>4.</w:t>
        </w:r>
        <w:r w:rsidR="00C203DF">
          <w:rPr>
            <w:rFonts w:asciiTheme="minorHAnsi" w:eastAsiaTheme="minorEastAsia" w:hAnsiTheme="minorHAnsi" w:cstheme="minorBidi"/>
            <w:b w:val="0"/>
            <w:sz w:val="22"/>
            <w:szCs w:val="22"/>
            <w:lang w:eastAsia="cs-CZ"/>
          </w:rPr>
          <w:tab/>
        </w:r>
        <w:r w:rsidR="00C203DF" w:rsidRPr="00CB36F1">
          <w:rPr>
            <w:rStyle w:val="Hypertextovodkaz"/>
            <w:lang w:val="en-GB"/>
          </w:rPr>
          <w:t>External Economic Relations</w:t>
        </w:r>
        <w:r w:rsidR="00C203DF">
          <w:rPr>
            <w:webHidden/>
          </w:rPr>
          <w:tab/>
        </w:r>
        <w:r>
          <w:rPr>
            <w:webHidden/>
          </w:rPr>
          <w:fldChar w:fldCharType="begin"/>
        </w:r>
        <w:r w:rsidR="00C203DF">
          <w:rPr>
            <w:webHidden/>
          </w:rPr>
          <w:instrText xml:space="preserve"> PAGEREF _Toc449604559 \h </w:instrText>
        </w:r>
        <w:r>
          <w:rPr>
            <w:webHidden/>
          </w:rPr>
        </w:r>
        <w:r>
          <w:rPr>
            <w:webHidden/>
          </w:rPr>
          <w:fldChar w:fldCharType="separate"/>
        </w:r>
        <w:r w:rsidR="00C203DF">
          <w:rPr>
            <w:webHidden/>
          </w:rPr>
          <w:t>13</w:t>
        </w:r>
        <w:r>
          <w:rPr>
            <w:webHidden/>
          </w:rPr>
          <w:fldChar w:fldCharType="end"/>
        </w:r>
      </w:hyperlink>
    </w:p>
    <w:p w:rsidR="00C203DF" w:rsidRDefault="0036700F">
      <w:pPr>
        <w:pStyle w:val="Obsah1"/>
        <w:rPr>
          <w:rFonts w:asciiTheme="minorHAnsi" w:eastAsiaTheme="minorEastAsia" w:hAnsiTheme="minorHAnsi" w:cstheme="minorBidi"/>
          <w:b w:val="0"/>
          <w:sz w:val="22"/>
          <w:szCs w:val="22"/>
          <w:lang w:eastAsia="cs-CZ"/>
        </w:rPr>
      </w:pPr>
      <w:hyperlink w:anchor="_Toc449604560" w:history="1">
        <w:r w:rsidR="00C203DF" w:rsidRPr="00CB36F1">
          <w:rPr>
            <w:rStyle w:val="Hypertextovodkaz"/>
            <w:lang w:val="en-GB"/>
          </w:rPr>
          <w:t>5.</w:t>
        </w:r>
        <w:r w:rsidR="00C203DF">
          <w:rPr>
            <w:rFonts w:asciiTheme="minorHAnsi" w:eastAsiaTheme="minorEastAsia" w:hAnsiTheme="minorHAnsi" w:cstheme="minorBidi"/>
            <w:b w:val="0"/>
            <w:sz w:val="22"/>
            <w:szCs w:val="22"/>
            <w:lang w:eastAsia="cs-CZ"/>
          </w:rPr>
          <w:tab/>
        </w:r>
        <w:r w:rsidR="00C203DF" w:rsidRPr="00CB36F1">
          <w:rPr>
            <w:rStyle w:val="Hypertextovodkaz"/>
            <w:lang w:val="en-GB"/>
          </w:rPr>
          <w:t>Prices</w:t>
        </w:r>
        <w:r w:rsidR="00C203DF">
          <w:rPr>
            <w:webHidden/>
          </w:rPr>
          <w:tab/>
        </w:r>
        <w:r>
          <w:rPr>
            <w:webHidden/>
          </w:rPr>
          <w:fldChar w:fldCharType="begin"/>
        </w:r>
        <w:r w:rsidR="00C203DF">
          <w:rPr>
            <w:webHidden/>
          </w:rPr>
          <w:instrText xml:space="preserve"> PAGEREF _Toc449604560 \h </w:instrText>
        </w:r>
        <w:r>
          <w:rPr>
            <w:webHidden/>
          </w:rPr>
        </w:r>
        <w:r>
          <w:rPr>
            <w:webHidden/>
          </w:rPr>
          <w:fldChar w:fldCharType="separate"/>
        </w:r>
        <w:r w:rsidR="00C203DF">
          <w:rPr>
            <w:webHidden/>
          </w:rPr>
          <w:t>15</w:t>
        </w:r>
        <w:r>
          <w:rPr>
            <w:webHidden/>
          </w:rPr>
          <w:fldChar w:fldCharType="end"/>
        </w:r>
      </w:hyperlink>
    </w:p>
    <w:p w:rsidR="00C203DF" w:rsidRDefault="0036700F">
      <w:pPr>
        <w:pStyle w:val="Obsah1"/>
        <w:rPr>
          <w:rFonts w:asciiTheme="minorHAnsi" w:eastAsiaTheme="minorEastAsia" w:hAnsiTheme="minorHAnsi" w:cstheme="minorBidi"/>
          <w:b w:val="0"/>
          <w:sz w:val="22"/>
          <w:szCs w:val="22"/>
          <w:lang w:eastAsia="cs-CZ"/>
        </w:rPr>
      </w:pPr>
      <w:hyperlink w:anchor="_Toc449604561" w:history="1">
        <w:r w:rsidR="00C203DF" w:rsidRPr="00CB36F1">
          <w:rPr>
            <w:rStyle w:val="Hypertextovodkaz"/>
          </w:rPr>
          <w:t>6.</w:t>
        </w:r>
        <w:r w:rsidR="00C203DF">
          <w:rPr>
            <w:rFonts w:asciiTheme="minorHAnsi" w:eastAsiaTheme="minorEastAsia" w:hAnsiTheme="minorHAnsi" w:cstheme="minorBidi"/>
            <w:b w:val="0"/>
            <w:sz w:val="22"/>
            <w:szCs w:val="22"/>
            <w:lang w:eastAsia="cs-CZ"/>
          </w:rPr>
          <w:tab/>
        </w:r>
        <w:r w:rsidR="00C203DF" w:rsidRPr="00CB36F1">
          <w:rPr>
            <w:rStyle w:val="Hypertextovodkaz"/>
          </w:rPr>
          <w:t>Labour Market</w:t>
        </w:r>
        <w:r w:rsidR="00C203DF">
          <w:rPr>
            <w:webHidden/>
          </w:rPr>
          <w:tab/>
        </w:r>
        <w:r>
          <w:rPr>
            <w:webHidden/>
          </w:rPr>
          <w:fldChar w:fldCharType="begin"/>
        </w:r>
        <w:r w:rsidR="00C203DF">
          <w:rPr>
            <w:webHidden/>
          </w:rPr>
          <w:instrText xml:space="preserve"> PAGEREF _Toc449604561 \h </w:instrText>
        </w:r>
        <w:r>
          <w:rPr>
            <w:webHidden/>
          </w:rPr>
        </w:r>
        <w:r>
          <w:rPr>
            <w:webHidden/>
          </w:rPr>
          <w:fldChar w:fldCharType="separate"/>
        </w:r>
        <w:r w:rsidR="00C203DF">
          <w:rPr>
            <w:webHidden/>
          </w:rPr>
          <w:t>18</w:t>
        </w:r>
        <w:r>
          <w:rPr>
            <w:webHidden/>
          </w:rPr>
          <w:fldChar w:fldCharType="end"/>
        </w:r>
      </w:hyperlink>
    </w:p>
    <w:p w:rsidR="00C203DF" w:rsidRDefault="0036700F">
      <w:pPr>
        <w:pStyle w:val="Obsah1"/>
        <w:rPr>
          <w:rFonts w:asciiTheme="minorHAnsi" w:eastAsiaTheme="minorEastAsia" w:hAnsiTheme="minorHAnsi" w:cstheme="minorBidi"/>
          <w:b w:val="0"/>
          <w:sz w:val="22"/>
          <w:szCs w:val="22"/>
          <w:lang w:eastAsia="cs-CZ"/>
        </w:rPr>
      </w:pPr>
      <w:hyperlink w:anchor="_Toc449604562" w:history="1">
        <w:r w:rsidR="00C203DF" w:rsidRPr="00CB36F1">
          <w:rPr>
            <w:rStyle w:val="Hypertextovodkaz"/>
          </w:rPr>
          <w:t>7.</w:t>
        </w:r>
        <w:r w:rsidR="00C203DF">
          <w:rPr>
            <w:rFonts w:asciiTheme="minorHAnsi" w:eastAsiaTheme="minorEastAsia" w:hAnsiTheme="minorHAnsi" w:cstheme="minorBidi"/>
            <w:b w:val="0"/>
            <w:sz w:val="22"/>
            <w:szCs w:val="22"/>
            <w:lang w:eastAsia="cs-CZ"/>
          </w:rPr>
          <w:tab/>
        </w:r>
        <w:r w:rsidR="00C203DF" w:rsidRPr="00CB36F1">
          <w:rPr>
            <w:rStyle w:val="Hypertextovodkaz"/>
          </w:rPr>
          <w:t>Monetary Conditions</w:t>
        </w:r>
        <w:r w:rsidR="00C203DF">
          <w:rPr>
            <w:webHidden/>
          </w:rPr>
          <w:tab/>
        </w:r>
        <w:r>
          <w:rPr>
            <w:webHidden/>
          </w:rPr>
          <w:fldChar w:fldCharType="begin"/>
        </w:r>
        <w:r w:rsidR="00C203DF">
          <w:rPr>
            <w:webHidden/>
          </w:rPr>
          <w:instrText xml:space="preserve"> PAGEREF _Toc449604562 \h </w:instrText>
        </w:r>
        <w:r>
          <w:rPr>
            <w:webHidden/>
          </w:rPr>
        </w:r>
        <w:r>
          <w:rPr>
            <w:webHidden/>
          </w:rPr>
          <w:fldChar w:fldCharType="separate"/>
        </w:r>
        <w:r w:rsidR="00C203DF">
          <w:rPr>
            <w:webHidden/>
          </w:rPr>
          <w:t>21</w:t>
        </w:r>
        <w:r>
          <w:rPr>
            <w:webHidden/>
          </w:rPr>
          <w:fldChar w:fldCharType="end"/>
        </w:r>
      </w:hyperlink>
    </w:p>
    <w:p w:rsidR="00C203DF" w:rsidRDefault="0036700F">
      <w:pPr>
        <w:pStyle w:val="Obsah1"/>
        <w:rPr>
          <w:rFonts w:asciiTheme="minorHAnsi" w:eastAsiaTheme="minorEastAsia" w:hAnsiTheme="minorHAnsi" w:cstheme="minorBidi"/>
          <w:b w:val="0"/>
          <w:sz w:val="22"/>
          <w:szCs w:val="22"/>
          <w:lang w:eastAsia="cs-CZ"/>
        </w:rPr>
      </w:pPr>
      <w:hyperlink w:anchor="_Toc449604563" w:history="1">
        <w:r w:rsidR="00C203DF" w:rsidRPr="00CB36F1">
          <w:rPr>
            <w:rStyle w:val="Hypertextovodkaz"/>
            <w:lang w:val="en-GB"/>
          </w:rPr>
          <w:t>8.</w:t>
        </w:r>
        <w:r w:rsidR="00C203DF">
          <w:rPr>
            <w:rFonts w:asciiTheme="minorHAnsi" w:eastAsiaTheme="minorEastAsia" w:hAnsiTheme="minorHAnsi" w:cstheme="minorBidi"/>
            <w:b w:val="0"/>
            <w:sz w:val="22"/>
            <w:szCs w:val="22"/>
            <w:lang w:eastAsia="cs-CZ"/>
          </w:rPr>
          <w:tab/>
        </w:r>
        <w:r w:rsidR="00C203DF" w:rsidRPr="00CB36F1">
          <w:rPr>
            <w:rStyle w:val="Hypertextovodkaz"/>
            <w:lang w:val="en-GB"/>
          </w:rPr>
          <w:t>State Budget</w:t>
        </w:r>
        <w:r w:rsidR="00C203DF">
          <w:rPr>
            <w:webHidden/>
          </w:rPr>
          <w:tab/>
        </w:r>
        <w:r>
          <w:rPr>
            <w:webHidden/>
          </w:rPr>
          <w:fldChar w:fldCharType="begin"/>
        </w:r>
        <w:r w:rsidR="00C203DF">
          <w:rPr>
            <w:webHidden/>
          </w:rPr>
          <w:instrText xml:space="preserve"> PAGEREF _Toc449604563 \h </w:instrText>
        </w:r>
        <w:r>
          <w:rPr>
            <w:webHidden/>
          </w:rPr>
        </w:r>
        <w:r>
          <w:rPr>
            <w:webHidden/>
          </w:rPr>
          <w:fldChar w:fldCharType="separate"/>
        </w:r>
        <w:r w:rsidR="00C203DF">
          <w:rPr>
            <w:webHidden/>
          </w:rPr>
          <w:t>23</w:t>
        </w:r>
        <w:r>
          <w:rPr>
            <w:webHidden/>
          </w:rPr>
          <w:fldChar w:fldCharType="end"/>
        </w:r>
      </w:hyperlink>
    </w:p>
    <w:p w:rsidR="00576A3E" w:rsidRDefault="0036700F" w:rsidP="00E921C7">
      <w:pPr>
        <w:pStyle w:val="Nadpis1"/>
        <w:spacing w:before="200"/>
        <w:rPr>
          <w:rFonts w:cs="Arial"/>
          <w:sz w:val="20"/>
          <w:szCs w:val="20"/>
        </w:rPr>
      </w:pPr>
      <w:r w:rsidRPr="00E921C7">
        <w:fldChar w:fldCharType="end"/>
      </w:r>
    </w:p>
    <w:p w:rsidR="00576A3E" w:rsidRPr="00451DCC" w:rsidRDefault="00451DCC" w:rsidP="003406BD">
      <w:pPr>
        <w:rPr>
          <w:rFonts w:cs="Arial"/>
          <w:b/>
          <w:lang w:val="en-GB"/>
        </w:rPr>
      </w:pPr>
      <w:r w:rsidRPr="00451DCC">
        <w:rPr>
          <w:rFonts w:cs="Arial"/>
          <w:b/>
          <w:lang w:val="en-GB"/>
        </w:rPr>
        <w:t>Chapters prepared</w:t>
      </w:r>
      <w:r w:rsidR="00576A3E" w:rsidRPr="00451DCC">
        <w:rPr>
          <w:rFonts w:cs="Arial"/>
          <w:b/>
          <w:lang w:val="en-GB"/>
        </w:rPr>
        <w:t>:</w:t>
      </w:r>
    </w:p>
    <w:p w:rsidR="00576A3E" w:rsidRPr="00451DCC" w:rsidRDefault="00576A3E" w:rsidP="003406BD">
      <w:pPr>
        <w:rPr>
          <w:rFonts w:cs="Arial"/>
          <w:lang w:val="en-GB"/>
        </w:rPr>
      </w:pPr>
    </w:p>
    <w:p w:rsidR="00576A3E" w:rsidRPr="00451DCC" w:rsidRDefault="00576A3E" w:rsidP="003406BD">
      <w:pPr>
        <w:spacing w:after="120" w:line="276" w:lineRule="auto"/>
        <w:rPr>
          <w:rFonts w:cs="Arial"/>
          <w:lang w:val="en-GB"/>
        </w:rPr>
      </w:pPr>
      <w:r w:rsidRPr="00451DCC">
        <w:rPr>
          <w:rFonts w:cs="Arial"/>
          <w:lang w:val="en-GB"/>
        </w:rPr>
        <w:t>Jiří Kamenický</w:t>
      </w:r>
      <w:r w:rsidRPr="00451DCC">
        <w:rPr>
          <w:rFonts w:cs="Arial"/>
          <w:lang w:val="en-GB"/>
        </w:rPr>
        <w:tab/>
      </w:r>
      <w:r w:rsidRPr="00451DCC">
        <w:rPr>
          <w:rFonts w:cs="Arial"/>
          <w:lang w:val="en-GB"/>
        </w:rPr>
        <w:tab/>
        <w:t>S</w:t>
      </w:r>
      <w:r w:rsidR="00451DCC" w:rsidRPr="00451DCC">
        <w:rPr>
          <w:rFonts w:cs="Arial"/>
          <w:lang w:val="en-GB"/>
        </w:rPr>
        <w:t>ummary</w:t>
      </w:r>
      <w:r w:rsidRPr="00451DCC">
        <w:rPr>
          <w:rFonts w:cs="Arial"/>
          <w:lang w:val="en-GB"/>
        </w:rPr>
        <w:t xml:space="preserve"> (</w:t>
      </w:r>
      <w:r w:rsidR="00451DCC" w:rsidRPr="00451DCC">
        <w:rPr>
          <w:rFonts w:cs="Arial"/>
          <w:lang w:val="en-GB"/>
        </w:rPr>
        <w:t>Chap</w:t>
      </w:r>
      <w:r w:rsidRPr="00451DCC">
        <w:rPr>
          <w:rFonts w:cs="Arial"/>
          <w:lang w:val="en-GB"/>
        </w:rPr>
        <w:t xml:space="preserve">. 1), </w:t>
      </w:r>
      <w:r w:rsidR="00451DCC" w:rsidRPr="00451DCC">
        <w:rPr>
          <w:rFonts w:cs="Arial"/>
          <w:lang w:val="en-GB"/>
        </w:rPr>
        <w:t>Chap</w:t>
      </w:r>
      <w:r w:rsidRPr="00451DCC">
        <w:rPr>
          <w:rFonts w:cs="Arial"/>
          <w:color w:val="000000"/>
          <w:lang w:val="en-GB"/>
        </w:rPr>
        <w:t>. 3,</w:t>
      </w:r>
      <w:r w:rsidR="00610BD5" w:rsidRPr="00451DCC">
        <w:rPr>
          <w:rFonts w:cs="Arial"/>
          <w:lang w:val="en-GB"/>
        </w:rPr>
        <w:t xml:space="preserve"> </w:t>
      </w:r>
      <w:r w:rsidR="00451DCC" w:rsidRPr="00451DCC">
        <w:rPr>
          <w:rFonts w:cs="Arial"/>
          <w:lang w:val="en-GB"/>
        </w:rPr>
        <w:t>Chap</w:t>
      </w:r>
      <w:r w:rsidR="00610BD5" w:rsidRPr="00451DCC">
        <w:rPr>
          <w:rFonts w:cs="Arial"/>
          <w:lang w:val="en-GB"/>
        </w:rPr>
        <w:t xml:space="preserve">. 6, </w:t>
      </w:r>
      <w:r w:rsidR="00451DCC" w:rsidRPr="00451DCC">
        <w:rPr>
          <w:rFonts w:cs="Arial"/>
          <w:lang w:val="en-GB"/>
        </w:rPr>
        <w:t>Chap</w:t>
      </w:r>
      <w:r w:rsidR="00610BD5" w:rsidRPr="00451DCC">
        <w:rPr>
          <w:rFonts w:cs="Arial"/>
          <w:lang w:val="en-GB"/>
        </w:rPr>
        <w:t>. 8</w:t>
      </w:r>
    </w:p>
    <w:p w:rsidR="00576A3E" w:rsidRPr="00451DCC" w:rsidRDefault="00576A3E" w:rsidP="003406BD">
      <w:pPr>
        <w:spacing w:after="120" w:line="276" w:lineRule="auto"/>
        <w:rPr>
          <w:rFonts w:cs="Arial"/>
          <w:lang w:val="en-GB"/>
        </w:rPr>
      </w:pPr>
      <w:r w:rsidRPr="00451DCC">
        <w:rPr>
          <w:rFonts w:cs="Arial"/>
          <w:lang w:val="en-GB"/>
        </w:rPr>
        <w:t>Lukáš Kučera</w:t>
      </w:r>
      <w:r w:rsidRPr="00451DCC">
        <w:rPr>
          <w:rFonts w:cs="Arial"/>
          <w:lang w:val="en-GB"/>
        </w:rPr>
        <w:tab/>
      </w:r>
      <w:r w:rsidRPr="00451DCC">
        <w:rPr>
          <w:rFonts w:cs="Arial"/>
          <w:lang w:val="en-GB"/>
        </w:rPr>
        <w:tab/>
        <w:t>S</w:t>
      </w:r>
      <w:r w:rsidR="00451DCC" w:rsidRPr="00451DCC">
        <w:rPr>
          <w:rFonts w:cs="Arial"/>
          <w:lang w:val="en-GB"/>
        </w:rPr>
        <w:t xml:space="preserve">ummary </w:t>
      </w:r>
      <w:r w:rsidRPr="00451DCC">
        <w:rPr>
          <w:rFonts w:cs="Arial"/>
          <w:lang w:val="en-GB"/>
        </w:rPr>
        <w:t>(</w:t>
      </w:r>
      <w:r w:rsidR="00451DCC" w:rsidRPr="00451DCC">
        <w:rPr>
          <w:rFonts w:cs="Arial"/>
          <w:lang w:val="en-GB"/>
        </w:rPr>
        <w:t>Chap</w:t>
      </w:r>
      <w:r w:rsidRPr="00451DCC">
        <w:rPr>
          <w:rFonts w:cs="Arial"/>
          <w:lang w:val="en-GB"/>
        </w:rPr>
        <w:t xml:space="preserve">. 1), </w:t>
      </w:r>
      <w:r w:rsidR="00451DCC" w:rsidRPr="00451DCC">
        <w:rPr>
          <w:rFonts w:cs="Arial"/>
          <w:lang w:val="en-GB"/>
        </w:rPr>
        <w:t>Chap</w:t>
      </w:r>
      <w:r w:rsidRPr="00451DCC">
        <w:rPr>
          <w:rFonts w:cs="Arial"/>
          <w:lang w:val="en-GB"/>
        </w:rPr>
        <w:t xml:space="preserve">. 2, </w:t>
      </w:r>
      <w:r w:rsidR="00451DCC" w:rsidRPr="00451DCC">
        <w:rPr>
          <w:rFonts w:cs="Arial"/>
          <w:lang w:val="en-GB"/>
        </w:rPr>
        <w:t>Chap</w:t>
      </w:r>
      <w:r w:rsidR="00610BD5" w:rsidRPr="00451DCC">
        <w:rPr>
          <w:rFonts w:cs="Arial"/>
          <w:lang w:val="en-GB"/>
        </w:rPr>
        <w:t xml:space="preserve">. 4, </w:t>
      </w:r>
      <w:r w:rsidR="00451DCC" w:rsidRPr="00451DCC">
        <w:rPr>
          <w:rFonts w:cs="Arial"/>
          <w:lang w:val="en-GB"/>
        </w:rPr>
        <w:t>Chap</w:t>
      </w:r>
      <w:r w:rsidRPr="00451DCC">
        <w:rPr>
          <w:rFonts w:cs="Arial"/>
          <w:lang w:val="en-GB"/>
        </w:rPr>
        <w:t>. 5</w:t>
      </w:r>
      <w:r w:rsidR="00793387" w:rsidRPr="00451DCC">
        <w:rPr>
          <w:rFonts w:cs="Arial"/>
          <w:lang w:val="en-GB"/>
        </w:rPr>
        <w:t xml:space="preserve">, </w:t>
      </w:r>
      <w:r w:rsidR="00451DCC" w:rsidRPr="00451DCC">
        <w:rPr>
          <w:rFonts w:cs="Arial"/>
          <w:lang w:val="en-GB"/>
        </w:rPr>
        <w:t>Chap</w:t>
      </w:r>
      <w:r w:rsidR="00793387" w:rsidRPr="00451DCC">
        <w:rPr>
          <w:rFonts w:cs="Arial"/>
          <w:lang w:val="en-GB"/>
        </w:rPr>
        <w:t xml:space="preserve">. </w:t>
      </w:r>
      <w:r w:rsidR="00610BD5" w:rsidRPr="00451DCC">
        <w:rPr>
          <w:rFonts w:cs="Arial"/>
          <w:lang w:val="en-GB"/>
        </w:rPr>
        <w:t>7</w:t>
      </w:r>
      <w:r w:rsidRPr="00451DCC">
        <w:rPr>
          <w:rFonts w:cs="Arial"/>
          <w:lang w:val="en-GB"/>
        </w:rPr>
        <w:t xml:space="preserve">  </w:t>
      </w:r>
    </w:p>
    <w:p w:rsidR="00576A3E" w:rsidRDefault="00576A3E" w:rsidP="001E3DA4"/>
    <w:p w:rsidR="00576A3E" w:rsidRDefault="00576A3E" w:rsidP="001E3DA4">
      <w:pPr>
        <w:sectPr w:rsidR="00576A3E" w:rsidSect="00357449">
          <w:headerReference w:type="even" r:id="rId9"/>
          <w:headerReference w:type="default" r:id="rId10"/>
          <w:footerReference w:type="default" r:id="rId11"/>
          <w:pgSz w:w="11906" w:h="16838" w:code="9"/>
          <w:pgMar w:top="1134" w:right="1134" w:bottom="1418" w:left="1134" w:header="680" w:footer="680" w:gutter="0"/>
          <w:cols w:space="708"/>
          <w:docGrid w:linePitch="360"/>
        </w:sectPr>
      </w:pPr>
    </w:p>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BB0274" w:rsidRDefault="00BB0274"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960769" w:rsidRDefault="00960769" w:rsidP="00960769">
      <w:pPr>
        <w:pStyle w:val="Textpoznpodarou"/>
        <w:jc w:val="both"/>
      </w:pPr>
    </w:p>
    <w:p w:rsidR="00960769" w:rsidRDefault="00960769" w:rsidP="00960769">
      <w:pPr>
        <w:pStyle w:val="Textpoznpodarou"/>
        <w:jc w:val="both"/>
      </w:pPr>
    </w:p>
    <w:p w:rsidR="00960769" w:rsidRDefault="00960769" w:rsidP="00960769">
      <w:pPr>
        <w:pStyle w:val="Nadpis1"/>
        <w:numPr>
          <w:ilvl w:val="0"/>
          <w:numId w:val="1"/>
        </w:numPr>
      </w:pPr>
      <w:bookmarkStart w:id="2" w:name="_Toc449604556"/>
      <w:r>
        <w:lastRenderedPageBreak/>
        <w:t>S</w:t>
      </w:r>
      <w:r w:rsidR="00451DCC">
        <w:t>ummary</w:t>
      </w:r>
      <w:bookmarkEnd w:id="2"/>
    </w:p>
    <w:p w:rsidR="006E4832" w:rsidRPr="00186FE9" w:rsidRDefault="006E4832" w:rsidP="006E4832">
      <w:pPr>
        <w:pStyle w:val="Textpoznpodarou"/>
        <w:numPr>
          <w:ilvl w:val="0"/>
          <w:numId w:val="2"/>
        </w:numPr>
        <w:ind w:left="425" w:hanging="357"/>
        <w:jc w:val="both"/>
        <w:rPr>
          <w:lang w:eastAsia="ar-SA"/>
        </w:rPr>
      </w:pPr>
      <w:r w:rsidRPr="00264AF7">
        <w:rPr>
          <w:lang w:val="en-GB" w:eastAsia="ar-SA"/>
        </w:rPr>
        <w:t xml:space="preserve">Low price of oil and an accelerated drawing on the EU funds accompanied by </w:t>
      </w:r>
      <w:r>
        <w:rPr>
          <w:lang w:val="en-GB" w:eastAsia="ar-SA"/>
        </w:rPr>
        <w:t>easy</w:t>
      </w:r>
      <w:r w:rsidRPr="00264AF7">
        <w:rPr>
          <w:lang w:val="en-GB" w:eastAsia="ar-SA"/>
        </w:rPr>
        <w:t xml:space="preserve"> monetary</w:t>
      </w:r>
      <w:r>
        <w:rPr>
          <w:lang w:val="en-GB" w:eastAsia="ar-SA"/>
        </w:rPr>
        <w:t xml:space="preserve"> and fiscal</w:t>
      </w:r>
      <w:r w:rsidRPr="00264AF7">
        <w:rPr>
          <w:lang w:val="en-GB" w:eastAsia="ar-SA"/>
        </w:rPr>
        <w:t xml:space="preserve"> policy assisted the GDP</w:t>
      </w:r>
      <w:r w:rsidRPr="00186FE9">
        <w:rPr>
          <w:rStyle w:val="Znakapoznpodarou"/>
          <w:lang w:eastAsia="ar-SA"/>
        </w:rPr>
        <w:footnoteReference w:id="1"/>
      </w:r>
      <w:r>
        <w:rPr>
          <w:lang w:val="en-GB" w:eastAsia="ar-SA"/>
        </w:rPr>
        <w:t xml:space="preserve"> growth by 4.3% in 2015, while it grew by 2</w:t>
      </w:r>
      <w:r w:rsidRPr="00264AF7">
        <w:rPr>
          <w:lang w:val="en-GB" w:eastAsia="ar-SA"/>
        </w:rPr>
        <w:t>% in the previous year. The economy prospered the most in the last eight years, the development of the Czech economy was extraordinary also in comparison to Europe. The performance rose by more t</w:t>
      </w:r>
      <w:r>
        <w:rPr>
          <w:lang w:val="en-GB" w:eastAsia="ar-SA"/>
        </w:rPr>
        <w:t>h</w:t>
      </w:r>
      <w:r w:rsidRPr="00264AF7">
        <w:rPr>
          <w:lang w:val="en-GB" w:eastAsia="ar-SA"/>
        </w:rPr>
        <w:t>an double rate of g</w:t>
      </w:r>
      <w:r>
        <w:rPr>
          <w:lang w:val="en-GB" w:eastAsia="ar-SA"/>
        </w:rPr>
        <w:t>rowth compared to the EU (+1.8%) and</w:t>
      </w:r>
      <w:r w:rsidRPr="00264AF7">
        <w:rPr>
          <w:lang w:val="en-GB" w:eastAsia="ar-SA"/>
        </w:rPr>
        <w:t xml:space="preserve"> nearly the triple </w:t>
      </w:r>
      <w:r>
        <w:rPr>
          <w:lang w:val="en-GB" w:eastAsia="ar-SA"/>
        </w:rPr>
        <w:t xml:space="preserve">against </w:t>
      </w:r>
      <w:r w:rsidRPr="00264AF7">
        <w:rPr>
          <w:lang w:val="en-GB" w:eastAsia="ar-SA"/>
        </w:rPr>
        <w:t>the euro area (+1.</w:t>
      </w:r>
      <w:r>
        <w:rPr>
          <w:lang w:val="en-GB" w:eastAsia="ar-SA"/>
        </w:rPr>
        <w:t>5</w:t>
      </w:r>
      <w:r w:rsidRPr="00264AF7">
        <w:rPr>
          <w:lang w:val="en-GB" w:eastAsia="ar-SA"/>
        </w:rPr>
        <w:t xml:space="preserve">%). </w:t>
      </w:r>
      <w:r>
        <w:rPr>
          <w:lang w:val="en-GB" w:eastAsia="ar-SA"/>
        </w:rPr>
        <w:t xml:space="preserve">Based on the data available so far, only Malta exceeded the GDP dynamics of the CR among the EU countries. Especially the domestic demand and in that mostly investment (gross fixed capital formation) contributed to the growth of the economy, manufacturing and services then participated on the economic growth on the supply side to an equal extent. The growth was of the non-inflationary nature, it was supported by a higher dynamics of loans to households and businesses and it was accompanied by the improvement of external economic relations as well as the balance of state budget. </w:t>
      </w:r>
    </w:p>
    <w:p w:rsidR="006E4832" w:rsidRPr="00A8260B" w:rsidRDefault="006E4832" w:rsidP="006E4832">
      <w:pPr>
        <w:pStyle w:val="Textpoznpodarou"/>
        <w:ind w:left="68"/>
        <w:jc w:val="both"/>
        <w:rPr>
          <w:sz w:val="16"/>
          <w:szCs w:val="16"/>
          <w:lang w:eastAsia="ar-SA"/>
        </w:rPr>
      </w:pPr>
    </w:p>
    <w:p w:rsidR="006E4832" w:rsidRPr="00E13584" w:rsidRDefault="006E4832" w:rsidP="006E4832">
      <w:pPr>
        <w:pStyle w:val="Textpoznpodarou"/>
        <w:numPr>
          <w:ilvl w:val="0"/>
          <w:numId w:val="2"/>
        </w:numPr>
        <w:ind w:left="425" w:hanging="357"/>
        <w:jc w:val="both"/>
        <w:rPr>
          <w:lang w:val="en-GB" w:eastAsia="ar-SA"/>
        </w:rPr>
      </w:pPr>
      <w:r w:rsidRPr="00E13584">
        <w:rPr>
          <w:lang w:val="en-GB" w:eastAsia="ar-SA"/>
        </w:rPr>
        <w:t>By the end of the year, a slowdown of the Czech economy occurred, contrary to the strong growth of GDP throughout the whole year 2015 and high year-on-year dynamics in individual quarters, which presented at least 4% in each of them. GDP stagnated in the quarter-on-quarter comparison (being neve</w:t>
      </w:r>
      <w:r>
        <w:rPr>
          <w:lang w:val="en-GB" w:eastAsia="ar-SA"/>
        </w:rPr>
        <w:t>r</w:t>
      </w:r>
      <w:r w:rsidRPr="00E13584">
        <w:rPr>
          <w:lang w:val="en-GB" w:eastAsia="ar-SA"/>
        </w:rPr>
        <w:t>theless negatively affected by the seasonal adjustment), gross value added increased by mere 0.</w:t>
      </w:r>
      <w:r>
        <w:rPr>
          <w:lang w:val="en-GB" w:eastAsia="ar-SA"/>
        </w:rPr>
        <w:t>5</w:t>
      </w:r>
      <w:r w:rsidRPr="00E13584">
        <w:rPr>
          <w:lang w:val="en-GB" w:eastAsia="ar-SA"/>
        </w:rPr>
        <w:t>% (the least since the last quarter of 2013). Investment most likely reached the peak in Q3 following a nine quarters lasting</w:t>
      </w:r>
      <w:r>
        <w:rPr>
          <w:lang w:val="en-GB" w:eastAsia="ar-SA"/>
        </w:rPr>
        <w:t xml:space="preserve"> quarter-on-quarter</w:t>
      </w:r>
      <w:r w:rsidRPr="00E13584">
        <w:rPr>
          <w:lang w:val="en-GB" w:eastAsia="ar-SA"/>
        </w:rPr>
        <w:t xml:space="preserve"> growt</w:t>
      </w:r>
      <w:r>
        <w:rPr>
          <w:lang w:val="en-GB" w:eastAsia="ar-SA"/>
        </w:rPr>
        <w:t>h, since it already fell by 0.9</w:t>
      </w:r>
      <w:r w:rsidRPr="00E13584">
        <w:rPr>
          <w:lang w:val="en-GB" w:eastAsia="ar-SA"/>
        </w:rPr>
        <w:t xml:space="preserve">% in the last quarter. Extraordinary influences working towards the growth of the Czech economy started to evaporate and the economy </w:t>
      </w:r>
      <w:r>
        <w:rPr>
          <w:lang w:val="en-GB" w:eastAsia="ar-SA"/>
        </w:rPr>
        <w:t>began</w:t>
      </w:r>
      <w:r w:rsidRPr="00E13584">
        <w:rPr>
          <w:lang w:val="en-GB" w:eastAsia="ar-SA"/>
        </w:rPr>
        <w:t xml:space="preserve"> to lose pace.   </w:t>
      </w:r>
    </w:p>
    <w:p w:rsidR="006E4832" w:rsidRPr="00A8260B" w:rsidRDefault="006E4832" w:rsidP="006E4832">
      <w:pPr>
        <w:pStyle w:val="Textpoznpodarou"/>
        <w:jc w:val="both"/>
        <w:rPr>
          <w:sz w:val="16"/>
          <w:szCs w:val="16"/>
          <w:lang w:eastAsia="ar-SA"/>
        </w:rPr>
      </w:pPr>
    </w:p>
    <w:p w:rsidR="006E4832" w:rsidRPr="00DD1DE0" w:rsidRDefault="006E4832" w:rsidP="006E4832">
      <w:pPr>
        <w:pStyle w:val="Textpoznpodarou"/>
        <w:numPr>
          <w:ilvl w:val="0"/>
          <w:numId w:val="2"/>
        </w:numPr>
        <w:ind w:left="425" w:hanging="357"/>
        <w:jc w:val="both"/>
        <w:rPr>
          <w:lang w:val="en-GB" w:eastAsia="ar-SA"/>
        </w:rPr>
      </w:pPr>
      <w:r w:rsidRPr="00DD1DE0">
        <w:rPr>
          <w:lang w:val="en-GB" w:eastAsia="ar-SA"/>
        </w:rPr>
        <w:t>Investment rose by 7.</w:t>
      </w:r>
      <w:r>
        <w:rPr>
          <w:lang w:val="en-GB" w:eastAsia="ar-SA"/>
        </w:rPr>
        <w:t>5</w:t>
      </w:r>
      <w:r w:rsidRPr="00DD1DE0">
        <w:rPr>
          <w:lang w:val="en-GB" w:eastAsia="ar-SA"/>
        </w:rPr>
        <w:t>% in the last year and shared in the GDP growth by +1.9 p.p.</w:t>
      </w:r>
      <w:r w:rsidRPr="00DD1DE0">
        <w:rPr>
          <w:rStyle w:val="Znakapoznpodarou"/>
          <w:lang w:val="en-GB" w:eastAsia="ar-SA"/>
        </w:rPr>
        <w:footnoteReference w:id="2"/>
      </w:r>
      <w:r w:rsidRPr="00DD1DE0">
        <w:rPr>
          <w:lang w:val="en-GB" w:eastAsia="ar-SA"/>
        </w:rPr>
        <w:t xml:space="preserve"> </w:t>
      </w:r>
      <w:proofErr w:type="gramStart"/>
      <w:r>
        <w:rPr>
          <w:lang w:val="en-GB" w:eastAsia="ar-SA"/>
        </w:rPr>
        <w:t>It</w:t>
      </w:r>
      <w:proofErr w:type="gramEnd"/>
      <w:r>
        <w:rPr>
          <w:lang w:val="en-GB" w:eastAsia="ar-SA"/>
        </w:rPr>
        <w:t xml:space="preserve"> was</w:t>
      </w:r>
      <w:r w:rsidRPr="00DD1DE0">
        <w:rPr>
          <w:lang w:val="en-GB" w:eastAsia="ar-SA"/>
        </w:rPr>
        <w:t xml:space="preserve"> heightened by non-financial </w:t>
      </w:r>
      <w:r>
        <w:rPr>
          <w:lang w:val="en-GB" w:eastAsia="ar-SA"/>
        </w:rPr>
        <w:t>corporations</w:t>
      </w:r>
      <w:r w:rsidRPr="00DD1DE0">
        <w:rPr>
          <w:lang w:val="en-GB" w:eastAsia="ar-SA"/>
        </w:rPr>
        <w:t>, government completing drawing of the EU money as well as households strengthening investment into the real estate. Final consumption expenditure of households increased by 2.</w:t>
      </w:r>
      <w:r>
        <w:rPr>
          <w:lang w:val="en-GB" w:eastAsia="ar-SA"/>
        </w:rPr>
        <w:t>9</w:t>
      </w:r>
      <w:r w:rsidRPr="00DD1DE0">
        <w:rPr>
          <w:lang w:val="en-GB" w:eastAsia="ar-SA"/>
        </w:rPr>
        <w:t xml:space="preserve">% (+1.4 p.p.), </w:t>
      </w:r>
      <w:r>
        <w:rPr>
          <w:lang w:val="en-GB" w:eastAsia="ar-SA"/>
        </w:rPr>
        <w:t>the addition</w:t>
      </w:r>
      <w:r w:rsidRPr="00DD1DE0">
        <w:rPr>
          <w:lang w:val="en-GB" w:eastAsia="ar-SA"/>
        </w:rPr>
        <w:t xml:space="preserve"> to the final consumption expenditure of government was even the largest since 2003 (+3.</w:t>
      </w:r>
      <w:r>
        <w:rPr>
          <w:lang w:val="en-GB" w:eastAsia="ar-SA"/>
        </w:rPr>
        <w:t>4</w:t>
      </w:r>
      <w:r w:rsidRPr="00DD1DE0">
        <w:rPr>
          <w:lang w:val="en-GB" w:eastAsia="ar-SA"/>
        </w:rPr>
        <w:t xml:space="preserve">%, +0.7 p.p.). Change </w:t>
      </w:r>
      <w:r>
        <w:rPr>
          <w:lang w:val="en-GB" w:eastAsia="ar-SA"/>
        </w:rPr>
        <w:t>in inventories</w:t>
      </w:r>
      <w:r w:rsidRPr="00DD1DE0">
        <w:rPr>
          <w:lang w:val="en-GB" w:eastAsia="ar-SA"/>
        </w:rPr>
        <w:t xml:space="preserve"> also affected the economy favourabl</w:t>
      </w:r>
      <w:r>
        <w:rPr>
          <w:lang w:val="en-GB" w:eastAsia="ar-SA"/>
        </w:rPr>
        <w:t>y</w:t>
      </w:r>
      <w:r w:rsidRPr="00DD1DE0">
        <w:rPr>
          <w:lang w:val="en-GB" w:eastAsia="ar-SA"/>
        </w:rPr>
        <w:t xml:space="preserve"> </w:t>
      </w:r>
      <w:r w:rsidRPr="00DD1DE0">
        <w:rPr>
          <w:spacing w:val="-4"/>
          <w:lang w:val="en-GB" w:eastAsia="ar-SA"/>
        </w:rPr>
        <w:t>(+0.6 p.p.), only the foreign trade balance worsened (-</w:t>
      </w:r>
      <w:r w:rsidRPr="00DD1DE0">
        <w:rPr>
          <w:spacing w:val="-2"/>
          <w:lang w:val="en-GB" w:eastAsia="ar-SA"/>
        </w:rPr>
        <w:t>0.2</w:t>
      </w:r>
      <w:r w:rsidRPr="00DD1DE0">
        <w:rPr>
          <w:lang w:val="en-GB" w:eastAsia="ar-SA"/>
        </w:rPr>
        <w:t xml:space="preserve"> p.p.).</w:t>
      </w:r>
    </w:p>
    <w:p w:rsidR="006E4832" w:rsidRPr="00A8260B" w:rsidRDefault="006E4832" w:rsidP="006E4832">
      <w:pPr>
        <w:pStyle w:val="Textpoznpodarou"/>
        <w:jc w:val="both"/>
        <w:rPr>
          <w:sz w:val="16"/>
          <w:szCs w:val="16"/>
          <w:lang w:eastAsia="ar-SA"/>
        </w:rPr>
      </w:pPr>
    </w:p>
    <w:p w:rsidR="006E4832" w:rsidRPr="00E75FB7" w:rsidRDefault="006E4832" w:rsidP="006E4832">
      <w:pPr>
        <w:pStyle w:val="Textpoznpodarou"/>
        <w:numPr>
          <w:ilvl w:val="0"/>
          <w:numId w:val="2"/>
        </w:numPr>
        <w:ind w:left="425" w:hanging="357"/>
        <w:jc w:val="both"/>
        <w:rPr>
          <w:lang w:val="en-GB" w:eastAsia="ar-SA"/>
        </w:rPr>
      </w:pPr>
      <w:r w:rsidRPr="00E75FB7">
        <w:rPr>
          <w:lang w:val="en-GB" w:eastAsia="ar-SA"/>
        </w:rPr>
        <w:t>Total branch performance based on the gross value added increased by 3.</w:t>
      </w:r>
      <w:r>
        <w:rPr>
          <w:lang w:val="en-GB" w:eastAsia="ar-SA"/>
        </w:rPr>
        <w:t>8</w:t>
      </w:r>
      <w:r w:rsidRPr="00E75FB7">
        <w:rPr>
          <w:lang w:val="en-GB" w:eastAsia="ar-SA"/>
        </w:rPr>
        <w:t xml:space="preserve">% in 2015. Dynamically expanding manufacturing </w:t>
      </w:r>
      <w:r w:rsidRPr="00E75FB7">
        <w:rPr>
          <w:spacing w:val="-2"/>
          <w:lang w:val="en-GB" w:eastAsia="ar-SA"/>
        </w:rPr>
        <w:t>(+7.</w:t>
      </w:r>
      <w:r>
        <w:rPr>
          <w:spacing w:val="-2"/>
          <w:lang w:val="en-GB" w:eastAsia="ar-SA"/>
        </w:rPr>
        <w:t>3</w:t>
      </w:r>
      <w:r w:rsidRPr="00E75FB7">
        <w:rPr>
          <w:spacing w:val="-2"/>
          <w:lang w:val="en-GB" w:eastAsia="ar-SA"/>
        </w:rPr>
        <w:t>%) contributed +1.9 p.p., services +1.8 p.p. Construction added +0.2</w:t>
      </w:r>
      <w:r w:rsidRPr="00E75FB7">
        <w:rPr>
          <w:lang w:val="en-GB" w:eastAsia="ar-SA"/>
        </w:rPr>
        <w:t xml:space="preserve"> p.p., similarly to the preceding year, however agriculture, forestry and fishing not so, as their total contribution was zero. Mining and quarrying, </w:t>
      </w:r>
      <w:proofErr w:type="spellStart"/>
      <w:r w:rsidRPr="00E75FB7">
        <w:rPr>
          <w:lang w:val="en-GB" w:eastAsia="ar-SA"/>
        </w:rPr>
        <w:t>energ</w:t>
      </w:r>
      <w:r>
        <w:rPr>
          <w:lang w:val="en-GB" w:eastAsia="ar-SA"/>
        </w:rPr>
        <w:t>etics</w:t>
      </w:r>
      <w:proofErr w:type="spellEnd"/>
      <w:r>
        <w:rPr>
          <w:lang w:val="en-GB" w:eastAsia="ar-SA"/>
        </w:rPr>
        <w:t xml:space="preserve"> and water supply</w:t>
      </w:r>
      <w:r w:rsidRPr="00E75FB7">
        <w:rPr>
          <w:lang w:val="en-GB" w:eastAsia="ar-SA"/>
        </w:rPr>
        <w:t xml:space="preserve"> worked slightly against the growth of the Czech economy (in total -</w:t>
      </w:r>
      <w:proofErr w:type="gramStart"/>
      <w:r w:rsidRPr="00E75FB7">
        <w:rPr>
          <w:lang w:val="en-GB" w:eastAsia="ar-SA"/>
        </w:rPr>
        <w:t>0.1</w:t>
      </w:r>
      <w:r>
        <w:rPr>
          <w:lang w:val="en-GB" w:eastAsia="ar-SA"/>
        </w:rPr>
        <w:t xml:space="preserve"> </w:t>
      </w:r>
      <w:r w:rsidRPr="00E75FB7">
        <w:rPr>
          <w:lang w:val="en-GB" w:eastAsia="ar-SA"/>
        </w:rPr>
        <w:t>p.p</w:t>
      </w:r>
      <w:proofErr w:type="gramEnd"/>
      <w:r w:rsidRPr="00E75FB7">
        <w:rPr>
          <w:lang w:val="en-GB" w:eastAsia="ar-SA"/>
        </w:rPr>
        <w:t xml:space="preserve">.). </w:t>
      </w:r>
    </w:p>
    <w:p w:rsidR="006E4832" w:rsidRPr="00A8260B" w:rsidRDefault="006E4832" w:rsidP="006E4832">
      <w:pPr>
        <w:pStyle w:val="Textpoznpodarou"/>
        <w:jc w:val="both"/>
        <w:rPr>
          <w:spacing w:val="-2"/>
          <w:sz w:val="16"/>
          <w:szCs w:val="16"/>
          <w:lang w:eastAsia="ar-SA"/>
        </w:rPr>
      </w:pPr>
    </w:p>
    <w:p w:rsidR="006E4832" w:rsidRPr="0064543C" w:rsidRDefault="006E4832" w:rsidP="006E4832">
      <w:pPr>
        <w:pStyle w:val="Textpoznpodarou"/>
        <w:numPr>
          <w:ilvl w:val="0"/>
          <w:numId w:val="2"/>
        </w:numPr>
        <w:ind w:left="425" w:hanging="357"/>
        <w:jc w:val="both"/>
        <w:rPr>
          <w:lang w:val="en-GB" w:eastAsia="ar-SA"/>
        </w:rPr>
      </w:pPr>
      <w:r w:rsidRPr="0064543C">
        <w:rPr>
          <w:lang w:val="en-GB"/>
        </w:rPr>
        <w:t>Current ac</w:t>
      </w:r>
      <w:r>
        <w:rPr>
          <w:lang w:val="en-GB"/>
        </w:rPr>
        <w:t>count of balance of payments sho</w:t>
      </w:r>
      <w:r w:rsidRPr="0064543C">
        <w:rPr>
          <w:lang w:val="en-GB"/>
        </w:rPr>
        <w:t>w</w:t>
      </w:r>
      <w:r>
        <w:rPr>
          <w:lang w:val="en-GB"/>
        </w:rPr>
        <w:t>ed</w:t>
      </w:r>
      <w:r w:rsidRPr="0064543C">
        <w:rPr>
          <w:lang w:val="en-GB"/>
        </w:rPr>
        <w:t xml:space="preserve"> further improvement of external economic relations, despite worsening trade balance. It </w:t>
      </w:r>
      <w:r>
        <w:rPr>
          <w:lang w:val="en-GB"/>
        </w:rPr>
        <w:t>reached record levels</w:t>
      </w:r>
      <w:r w:rsidRPr="0064543C">
        <w:rPr>
          <w:lang w:val="en-GB"/>
        </w:rPr>
        <w:t xml:space="preserve"> and ended in surplus of 41.4 </w:t>
      </w:r>
      <w:r>
        <w:rPr>
          <w:lang w:val="en-GB"/>
        </w:rPr>
        <w:t xml:space="preserve">CZK </w:t>
      </w:r>
      <w:proofErr w:type="spellStart"/>
      <w:r>
        <w:rPr>
          <w:lang w:val="en-GB"/>
        </w:rPr>
        <w:t>bn</w:t>
      </w:r>
      <w:proofErr w:type="spellEnd"/>
      <w:r>
        <w:rPr>
          <w:lang w:val="en-GB"/>
        </w:rPr>
        <w:t xml:space="preserve"> </w:t>
      </w:r>
      <w:r w:rsidRPr="0064543C">
        <w:rPr>
          <w:lang w:val="en-GB"/>
        </w:rPr>
        <w:t xml:space="preserve">(0.9% GDP). </w:t>
      </w:r>
      <w:r>
        <w:rPr>
          <w:lang w:val="en-GB"/>
        </w:rPr>
        <w:t>D</w:t>
      </w:r>
      <w:r w:rsidRPr="0064543C">
        <w:rPr>
          <w:lang w:val="en-GB"/>
        </w:rPr>
        <w:t xml:space="preserve">irect investment inflow into the CR fell to 60.7 </w:t>
      </w:r>
      <w:proofErr w:type="spellStart"/>
      <w:r w:rsidRPr="0064543C">
        <w:rPr>
          <w:lang w:val="en-GB"/>
        </w:rPr>
        <w:t>bn</w:t>
      </w:r>
      <w:proofErr w:type="spellEnd"/>
      <w:r w:rsidRPr="0064543C">
        <w:rPr>
          <w:lang w:val="en-GB"/>
        </w:rPr>
        <w:t xml:space="preserve"> and it was the weakest since 2003. However, </w:t>
      </w:r>
      <w:r>
        <w:rPr>
          <w:lang w:val="en-GB"/>
        </w:rPr>
        <w:t>huge</w:t>
      </w:r>
      <w:r w:rsidRPr="0064543C">
        <w:rPr>
          <w:lang w:val="en-GB"/>
        </w:rPr>
        <w:t xml:space="preserve"> inflow of portfolio investment</w:t>
      </w:r>
      <w:r>
        <w:rPr>
          <w:lang w:val="en-GB"/>
        </w:rPr>
        <w:t xml:space="preserve"> contrasted with it</w:t>
      </w:r>
      <w:r w:rsidRPr="0064543C">
        <w:rPr>
          <w:lang w:val="en-GB"/>
        </w:rPr>
        <w:t xml:space="preserve">. </w:t>
      </w:r>
      <w:r>
        <w:rPr>
          <w:lang w:val="en-GB"/>
        </w:rPr>
        <w:t xml:space="preserve">Foreign investors purchased only government bonds themselves for </w:t>
      </w:r>
      <w:r w:rsidRPr="0064543C">
        <w:rPr>
          <w:spacing w:val="-2"/>
          <w:lang w:val="en-GB"/>
        </w:rPr>
        <w:t>117</w:t>
      </w:r>
      <w:r>
        <w:rPr>
          <w:spacing w:val="-2"/>
          <w:lang w:val="en-GB"/>
        </w:rPr>
        <w:t>.</w:t>
      </w:r>
      <w:r w:rsidRPr="0064543C">
        <w:rPr>
          <w:spacing w:val="-2"/>
          <w:lang w:val="en-GB"/>
        </w:rPr>
        <w:t>7</w:t>
      </w:r>
      <w:r w:rsidRPr="0064543C">
        <w:rPr>
          <w:lang w:val="en-GB"/>
        </w:rPr>
        <w:t xml:space="preserve"> </w:t>
      </w:r>
      <w:proofErr w:type="spellStart"/>
      <w:r>
        <w:rPr>
          <w:lang w:val="en-GB"/>
        </w:rPr>
        <w:t>bn</w:t>
      </w:r>
      <w:proofErr w:type="spellEnd"/>
      <w:r>
        <w:rPr>
          <w:lang w:val="en-GB"/>
        </w:rPr>
        <w:t xml:space="preserve"> in the last year</w:t>
      </w:r>
      <w:r w:rsidRPr="0064543C">
        <w:rPr>
          <w:lang w:val="en-GB"/>
        </w:rPr>
        <w:t xml:space="preserve">. </w:t>
      </w:r>
    </w:p>
    <w:p w:rsidR="006E4832" w:rsidRPr="00A8260B" w:rsidRDefault="006E4832" w:rsidP="006E4832">
      <w:pPr>
        <w:pStyle w:val="Odstavecseseznamem"/>
        <w:ind w:left="0"/>
        <w:rPr>
          <w:sz w:val="16"/>
          <w:szCs w:val="16"/>
          <w:lang w:val="en-GB" w:eastAsia="ar-SA"/>
        </w:rPr>
      </w:pPr>
    </w:p>
    <w:p w:rsidR="006E4832" w:rsidRPr="00466585" w:rsidRDefault="006E4832" w:rsidP="006E4832">
      <w:pPr>
        <w:pStyle w:val="Textpoznpodarou"/>
        <w:numPr>
          <w:ilvl w:val="0"/>
          <w:numId w:val="2"/>
        </w:numPr>
        <w:ind w:left="425" w:hanging="357"/>
        <w:jc w:val="both"/>
        <w:rPr>
          <w:lang w:val="en-GB" w:eastAsia="ar-SA"/>
        </w:rPr>
      </w:pPr>
      <w:r w:rsidRPr="00466585">
        <w:rPr>
          <w:lang w:val="en-GB" w:eastAsia="ar-SA"/>
        </w:rPr>
        <w:t>Implicit GDP deflator fell to +0.7% in 2015, inflation gauged by the consumer price index development arrived at +0.3% and it was the lowest since 2003. Slump of the oil price on the world market and deflation in the manufacturing in the euro area affected the CR via the prices of imported goods (-1.9%) and impacted the industrial producer prices, which were lowered the most markedly in history (-3.2%)</w:t>
      </w:r>
      <w:r>
        <w:rPr>
          <w:lang w:val="en-GB" w:eastAsia="ar-SA"/>
        </w:rPr>
        <w:t xml:space="preserve">. </w:t>
      </w:r>
      <w:r w:rsidRPr="00466585">
        <w:rPr>
          <w:lang w:val="en-GB" w:eastAsia="ar-SA"/>
        </w:rPr>
        <w:t>Agricultural producer prices declined by 6%, prices of market services stagnated. Only the prices of construction work were raised (+1.2%).</w:t>
      </w:r>
    </w:p>
    <w:p w:rsidR="006E4832" w:rsidRPr="00A8260B" w:rsidRDefault="006E4832" w:rsidP="006E4832">
      <w:pPr>
        <w:pStyle w:val="Odstavecseseznamem"/>
        <w:ind w:left="0"/>
        <w:rPr>
          <w:spacing w:val="-2"/>
          <w:sz w:val="16"/>
          <w:szCs w:val="16"/>
          <w:lang w:eastAsia="ar-SA"/>
        </w:rPr>
      </w:pPr>
    </w:p>
    <w:p w:rsidR="006E4832" w:rsidRPr="00BA7797" w:rsidRDefault="006E4832" w:rsidP="006E4832">
      <w:pPr>
        <w:pStyle w:val="Textpoznpodarou"/>
        <w:numPr>
          <w:ilvl w:val="0"/>
          <w:numId w:val="2"/>
        </w:numPr>
        <w:ind w:left="425" w:hanging="357"/>
        <w:jc w:val="both"/>
        <w:rPr>
          <w:color w:val="000000" w:themeColor="text1"/>
          <w:spacing w:val="-2"/>
          <w:lang w:val="en-GB" w:eastAsia="ar-SA"/>
        </w:rPr>
      </w:pPr>
      <w:r w:rsidRPr="00BA7797">
        <w:rPr>
          <w:color w:val="000000" w:themeColor="text1"/>
          <w:spacing w:val="-2"/>
          <w:lang w:val="en-GB" w:eastAsia="ar-SA"/>
        </w:rPr>
        <w:t>The growth of the economy was improving the situation on the labour mark</w:t>
      </w:r>
      <w:r>
        <w:rPr>
          <w:color w:val="000000" w:themeColor="text1"/>
          <w:spacing w:val="-2"/>
          <w:lang w:val="en-GB" w:eastAsia="ar-SA"/>
        </w:rPr>
        <w:t>et. Employment in the concept</w:t>
      </w:r>
      <w:r w:rsidRPr="00BA7797">
        <w:rPr>
          <w:color w:val="000000" w:themeColor="text1"/>
          <w:spacing w:val="-2"/>
          <w:lang w:val="en-GB" w:eastAsia="ar-SA"/>
        </w:rPr>
        <w:t xml:space="preserve"> of the national accounts was higher by 1.</w:t>
      </w:r>
      <w:r>
        <w:rPr>
          <w:color w:val="000000" w:themeColor="text1"/>
          <w:spacing w:val="-2"/>
          <w:lang w:val="en-GB" w:eastAsia="ar-SA"/>
        </w:rPr>
        <w:t>2</w:t>
      </w:r>
      <w:r w:rsidRPr="00BA7797">
        <w:rPr>
          <w:color w:val="000000" w:themeColor="text1"/>
          <w:spacing w:val="-2"/>
          <w:lang w:val="en-GB" w:eastAsia="ar-SA"/>
        </w:rPr>
        <w:t>% year-on-</w:t>
      </w:r>
      <w:proofErr w:type="gramStart"/>
      <w:r w:rsidRPr="00BA7797">
        <w:rPr>
          <w:color w:val="000000" w:themeColor="text1"/>
          <w:spacing w:val="-2"/>
          <w:lang w:val="en-GB" w:eastAsia="ar-SA"/>
        </w:rPr>
        <w:t>year,</w:t>
      </w:r>
      <w:proofErr w:type="gramEnd"/>
      <w:r w:rsidRPr="00BA7797">
        <w:rPr>
          <w:color w:val="000000" w:themeColor="text1"/>
          <w:spacing w:val="-2"/>
          <w:lang w:val="en-GB" w:eastAsia="ar-SA"/>
        </w:rPr>
        <w:t xml:space="preserve"> it reached in absolute terms together with year 2008 the highest level in history of the independent CR. Number of job vacancies climbed up already above 100 thousand during the summer. General unemployment rate w</w:t>
      </w:r>
      <w:r>
        <w:rPr>
          <w:color w:val="000000" w:themeColor="text1"/>
          <w:spacing w:val="-2"/>
          <w:lang w:val="en-GB" w:eastAsia="ar-SA"/>
        </w:rPr>
        <w:t>a</w:t>
      </w:r>
      <w:r w:rsidRPr="00BA7797">
        <w:rPr>
          <w:color w:val="000000" w:themeColor="text1"/>
          <w:spacing w:val="-2"/>
          <w:lang w:val="en-GB" w:eastAsia="ar-SA"/>
        </w:rPr>
        <w:t xml:space="preserve">s decreasing throughout the whole year and in December </w:t>
      </w:r>
      <w:proofErr w:type="gramStart"/>
      <w:r w:rsidRPr="00BA7797">
        <w:rPr>
          <w:color w:val="000000" w:themeColor="text1"/>
          <w:spacing w:val="-2"/>
          <w:lang w:val="en-GB" w:eastAsia="ar-SA"/>
        </w:rPr>
        <w:t>2015,</w:t>
      </w:r>
      <w:proofErr w:type="gramEnd"/>
      <w:r w:rsidRPr="00BA7797">
        <w:rPr>
          <w:color w:val="000000" w:themeColor="text1"/>
          <w:spacing w:val="-2"/>
          <w:lang w:val="en-GB" w:eastAsia="ar-SA"/>
        </w:rPr>
        <w:t xml:space="preserve"> it ended on the lowest level (4.</w:t>
      </w:r>
      <w:r>
        <w:rPr>
          <w:color w:val="000000" w:themeColor="text1"/>
          <w:spacing w:val="-2"/>
          <w:lang w:val="en-GB" w:eastAsia="ar-SA"/>
        </w:rPr>
        <w:t>6</w:t>
      </w:r>
      <w:r w:rsidRPr="00BA7797">
        <w:rPr>
          <w:color w:val="000000" w:themeColor="text1"/>
          <w:spacing w:val="-2"/>
          <w:lang w:val="en-GB" w:eastAsia="ar-SA"/>
        </w:rPr>
        <w:t xml:space="preserve">%) since November 2008. The structural imbalance between demand for employees and supply on the part of job applicants was transferred into the lack of </w:t>
      </w:r>
      <w:r>
        <w:rPr>
          <w:color w:val="000000" w:themeColor="text1"/>
          <w:spacing w:val="-2"/>
          <w:lang w:val="en-GB" w:eastAsia="ar-SA"/>
        </w:rPr>
        <w:t xml:space="preserve">skilled workers </w:t>
      </w:r>
      <w:r w:rsidRPr="00BA7797">
        <w:rPr>
          <w:color w:val="000000" w:themeColor="text1"/>
          <w:spacing w:val="-2"/>
          <w:lang w:val="en-GB" w:eastAsia="ar-SA"/>
        </w:rPr>
        <w:t xml:space="preserve">and </w:t>
      </w:r>
      <w:r>
        <w:rPr>
          <w:color w:val="000000" w:themeColor="text1"/>
          <w:spacing w:val="-2"/>
          <w:lang w:val="en-GB" w:eastAsia="ar-SA"/>
        </w:rPr>
        <w:t xml:space="preserve">led into an accelerating growth of the average wage. It rose already by </w:t>
      </w:r>
      <w:r w:rsidRPr="00BA7797">
        <w:rPr>
          <w:color w:val="000000" w:themeColor="text1"/>
          <w:spacing w:val="-2"/>
          <w:lang w:val="en-GB" w:eastAsia="ar-SA"/>
        </w:rPr>
        <w:t>3</w:t>
      </w:r>
      <w:r>
        <w:rPr>
          <w:color w:val="000000" w:themeColor="text1"/>
          <w:spacing w:val="-2"/>
          <w:lang w:val="en-GB" w:eastAsia="ar-SA"/>
        </w:rPr>
        <w:t>.</w:t>
      </w:r>
      <w:r w:rsidRPr="00BA7797">
        <w:rPr>
          <w:color w:val="000000" w:themeColor="text1"/>
          <w:spacing w:val="-2"/>
          <w:lang w:val="en-GB" w:eastAsia="ar-SA"/>
        </w:rPr>
        <w:t xml:space="preserve">9% </w:t>
      </w:r>
      <w:r>
        <w:rPr>
          <w:color w:val="000000" w:themeColor="text1"/>
          <w:spacing w:val="-2"/>
          <w:lang w:val="en-GB" w:eastAsia="ar-SA"/>
        </w:rPr>
        <w:t>year-on-year in Q4</w:t>
      </w:r>
      <w:r w:rsidRPr="00BA7797">
        <w:rPr>
          <w:color w:val="000000" w:themeColor="text1"/>
          <w:spacing w:val="-2"/>
          <w:lang w:val="en-GB" w:eastAsia="ar-SA"/>
        </w:rPr>
        <w:t xml:space="preserve">. </w:t>
      </w:r>
      <w:r>
        <w:rPr>
          <w:color w:val="000000" w:themeColor="text1"/>
          <w:spacing w:val="-2"/>
          <w:lang w:val="en-GB" w:eastAsia="ar-SA"/>
        </w:rPr>
        <w:t>In real terms, the average wage, thanks to the low inflation rate, increased by 3.</w:t>
      </w:r>
      <w:r w:rsidRPr="00BA7797">
        <w:rPr>
          <w:color w:val="000000" w:themeColor="text1"/>
          <w:spacing w:val="-2"/>
          <w:lang w:val="en-GB" w:eastAsia="ar-SA"/>
        </w:rPr>
        <w:t xml:space="preserve">8%, </w:t>
      </w:r>
      <w:r>
        <w:rPr>
          <w:color w:val="000000" w:themeColor="text1"/>
          <w:spacing w:val="-2"/>
          <w:lang w:val="en-GB" w:eastAsia="ar-SA"/>
        </w:rPr>
        <w:t xml:space="preserve">which represented the highest growth since the end of year </w:t>
      </w:r>
      <w:r w:rsidRPr="00BA7797">
        <w:rPr>
          <w:color w:val="000000" w:themeColor="text1"/>
          <w:spacing w:val="-2"/>
          <w:lang w:val="en-GB" w:eastAsia="ar-SA"/>
        </w:rPr>
        <w:t>2009.</w:t>
      </w:r>
    </w:p>
    <w:p w:rsidR="006E4832" w:rsidRPr="008A0BF6" w:rsidRDefault="006E4832" w:rsidP="006E4832">
      <w:pPr>
        <w:pStyle w:val="Textpoznpodarou"/>
        <w:numPr>
          <w:ilvl w:val="0"/>
          <w:numId w:val="2"/>
        </w:numPr>
        <w:ind w:left="425" w:hanging="357"/>
        <w:jc w:val="both"/>
        <w:rPr>
          <w:spacing w:val="-4"/>
          <w:lang w:val="en-GB" w:eastAsia="ar-SA"/>
        </w:rPr>
      </w:pPr>
      <w:r w:rsidRPr="008A0BF6">
        <w:rPr>
          <w:lang w:val="en-GB"/>
        </w:rPr>
        <w:lastRenderedPageBreak/>
        <w:t xml:space="preserve">Money </w:t>
      </w:r>
      <w:r>
        <w:rPr>
          <w:lang w:val="en-GB"/>
        </w:rPr>
        <w:t>supply</w:t>
      </w:r>
      <w:r w:rsidRPr="008A0BF6">
        <w:rPr>
          <w:lang w:val="en-GB"/>
        </w:rPr>
        <w:t xml:space="preserve"> in the economy expanded according to the monetary aggregate M2 by 6.</w:t>
      </w:r>
      <w:r>
        <w:rPr>
          <w:lang w:val="en-GB"/>
        </w:rPr>
        <w:t>9</w:t>
      </w:r>
      <w:r w:rsidRPr="008A0BF6">
        <w:rPr>
          <w:lang w:val="en-GB"/>
        </w:rPr>
        <w:t xml:space="preserve">% year-on-year </w:t>
      </w:r>
      <w:r>
        <w:rPr>
          <w:lang w:val="en-GB"/>
        </w:rPr>
        <w:t>at</w:t>
      </w:r>
      <w:r w:rsidRPr="008A0BF6">
        <w:rPr>
          <w:lang w:val="en-GB"/>
        </w:rPr>
        <w:t xml:space="preserve"> the end of t</w:t>
      </w:r>
      <w:r>
        <w:rPr>
          <w:lang w:val="en-GB"/>
        </w:rPr>
        <w:t>h</w:t>
      </w:r>
      <w:r w:rsidRPr="008A0BF6">
        <w:rPr>
          <w:lang w:val="en-GB"/>
        </w:rPr>
        <w:t>e year</w:t>
      </w:r>
      <w:r>
        <w:rPr>
          <w:lang w:val="en-GB"/>
        </w:rPr>
        <w:t xml:space="preserve"> 2015</w:t>
      </w:r>
      <w:r w:rsidRPr="008A0BF6">
        <w:rPr>
          <w:lang w:val="en-GB"/>
        </w:rPr>
        <w:t xml:space="preserve"> and it was</w:t>
      </w:r>
      <w:r>
        <w:rPr>
          <w:lang w:val="en-GB"/>
        </w:rPr>
        <w:t xml:space="preserve"> caused</w:t>
      </w:r>
      <w:r w:rsidRPr="008A0BF6">
        <w:rPr>
          <w:lang w:val="en-GB"/>
        </w:rPr>
        <w:t xml:space="preserve"> only</w:t>
      </w:r>
      <w:r>
        <w:rPr>
          <w:lang w:val="en-GB"/>
        </w:rPr>
        <w:t xml:space="preserve"> by</w:t>
      </w:r>
      <w:r w:rsidRPr="008A0BF6">
        <w:rPr>
          <w:lang w:val="en-GB"/>
        </w:rPr>
        <w:t xml:space="preserve"> the increase of the liquid fun</w:t>
      </w:r>
      <w:r>
        <w:rPr>
          <w:lang w:val="en-GB"/>
        </w:rPr>
        <w:t xml:space="preserve">ds. The rates of growth of long </w:t>
      </w:r>
      <w:r w:rsidRPr="008A0BF6">
        <w:rPr>
          <w:lang w:val="en-GB"/>
        </w:rPr>
        <w:t xml:space="preserve">term </w:t>
      </w:r>
      <w:r>
        <w:rPr>
          <w:lang w:val="en-GB"/>
        </w:rPr>
        <w:t>loans</w:t>
      </w:r>
      <w:r w:rsidRPr="008A0BF6">
        <w:rPr>
          <w:lang w:val="en-GB"/>
        </w:rPr>
        <w:t xml:space="preserve"> to non-financial </w:t>
      </w:r>
      <w:r>
        <w:rPr>
          <w:lang w:val="en-GB"/>
        </w:rPr>
        <w:t>corporations</w:t>
      </w:r>
      <w:r w:rsidRPr="008A0BF6">
        <w:rPr>
          <w:lang w:val="en-GB"/>
        </w:rPr>
        <w:t xml:space="preserve">, i.e. especially the </w:t>
      </w:r>
      <w:r>
        <w:rPr>
          <w:lang w:val="en-GB"/>
        </w:rPr>
        <w:t>loans</w:t>
      </w:r>
      <w:r w:rsidRPr="008A0BF6">
        <w:rPr>
          <w:lang w:val="en-GB"/>
        </w:rPr>
        <w:t xml:space="preserve"> for investment, were at least 10% in</w:t>
      </w:r>
      <w:r>
        <w:rPr>
          <w:lang w:val="en-GB"/>
        </w:rPr>
        <w:t xml:space="preserve"> </w:t>
      </w:r>
      <w:r w:rsidRPr="008A0BF6">
        <w:rPr>
          <w:lang w:val="en-GB"/>
        </w:rPr>
        <w:t>the whole H2, dynamics of the</w:t>
      </w:r>
      <w:r>
        <w:rPr>
          <w:lang w:val="en-GB"/>
        </w:rPr>
        <w:t xml:space="preserve"> loans for house purchase to</w:t>
      </w:r>
      <w:r w:rsidRPr="008A0BF6">
        <w:rPr>
          <w:lang w:val="en-GB"/>
        </w:rPr>
        <w:t xml:space="preserve"> household</w:t>
      </w:r>
      <w:r>
        <w:rPr>
          <w:lang w:val="en-GB"/>
        </w:rPr>
        <w:t>s</w:t>
      </w:r>
      <w:r w:rsidRPr="008A0BF6">
        <w:rPr>
          <w:lang w:val="en-GB"/>
        </w:rPr>
        <w:t xml:space="preserve"> in December </w:t>
      </w:r>
      <w:r>
        <w:rPr>
          <w:lang w:val="en-GB"/>
        </w:rPr>
        <w:t>(+8</w:t>
      </w:r>
      <w:r w:rsidRPr="008A0BF6">
        <w:rPr>
          <w:lang w:val="en-GB"/>
        </w:rPr>
        <w:t xml:space="preserve">%) was the strongest since summer 2010. Enlarged demand of households for these types of </w:t>
      </w:r>
      <w:r>
        <w:rPr>
          <w:lang w:val="en-GB"/>
        </w:rPr>
        <w:t>loans</w:t>
      </w:r>
      <w:r w:rsidRPr="008A0BF6">
        <w:rPr>
          <w:lang w:val="en-GB"/>
        </w:rPr>
        <w:t xml:space="preserve"> arises from the low interest rates and is reflected in</w:t>
      </w:r>
      <w:r>
        <w:rPr>
          <w:lang w:val="en-GB"/>
        </w:rPr>
        <w:t xml:space="preserve"> </w:t>
      </w:r>
      <w:r w:rsidRPr="008A0BF6">
        <w:rPr>
          <w:lang w:val="en-GB"/>
        </w:rPr>
        <w:t xml:space="preserve">a marked rise of the real estate prices. </w:t>
      </w:r>
    </w:p>
    <w:p w:rsidR="006E4832" w:rsidRPr="00906D0C" w:rsidRDefault="006E4832" w:rsidP="006E4832">
      <w:pPr>
        <w:pStyle w:val="Odstavecseseznamem"/>
        <w:ind w:left="0"/>
        <w:rPr>
          <w:spacing w:val="-4"/>
          <w:szCs w:val="20"/>
          <w:lang w:eastAsia="ar-SA"/>
        </w:rPr>
      </w:pPr>
    </w:p>
    <w:p w:rsidR="006E4832" w:rsidRDefault="006E4832" w:rsidP="006E4832">
      <w:pPr>
        <w:pStyle w:val="Textpoznpodarou"/>
        <w:numPr>
          <w:ilvl w:val="0"/>
          <w:numId w:val="2"/>
        </w:numPr>
        <w:ind w:left="425" w:hanging="357"/>
        <w:jc w:val="both"/>
        <w:rPr>
          <w:lang w:val="en-GB"/>
        </w:rPr>
      </w:pPr>
      <w:r w:rsidRPr="008902DB">
        <w:rPr>
          <w:lang w:val="en-GB"/>
        </w:rPr>
        <w:t xml:space="preserve">Strengthening growth of the economy supported by a record drawing of resources from the EU funds assisted the state budget </w:t>
      </w:r>
      <w:r>
        <w:rPr>
          <w:lang w:val="en-GB"/>
        </w:rPr>
        <w:t>to</w:t>
      </w:r>
      <w:r w:rsidRPr="008902DB">
        <w:rPr>
          <w:lang w:val="en-GB"/>
        </w:rPr>
        <w:t xml:space="preserve"> the lowest deficit </w:t>
      </w:r>
      <w:r>
        <w:rPr>
          <w:lang w:val="en-GB"/>
        </w:rPr>
        <w:t>after</w:t>
      </w:r>
      <w:r w:rsidRPr="008902DB">
        <w:rPr>
          <w:lang w:val="en-GB"/>
        </w:rPr>
        <w:t xml:space="preserve"> year 2008. </w:t>
      </w:r>
      <w:r>
        <w:rPr>
          <w:lang w:val="en-GB"/>
        </w:rPr>
        <w:t xml:space="preserve">It amounted to </w:t>
      </w:r>
      <w:r w:rsidRPr="008902DB">
        <w:rPr>
          <w:lang w:val="en-GB"/>
        </w:rPr>
        <w:t>1</w:t>
      </w:r>
      <w:r>
        <w:rPr>
          <w:lang w:val="en-GB"/>
        </w:rPr>
        <w:t>.4</w:t>
      </w:r>
      <w:r w:rsidRPr="008902DB">
        <w:rPr>
          <w:lang w:val="en-GB"/>
        </w:rPr>
        <w:t>%</w:t>
      </w:r>
      <w:r>
        <w:rPr>
          <w:lang w:val="en-GB"/>
        </w:rPr>
        <w:t xml:space="preserve"> in relation to GDP and improved by </w:t>
      </w:r>
      <w:r w:rsidRPr="008902DB">
        <w:rPr>
          <w:lang w:val="en-GB"/>
        </w:rPr>
        <w:t>0</w:t>
      </w:r>
      <w:r>
        <w:rPr>
          <w:lang w:val="en-GB"/>
        </w:rPr>
        <w:t>.</w:t>
      </w:r>
      <w:r w:rsidRPr="008902DB">
        <w:rPr>
          <w:lang w:val="en-GB"/>
        </w:rPr>
        <w:t>4 p.</w:t>
      </w:r>
      <w:r>
        <w:rPr>
          <w:lang w:val="en-GB"/>
        </w:rPr>
        <w:t>p</w:t>
      </w:r>
      <w:r w:rsidRPr="008902DB">
        <w:rPr>
          <w:lang w:val="en-GB"/>
        </w:rPr>
        <w:t>.</w:t>
      </w:r>
      <w:r>
        <w:rPr>
          <w:lang w:val="en-GB"/>
        </w:rPr>
        <w:t xml:space="preserve"> year-on-year. The share of investment in total expenditures of the state budget achieved a record </w:t>
      </w:r>
      <w:r w:rsidRPr="008902DB">
        <w:rPr>
          <w:lang w:val="en-GB"/>
        </w:rPr>
        <w:t>13</w:t>
      </w:r>
      <w:r>
        <w:rPr>
          <w:lang w:val="en-GB"/>
        </w:rPr>
        <w:t>.6</w:t>
      </w:r>
      <w:r w:rsidRPr="008902DB">
        <w:rPr>
          <w:lang w:val="en-GB"/>
        </w:rPr>
        <w:t>%.</w:t>
      </w:r>
    </w:p>
    <w:p w:rsidR="006E4832" w:rsidRDefault="006E4832" w:rsidP="00053672">
      <w:pPr>
        <w:pStyle w:val="Textpoznpodarou"/>
        <w:ind w:left="425"/>
        <w:jc w:val="both"/>
        <w:rPr>
          <w:lang w:val="en-GB"/>
        </w:rPr>
      </w:pPr>
    </w:p>
    <w:p w:rsidR="00906D0C" w:rsidRPr="008902DB" w:rsidRDefault="00906D0C" w:rsidP="00053672">
      <w:pPr>
        <w:pStyle w:val="Textpoznpodarou"/>
        <w:ind w:left="425"/>
        <w:jc w:val="both"/>
        <w:rPr>
          <w:lang w:val="en-GB"/>
        </w:rPr>
      </w:pPr>
    </w:p>
    <w:p w:rsidR="00960769" w:rsidRPr="00CF2816" w:rsidRDefault="00451DCC" w:rsidP="00960769">
      <w:pPr>
        <w:pStyle w:val="Nadpis1"/>
        <w:numPr>
          <w:ilvl w:val="0"/>
          <w:numId w:val="3"/>
        </w:numPr>
        <w:jc w:val="both"/>
        <w:rPr>
          <w:lang w:val="en-GB"/>
        </w:rPr>
      </w:pPr>
      <w:bookmarkStart w:id="3" w:name="_Toc449604557"/>
      <w:r w:rsidRPr="00CF2816">
        <w:rPr>
          <w:lang w:val="en-GB"/>
        </w:rPr>
        <w:t>Overall Economic Performance</w:t>
      </w:r>
      <w:bookmarkEnd w:id="3"/>
    </w:p>
    <w:tbl>
      <w:tblPr>
        <w:tblW w:w="5000" w:type="pct"/>
        <w:tblLayout w:type="fixed"/>
        <w:tblLook w:val="00A0"/>
      </w:tblPr>
      <w:tblGrid>
        <w:gridCol w:w="2077"/>
        <w:gridCol w:w="282"/>
        <w:gridCol w:w="7495"/>
      </w:tblGrid>
      <w:tr w:rsidR="006E4832" w:rsidRPr="00CF2816" w:rsidTr="00FA0110">
        <w:tc>
          <w:tcPr>
            <w:tcW w:w="1054" w:type="pct"/>
          </w:tcPr>
          <w:p w:rsidR="006E4832" w:rsidRPr="00CF2816" w:rsidRDefault="006E4832" w:rsidP="00FA0110">
            <w:pPr>
              <w:spacing w:line="240" w:lineRule="auto"/>
              <w:rPr>
                <w:sz w:val="16"/>
                <w:szCs w:val="16"/>
                <w:lang w:val="en-GB"/>
              </w:rPr>
            </w:pPr>
            <w:r>
              <w:rPr>
                <w:sz w:val="16"/>
                <w:szCs w:val="16"/>
                <w:lang w:val="en-GB"/>
              </w:rPr>
              <w:t xml:space="preserve">The growth of the economy was significantly supported by extraordinary influences in </w:t>
            </w:r>
            <w:r w:rsidRPr="00CF2816">
              <w:rPr>
                <w:sz w:val="16"/>
                <w:szCs w:val="16"/>
                <w:lang w:val="en-GB"/>
              </w:rPr>
              <w:t>2015</w:t>
            </w:r>
            <w:r>
              <w:rPr>
                <w:sz w:val="16"/>
                <w:szCs w:val="16"/>
                <w:lang w:val="en-GB"/>
              </w:rPr>
              <w:t>. They however already weakened in the last quarter</w:t>
            </w:r>
            <w:r w:rsidRPr="00CF2816">
              <w:rPr>
                <w:sz w:val="16"/>
                <w:szCs w:val="16"/>
                <w:lang w:val="en-GB"/>
              </w:rPr>
              <w:t>, …</w:t>
            </w:r>
          </w:p>
        </w:tc>
        <w:tc>
          <w:tcPr>
            <w:tcW w:w="143" w:type="pct"/>
          </w:tcPr>
          <w:p w:rsidR="006E4832" w:rsidRPr="00CF2816" w:rsidRDefault="006E4832" w:rsidP="00FA0110">
            <w:pPr>
              <w:pStyle w:val="Textpoznpodarou"/>
              <w:jc w:val="both"/>
              <w:rPr>
                <w:lang w:val="en-GB"/>
              </w:rPr>
            </w:pPr>
          </w:p>
        </w:tc>
        <w:tc>
          <w:tcPr>
            <w:tcW w:w="3803" w:type="pct"/>
          </w:tcPr>
          <w:p w:rsidR="006E4832" w:rsidRPr="00CF2816" w:rsidRDefault="006E4832" w:rsidP="00FA0110">
            <w:pPr>
              <w:pStyle w:val="Textpoznpodarou"/>
              <w:jc w:val="both"/>
              <w:rPr>
                <w:spacing w:val="-2"/>
                <w:lang w:val="en-GB"/>
              </w:rPr>
            </w:pPr>
            <w:r>
              <w:rPr>
                <w:lang w:val="en-GB"/>
              </w:rPr>
              <w:t xml:space="preserve">The Czech economy flourished in 2015 and its performance rose the most in the last eight years, i.e. since the peak of the business cycle in </w:t>
            </w:r>
            <w:r w:rsidRPr="00CF2816">
              <w:rPr>
                <w:lang w:val="en-GB"/>
              </w:rPr>
              <w:t>2007.</w:t>
            </w:r>
            <w:r w:rsidRPr="00CF2816">
              <w:rPr>
                <w:rStyle w:val="Znakapoznpodarou"/>
                <w:lang w:val="en-GB"/>
              </w:rPr>
              <w:footnoteReference w:id="3"/>
            </w:r>
            <w:r w:rsidRPr="00CF2816">
              <w:rPr>
                <w:lang w:val="en-GB"/>
              </w:rPr>
              <w:t xml:space="preserve"> </w:t>
            </w:r>
            <w:r>
              <w:rPr>
                <w:lang w:val="en-GB"/>
              </w:rPr>
              <w:t xml:space="preserve">Gross domestic product </w:t>
            </w:r>
            <w:r w:rsidRPr="00CF2816">
              <w:rPr>
                <w:lang w:val="en-GB"/>
              </w:rPr>
              <w:t>(</w:t>
            </w:r>
            <w:r>
              <w:rPr>
                <w:lang w:val="en-GB"/>
              </w:rPr>
              <w:t>GDP</w:t>
            </w:r>
            <w:r w:rsidRPr="00CF2816">
              <w:rPr>
                <w:lang w:val="en-GB"/>
              </w:rPr>
              <w:t xml:space="preserve">) </w:t>
            </w:r>
            <w:r>
              <w:rPr>
                <w:lang w:val="en-GB"/>
              </w:rPr>
              <w:t xml:space="preserve">increased by </w:t>
            </w:r>
            <w:r w:rsidRPr="00CF2816">
              <w:rPr>
                <w:lang w:val="en-GB"/>
              </w:rPr>
              <w:t>4</w:t>
            </w:r>
            <w:r>
              <w:rPr>
                <w:lang w:val="en-GB"/>
              </w:rPr>
              <w:t>.3</w:t>
            </w:r>
            <w:r w:rsidRPr="00CF2816">
              <w:rPr>
                <w:lang w:val="en-GB"/>
              </w:rPr>
              <w:t xml:space="preserve">%, </w:t>
            </w:r>
            <w:r>
              <w:rPr>
                <w:lang w:val="en-GB"/>
              </w:rPr>
              <w:t xml:space="preserve">while its dynamics reached at least </w:t>
            </w:r>
            <w:r w:rsidRPr="00CF2816">
              <w:rPr>
                <w:lang w:val="en-GB"/>
              </w:rPr>
              <w:t>4</w:t>
            </w:r>
            <w:r>
              <w:rPr>
                <w:lang w:val="en-GB"/>
              </w:rPr>
              <w:t xml:space="preserve">% in each of the quarters. Gross value added grew by </w:t>
            </w:r>
            <w:r w:rsidRPr="00CF2816">
              <w:rPr>
                <w:lang w:val="en-GB"/>
              </w:rPr>
              <w:t>3</w:t>
            </w:r>
            <w:r>
              <w:rPr>
                <w:lang w:val="en-GB"/>
              </w:rPr>
              <w:t>.8</w:t>
            </w:r>
            <w:r w:rsidRPr="00CF2816">
              <w:rPr>
                <w:lang w:val="en-GB"/>
              </w:rPr>
              <w:t xml:space="preserve">%. </w:t>
            </w:r>
            <w:r>
              <w:rPr>
                <w:lang w:val="en-GB"/>
              </w:rPr>
              <w:t>Especially the domestic demand shared the most in the economic growth on the expenditure side, mostly the manufacturing and private and public services then had a favourable effect on the supply side</w:t>
            </w:r>
            <w:r w:rsidRPr="00CF2816">
              <w:rPr>
                <w:lang w:val="en-GB"/>
              </w:rPr>
              <w:t xml:space="preserve">. </w:t>
            </w:r>
            <w:r>
              <w:rPr>
                <w:lang w:val="en-GB"/>
              </w:rPr>
              <w:t xml:space="preserve">The economy grew in the year-on-year comparison already nine quarters in a </w:t>
            </w:r>
            <w:proofErr w:type="gramStart"/>
            <w:r>
              <w:rPr>
                <w:lang w:val="en-GB"/>
              </w:rPr>
              <w:t>row,</w:t>
            </w:r>
            <w:proofErr w:type="gramEnd"/>
            <w:r>
              <w:rPr>
                <w:lang w:val="en-GB"/>
              </w:rPr>
              <w:t xml:space="preserve"> its dynamics was supported by extraordinary influences in </w:t>
            </w:r>
            <w:r w:rsidRPr="00CF2816">
              <w:rPr>
                <w:lang w:val="en-GB"/>
              </w:rPr>
              <w:t xml:space="preserve">2015. </w:t>
            </w:r>
            <w:r>
              <w:rPr>
                <w:lang w:val="en-GB"/>
              </w:rPr>
              <w:t xml:space="preserve">It was the slump of the oil price on the world market, which lowered the cost of inputs for companies and expenditures on purchases of fuels for households, and also the completion of drawing of finances from the EU funds at the end of the programme period </w:t>
            </w:r>
            <w:r w:rsidRPr="00CF2816">
              <w:rPr>
                <w:lang w:val="en-GB"/>
              </w:rPr>
              <w:t>2007–2013.</w:t>
            </w:r>
          </w:p>
          <w:p w:rsidR="006E4832" w:rsidRPr="00CF2816" w:rsidRDefault="006E4832" w:rsidP="00FA0110">
            <w:pPr>
              <w:pStyle w:val="Textpoznpodarou"/>
              <w:jc w:val="both"/>
              <w:rPr>
                <w:spacing w:val="-2"/>
                <w:lang w:val="en-GB"/>
              </w:rPr>
            </w:pPr>
          </w:p>
        </w:tc>
      </w:tr>
      <w:tr w:rsidR="006E4832" w:rsidRPr="002A7D6D" w:rsidTr="00FA0110">
        <w:tc>
          <w:tcPr>
            <w:tcW w:w="1054" w:type="pct"/>
          </w:tcPr>
          <w:p w:rsidR="006E4832" w:rsidRPr="00110513" w:rsidRDefault="006E4832" w:rsidP="00FA0110">
            <w:pPr>
              <w:spacing w:line="240" w:lineRule="auto"/>
              <w:rPr>
                <w:sz w:val="16"/>
                <w:szCs w:val="16"/>
              </w:rPr>
            </w:pPr>
            <w:r w:rsidRPr="00110513">
              <w:rPr>
                <w:sz w:val="16"/>
                <w:szCs w:val="16"/>
              </w:rPr>
              <w:t>…</w:t>
            </w:r>
            <w:r>
              <w:rPr>
                <w:sz w:val="16"/>
                <w:szCs w:val="16"/>
              </w:rPr>
              <w:t xml:space="preserve"> </w:t>
            </w:r>
            <w:r w:rsidRPr="006F3458">
              <w:rPr>
                <w:sz w:val="16"/>
                <w:szCs w:val="16"/>
                <w:lang w:val="en-GB"/>
              </w:rPr>
              <w:t>GDP stagnated in quarter-on-quarter comparison and gross value added increased only by 0.</w:t>
            </w:r>
            <w:r>
              <w:rPr>
                <w:sz w:val="16"/>
                <w:szCs w:val="16"/>
                <w:lang w:val="en-GB"/>
              </w:rPr>
              <w:t>5</w:t>
            </w:r>
            <w:r w:rsidRPr="006F3458">
              <w:rPr>
                <w:sz w:val="16"/>
                <w:szCs w:val="16"/>
                <w:lang w:val="en-GB"/>
              </w:rPr>
              <w:t xml:space="preserve">%, </w:t>
            </w:r>
            <w:r>
              <w:rPr>
                <w:sz w:val="16"/>
                <w:szCs w:val="16"/>
                <w:lang w:val="en-GB"/>
              </w:rPr>
              <w:t xml:space="preserve">the slowest since Q4 </w:t>
            </w:r>
            <w:r w:rsidRPr="006F3458">
              <w:rPr>
                <w:sz w:val="16"/>
                <w:szCs w:val="16"/>
                <w:lang w:val="en-GB"/>
              </w:rPr>
              <w:t>2013</w:t>
            </w:r>
          </w:p>
        </w:tc>
        <w:tc>
          <w:tcPr>
            <w:tcW w:w="143" w:type="pct"/>
          </w:tcPr>
          <w:p w:rsidR="006E4832" w:rsidRPr="00110513" w:rsidRDefault="006E4832" w:rsidP="00FA0110">
            <w:pPr>
              <w:pStyle w:val="Textpoznpodarou"/>
              <w:jc w:val="both"/>
            </w:pPr>
          </w:p>
        </w:tc>
        <w:tc>
          <w:tcPr>
            <w:tcW w:w="3803" w:type="pct"/>
          </w:tcPr>
          <w:p w:rsidR="006E4832" w:rsidRPr="006F3458" w:rsidRDefault="006E4832" w:rsidP="00FA0110">
            <w:pPr>
              <w:pStyle w:val="Textpoznpodarou"/>
              <w:jc w:val="both"/>
              <w:rPr>
                <w:lang w:val="en-GB"/>
              </w:rPr>
            </w:pPr>
            <w:r w:rsidRPr="006F3458">
              <w:rPr>
                <w:lang w:val="en-GB"/>
              </w:rPr>
              <w:t>The GDP expanded gradually by 2.</w:t>
            </w:r>
            <w:r>
              <w:rPr>
                <w:lang w:val="en-GB"/>
              </w:rPr>
              <w:t>4%, 1</w:t>
            </w:r>
            <w:r w:rsidRPr="006F3458">
              <w:rPr>
                <w:lang w:val="en-GB"/>
              </w:rPr>
              <w:t>% and 0.</w:t>
            </w:r>
            <w:r>
              <w:rPr>
                <w:lang w:val="en-GB"/>
              </w:rPr>
              <w:t>7</w:t>
            </w:r>
            <w:r w:rsidRPr="006F3458">
              <w:rPr>
                <w:lang w:val="en-GB"/>
              </w:rPr>
              <w:t>% in the first three quarters of the last year in quarter-on-quarter comparison and the economy was thus slowing down. It even went into stagnation in the last quarter, since the GDP did not change compared to Q3. Even though this development was partially caused by the seasonal adjustment,</w:t>
            </w:r>
            <w:r w:rsidRPr="006F3458">
              <w:rPr>
                <w:rStyle w:val="Znakapoznpodarou"/>
                <w:lang w:val="en-GB"/>
              </w:rPr>
              <w:footnoteReference w:id="4"/>
            </w:r>
            <w:r w:rsidRPr="006F3458">
              <w:rPr>
                <w:lang w:val="en-GB"/>
              </w:rPr>
              <w:t xml:space="preserve"> it was still apparent, that the economy started to decrease its pace. The development of the gross value added also confirmed this conclusion. Its quarter-on-quarter additions were stable in Q1 till Q3, with a range of </w:t>
            </w:r>
            <w:r>
              <w:rPr>
                <w:lang w:val="en-GB"/>
              </w:rPr>
              <w:t>+1</w:t>
            </w:r>
            <w:r w:rsidRPr="006F3458">
              <w:rPr>
                <w:lang w:val="en-GB"/>
              </w:rPr>
              <w:t xml:space="preserve">% to </w:t>
            </w:r>
            <w:r w:rsidRPr="006F3458">
              <w:rPr>
                <w:spacing w:val="-2"/>
                <w:lang w:val="en-GB"/>
              </w:rPr>
              <w:t>+1.</w:t>
            </w:r>
            <w:r>
              <w:rPr>
                <w:spacing w:val="-2"/>
                <w:lang w:val="en-GB"/>
              </w:rPr>
              <w:t>2</w:t>
            </w:r>
            <w:r w:rsidRPr="006F3458">
              <w:rPr>
                <w:spacing w:val="-2"/>
                <w:lang w:val="en-GB"/>
              </w:rPr>
              <w:t>%. The gross value added nevertheless increased only by 0.5</w:t>
            </w:r>
            <w:r w:rsidRPr="006F3458">
              <w:rPr>
                <w:lang w:val="en-GB"/>
              </w:rPr>
              <w:t>%</w:t>
            </w:r>
            <w:r>
              <w:rPr>
                <w:lang w:val="en-GB"/>
              </w:rPr>
              <w:t xml:space="preserve"> in the last quarter</w:t>
            </w:r>
            <w:r w:rsidRPr="006F3458">
              <w:rPr>
                <w:lang w:val="en-GB"/>
              </w:rPr>
              <w:t>,</w:t>
            </w:r>
            <w:r>
              <w:rPr>
                <w:lang w:val="en-GB"/>
              </w:rPr>
              <w:t xml:space="preserve"> the least since the end of </w:t>
            </w:r>
            <w:r w:rsidRPr="006F3458">
              <w:rPr>
                <w:lang w:val="en-GB"/>
              </w:rPr>
              <w:t>2013.</w:t>
            </w:r>
          </w:p>
          <w:p w:rsidR="006E4832" w:rsidRPr="00967AD2" w:rsidRDefault="006E4832" w:rsidP="00FA0110">
            <w:pPr>
              <w:pStyle w:val="Textpoznpodarou"/>
              <w:jc w:val="both"/>
            </w:pPr>
          </w:p>
        </w:tc>
      </w:tr>
      <w:tr w:rsidR="006E4832" w:rsidRPr="002A7D6D" w:rsidTr="00FA0110">
        <w:tc>
          <w:tcPr>
            <w:tcW w:w="1054" w:type="pct"/>
          </w:tcPr>
          <w:p w:rsidR="006E4832" w:rsidRPr="004549B0" w:rsidRDefault="006E4832" w:rsidP="00FA0110">
            <w:pPr>
              <w:spacing w:line="240" w:lineRule="auto"/>
              <w:rPr>
                <w:sz w:val="16"/>
                <w:szCs w:val="16"/>
                <w:lang w:val="en-GB"/>
              </w:rPr>
            </w:pPr>
            <w:r w:rsidRPr="004549B0">
              <w:rPr>
                <w:sz w:val="16"/>
                <w:szCs w:val="16"/>
                <w:lang w:val="en-GB"/>
              </w:rPr>
              <w:t>All V4 countries prospered in the last year, the CR fared the best</w:t>
            </w:r>
          </w:p>
        </w:tc>
        <w:tc>
          <w:tcPr>
            <w:tcW w:w="143" w:type="pct"/>
          </w:tcPr>
          <w:p w:rsidR="006E4832" w:rsidRPr="004549B0" w:rsidRDefault="006E4832" w:rsidP="00FA0110">
            <w:pPr>
              <w:pStyle w:val="Textpoznpodarou"/>
              <w:jc w:val="both"/>
              <w:rPr>
                <w:lang w:val="en-GB"/>
              </w:rPr>
            </w:pPr>
          </w:p>
        </w:tc>
        <w:tc>
          <w:tcPr>
            <w:tcW w:w="3803" w:type="pct"/>
          </w:tcPr>
          <w:p w:rsidR="006E4832" w:rsidRPr="004549B0" w:rsidRDefault="006E4832" w:rsidP="00FA0110">
            <w:pPr>
              <w:pStyle w:val="Textpoznpodarou"/>
              <w:jc w:val="both"/>
              <w:rPr>
                <w:lang w:val="en-GB"/>
              </w:rPr>
            </w:pPr>
            <w:r w:rsidRPr="004549B0">
              <w:rPr>
                <w:spacing w:val="-4"/>
                <w:lang w:val="en-GB"/>
              </w:rPr>
              <w:t xml:space="preserve">The Czech Republic was among the fastest growing countries in the EU in the last year. Only Malta achieved a higher addition </w:t>
            </w:r>
            <w:r w:rsidRPr="004549B0">
              <w:rPr>
                <w:lang w:val="en-GB"/>
              </w:rPr>
              <w:t>(+6.</w:t>
            </w:r>
            <w:r>
              <w:rPr>
                <w:lang w:val="en-GB"/>
              </w:rPr>
              <w:t>3</w:t>
            </w:r>
            <w:r w:rsidRPr="004549B0">
              <w:rPr>
                <w:lang w:val="en-GB"/>
              </w:rPr>
              <w:t>%) based on the available data.</w:t>
            </w:r>
            <w:r w:rsidRPr="004549B0">
              <w:rPr>
                <w:rStyle w:val="Znakapoznpodarou"/>
                <w:lang w:val="en-GB"/>
              </w:rPr>
              <w:footnoteReference w:id="5"/>
            </w:r>
            <w:r w:rsidRPr="004549B0">
              <w:rPr>
                <w:lang w:val="en-GB"/>
              </w:rPr>
              <w:t xml:space="preserve"> Year 2015 was successful also for the other countries of the </w:t>
            </w:r>
            <w:proofErr w:type="spellStart"/>
            <w:r w:rsidRPr="004549B0">
              <w:rPr>
                <w:lang w:val="en-GB"/>
              </w:rPr>
              <w:t>Visegrad</w:t>
            </w:r>
            <w:proofErr w:type="spellEnd"/>
            <w:r w:rsidRPr="004549B0">
              <w:rPr>
                <w:lang w:val="en-GB"/>
              </w:rPr>
              <w:t xml:space="preserve"> group. Poland increased together with Slovakia by 3.</w:t>
            </w:r>
            <w:r>
              <w:rPr>
                <w:lang w:val="en-GB"/>
              </w:rPr>
              <w:t>6</w:t>
            </w:r>
            <w:r w:rsidRPr="004549B0">
              <w:rPr>
                <w:lang w:val="en-GB"/>
              </w:rPr>
              <w:t xml:space="preserve">%, Hungary by </w:t>
            </w:r>
            <w:r w:rsidRPr="004549B0">
              <w:rPr>
                <w:spacing w:val="-2"/>
                <w:lang w:val="en-GB"/>
              </w:rPr>
              <w:t>2.</w:t>
            </w:r>
            <w:r>
              <w:rPr>
                <w:spacing w:val="-2"/>
                <w:lang w:val="en-GB"/>
              </w:rPr>
              <w:t>9</w:t>
            </w:r>
            <w:r w:rsidRPr="004549B0">
              <w:rPr>
                <w:spacing w:val="-2"/>
                <w:lang w:val="en-GB"/>
              </w:rPr>
              <w:t xml:space="preserve">%. The lowering number of countries registering a GDP fall was a positive occurrence in a wider context. </w:t>
            </w:r>
            <w:r>
              <w:rPr>
                <w:spacing w:val="-2"/>
                <w:lang w:val="en-GB"/>
              </w:rPr>
              <w:t xml:space="preserve">There were eleven of these countries in </w:t>
            </w:r>
            <w:r w:rsidRPr="004549B0">
              <w:rPr>
                <w:lang w:val="en-GB"/>
              </w:rPr>
              <w:t>2013</w:t>
            </w:r>
            <w:r>
              <w:rPr>
                <w:lang w:val="en-GB"/>
              </w:rPr>
              <w:t xml:space="preserve">, four in 2014 and only one </w:t>
            </w:r>
            <w:r w:rsidRPr="004549B0">
              <w:rPr>
                <w:lang w:val="en-GB"/>
              </w:rPr>
              <w:t>(</w:t>
            </w:r>
            <w:r>
              <w:rPr>
                <w:lang w:val="en-GB"/>
              </w:rPr>
              <w:t>Greece</w:t>
            </w:r>
            <w:r w:rsidRPr="004549B0">
              <w:rPr>
                <w:lang w:val="en-GB"/>
              </w:rPr>
              <w:t>, -0</w:t>
            </w:r>
            <w:r>
              <w:rPr>
                <w:lang w:val="en-GB"/>
              </w:rPr>
              <w:t>.3</w:t>
            </w:r>
            <w:r w:rsidRPr="004549B0">
              <w:rPr>
                <w:lang w:val="en-GB"/>
              </w:rPr>
              <w:t>%)</w:t>
            </w:r>
            <w:r>
              <w:rPr>
                <w:lang w:val="en-GB"/>
              </w:rPr>
              <w:t xml:space="preserve"> in the last year</w:t>
            </w:r>
            <w:r w:rsidRPr="004549B0">
              <w:rPr>
                <w:lang w:val="en-GB"/>
              </w:rPr>
              <w:t>.</w:t>
            </w:r>
          </w:p>
          <w:p w:rsidR="006E4832" w:rsidRPr="004549B0" w:rsidRDefault="006E4832" w:rsidP="00FA0110">
            <w:pPr>
              <w:pStyle w:val="Textpoznpodarou"/>
              <w:jc w:val="both"/>
              <w:rPr>
                <w:lang w:val="en-GB"/>
              </w:rPr>
            </w:pPr>
          </w:p>
        </w:tc>
      </w:tr>
      <w:tr w:rsidR="006E4832" w:rsidRPr="002A7D6D" w:rsidTr="00FA0110">
        <w:tc>
          <w:tcPr>
            <w:tcW w:w="1054" w:type="pct"/>
          </w:tcPr>
          <w:p w:rsidR="006E4832" w:rsidRPr="003D65A7" w:rsidRDefault="006E4832" w:rsidP="00FA0110">
            <w:pPr>
              <w:spacing w:line="240" w:lineRule="auto"/>
              <w:rPr>
                <w:sz w:val="16"/>
                <w:szCs w:val="16"/>
                <w:lang w:val="en-GB"/>
              </w:rPr>
            </w:pPr>
            <w:r w:rsidRPr="003D65A7">
              <w:rPr>
                <w:sz w:val="16"/>
                <w:szCs w:val="16"/>
                <w:lang w:val="en-GB"/>
              </w:rPr>
              <w:t>Addition to GDP more than doub</w:t>
            </w:r>
            <w:r>
              <w:rPr>
                <w:sz w:val="16"/>
                <w:szCs w:val="16"/>
                <w:lang w:val="en-GB"/>
              </w:rPr>
              <w:t xml:space="preserve">le in the CR compared to the EU and </w:t>
            </w:r>
            <w:r w:rsidRPr="003D65A7">
              <w:rPr>
                <w:sz w:val="16"/>
                <w:szCs w:val="16"/>
                <w:lang w:val="en-GB"/>
              </w:rPr>
              <w:t>nearly triple compared to the euro area</w:t>
            </w:r>
          </w:p>
        </w:tc>
        <w:tc>
          <w:tcPr>
            <w:tcW w:w="143" w:type="pct"/>
          </w:tcPr>
          <w:p w:rsidR="006E4832" w:rsidRPr="00BC6D27" w:rsidRDefault="006E4832" w:rsidP="00FA0110">
            <w:pPr>
              <w:pStyle w:val="Textpoznpodarou"/>
              <w:jc w:val="both"/>
            </w:pPr>
          </w:p>
        </w:tc>
        <w:tc>
          <w:tcPr>
            <w:tcW w:w="3803" w:type="pct"/>
          </w:tcPr>
          <w:p w:rsidR="006E4832" w:rsidRPr="00B50F9A" w:rsidRDefault="006E4832" w:rsidP="00FA0110">
            <w:pPr>
              <w:pStyle w:val="Textpoznpodarou"/>
              <w:jc w:val="both"/>
              <w:rPr>
                <w:lang w:val="en-GB"/>
              </w:rPr>
            </w:pPr>
            <w:r w:rsidRPr="00B50F9A">
              <w:rPr>
                <w:spacing w:val="-2"/>
                <w:lang w:val="en-GB"/>
              </w:rPr>
              <w:t>The GDP increased more than twice as fast in the CR compared to the EU (+1.</w:t>
            </w:r>
            <w:r>
              <w:rPr>
                <w:spacing w:val="-2"/>
                <w:lang w:val="en-GB"/>
              </w:rPr>
              <w:t>8</w:t>
            </w:r>
            <w:r w:rsidRPr="00B50F9A">
              <w:rPr>
                <w:spacing w:val="-2"/>
                <w:lang w:val="en-GB"/>
              </w:rPr>
              <w:t>%)</w:t>
            </w:r>
            <w:r>
              <w:rPr>
                <w:spacing w:val="-2"/>
                <w:lang w:val="en-GB"/>
              </w:rPr>
              <w:t xml:space="preserve"> in 2015.</w:t>
            </w:r>
            <w:r w:rsidRPr="00B50F9A">
              <w:rPr>
                <w:spacing w:val="-2"/>
                <w:lang w:val="en-GB"/>
              </w:rPr>
              <w:t xml:space="preserve"> </w:t>
            </w:r>
            <w:r>
              <w:rPr>
                <w:lang w:val="en-GB"/>
              </w:rPr>
              <w:t>C</w:t>
            </w:r>
            <w:r w:rsidRPr="00B50F9A">
              <w:rPr>
                <w:lang w:val="en-GB"/>
              </w:rPr>
              <w:t>ompared to the euro area</w:t>
            </w:r>
            <w:r>
              <w:rPr>
                <w:lang w:val="en-GB"/>
              </w:rPr>
              <w:t xml:space="preserve"> </w:t>
            </w:r>
            <w:r w:rsidRPr="00B50F9A">
              <w:rPr>
                <w:lang w:val="en-GB"/>
              </w:rPr>
              <w:t>(+1.</w:t>
            </w:r>
            <w:r>
              <w:rPr>
                <w:lang w:val="en-GB"/>
              </w:rPr>
              <w:t>5</w:t>
            </w:r>
            <w:r w:rsidRPr="00B50F9A">
              <w:rPr>
                <w:lang w:val="en-GB"/>
              </w:rPr>
              <w:t>%)</w:t>
            </w:r>
            <w:r>
              <w:rPr>
                <w:lang w:val="en-GB"/>
              </w:rPr>
              <w:t>,</w:t>
            </w:r>
            <w:r w:rsidRPr="00B50F9A">
              <w:rPr>
                <w:spacing w:val="-2"/>
                <w:lang w:val="en-GB"/>
              </w:rPr>
              <w:t xml:space="preserve"> the domestic growth was nearly triple</w:t>
            </w:r>
            <w:r w:rsidRPr="00B50F9A">
              <w:rPr>
                <w:lang w:val="en-GB"/>
              </w:rPr>
              <w:t xml:space="preserve">. The situation from year 2014 was repeated, nevertheless the difference between the rates of growth in the CR compared to the EU and euro area expanded. </w:t>
            </w:r>
            <w:r>
              <w:rPr>
                <w:lang w:val="en-GB"/>
              </w:rPr>
              <w:t>T</w:t>
            </w:r>
            <w:r w:rsidRPr="00B50F9A">
              <w:rPr>
                <w:lang w:val="en-GB"/>
              </w:rPr>
              <w:t xml:space="preserve">he domestic economy thus further converged towards these groups in 2015, the pace of its convergence in addition most likely fastened. </w:t>
            </w:r>
          </w:p>
          <w:p w:rsidR="006E4832" w:rsidRPr="00967AD2" w:rsidRDefault="006E4832" w:rsidP="00FA0110">
            <w:pPr>
              <w:pStyle w:val="Textpoznpodarou"/>
              <w:jc w:val="both"/>
              <w:rPr>
                <w:spacing w:val="-4"/>
              </w:rPr>
            </w:pPr>
          </w:p>
        </w:tc>
      </w:tr>
      <w:tr w:rsidR="006E4832" w:rsidRPr="002A7D6D" w:rsidTr="00FA0110">
        <w:tc>
          <w:tcPr>
            <w:tcW w:w="1054" w:type="pct"/>
          </w:tcPr>
          <w:p w:rsidR="006E4832" w:rsidRPr="00B50F9A" w:rsidRDefault="006E4832" w:rsidP="00FA0110">
            <w:pPr>
              <w:spacing w:line="240" w:lineRule="auto"/>
              <w:rPr>
                <w:sz w:val="16"/>
                <w:szCs w:val="16"/>
                <w:lang w:val="en-GB"/>
              </w:rPr>
            </w:pPr>
            <w:r w:rsidRPr="00B50F9A">
              <w:rPr>
                <w:sz w:val="16"/>
                <w:szCs w:val="16"/>
                <w:lang w:val="en-GB"/>
              </w:rPr>
              <w:lastRenderedPageBreak/>
              <w:t xml:space="preserve">Especially the domestic demand was the source of the economic growth in the last year. Investment contributed +1.9 p.p. and consumption of households +1.4 p.p. … </w:t>
            </w:r>
          </w:p>
        </w:tc>
        <w:tc>
          <w:tcPr>
            <w:tcW w:w="143" w:type="pct"/>
          </w:tcPr>
          <w:p w:rsidR="006E4832" w:rsidRPr="00110513" w:rsidRDefault="006E4832" w:rsidP="00FA0110">
            <w:pPr>
              <w:pStyle w:val="Textpoznpodarou"/>
              <w:jc w:val="both"/>
            </w:pPr>
          </w:p>
        </w:tc>
        <w:tc>
          <w:tcPr>
            <w:tcW w:w="3803" w:type="pct"/>
          </w:tcPr>
          <w:p w:rsidR="006E4832" w:rsidRPr="000A26DC" w:rsidRDefault="006E4832" w:rsidP="00FA0110">
            <w:pPr>
              <w:pStyle w:val="Textpoznpodarou"/>
              <w:jc w:val="both"/>
              <w:rPr>
                <w:lang w:val="en-GB"/>
              </w:rPr>
            </w:pPr>
            <w:r w:rsidRPr="005B0418">
              <w:rPr>
                <w:lang w:val="en-GB"/>
              </w:rPr>
              <w:t>All components of demand contributed positively to the growth of the economy in 2015, apart from the foreign trade balance.</w:t>
            </w:r>
            <w:r w:rsidRPr="005B0418">
              <w:rPr>
                <w:rStyle w:val="Znakapoznpodarou"/>
                <w:lang w:val="en-GB"/>
              </w:rPr>
              <w:footnoteReference w:id="6"/>
            </w:r>
            <w:r w:rsidRPr="005B0418">
              <w:rPr>
                <w:lang w:val="en-GB"/>
              </w:rPr>
              <w:t xml:space="preserve"> It worsened due to the impact of stronger pace of imports </w:t>
            </w:r>
            <w:r w:rsidRPr="005B0418">
              <w:rPr>
                <w:spacing w:val="-2"/>
                <w:lang w:val="en-GB"/>
              </w:rPr>
              <w:t>(+8.</w:t>
            </w:r>
            <w:r>
              <w:rPr>
                <w:spacing w:val="-2"/>
                <w:lang w:val="en-GB"/>
              </w:rPr>
              <w:t>1</w:t>
            </w:r>
            <w:r w:rsidRPr="005B0418">
              <w:rPr>
                <w:spacing w:val="-2"/>
                <w:lang w:val="en-GB"/>
              </w:rPr>
              <w:t>%) compared to exports (+7.</w:t>
            </w:r>
            <w:r>
              <w:rPr>
                <w:spacing w:val="-2"/>
                <w:lang w:val="en-GB"/>
              </w:rPr>
              <w:t>2</w:t>
            </w:r>
            <w:r w:rsidRPr="005B0418">
              <w:rPr>
                <w:spacing w:val="-2"/>
                <w:lang w:val="en-GB"/>
              </w:rPr>
              <w:t xml:space="preserve">%) and worked towards the decrease of the economic performance of the CR </w:t>
            </w:r>
            <w:r w:rsidRPr="005B0418">
              <w:rPr>
                <w:lang w:val="en-GB"/>
              </w:rPr>
              <w:t xml:space="preserve">(-0.2 p.p.). </w:t>
            </w:r>
            <w:r w:rsidRPr="000A26DC">
              <w:rPr>
                <w:lang w:val="en-GB"/>
              </w:rPr>
              <w:t>Investment (gross fixed capital formation) contributing +1.9 p.p. and final consumption expenditure of households (+1.4 p.p.) were the main source</w:t>
            </w:r>
            <w:r>
              <w:rPr>
                <w:lang w:val="en-GB"/>
              </w:rPr>
              <w:t>s</w:t>
            </w:r>
            <w:r w:rsidRPr="000A26DC">
              <w:rPr>
                <w:lang w:val="en-GB"/>
              </w:rPr>
              <w:t xml:space="preserve"> of growth. Investment had a pro-growth effect on the economy already nine quarters in a row, household consumption eleven. The addition of final consumption expenditure of government was weaker compared to investment and household consumption (+0.7 p.p.), this however occurred due to a lower weight of this demand component. The dynamics of the government consumption itself was the highest since 2003, </w:t>
            </w:r>
            <w:r>
              <w:rPr>
                <w:lang w:val="en-GB"/>
              </w:rPr>
              <w:t>while the strong</w:t>
            </w:r>
            <w:r w:rsidRPr="000A26DC">
              <w:rPr>
                <w:lang w:val="en-GB"/>
              </w:rPr>
              <w:t xml:space="preserve"> growth occurred mostly in Q3, when the transport infrastructure was quite extensively – utilising the EU funds – repaired. </w:t>
            </w:r>
            <w:r>
              <w:rPr>
                <w:lang w:val="en-GB"/>
              </w:rPr>
              <w:t xml:space="preserve">Change in inventories stimulating the economy especially at the beginning of the year added </w:t>
            </w:r>
            <w:r w:rsidRPr="000A26DC">
              <w:rPr>
                <w:lang w:val="en-GB"/>
              </w:rPr>
              <w:t>+</w:t>
            </w:r>
            <w:proofErr w:type="gramStart"/>
            <w:r w:rsidRPr="000A26DC">
              <w:rPr>
                <w:lang w:val="en-GB"/>
              </w:rPr>
              <w:t>0</w:t>
            </w:r>
            <w:r>
              <w:rPr>
                <w:lang w:val="en-GB"/>
              </w:rPr>
              <w:t xml:space="preserve">.6 </w:t>
            </w:r>
            <w:r w:rsidRPr="000A26DC">
              <w:rPr>
                <w:lang w:val="en-GB"/>
              </w:rPr>
              <w:t>p.</w:t>
            </w:r>
            <w:r>
              <w:rPr>
                <w:lang w:val="en-GB"/>
              </w:rPr>
              <w:t>p</w:t>
            </w:r>
            <w:proofErr w:type="gramEnd"/>
            <w:r w:rsidRPr="000A26DC">
              <w:rPr>
                <w:lang w:val="en-GB"/>
              </w:rPr>
              <w:t>.</w:t>
            </w:r>
          </w:p>
          <w:p w:rsidR="006E4832" w:rsidRPr="00906D0C" w:rsidRDefault="006E4832" w:rsidP="00FA0110">
            <w:pPr>
              <w:pStyle w:val="Textpoznpodarou"/>
              <w:jc w:val="both"/>
              <w:rPr>
                <w:spacing w:val="-2"/>
                <w:lang w:val="en-GB"/>
              </w:rPr>
            </w:pPr>
          </w:p>
        </w:tc>
      </w:tr>
      <w:tr w:rsidR="006E4832" w:rsidRPr="002A7D6D" w:rsidTr="00FA0110">
        <w:tc>
          <w:tcPr>
            <w:tcW w:w="1054" w:type="pct"/>
          </w:tcPr>
          <w:p w:rsidR="006E4832" w:rsidRPr="000A26DC" w:rsidRDefault="006E4832" w:rsidP="00FA0110">
            <w:pPr>
              <w:spacing w:line="240" w:lineRule="auto"/>
              <w:rPr>
                <w:sz w:val="16"/>
                <w:szCs w:val="16"/>
                <w:lang w:val="en-GB"/>
              </w:rPr>
            </w:pPr>
            <w:r w:rsidRPr="000A26DC">
              <w:rPr>
                <w:sz w:val="16"/>
                <w:szCs w:val="16"/>
                <w:lang w:val="en-GB"/>
              </w:rPr>
              <w:t xml:space="preserve">… </w:t>
            </w:r>
            <w:r>
              <w:rPr>
                <w:sz w:val="16"/>
                <w:szCs w:val="16"/>
                <w:lang w:val="en-GB"/>
              </w:rPr>
              <w:t xml:space="preserve">but </w:t>
            </w:r>
            <w:r w:rsidRPr="000A26DC">
              <w:rPr>
                <w:sz w:val="16"/>
                <w:szCs w:val="16"/>
                <w:lang w:val="en-GB"/>
              </w:rPr>
              <w:t>after exclusion of import for final use only by +1.4 p.p. and +0.8 p.p.</w:t>
            </w:r>
          </w:p>
        </w:tc>
        <w:tc>
          <w:tcPr>
            <w:tcW w:w="143" w:type="pct"/>
          </w:tcPr>
          <w:p w:rsidR="006E4832" w:rsidRPr="000A26DC" w:rsidRDefault="006E4832" w:rsidP="00FA0110">
            <w:pPr>
              <w:pStyle w:val="Textpoznpodarou"/>
              <w:jc w:val="both"/>
              <w:rPr>
                <w:lang w:val="en-GB"/>
              </w:rPr>
            </w:pPr>
          </w:p>
        </w:tc>
        <w:tc>
          <w:tcPr>
            <w:tcW w:w="3803" w:type="pct"/>
          </w:tcPr>
          <w:p w:rsidR="006E4832" w:rsidRPr="00EA5307" w:rsidRDefault="006E4832" w:rsidP="00FA0110">
            <w:pPr>
              <w:pStyle w:val="Textpoznpodarou"/>
              <w:jc w:val="both"/>
              <w:rPr>
                <w:lang w:val="en-GB"/>
              </w:rPr>
            </w:pPr>
            <w:r w:rsidRPr="000A26DC">
              <w:rPr>
                <w:lang w:val="en-GB"/>
              </w:rPr>
              <w:t>If the import for final use is excluded from the total volu</w:t>
            </w:r>
            <w:r>
              <w:rPr>
                <w:lang w:val="en-GB"/>
              </w:rPr>
              <w:t>me</w:t>
            </w:r>
            <w:r w:rsidRPr="000A26DC">
              <w:rPr>
                <w:lang w:val="en-GB"/>
              </w:rPr>
              <w:t xml:space="preserve"> of import into the CR, in other words import, which is not directed to further utilisation in the production process, the additions of final consumption expenditure of households </w:t>
            </w:r>
            <w:r w:rsidRPr="000A26DC">
              <w:rPr>
                <w:spacing w:val="-4"/>
                <w:lang w:val="en-GB"/>
              </w:rPr>
              <w:t>(+0.8 p.p.) and investment (+1.</w:t>
            </w:r>
            <w:r w:rsidRPr="000A26DC">
              <w:rPr>
                <w:lang w:val="en-GB"/>
              </w:rPr>
              <w:t xml:space="preserve">4 p.p.) </w:t>
            </w:r>
            <w:r>
              <w:rPr>
                <w:lang w:val="en-GB"/>
              </w:rPr>
              <w:t xml:space="preserve">are </w:t>
            </w:r>
            <w:r w:rsidRPr="000A26DC">
              <w:rPr>
                <w:lang w:val="en-GB"/>
              </w:rPr>
              <w:t xml:space="preserve">significantly </w:t>
            </w:r>
            <w:r w:rsidRPr="00EA5307">
              <w:rPr>
                <w:lang w:val="en-GB"/>
              </w:rPr>
              <w:t>smaller. It is because the increase of household consumption and investment was for a large part satisfied from abroad, i.e. by import. It followed especially from higher purchases of motor vehicles and machinery equipment, which it was not possible with respect to variety and specific requests satisfy from the local sources. The contribution of final consumption expenditure of government is lower compared t</w:t>
            </w:r>
            <w:r>
              <w:rPr>
                <w:lang w:val="en-GB"/>
              </w:rPr>
              <w:t>o</w:t>
            </w:r>
            <w:r w:rsidRPr="00EA5307">
              <w:rPr>
                <w:lang w:val="en-GB"/>
              </w:rPr>
              <w:t xml:space="preserve"> the classical concept only negligibly (+0.6 p.p.), similarly the change </w:t>
            </w:r>
            <w:r>
              <w:rPr>
                <w:lang w:val="en-GB"/>
              </w:rPr>
              <w:t>in inventories</w:t>
            </w:r>
            <w:r w:rsidRPr="00EA5307">
              <w:rPr>
                <w:lang w:val="en-GB"/>
              </w:rPr>
              <w:t xml:space="preserve"> (+0.5 p.p.). Foreign trade balance, after exclusion of import meant for final use, contributed to the economic growth by +1 p.p.</w:t>
            </w:r>
          </w:p>
          <w:p w:rsidR="006E4832" w:rsidRPr="00906D0C" w:rsidRDefault="006E4832" w:rsidP="00FA0110">
            <w:pPr>
              <w:pStyle w:val="Textpoznpodarou"/>
              <w:jc w:val="both"/>
            </w:pPr>
          </w:p>
        </w:tc>
      </w:tr>
      <w:tr w:rsidR="006E4832" w:rsidRPr="002A7D6D" w:rsidTr="00FA0110">
        <w:tc>
          <w:tcPr>
            <w:tcW w:w="1054" w:type="pct"/>
          </w:tcPr>
          <w:p w:rsidR="006E4832" w:rsidRPr="00110513" w:rsidRDefault="006E4832" w:rsidP="00FA0110">
            <w:pPr>
              <w:spacing w:line="240" w:lineRule="auto"/>
              <w:rPr>
                <w:sz w:val="16"/>
                <w:szCs w:val="16"/>
              </w:rPr>
            </w:pPr>
            <w:r w:rsidRPr="008752FB">
              <w:rPr>
                <w:sz w:val="16"/>
                <w:szCs w:val="16"/>
                <w:lang w:val="en-GB"/>
              </w:rPr>
              <w:t>Higher income of households and high consumer confidence were reflected in the increase of household consumption,</w:t>
            </w:r>
            <w:r w:rsidRPr="00110513">
              <w:rPr>
                <w:sz w:val="16"/>
                <w:szCs w:val="16"/>
              </w:rPr>
              <w:t xml:space="preserve"> …</w:t>
            </w:r>
          </w:p>
        </w:tc>
        <w:tc>
          <w:tcPr>
            <w:tcW w:w="143" w:type="pct"/>
          </w:tcPr>
          <w:p w:rsidR="006E4832" w:rsidRPr="00110513" w:rsidRDefault="006E4832" w:rsidP="00FA0110">
            <w:pPr>
              <w:pStyle w:val="Textpoznpodarou"/>
              <w:jc w:val="both"/>
            </w:pPr>
          </w:p>
        </w:tc>
        <w:tc>
          <w:tcPr>
            <w:tcW w:w="3803" w:type="pct"/>
          </w:tcPr>
          <w:p w:rsidR="006E4832" w:rsidRPr="00110513" w:rsidRDefault="006E4832" w:rsidP="00FA0110">
            <w:pPr>
              <w:pStyle w:val="Textpoznpodarou"/>
              <w:jc w:val="both"/>
            </w:pPr>
            <w:r w:rsidRPr="00B76CCC">
              <w:rPr>
                <w:lang w:val="en-GB"/>
              </w:rPr>
              <w:t>Final consumption expenditure of households increased by 2.</w:t>
            </w:r>
            <w:r>
              <w:rPr>
                <w:lang w:val="en-GB"/>
              </w:rPr>
              <w:t>9</w:t>
            </w:r>
            <w:r w:rsidRPr="00B76CCC">
              <w:rPr>
                <w:lang w:val="en-GB"/>
              </w:rPr>
              <w:t xml:space="preserve">% in 2015, featuring equal year-on-year dynamics in individual quarters </w:t>
            </w:r>
            <w:r w:rsidRPr="00B76CCC">
              <w:rPr>
                <w:spacing w:val="-2"/>
                <w:lang w:val="en-GB"/>
              </w:rPr>
              <w:t>(+2.</w:t>
            </w:r>
            <w:r>
              <w:rPr>
                <w:spacing w:val="-2"/>
                <w:lang w:val="en-GB"/>
              </w:rPr>
              <w:t>7</w:t>
            </w:r>
            <w:r w:rsidRPr="00B76CCC">
              <w:rPr>
                <w:spacing w:val="-2"/>
                <w:lang w:val="en-GB"/>
              </w:rPr>
              <w:t>%, +2.</w:t>
            </w:r>
            <w:r>
              <w:rPr>
                <w:spacing w:val="-2"/>
                <w:lang w:val="en-GB"/>
              </w:rPr>
              <w:t>9</w:t>
            </w:r>
            <w:r w:rsidRPr="00B76CCC">
              <w:rPr>
                <w:spacing w:val="-2"/>
                <w:lang w:val="en-GB"/>
              </w:rPr>
              <w:t>%, +3</w:t>
            </w:r>
            <w:r w:rsidRPr="00B76CCC">
              <w:rPr>
                <w:lang w:val="en-GB"/>
              </w:rPr>
              <w:t xml:space="preserve">%, </w:t>
            </w:r>
            <w:r w:rsidRPr="00B76CCC">
              <w:rPr>
                <w:spacing w:val="-2"/>
                <w:lang w:val="en-GB"/>
              </w:rPr>
              <w:t>+2.</w:t>
            </w:r>
            <w:r>
              <w:rPr>
                <w:spacing w:val="-2"/>
                <w:lang w:val="en-GB"/>
              </w:rPr>
              <w:t>9</w:t>
            </w:r>
            <w:r w:rsidRPr="00B76CCC">
              <w:rPr>
                <w:spacing w:val="-2"/>
                <w:lang w:val="en-GB"/>
              </w:rPr>
              <w:t>%) and fast quarter-on-quarter growth at the beginning and end of the</w:t>
            </w:r>
            <w:r>
              <w:rPr>
                <w:spacing w:val="-2"/>
                <w:lang w:val="en-GB"/>
              </w:rPr>
              <w:t xml:space="preserve"> year </w:t>
            </w:r>
            <w:r w:rsidRPr="00B76CCC">
              <w:rPr>
                <w:spacing w:val="-2"/>
                <w:lang w:val="en-GB"/>
              </w:rPr>
              <w:t>(+1.</w:t>
            </w:r>
            <w:r>
              <w:rPr>
                <w:spacing w:val="-2"/>
                <w:lang w:val="en-GB"/>
              </w:rPr>
              <w:t>1</w:t>
            </w:r>
            <w:r w:rsidRPr="00B76CCC">
              <w:rPr>
                <w:spacing w:val="-2"/>
                <w:lang w:val="en-GB"/>
              </w:rPr>
              <w:t>%, +0.</w:t>
            </w:r>
            <w:r>
              <w:rPr>
                <w:spacing w:val="-2"/>
                <w:lang w:val="en-GB"/>
              </w:rPr>
              <w:t>5</w:t>
            </w:r>
            <w:r w:rsidRPr="00B76CCC">
              <w:rPr>
                <w:spacing w:val="-2"/>
                <w:lang w:val="en-GB"/>
              </w:rPr>
              <w:t>%,</w:t>
            </w:r>
            <w:r w:rsidRPr="00B76CCC">
              <w:rPr>
                <w:lang w:val="en-GB"/>
              </w:rPr>
              <w:t xml:space="preserve"> +0.4%, +0.</w:t>
            </w:r>
            <w:r>
              <w:rPr>
                <w:lang w:val="en-GB"/>
              </w:rPr>
              <w:t>9</w:t>
            </w:r>
            <w:r w:rsidRPr="00B76CCC">
              <w:rPr>
                <w:lang w:val="en-GB"/>
              </w:rPr>
              <w:t xml:space="preserve">%). </w:t>
            </w:r>
            <w:r>
              <w:rPr>
                <w:lang w:val="en-GB"/>
              </w:rPr>
              <w:t>They mirrored the increasing nominal household income in the low-inflationary environment. The high consumer confidence also had a favourable effect. In December 2015, it was the highest on the available time series tracing back from 1998 (nevertheless, it was overtaken immediately in January 2016</w:t>
            </w:r>
            <w:r>
              <w:t>)</w:t>
            </w:r>
            <w:r w:rsidRPr="00110513">
              <w:t>.</w:t>
            </w:r>
          </w:p>
          <w:p w:rsidR="006E4832" w:rsidRPr="00906D0C" w:rsidRDefault="006E4832" w:rsidP="00FA0110">
            <w:pPr>
              <w:pStyle w:val="Textpoznpodarou"/>
              <w:jc w:val="both"/>
            </w:pPr>
          </w:p>
        </w:tc>
      </w:tr>
      <w:tr w:rsidR="006E4832" w:rsidRPr="002A7D6D" w:rsidTr="00FA0110">
        <w:tc>
          <w:tcPr>
            <w:tcW w:w="1054" w:type="pct"/>
          </w:tcPr>
          <w:p w:rsidR="006E4832" w:rsidRPr="004A3FB7" w:rsidRDefault="006E4832" w:rsidP="00FA0110">
            <w:pPr>
              <w:spacing w:line="240" w:lineRule="auto"/>
              <w:rPr>
                <w:sz w:val="16"/>
                <w:szCs w:val="16"/>
                <w:lang w:val="en-GB"/>
              </w:rPr>
            </w:pPr>
            <w:r w:rsidRPr="004A3FB7">
              <w:rPr>
                <w:sz w:val="16"/>
                <w:szCs w:val="16"/>
                <w:lang w:val="en-GB"/>
              </w:rPr>
              <w:t xml:space="preserve">… </w:t>
            </w:r>
            <w:r>
              <w:rPr>
                <w:sz w:val="16"/>
                <w:szCs w:val="16"/>
                <w:lang w:val="en-GB"/>
              </w:rPr>
              <w:t>it</w:t>
            </w:r>
            <w:r w:rsidRPr="004A3FB7">
              <w:rPr>
                <w:sz w:val="16"/>
                <w:szCs w:val="16"/>
                <w:lang w:val="en-GB"/>
              </w:rPr>
              <w:t xml:space="preserve"> increased throughout its whole structure for the first time since 2007</w:t>
            </w:r>
          </w:p>
        </w:tc>
        <w:tc>
          <w:tcPr>
            <w:tcW w:w="143" w:type="pct"/>
          </w:tcPr>
          <w:p w:rsidR="006E4832" w:rsidRPr="004A3FB7" w:rsidRDefault="006E4832" w:rsidP="00FA0110">
            <w:pPr>
              <w:pStyle w:val="Textpoznpodarou"/>
              <w:jc w:val="both"/>
              <w:rPr>
                <w:lang w:val="en-GB"/>
              </w:rPr>
            </w:pPr>
          </w:p>
        </w:tc>
        <w:tc>
          <w:tcPr>
            <w:tcW w:w="3803" w:type="pct"/>
          </w:tcPr>
          <w:p w:rsidR="006E4832" w:rsidRPr="004A3FB7" w:rsidRDefault="006E4832" w:rsidP="00FA0110">
            <w:pPr>
              <w:pStyle w:val="Textpoznpodarou"/>
              <w:jc w:val="both"/>
              <w:rPr>
                <w:lang w:val="en-GB"/>
              </w:rPr>
            </w:pPr>
            <w:r w:rsidRPr="004A3FB7">
              <w:rPr>
                <w:lang w:val="en-GB"/>
              </w:rPr>
              <w:t>Household consumption grew in its entire structure last year for the first time since 2007. Addition to expenditure on durable goods (e.g. motor vehicles) lowered from +10.</w:t>
            </w:r>
            <w:r>
              <w:rPr>
                <w:lang w:val="en-GB"/>
              </w:rPr>
              <w:t>7</w:t>
            </w:r>
            <w:r w:rsidRPr="004A3FB7">
              <w:rPr>
                <w:lang w:val="en-GB"/>
              </w:rPr>
              <w:t>% to +7.</w:t>
            </w:r>
            <w:r>
              <w:rPr>
                <w:lang w:val="en-GB"/>
              </w:rPr>
              <w:t>9</w:t>
            </w:r>
            <w:r w:rsidRPr="004A3FB7">
              <w:rPr>
                <w:lang w:val="en-GB"/>
              </w:rPr>
              <w:t>%, still it remained very high.</w:t>
            </w:r>
            <w:r w:rsidRPr="004A3FB7">
              <w:rPr>
                <w:rStyle w:val="Znakapoznpodarou"/>
                <w:lang w:val="en-GB"/>
              </w:rPr>
              <w:footnoteReference w:id="7"/>
            </w:r>
            <w:r w:rsidRPr="004A3FB7">
              <w:rPr>
                <w:lang w:val="en-GB"/>
              </w:rPr>
              <w:t xml:space="preserve"> The dynamics of expenditure on</w:t>
            </w:r>
            <w:r>
              <w:rPr>
                <w:lang w:val="en-GB"/>
              </w:rPr>
              <w:t xml:space="preserve"> semi-durable</w:t>
            </w:r>
            <w:r w:rsidRPr="004A3FB7">
              <w:rPr>
                <w:lang w:val="en-GB"/>
              </w:rPr>
              <w:t xml:space="preserve"> goods went up from +2.</w:t>
            </w:r>
            <w:r>
              <w:rPr>
                <w:lang w:val="en-GB"/>
              </w:rPr>
              <w:t>9%</w:t>
            </w:r>
            <w:r w:rsidRPr="004A3FB7">
              <w:rPr>
                <w:lang w:val="en-GB"/>
              </w:rPr>
              <w:t xml:space="preserve"> to +4.</w:t>
            </w:r>
            <w:r>
              <w:rPr>
                <w:lang w:val="en-GB"/>
              </w:rPr>
              <w:t>2</w:t>
            </w:r>
            <w:r w:rsidRPr="004A3FB7">
              <w:rPr>
                <w:lang w:val="en-GB"/>
              </w:rPr>
              <w:t xml:space="preserve">%, </w:t>
            </w:r>
            <w:r>
              <w:rPr>
                <w:lang w:val="en-GB"/>
              </w:rPr>
              <w:t xml:space="preserve">the dynamics of expenditure on non-durable goods also increased </w:t>
            </w:r>
            <w:r w:rsidRPr="004A3FB7">
              <w:rPr>
                <w:spacing w:val="-2"/>
                <w:lang w:val="en-GB"/>
              </w:rPr>
              <w:t>(</w:t>
            </w:r>
            <w:r>
              <w:rPr>
                <w:spacing w:val="-2"/>
                <w:lang w:val="en-GB"/>
              </w:rPr>
              <w:t xml:space="preserve">from </w:t>
            </w:r>
            <w:r w:rsidRPr="004A3FB7">
              <w:rPr>
                <w:spacing w:val="-2"/>
                <w:lang w:val="en-GB"/>
              </w:rPr>
              <w:t>+0</w:t>
            </w:r>
            <w:r>
              <w:rPr>
                <w:spacing w:val="-2"/>
                <w:lang w:val="en-GB"/>
              </w:rPr>
              <w:t>.8</w:t>
            </w:r>
            <w:r w:rsidRPr="004A3FB7">
              <w:rPr>
                <w:spacing w:val="-2"/>
                <w:lang w:val="en-GB"/>
              </w:rPr>
              <w:t xml:space="preserve">% </w:t>
            </w:r>
            <w:r>
              <w:rPr>
                <w:spacing w:val="-2"/>
                <w:lang w:val="en-GB"/>
              </w:rPr>
              <w:t xml:space="preserve">to </w:t>
            </w:r>
            <w:r w:rsidRPr="004A3FB7">
              <w:rPr>
                <w:spacing w:val="-2"/>
                <w:lang w:val="en-GB"/>
              </w:rPr>
              <w:t>+2</w:t>
            </w:r>
            <w:r>
              <w:rPr>
                <w:spacing w:val="-2"/>
                <w:lang w:val="en-GB"/>
              </w:rPr>
              <w:t>.9</w:t>
            </w:r>
            <w:r w:rsidRPr="004A3FB7">
              <w:rPr>
                <w:spacing w:val="-2"/>
                <w:lang w:val="en-GB"/>
              </w:rPr>
              <w:t>%).</w:t>
            </w:r>
            <w:r w:rsidRPr="004A3FB7">
              <w:rPr>
                <w:lang w:val="en-GB"/>
              </w:rPr>
              <w:t xml:space="preserve"> </w:t>
            </w:r>
            <w:r>
              <w:rPr>
                <w:lang w:val="en-GB"/>
              </w:rPr>
              <w:t xml:space="preserve">Demand for services, which was weaker in </w:t>
            </w:r>
            <w:r w:rsidRPr="004A3FB7">
              <w:rPr>
                <w:lang w:val="en-GB"/>
              </w:rPr>
              <w:t>2014</w:t>
            </w:r>
            <w:r>
              <w:rPr>
                <w:lang w:val="en-GB"/>
              </w:rPr>
              <w:t xml:space="preserve"> </w:t>
            </w:r>
            <w:r w:rsidRPr="004A3FB7">
              <w:rPr>
                <w:lang w:val="en-GB"/>
              </w:rPr>
              <w:t>(-0</w:t>
            </w:r>
            <w:r>
              <w:rPr>
                <w:lang w:val="en-GB"/>
              </w:rPr>
              <w:t>.5</w:t>
            </w:r>
            <w:r w:rsidRPr="004A3FB7">
              <w:rPr>
                <w:lang w:val="en-GB"/>
              </w:rPr>
              <w:t>%)</w:t>
            </w:r>
            <w:r>
              <w:rPr>
                <w:lang w:val="en-GB"/>
              </w:rPr>
              <w:t xml:space="preserve">, already recovered </w:t>
            </w:r>
            <w:r w:rsidRPr="004A3FB7">
              <w:rPr>
                <w:lang w:val="en-GB"/>
              </w:rPr>
              <w:t>(+1</w:t>
            </w:r>
            <w:r>
              <w:rPr>
                <w:lang w:val="en-GB"/>
              </w:rPr>
              <w:t>.4</w:t>
            </w:r>
            <w:r w:rsidRPr="004A3FB7">
              <w:rPr>
                <w:lang w:val="en-GB"/>
              </w:rPr>
              <w:t>%).</w:t>
            </w:r>
          </w:p>
          <w:p w:rsidR="006E4832" w:rsidRPr="00906D0C" w:rsidRDefault="006E4832" w:rsidP="00FA0110">
            <w:pPr>
              <w:pStyle w:val="Textpoznpodarou"/>
              <w:jc w:val="both"/>
              <w:rPr>
                <w:lang w:val="en-GB"/>
              </w:rPr>
            </w:pPr>
          </w:p>
        </w:tc>
      </w:tr>
      <w:tr w:rsidR="006E4832" w:rsidRPr="002A7D6D" w:rsidTr="00FA0110">
        <w:tc>
          <w:tcPr>
            <w:tcW w:w="1054" w:type="pct"/>
          </w:tcPr>
          <w:p w:rsidR="006E4832" w:rsidRPr="00240355" w:rsidRDefault="006E4832" w:rsidP="00FA0110">
            <w:pPr>
              <w:spacing w:line="240" w:lineRule="auto"/>
              <w:rPr>
                <w:sz w:val="16"/>
                <w:szCs w:val="16"/>
                <w:lang w:val="en-GB"/>
              </w:rPr>
            </w:pPr>
            <w:r w:rsidRPr="00240355">
              <w:rPr>
                <w:sz w:val="16"/>
                <w:szCs w:val="16"/>
                <w:lang w:val="en-GB"/>
              </w:rPr>
              <w:t>The growth of the dynamics of the final consumption expenditure of government in Q3</w:t>
            </w:r>
            <w:r>
              <w:rPr>
                <w:sz w:val="16"/>
                <w:szCs w:val="16"/>
                <w:lang w:val="en-GB"/>
              </w:rPr>
              <w:t xml:space="preserve"> </w:t>
            </w:r>
            <w:r w:rsidRPr="00240355">
              <w:rPr>
                <w:sz w:val="16"/>
                <w:szCs w:val="16"/>
                <w:lang w:val="en-GB"/>
              </w:rPr>
              <w:t>was the result of extensive infrastructure repairs and</w:t>
            </w:r>
            <w:r>
              <w:rPr>
                <w:sz w:val="16"/>
                <w:szCs w:val="16"/>
                <w:lang w:val="en-GB"/>
              </w:rPr>
              <w:t> </w:t>
            </w:r>
            <w:r w:rsidRPr="00240355">
              <w:rPr>
                <w:sz w:val="16"/>
                <w:szCs w:val="16"/>
                <w:lang w:val="en-GB"/>
              </w:rPr>
              <w:t>maintenance</w:t>
            </w:r>
          </w:p>
        </w:tc>
        <w:tc>
          <w:tcPr>
            <w:tcW w:w="143" w:type="pct"/>
          </w:tcPr>
          <w:p w:rsidR="006E4832" w:rsidRPr="00110513" w:rsidRDefault="006E4832" w:rsidP="00FA0110">
            <w:pPr>
              <w:pStyle w:val="Textpoznpodarou"/>
              <w:jc w:val="both"/>
            </w:pPr>
          </w:p>
        </w:tc>
        <w:tc>
          <w:tcPr>
            <w:tcW w:w="3803" w:type="pct"/>
          </w:tcPr>
          <w:p w:rsidR="006E4832" w:rsidRPr="00F57DB4" w:rsidRDefault="006E4832" w:rsidP="00FA0110">
            <w:pPr>
              <w:pStyle w:val="Textpoznpodarou"/>
              <w:jc w:val="both"/>
              <w:rPr>
                <w:lang w:val="en-GB"/>
              </w:rPr>
            </w:pPr>
            <w:r w:rsidRPr="00F57DB4">
              <w:rPr>
                <w:lang w:val="en-GB"/>
              </w:rPr>
              <w:t>Expansive fiscal policy was</w:t>
            </w:r>
            <w:r>
              <w:rPr>
                <w:lang w:val="en-GB"/>
              </w:rPr>
              <w:t xml:space="preserve"> mirrored in the large addition</w:t>
            </w:r>
            <w:r w:rsidRPr="00F57DB4">
              <w:rPr>
                <w:lang w:val="en-GB"/>
              </w:rPr>
              <w:t xml:space="preserve"> of final consumption</w:t>
            </w:r>
            <w:r>
              <w:rPr>
                <w:lang w:val="en-GB"/>
              </w:rPr>
              <w:t xml:space="preserve"> expenditure</w:t>
            </w:r>
            <w:r w:rsidRPr="00F57DB4">
              <w:rPr>
                <w:lang w:val="en-GB"/>
              </w:rPr>
              <w:t xml:space="preserve"> of government (+3.</w:t>
            </w:r>
            <w:r>
              <w:rPr>
                <w:lang w:val="en-GB"/>
              </w:rPr>
              <w:t>4%).</w:t>
            </w:r>
            <w:r w:rsidRPr="00F57DB4">
              <w:rPr>
                <w:lang w:val="en-GB"/>
              </w:rPr>
              <w:t xml:space="preserve"> </w:t>
            </w:r>
            <w:r>
              <w:rPr>
                <w:lang w:val="en-GB"/>
              </w:rPr>
              <w:t>I</w:t>
            </w:r>
            <w:r w:rsidRPr="00F57DB4">
              <w:rPr>
                <w:lang w:val="en-GB"/>
              </w:rPr>
              <w:t>n Q3 itself</w:t>
            </w:r>
            <w:r>
              <w:rPr>
                <w:lang w:val="en-GB"/>
              </w:rPr>
              <w:t>,</w:t>
            </w:r>
            <w:r w:rsidRPr="00F57DB4">
              <w:rPr>
                <w:lang w:val="en-GB"/>
              </w:rPr>
              <w:t xml:space="preserve"> </w:t>
            </w:r>
            <w:r>
              <w:rPr>
                <w:lang w:val="en-GB"/>
              </w:rPr>
              <w:t>the</w:t>
            </w:r>
            <w:r w:rsidRPr="00F57DB4">
              <w:rPr>
                <w:lang w:val="en-GB"/>
              </w:rPr>
              <w:t>s</w:t>
            </w:r>
            <w:r>
              <w:rPr>
                <w:lang w:val="en-GB"/>
              </w:rPr>
              <w:t>e</w:t>
            </w:r>
            <w:r w:rsidRPr="00F57DB4">
              <w:rPr>
                <w:lang w:val="en-GB"/>
              </w:rPr>
              <w:t xml:space="preserve"> ex</w:t>
            </w:r>
            <w:r>
              <w:rPr>
                <w:lang w:val="en-GB"/>
              </w:rPr>
              <w:t>penditure increased even by 4.7</w:t>
            </w:r>
            <w:r w:rsidRPr="00F57DB4">
              <w:rPr>
                <w:lang w:val="en-GB"/>
              </w:rPr>
              <w:t>% year-o</w:t>
            </w:r>
            <w:r>
              <w:rPr>
                <w:lang w:val="en-GB"/>
              </w:rPr>
              <w:t>n</w:t>
            </w:r>
            <w:r w:rsidRPr="00F57DB4">
              <w:rPr>
                <w:lang w:val="en-GB"/>
              </w:rPr>
              <w:t>-year. Annual consumption volume exceeded the level from year 2010 (by 2.</w:t>
            </w:r>
            <w:r>
              <w:rPr>
                <w:lang w:val="en-GB"/>
              </w:rPr>
              <w:t>7</w:t>
            </w:r>
            <w:r w:rsidRPr="00F57DB4">
              <w:rPr>
                <w:lang w:val="en-GB"/>
              </w:rPr>
              <w:t xml:space="preserve">%) for the first time. </w:t>
            </w:r>
            <w:r>
              <w:rPr>
                <w:lang w:val="en-GB"/>
              </w:rPr>
              <w:t>Data for the first nine months show that the expenditure on individual consumption grew faster than those on collective consumption in Q</w:t>
            </w:r>
            <w:r w:rsidRPr="00F57DB4">
              <w:rPr>
                <w:lang w:val="en-GB"/>
              </w:rPr>
              <w:t>1</w:t>
            </w:r>
            <w:r>
              <w:rPr>
                <w:lang w:val="en-GB"/>
              </w:rPr>
              <w:t xml:space="preserve"> and Q</w:t>
            </w:r>
            <w:r w:rsidRPr="00F57DB4">
              <w:rPr>
                <w:lang w:val="en-GB"/>
              </w:rPr>
              <w:t>2</w:t>
            </w:r>
            <w:r>
              <w:rPr>
                <w:lang w:val="en-GB"/>
              </w:rPr>
              <w:t>. The relation turned in Q</w:t>
            </w:r>
            <w:r w:rsidRPr="00F57DB4">
              <w:rPr>
                <w:lang w:val="en-GB"/>
              </w:rPr>
              <w:t>3</w:t>
            </w:r>
            <w:r>
              <w:rPr>
                <w:lang w:val="en-GB"/>
              </w:rPr>
              <w:t xml:space="preserve"> </w:t>
            </w:r>
            <w:r w:rsidRPr="00F57DB4">
              <w:rPr>
                <w:lang w:val="en-GB"/>
              </w:rPr>
              <w:t>a</w:t>
            </w:r>
            <w:r>
              <w:rPr>
                <w:lang w:val="en-GB"/>
              </w:rPr>
              <w:t xml:space="preserve">nd the dynamics of expenditure on collective consumption </w:t>
            </w:r>
            <w:r w:rsidRPr="00F57DB4">
              <w:rPr>
                <w:lang w:val="en-GB"/>
              </w:rPr>
              <w:t xml:space="preserve">– </w:t>
            </w:r>
            <w:r>
              <w:rPr>
                <w:lang w:val="en-GB"/>
              </w:rPr>
              <w:t xml:space="preserve">with the view to the extensive transport infrastructure repairs and maintenance </w:t>
            </w:r>
            <w:r w:rsidRPr="00F57DB4">
              <w:rPr>
                <w:lang w:val="en-GB"/>
              </w:rPr>
              <w:t xml:space="preserve">– </w:t>
            </w:r>
            <w:r>
              <w:rPr>
                <w:lang w:val="en-GB"/>
              </w:rPr>
              <w:t xml:space="preserve">dominated. </w:t>
            </w:r>
          </w:p>
          <w:p w:rsidR="006E4832" w:rsidRPr="00906D0C" w:rsidRDefault="006E4832" w:rsidP="00FA0110">
            <w:pPr>
              <w:pStyle w:val="Textpoznpodarou"/>
              <w:jc w:val="both"/>
            </w:pPr>
          </w:p>
        </w:tc>
      </w:tr>
      <w:tr w:rsidR="006E4832" w:rsidRPr="002A7D6D" w:rsidTr="00FA0110">
        <w:tc>
          <w:tcPr>
            <w:tcW w:w="1054" w:type="pct"/>
          </w:tcPr>
          <w:p w:rsidR="006E4832" w:rsidRPr="00881F72" w:rsidRDefault="006E4832" w:rsidP="00FA0110">
            <w:pPr>
              <w:spacing w:line="240" w:lineRule="auto"/>
              <w:rPr>
                <w:sz w:val="16"/>
                <w:szCs w:val="16"/>
                <w:lang w:val="en-GB"/>
              </w:rPr>
            </w:pPr>
            <w:r w:rsidRPr="00881F72">
              <w:rPr>
                <w:sz w:val="16"/>
                <w:szCs w:val="16"/>
                <w:lang w:val="en-GB"/>
              </w:rPr>
              <w:t xml:space="preserve">Nine quarters lasting quarter-on-quarter growth of investment already halted at the end of the last year </w:t>
            </w:r>
          </w:p>
        </w:tc>
        <w:tc>
          <w:tcPr>
            <w:tcW w:w="143" w:type="pct"/>
          </w:tcPr>
          <w:p w:rsidR="006E4832" w:rsidRPr="00110513" w:rsidRDefault="006E4832" w:rsidP="00FA0110">
            <w:pPr>
              <w:pStyle w:val="Textpoznpodarou"/>
              <w:jc w:val="both"/>
            </w:pPr>
          </w:p>
        </w:tc>
        <w:tc>
          <w:tcPr>
            <w:tcW w:w="3803" w:type="pct"/>
          </w:tcPr>
          <w:p w:rsidR="006E4832" w:rsidRPr="00342932" w:rsidRDefault="006E4832" w:rsidP="00FA0110">
            <w:pPr>
              <w:pStyle w:val="Textpoznpodarou"/>
              <w:jc w:val="both"/>
              <w:rPr>
                <w:lang w:val="en-GB"/>
              </w:rPr>
            </w:pPr>
            <w:r w:rsidRPr="00342932">
              <w:rPr>
                <w:lang w:val="en-GB"/>
              </w:rPr>
              <w:t xml:space="preserve">Investment was the main source of growth of the Czech economy in the last year. </w:t>
            </w:r>
            <w:r>
              <w:rPr>
                <w:lang w:val="en-GB"/>
              </w:rPr>
              <w:t xml:space="preserve">Its </w:t>
            </w:r>
            <w:r w:rsidRPr="00342932">
              <w:rPr>
                <w:lang w:val="en-GB"/>
              </w:rPr>
              <w:t>dynamics was growing till Q3, when it reached +9.</w:t>
            </w:r>
            <w:r>
              <w:rPr>
                <w:lang w:val="en-GB"/>
              </w:rPr>
              <w:t>6</w:t>
            </w:r>
            <w:r w:rsidRPr="00342932">
              <w:rPr>
                <w:lang w:val="en-GB"/>
              </w:rPr>
              <w:t xml:space="preserve">% </w:t>
            </w:r>
            <w:proofErr w:type="gramStart"/>
            <w:r w:rsidRPr="00342932">
              <w:rPr>
                <w:lang w:val="en-GB"/>
              </w:rPr>
              <w:t>year-on-year</w:t>
            </w:r>
            <w:proofErr w:type="gramEnd"/>
            <w:r w:rsidRPr="00342932">
              <w:rPr>
                <w:lang w:val="en-GB"/>
              </w:rPr>
              <w:t xml:space="preserve"> and it was the highest since the end of 2007. Investment increased by 7.</w:t>
            </w:r>
            <w:r>
              <w:rPr>
                <w:lang w:val="en-GB"/>
              </w:rPr>
              <w:t>5</w:t>
            </w:r>
            <w:r w:rsidRPr="00342932">
              <w:rPr>
                <w:lang w:val="en-GB"/>
              </w:rPr>
              <w:t>% in total for the whole last year and it was connected to a higher investment activity of non-</w:t>
            </w:r>
            <w:r w:rsidRPr="00342932">
              <w:rPr>
                <w:lang w:val="en-GB"/>
              </w:rPr>
              <w:lastRenderedPageBreak/>
              <w:t xml:space="preserve">financial </w:t>
            </w:r>
            <w:r>
              <w:rPr>
                <w:lang w:val="en-GB"/>
              </w:rPr>
              <w:t>corporations</w:t>
            </w:r>
            <w:r w:rsidRPr="00342932">
              <w:rPr>
                <w:lang w:val="en-GB"/>
              </w:rPr>
              <w:t xml:space="preserve">, </w:t>
            </w:r>
            <w:r>
              <w:rPr>
                <w:lang w:val="en-GB"/>
              </w:rPr>
              <w:t>government as well as households</w:t>
            </w:r>
            <w:r w:rsidRPr="00342932">
              <w:rPr>
                <w:spacing w:val="-4"/>
                <w:lang w:val="en-GB"/>
              </w:rPr>
              <w:t xml:space="preserve">. </w:t>
            </w:r>
            <w:r>
              <w:rPr>
                <w:spacing w:val="-4"/>
                <w:lang w:val="en-GB"/>
              </w:rPr>
              <w:t xml:space="preserve">The dynamics already mildly weakened </w:t>
            </w:r>
            <w:r w:rsidRPr="00342932">
              <w:rPr>
                <w:spacing w:val="-4"/>
                <w:lang w:val="en-GB"/>
              </w:rPr>
              <w:t>(</w:t>
            </w:r>
            <w:r>
              <w:rPr>
                <w:spacing w:val="-4"/>
                <w:lang w:val="en-GB"/>
              </w:rPr>
              <w:t xml:space="preserve">to </w:t>
            </w:r>
            <w:r w:rsidRPr="00342932">
              <w:rPr>
                <w:spacing w:val="-4"/>
                <w:lang w:val="en-GB"/>
              </w:rPr>
              <w:t>+7</w:t>
            </w:r>
            <w:r>
              <w:rPr>
                <w:spacing w:val="-4"/>
                <w:lang w:val="en-GB"/>
              </w:rPr>
              <w:t>.</w:t>
            </w:r>
            <w:r>
              <w:rPr>
                <w:lang w:val="en-GB"/>
              </w:rPr>
              <w:t>9</w:t>
            </w:r>
            <w:r w:rsidRPr="00342932">
              <w:rPr>
                <w:lang w:val="en-GB"/>
              </w:rPr>
              <w:t>%)</w:t>
            </w:r>
            <w:r>
              <w:rPr>
                <w:lang w:val="en-GB"/>
              </w:rPr>
              <w:t xml:space="preserve"> in the last quarter year-on-year</w:t>
            </w:r>
            <w:r w:rsidRPr="00342932">
              <w:rPr>
                <w:lang w:val="en-GB"/>
              </w:rPr>
              <w:t xml:space="preserve">, </w:t>
            </w:r>
            <w:r>
              <w:rPr>
                <w:lang w:val="en-GB"/>
              </w:rPr>
              <w:t xml:space="preserve">investment even decreased quarter-on-quarter </w:t>
            </w:r>
            <w:r w:rsidRPr="00342932">
              <w:rPr>
                <w:lang w:val="en-GB"/>
              </w:rPr>
              <w:t>(-0</w:t>
            </w:r>
            <w:r>
              <w:rPr>
                <w:lang w:val="en-GB"/>
              </w:rPr>
              <w:t>.9</w:t>
            </w:r>
            <w:r w:rsidRPr="00342932">
              <w:rPr>
                <w:lang w:val="en-GB"/>
              </w:rPr>
              <w:t>%).</w:t>
            </w:r>
          </w:p>
          <w:p w:rsidR="006E4832" w:rsidRPr="00906D0C" w:rsidRDefault="006E4832" w:rsidP="00FA0110">
            <w:pPr>
              <w:pStyle w:val="Textpoznpodarou"/>
              <w:jc w:val="both"/>
            </w:pPr>
          </w:p>
        </w:tc>
      </w:tr>
      <w:tr w:rsidR="006E4832" w:rsidRPr="002A7D6D" w:rsidTr="00FA0110">
        <w:trPr>
          <w:trHeight w:val="2085"/>
        </w:trPr>
        <w:tc>
          <w:tcPr>
            <w:tcW w:w="1054" w:type="pct"/>
          </w:tcPr>
          <w:p w:rsidR="006E4832" w:rsidRPr="00F75EA2" w:rsidRDefault="006E4832" w:rsidP="00FA0110">
            <w:pPr>
              <w:spacing w:line="240" w:lineRule="auto"/>
              <w:rPr>
                <w:sz w:val="16"/>
                <w:szCs w:val="16"/>
                <w:lang w:val="en-GB"/>
              </w:rPr>
            </w:pPr>
            <w:r w:rsidRPr="00F75EA2">
              <w:rPr>
                <w:sz w:val="16"/>
                <w:szCs w:val="16"/>
                <w:lang w:val="en-GB"/>
              </w:rPr>
              <w:lastRenderedPageBreak/>
              <w:t>Investment into buildings and structure</w:t>
            </w:r>
            <w:r>
              <w:rPr>
                <w:sz w:val="16"/>
                <w:szCs w:val="16"/>
                <w:lang w:val="en-GB"/>
              </w:rPr>
              <w:t>s</w:t>
            </w:r>
            <w:r w:rsidRPr="00F75EA2">
              <w:rPr>
                <w:sz w:val="16"/>
                <w:szCs w:val="16"/>
                <w:lang w:val="en-GB"/>
              </w:rPr>
              <w:t xml:space="preserve"> increased by nearly one tenth in the last year. They grew faster last time in 1995</w:t>
            </w:r>
          </w:p>
        </w:tc>
        <w:tc>
          <w:tcPr>
            <w:tcW w:w="143" w:type="pct"/>
          </w:tcPr>
          <w:p w:rsidR="006E4832" w:rsidRPr="00110513" w:rsidRDefault="006E4832" w:rsidP="00FA0110">
            <w:pPr>
              <w:pStyle w:val="Textpoznpodarou"/>
              <w:jc w:val="both"/>
            </w:pPr>
          </w:p>
        </w:tc>
        <w:tc>
          <w:tcPr>
            <w:tcW w:w="3803" w:type="pct"/>
          </w:tcPr>
          <w:p w:rsidR="006E4832" w:rsidRDefault="006E4832" w:rsidP="00FA0110">
            <w:pPr>
              <w:pStyle w:val="Textpoznpodarou"/>
              <w:jc w:val="both"/>
              <w:rPr>
                <w:spacing w:val="-4"/>
                <w:lang w:val="en-GB"/>
              </w:rPr>
            </w:pPr>
            <w:r w:rsidRPr="008211C3">
              <w:rPr>
                <w:spacing w:val="-4"/>
                <w:lang w:val="en-GB"/>
              </w:rPr>
              <w:t>Based on the type classification of gross fixed capital formation</w:t>
            </w:r>
            <w:r w:rsidRPr="008211C3">
              <w:rPr>
                <w:rStyle w:val="Znakapoznpodarou"/>
                <w:spacing w:val="-4"/>
                <w:lang w:val="en-GB"/>
              </w:rPr>
              <w:footnoteReference w:id="8"/>
            </w:r>
            <w:r w:rsidRPr="008211C3">
              <w:rPr>
                <w:spacing w:val="-4"/>
                <w:lang w:val="en-GB"/>
              </w:rPr>
              <w:t>, mo</w:t>
            </w:r>
            <w:r>
              <w:rPr>
                <w:spacing w:val="-4"/>
                <w:lang w:val="en-GB"/>
              </w:rPr>
              <w:t>stly the purchases of transport</w:t>
            </w:r>
            <w:r w:rsidRPr="008211C3">
              <w:rPr>
                <w:spacing w:val="-4"/>
                <w:lang w:val="en-GB"/>
              </w:rPr>
              <w:t xml:space="preserve"> equipment (+14.9%) increased in 2015, however also higher investment into ICT, machinery and equipment (+5.9%) and two years not monitored growth of investment into the intellectual property products framed the growth of investment of non-financial </w:t>
            </w:r>
            <w:r>
              <w:rPr>
                <w:spacing w:val="-4"/>
                <w:lang w:val="en-GB"/>
              </w:rPr>
              <w:t>corporations</w:t>
            </w:r>
            <w:r w:rsidRPr="008211C3">
              <w:rPr>
                <w:spacing w:val="-4"/>
                <w:lang w:val="en-GB"/>
              </w:rPr>
              <w:t xml:space="preserve">. Accelerated drawing of money from the EU funds was very strongly reflected in investment into buildings and structures (+9.2%), while </w:t>
            </w:r>
            <w:r>
              <w:rPr>
                <w:spacing w:val="-4"/>
                <w:lang w:val="en-GB"/>
              </w:rPr>
              <w:t>its addition</w:t>
            </w:r>
            <w:r w:rsidRPr="008211C3">
              <w:rPr>
                <w:spacing w:val="-4"/>
                <w:lang w:val="en-GB"/>
              </w:rPr>
              <w:t xml:space="preserve"> w</w:t>
            </w:r>
            <w:r>
              <w:rPr>
                <w:spacing w:val="-4"/>
                <w:lang w:val="en-GB"/>
              </w:rPr>
              <w:t>as</w:t>
            </w:r>
            <w:r w:rsidRPr="008211C3">
              <w:rPr>
                <w:spacing w:val="-4"/>
                <w:lang w:val="en-GB"/>
              </w:rPr>
              <w:t xml:space="preserve"> the highest – similarly to the final consumption expenditure of government – in Q3 (+13.6% year-on-year). Households were also very active in the last year and the low interest rates on </w:t>
            </w:r>
            <w:r>
              <w:rPr>
                <w:spacing w:val="-4"/>
                <w:lang w:val="en-GB"/>
              </w:rPr>
              <w:t>loans for house purchase</w:t>
            </w:r>
            <w:r w:rsidRPr="008211C3">
              <w:rPr>
                <w:spacing w:val="-4"/>
                <w:lang w:val="en-GB"/>
              </w:rPr>
              <w:t xml:space="preserve"> assisted this development – investment into buildings for housing grew by 7%.</w:t>
            </w:r>
          </w:p>
          <w:p w:rsidR="006E4832" w:rsidRPr="00906D0C" w:rsidRDefault="006E4832" w:rsidP="00FA0110">
            <w:pPr>
              <w:pStyle w:val="Textpoznpodarou"/>
              <w:jc w:val="both"/>
              <w:rPr>
                <w:spacing w:val="-4"/>
              </w:rPr>
            </w:pPr>
          </w:p>
        </w:tc>
      </w:tr>
      <w:tr w:rsidR="006E4832" w:rsidRPr="002A7D6D" w:rsidTr="00FA0110">
        <w:tc>
          <w:tcPr>
            <w:tcW w:w="1054" w:type="pct"/>
          </w:tcPr>
          <w:p w:rsidR="006E4832" w:rsidRPr="0024481A" w:rsidRDefault="006E4832" w:rsidP="00FA0110">
            <w:pPr>
              <w:spacing w:line="240" w:lineRule="auto"/>
              <w:rPr>
                <w:sz w:val="16"/>
                <w:szCs w:val="16"/>
                <w:lang w:val="en-GB"/>
              </w:rPr>
            </w:pPr>
            <w:r w:rsidRPr="0024481A">
              <w:rPr>
                <w:sz w:val="16"/>
                <w:szCs w:val="16"/>
                <w:lang w:val="en-GB"/>
              </w:rPr>
              <w:t>Surplus of foreign trade with goods and services expanded only by 2.1 </w:t>
            </w:r>
            <w:r>
              <w:rPr>
                <w:sz w:val="16"/>
                <w:szCs w:val="16"/>
                <w:lang w:val="en-GB"/>
              </w:rPr>
              <w:t xml:space="preserve">CZK </w:t>
            </w:r>
            <w:proofErr w:type="spellStart"/>
            <w:r>
              <w:rPr>
                <w:sz w:val="16"/>
                <w:szCs w:val="16"/>
                <w:lang w:val="en-GB"/>
              </w:rPr>
              <w:t>bn</w:t>
            </w:r>
            <w:proofErr w:type="spellEnd"/>
            <w:r>
              <w:rPr>
                <w:sz w:val="16"/>
                <w:szCs w:val="16"/>
                <w:lang w:val="en-GB"/>
              </w:rPr>
              <w:t xml:space="preserve"> </w:t>
            </w:r>
            <w:r w:rsidRPr="0024481A">
              <w:rPr>
                <w:sz w:val="16"/>
                <w:szCs w:val="16"/>
                <w:lang w:val="en-GB"/>
              </w:rPr>
              <w:t>in nominal terms in 2015, …</w:t>
            </w:r>
          </w:p>
        </w:tc>
        <w:tc>
          <w:tcPr>
            <w:tcW w:w="143" w:type="pct"/>
          </w:tcPr>
          <w:p w:rsidR="006E4832" w:rsidRPr="0024481A" w:rsidRDefault="006E4832" w:rsidP="00FA0110">
            <w:pPr>
              <w:pStyle w:val="Textpoznpodarou"/>
              <w:jc w:val="both"/>
              <w:rPr>
                <w:lang w:val="en-GB"/>
              </w:rPr>
            </w:pPr>
          </w:p>
        </w:tc>
        <w:tc>
          <w:tcPr>
            <w:tcW w:w="3803" w:type="pct"/>
          </w:tcPr>
          <w:p w:rsidR="006E4832" w:rsidRPr="0024481A" w:rsidRDefault="006E4832" w:rsidP="00FA0110">
            <w:pPr>
              <w:pStyle w:val="Textpoznpodarou"/>
              <w:jc w:val="both"/>
              <w:rPr>
                <w:lang w:val="en-GB"/>
              </w:rPr>
            </w:pPr>
            <w:r w:rsidRPr="0024481A">
              <w:rPr>
                <w:lang w:val="en-GB"/>
              </w:rPr>
              <w:t>Surplus of foreign trade with goods and se</w:t>
            </w:r>
            <w:r>
              <w:rPr>
                <w:lang w:val="en-GB"/>
              </w:rPr>
              <w:t>rvices reached in the concept</w:t>
            </w:r>
            <w:r w:rsidRPr="0024481A">
              <w:rPr>
                <w:lang w:val="en-GB"/>
              </w:rPr>
              <w:t xml:space="preserve"> of national accounts 288.6 </w:t>
            </w:r>
            <w:r>
              <w:rPr>
                <w:lang w:val="en-GB"/>
              </w:rPr>
              <w:t xml:space="preserve">CZK </w:t>
            </w:r>
            <w:proofErr w:type="spellStart"/>
            <w:r w:rsidRPr="0024481A">
              <w:rPr>
                <w:lang w:val="en-GB"/>
              </w:rPr>
              <w:t>bn</w:t>
            </w:r>
            <w:proofErr w:type="spellEnd"/>
            <w:r>
              <w:rPr>
                <w:lang w:val="en-GB"/>
              </w:rPr>
              <w:t xml:space="preserve"> </w:t>
            </w:r>
            <w:r w:rsidRPr="0024481A">
              <w:rPr>
                <w:lang w:val="en-GB"/>
              </w:rPr>
              <w:t xml:space="preserve">in nominal terms. The surplus enlarged only by 2.1 </w:t>
            </w:r>
            <w:r>
              <w:rPr>
                <w:lang w:val="en-GB"/>
              </w:rPr>
              <w:t xml:space="preserve">CZK </w:t>
            </w:r>
            <w:proofErr w:type="spellStart"/>
            <w:r w:rsidRPr="0024481A">
              <w:rPr>
                <w:lang w:val="en-GB"/>
              </w:rPr>
              <w:t>bn</w:t>
            </w:r>
            <w:proofErr w:type="spellEnd"/>
            <w:r>
              <w:rPr>
                <w:lang w:val="en-GB"/>
              </w:rPr>
              <w:t xml:space="preserve"> </w:t>
            </w:r>
            <w:r w:rsidRPr="0024481A">
              <w:rPr>
                <w:lang w:val="en-GB"/>
              </w:rPr>
              <w:t xml:space="preserve">in comparison to year 2014, the slowest in the last five years. Only the trade with services (+21.3 </w:t>
            </w:r>
            <w:r>
              <w:rPr>
                <w:lang w:val="en-GB"/>
              </w:rPr>
              <w:t xml:space="preserve">CZK </w:t>
            </w:r>
            <w:proofErr w:type="spellStart"/>
            <w:r w:rsidRPr="0024481A">
              <w:rPr>
                <w:lang w:val="en-GB"/>
              </w:rPr>
              <w:t>bn</w:t>
            </w:r>
            <w:proofErr w:type="spellEnd"/>
            <w:r w:rsidRPr="0024481A">
              <w:rPr>
                <w:lang w:val="en-GB"/>
              </w:rPr>
              <w:t xml:space="preserve">) shared in its growth quite surprisingly, the surplus of trade with goods was lower by 19.2 bn. With respect to individual quarters, the surpluses in the foreign trade were even weaker year-on-year </w:t>
            </w:r>
            <w:r w:rsidRPr="0024481A">
              <w:rPr>
                <w:spacing w:val="4"/>
                <w:lang w:val="en-GB"/>
              </w:rPr>
              <w:t>(-</w:t>
            </w:r>
            <w:r w:rsidRPr="0024481A">
              <w:rPr>
                <w:lang w:val="en-GB"/>
              </w:rPr>
              <w:t xml:space="preserve">9.1 </w:t>
            </w:r>
            <w:r>
              <w:rPr>
                <w:lang w:val="en-GB"/>
              </w:rPr>
              <w:t xml:space="preserve">CZK </w:t>
            </w:r>
            <w:proofErr w:type="spellStart"/>
            <w:r w:rsidRPr="0024481A">
              <w:rPr>
                <w:lang w:val="en-GB"/>
              </w:rPr>
              <w:t>bn</w:t>
            </w:r>
            <w:proofErr w:type="spellEnd"/>
            <w:r w:rsidRPr="0024481A">
              <w:rPr>
                <w:spacing w:val="-2"/>
                <w:lang w:val="en-GB"/>
              </w:rPr>
              <w:t>) in Q1 to Q3, only the last quarter improved the yearly result (+11.</w:t>
            </w:r>
            <w:r w:rsidRPr="0024481A">
              <w:rPr>
                <w:lang w:val="en-GB"/>
              </w:rPr>
              <w:t xml:space="preserve">3 </w:t>
            </w:r>
            <w:proofErr w:type="spellStart"/>
            <w:r w:rsidRPr="0024481A">
              <w:rPr>
                <w:lang w:val="en-GB"/>
              </w:rPr>
              <w:t>bn</w:t>
            </w:r>
            <w:proofErr w:type="spellEnd"/>
            <w:r w:rsidRPr="0024481A">
              <w:rPr>
                <w:lang w:val="en-GB"/>
              </w:rPr>
              <w:t>).</w:t>
            </w:r>
          </w:p>
          <w:p w:rsidR="006E4832" w:rsidRPr="00906D0C" w:rsidRDefault="006E4832" w:rsidP="00FA0110">
            <w:pPr>
              <w:pStyle w:val="Textpoznpodarou"/>
              <w:jc w:val="both"/>
              <w:rPr>
                <w:spacing w:val="-2"/>
                <w:lang w:val="en-GB"/>
              </w:rPr>
            </w:pPr>
          </w:p>
        </w:tc>
      </w:tr>
      <w:tr w:rsidR="006E4832" w:rsidRPr="002A7D6D" w:rsidTr="00FA0110">
        <w:tc>
          <w:tcPr>
            <w:tcW w:w="1054" w:type="pct"/>
          </w:tcPr>
          <w:p w:rsidR="006E4832" w:rsidRPr="00C47694" w:rsidRDefault="006E4832" w:rsidP="00FA0110">
            <w:pPr>
              <w:spacing w:line="240" w:lineRule="auto"/>
              <w:rPr>
                <w:sz w:val="16"/>
                <w:szCs w:val="16"/>
                <w:lang w:val="en-GB"/>
              </w:rPr>
            </w:pPr>
            <w:r w:rsidRPr="00C47694">
              <w:rPr>
                <w:sz w:val="16"/>
                <w:szCs w:val="16"/>
                <w:lang w:val="en-GB"/>
              </w:rPr>
              <w:t xml:space="preserve">… only thanks to the prevailing positive terms of trade </w:t>
            </w:r>
          </w:p>
        </w:tc>
        <w:tc>
          <w:tcPr>
            <w:tcW w:w="143" w:type="pct"/>
          </w:tcPr>
          <w:p w:rsidR="006E4832" w:rsidRPr="00C47694" w:rsidRDefault="006E4832" w:rsidP="00FA0110">
            <w:pPr>
              <w:pStyle w:val="Textpoznpodarou"/>
              <w:jc w:val="both"/>
              <w:rPr>
                <w:lang w:val="en-GB"/>
              </w:rPr>
            </w:pPr>
          </w:p>
        </w:tc>
        <w:tc>
          <w:tcPr>
            <w:tcW w:w="3803" w:type="pct"/>
          </w:tcPr>
          <w:p w:rsidR="006E4832" w:rsidRPr="00C47694" w:rsidRDefault="006E4832" w:rsidP="00FA0110">
            <w:pPr>
              <w:pStyle w:val="Textpoznpodarou"/>
              <w:jc w:val="both"/>
              <w:rPr>
                <w:lang w:val="en-GB"/>
              </w:rPr>
            </w:pPr>
            <w:r w:rsidRPr="00C47694">
              <w:rPr>
                <w:lang w:val="en-GB"/>
              </w:rPr>
              <w:t>Real gross domestic income,</w:t>
            </w:r>
            <w:r w:rsidRPr="00C47694">
              <w:rPr>
                <w:vertAlign w:val="superscript"/>
                <w:lang w:val="en-GB"/>
              </w:rPr>
              <w:t>8</w:t>
            </w:r>
            <w:r w:rsidRPr="00C47694">
              <w:rPr>
                <w:lang w:val="en-GB"/>
              </w:rPr>
              <w:t xml:space="preserve"> which reflects on the contrary from the GDP the additional profits or losses from the development of prices in foreign trade, </w:t>
            </w:r>
            <w:r>
              <w:rPr>
                <w:lang w:val="en-GB"/>
              </w:rPr>
              <w:t>or rather</w:t>
            </w:r>
            <w:r w:rsidRPr="00C47694">
              <w:rPr>
                <w:lang w:val="en-GB"/>
              </w:rPr>
              <w:t xml:space="preserve"> profits </w:t>
            </w:r>
            <w:r>
              <w:rPr>
                <w:lang w:val="en-GB"/>
              </w:rPr>
              <w:t>or</w:t>
            </w:r>
            <w:r w:rsidRPr="00C47694">
              <w:rPr>
                <w:lang w:val="en-GB"/>
              </w:rPr>
              <w:t xml:space="preserve"> losses from the terms of trade</w:t>
            </w:r>
            <w:r>
              <w:rPr>
                <w:lang w:val="en-GB"/>
              </w:rPr>
              <w:t xml:space="preserve">, </w:t>
            </w:r>
            <w:r w:rsidRPr="00C47694">
              <w:rPr>
                <w:lang w:val="en-GB"/>
              </w:rPr>
              <w:t xml:space="preserve">increased by </w:t>
            </w:r>
            <w:r w:rsidRPr="00C47694">
              <w:rPr>
                <w:spacing w:val="-2"/>
                <w:lang w:val="en-GB"/>
              </w:rPr>
              <w:t>4.</w:t>
            </w:r>
            <w:r>
              <w:rPr>
                <w:spacing w:val="-2"/>
                <w:lang w:val="en-GB"/>
              </w:rPr>
              <w:t>5</w:t>
            </w:r>
            <w:r w:rsidRPr="00C47694">
              <w:rPr>
                <w:spacing w:val="-2"/>
                <w:lang w:val="en-GB"/>
              </w:rPr>
              <w:t>% in the last year. It thus increased by 0.3</w:t>
            </w:r>
            <w:r w:rsidRPr="00C47694">
              <w:rPr>
                <w:lang w:val="en-GB"/>
              </w:rPr>
              <w:t xml:space="preserve"> p.p. faster than the GDP. </w:t>
            </w:r>
            <w:r>
              <w:rPr>
                <w:lang w:val="en-GB"/>
              </w:rPr>
              <w:t xml:space="preserve">A significant change occurred in comparison to years </w:t>
            </w:r>
            <w:r w:rsidRPr="00C47694">
              <w:rPr>
                <w:lang w:val="en-GB"/>
              </w:rPr>
              <w:t>2013 a</w:t>
            </w:r>
            <w:r>
              <w:rPr>
                <w:lang w:val="en-GB"/>
              </w:rPr>
              <w:t>nd</w:t>
            </w:r>
            <w:r w:rsidRPr="00C47694">
              <w:rPr>
                <w:lang w:val="en-GB"/>
              </w:rPr>
              <w:t xml:space="preserve"> 2014</w:t>
            </w:r>
            <w:r>
              <w:rPr>
                <w:lang w:val="en-GB"/>
              </w:rPr>
              <w:t xml:space="preserve">, since the dynamics of real gross domestic income relative to the GDP was by </w:t>
            </w:r>
            <w:r w:rsidRPr="00C47694">
              <w:rPr>
                <w:lang w:val="en-GB"/>
              </w:rPr>
              <w:t>0</w:t>
            </w:r>
            <w:r>
              <w:rPr>
                <w:lang w:val="en-GB"/>
              </w:rPr>
              <w:t>.</w:t>
            </w:r>
            <w:r w:rsidRPr="00C47694">
              <w:rPr>
                <w:lang w:val="en-GB"/>
              </w:rPr>
              <w:t>9 p.</w:t>
            </w:r>
            <w:r>
              <w:rPr>
                <w:lang w:val="en-GB"/>
              </w:rPr>
              <w:t>p</w:t>
            </w:r>
            <w:r w:rsidRPr="00C47694">
              <w:rPr>
                <w:lang w:val="en-GB"/>
              </w:rPr>
              <w:t>. a</w:t>
            </w:r>
            <w:r>
              <w:rPr>
                <w:lang w:val="en-GB"/>
              </w:rPr>
              <w:t>nd</w:t>
            </w:r>
            <w:r w:rsidRPr="00C47694">
              <w:rPr>
                <w:lang w:val="en-GB"/>
              </w:rPr>
              <w:t xml:space="preserve"> 1</w:t>
            </w:r>
            <w:r>
              <w:rPr>
                <w:lang w:val="en-GB"/>
              </w:rPr>
              <w:t>.</w:t>
            </w:r>
            <w:r w:rsidRPr="00C47694">
              <w:rPr>
                <w:lang w:val="en-GB"/>
              </w:rPr>
              <w:t>2 p.</w:t>
            </w:r>
            <w:r>
              <w:rPr>
                <w:lang w:val="en-GB"/>
              </w:rPr>
              <w:t>p</w:t>
            </w:r>
            <w:r w:rsidRPr="00C47694">
              <w:rPr>
                <w:lang w:val="en-GB"/>
              </w:rPr>
              <w:t>.</w:t>
            </w:r>
            <w:r>
              <w:rPr>
                <w:lang w:val="en-GB"/>
              </w:rPr>
              <w:t xml:space="preserve"> higher at that time. While the terms of trade amounted to </w:t>
            </w:r>
            <w:r w:rsidRPr="00C47694">
              <w:rPr>
                <w:lang w:val="en-GB"/>
              </w:rPr>
              <w:t>101</w:t>
            </w:r>
            <w:r>
              <w:rPr>
                <w:lang w:val="en-GB"/>
              </w:rPr>
              <w:t>.2</w:t>
            </w:r>
            <w:r w:rsidRPr="00C47694">
              <w:rPr>
                <w:lang w:val="en-GB"/>
              </w:rPr>
              <w:t>% a</w:t>
            </w:r>
            <w:r>
              <w:rPr>
                <w:lang w:val="en-GB"/>
              </w:rPr>
              <w:t>nd</w:t>
            </w:r>
            <w:r w:rsidRPr="00C47694">
              <w:rPr>
                <w:lang w:val="en-GB"/>
              </w:rPr>
              <w:t> 101</w:t>
            </w:r>
            <w:r>
              <w:rPr>
                <w:lang w:val="en-GB"/>
              </w:rPr>
              <w:t>.5</w:t>
            </w:r>
            <w:r w:rsidRPr="00C47694">
              <w:rPr>
                <w:lang w:val="en-GB"/>
              </w:rPr>
              <w:t>%</w:t>
            </w:r>
            <w:r>
              <w:rPr>
                <w:lang w:val="en-GB"/>
              </w:rPr>
              <w:t xml:space="preserve"> in years </w:t>
            </w:r>
            <w:r w:rsidRPr="00C47694">
              <w:rPr>
                <w:lang w:val="en-GB"/>
              </w:rPr>
              <w:t>2013 a</w:t>
            </w:r>
            <w:r>
              <w:rPr>
                <w:lang w:val="en-GB"/>
              </w:rPr>
              <w:t>nd</w:t>
            </w:r>
            <w:r w:rsidRPr="00C47694">
              <w:rPr>
                <w:lang w:val="en-GB"/>
              </w:rPr>
              <w:t xml:space="preserve"> 2014</w:t>
            </w:r>
            <w:r>
              <w:rPr>
                <w:lang w:val="en-GB"/>
              </w:rPr>
              <w:t xml:space="preserve">, they were only </w:t>
            </w:r>
            <w:r w:rsidRPr="00C47694">
              <w:rPr>
                <w:lang w:val="en-GB"/>
              </w:rPr>
              <w:t>100</w:t>
            </w:r>
            <w:r>
              <w:rPr>
                <w:lang w:val="en-GB"/>
              </w:rPr>
              <w:t>.4</w:t>
            </w:r>
            <w:r w:rsidRPr="00C47694">
              <w:rPr>
                <w:lang w:val="en-GB"/>
              </w:rPr>
              <w:t>%</w:t>
            </w:r>
            <w:r>
              <w:rPr>
                <w:lang w:val="en-GB"/>
              </w:rPr>
              <w:t xml:space="preserve"> in the last year</w:t>
            </w:r>
            <w:r w:rsidRPr="00C47694">
              <w:rPr>
                <w:lang w:val="en-GB"/>
              </w:rPr>
              <w:t>.</w:t>
            </w:r>
          </w:p>
          <w:p w:rsidR="006E4832" w:rsidRPr="00906D0C" w:rsidRDefault="006E4832" w:rsidP="00FA0110">
            <w:pPr>
              <w:pStyle w:val="Textpoznpodarou"/>
              <w:jc w:val="both"/>
              <w:rPr>
                <w:lang w:val="en-GB"/>
              </w:rPr>
            </w:pPr>
          </w:p>
        </w:tc>
      </w:tr>
      <w:tr w:rsidR="006E4832" w:rsidRPr="002A7D6D" w:rsidTr="00FA0110">
        <w:tc>
          <w:tcPr>
            <w:tcW w:w="1054" w:type="pct"/>
          </w:tcPr>
          <w:p w:rsidR="006E4832" w:rsidRDefault="006E4832" w:rsidP="00FA0110">
            <w:pPr>
              <w:spacing w:line="240" w:lineRule="auto"/>
              <w:rPr>
                <w:sz w:val="16"/>
                <w:szCs w:val="16"/>
                <w:lang w:val="en-GB"/>
              </w:rPr>
            </w:pPr>
            <w:r w:rsidRPr="004F4352">
              <w:rPr>
                <w:sz w:val="16"/>
                <w:szCs w:val="16"/>
                <w:lang w:val="en-GB"/>
              </w:rPr>
              <w:t>Manufacturing</w:t>
            </w:r>
          </w:p>
          <w:p w:rsidR="006E4832" w:rsidRPr="004F4352" w:rsidRDefault="006E4832" w:rsidP="00FA0110">
            <w:pPr>
              <w:spacing w:line="240" w:lineRule="auto"/>
              <w:rPr>
                <w:sz w:val="16"/>
                <w:szCs w:val="16"/>
                <w:lang w:val="en-GB"/>
              </w:rPr>
            </w:pPr>
            <w:proofErr w:type="gramStart"/>
            <w:r w:rsidRPr="004F4352">
              <w:rPr>
                <w:sz w:val="16"/>
                <w:szCs w:val="16"/>
                <w:lang w:val="en-GB"/>
              </w:rPr>
              <w:t>as</w:t>
            </w:r>
            <w:proofErr w:type="gramEnd"/>
            <w:r w:rsidRPr="004F4352">
              <w:rPr>
                <w:sz w:val="16"/>
                <w:szCs w:val="16"/>
                <w:lang w:val="en-GB"/>
              </w:rPr>
              <w:t xml:space="preserve"> well as services both equally contributed to the economic growth last year</w:t>
            </w:r>
            <w:r>
              <w:rPr>
                <w:sz w:val="16"/>
                <w:szCs w:val="16"/>
                <w:lang w:val="en-GB"/>
              </w:rPr>
              <w:t>.</w:t>
            </w:r>
            <w:r w:rsidRPr="004F4352">
              <w:rPr>
                <w:sz w:val="16"/>
                <w:szCs w:val="16"/>
                <w:lang w:val="en-GB"/>
              </w:rPr>
              <w:t xml:space="preserve"> </w:t>
            </w:r>
            <w:r>
              <w:rPr>
                <w:sz w:val="16"/>
                <w:szCs w:val="16"/>
                <w:lang w:val="en-GB"/>
              </w:rPr>
              <w:t>T</w:t>
            </w:r>
            <w:r w:rsidRPr="004F4352">
              <w:rPr>
                <w:sz w:val="16"/>
                <w:szCs w:val="16"/>
                <w:lang w:val="en-GB"/>
              </w:rPr>
              <w:t>hey added +1.9 p.p. and +1.8 p.p., …</w:t>
            </w:r>
          </w:p>
        </w:tc>
        <w:tc>
          <w:tcPr>
            <w:tcW w:w="143" w:type="pct"/>
          </w:tcPr>
          <w:p w:rsidR="006E4832" w:rsidRPr="004F4352" w:rsidRDefault="006E4832" w:rsidP="00FA0110">
            <w:pPr>
              <w:pStyle w:val="Textpoznpodarou"/>
              <w:jc w:val="both"/>
              <w:rPr>
                <w:lang w:val="en-GB"/>
              </w:rPr>
            </w:pPr>
          </w:p>
        </w:tc>
        <w:tc>
          <w:tcPr>
            <w:tcW w:w="3803" w:type="pct"/>
          </w:tcPr>
          <w:p w:rsidR="006E4832" w:rsidRPr="004F4352" w:rsidRDefault="006E4832" w:rsidP="00FA0110">
            <w:pPr>
              <w:pStyle w:val="Textpoznpodarou"/>
              <w:jc w:val="both"/>
              <w:rPr>
                <w:lang w:val="en-GB"/>
              </w:rPr>
            </w:pPr>
            <w:r>
              <w:rPr>
                <w:spacing w:val="-4"/>
                <w:lang w:val="en-GB"/>
              </w:rPr>
              <w:t xml:space="preserve">The economic growth was equally distributed between the manufacturing and the services sector on the supply side. Gross value added of the industry as a whole increased by </w:t>
            </w:r>
            <w:r w:rsidRPr="004F4352">
              <w:rPr>
                <w:lang w:val="en-GB"/>
              </w:rPr>
              <w:t>5</w:t>
            </w:r>
            <w:r>
              <w:rPr>
                <w:lang w:val="en-GB"/>
              </w:rPr>
              <w:t>.6</w:t>
            </w:r>
            <w:r w:rsidRPr="004F4352">
              <w:rPr>
                <w:lang w:val="en-GB"/>
              </w:rPr>
              <w:t>%</w:t>
            </w:r>
            <w:r>
              <w:rPr>
                <w:lang w:val="en-GB"/>
              </w:rPr>
              <w:t xml:space="preserve"> in the last year and participated on the economic growth </w:t>
            </w:r>
            <w:r w:rsidRPr="004F4352">
              <w:rPr>
                <w:lang w:val="en-GB"/>
              </w:rPr>
              <w:t>+1</w:t>
            </w:r>
            <w:r>
              <w:rPr>
                <w:lang w:val="en-GB"/>
              </w:rPr>
              <w:t>.8 </w:t>
            </w:r>
            <w:r w:rsidRPr="004F4352">
              <w:rPr>
                <w:lang w:val="en-GB"/>
              </w:rPr>
              <w:t>p.</w:t>
            </w:r>
            <w:r>
              <w:rPr>
                <w:lang w:val="en-GB"/>
              </w:rPr>
              <w:t>p</w:t>
            </w:r>
            <w:r w:rsidRPr="004F4352">
              <w:rPr>
                <w:lang w:val="en-GB"/>
              </w:rPr>
              <w:t>.,</w:t>
            </w:r>
            <w:r>
              <w:rPr>
                <w:lang w:val="en-GB"/>
              </w:rPr>
              <w:t xml:space="preserve"> the manufacturing itself recorded </w:t>
            </w:r>
            <w:r w:rsidRPr="004F4352">
              <w:rPr>
                <w:lang w:val="en-GB"/>
              </w:rPr>
              <w:t>+7</w:t>
            </w:r>
            <w:r>
              <w:rPr>
                <w:lang w:val="en-GB"/>
              </w:rPr>
              <w:t>.3</w:t>
            </w:r>
            <w:r w:rsidRPr="004F4352">
              <w:rPr>
                <w:lang w:val="en-GB"/>
              </w:rPr>
              <w:t>% a</w:t>
            </w:r>
            <w:r>
              <w:rPr>
                <w:lang w:val="en-GB"/>
              </w:rPr>
              <w:t xml:space="preserve">nd added </w:t>
            </w:r>
            <w:r w:rsidRPr="004F4352">
              <w:rPr>
                <w:lang w:val="en-GB"/>
              </w:rPr>
              <w:t>+1</w:t>
            </w:r>
            <w:r>
              <w:rPr>
                <w:lang w:val="en-GB"/>
              </w:rPr>
              <w:t>.</w:t>
            </w:r>
            <w:r w:rsidRPr="004F4352">
              <w:rPr>
                <w:lang w:val="en-GB"/>
              </w:rPr>
              <w:t>9 p.</w:t>
            </w:r>
            <w:r>
              <w:rPr>
                <w:lang w:val="en-GB"/>
              </w:rPr>
              <w:t>p</w:t>
            </w:r>
            <w:r w:rsidRPr="004F4352">
              <w:rPr>
                <w:lang w:val="en-GB"/>
              </w:rPr>
              <w:t>.</w:t>
            </w:r>
            <w:r>
              <w:rPr>
                <w:lang w:val="en-GB"/>
              </w:rPr>
              <w:t xml:space="preserve"> Other industrial branches </w:t>
            </w:r>
            <w:r w:rsidRPr="004F4352">
              <w:rPr>
                <w:lang w:val="en-GB"/>
              </w:rPr>
              <w:t xml:space="preserve">– </w:t>
            </w:r>
            <w:r>
              <w:rPr>
                <w:lang w:val="en-GB"/>
              </w:rPr>
              <w:t>mining and quarrying</w:t>
            </w:r>
            <w:r w:rsidRPr="004F4352">
              <w:rPr>
                <w:lang w:val="en-GB"/>
              </w:rPr>
              <w:t xml:space="preserve">, </w:t>
            </w:r>
            <w:proofErr w:type="spellStart"/>
            <w:r w:rsidRPr="004F4352">
              <w:rPr>
                <w:lang w:val="en-GB"/>
              </w:rPr>
              <w:t>energeti</w:t>
            </w:r>
            <w:r>
              <w:rPr>
                <w:lang w:val="en-GB"/>
              </w:rPr>
              <w:t>cs</w:t>
            </w:r>
            <w:proofErr w:type="spellEnd"/>
            <w:r w:rsidRPr="004F4352">
              <w:rPr>
                <w:lang w:val="en-GB"/>
              </w:rPr>
              <w:t xml:space="preserve">, </w:t>
            </w:r>
            <w:r>
              <w:rPr>
                <w:lang w:val="en-GB"/>
              </w:rPr>
              <w:t xml:space="preserve">water supply </w:t>
            </w:r>
            <w:r w:rsidRPr="004F4352">
              <w:rPr>
                <w:lang w:val="en-GB"/>
              </w:rPr>
              <w:t xml:space="preserve">– </w:t>
            </w:r>
            <w:r>
              <w:rPr>
                <w:lang w:val="en-GB"/>
              </w:rPr>
              <w:t>were declining (</w:t>
            </w:r>
            <w:r w:rsidRPr="004F4352">
              <w:rPr>
                <w:lang w:val="en-GB"/>
              </w:rPr>
              <w:t>-0</w:t>
            </w:r>
            <w:r>
              <w:rPr>
                <w:lang w:val="en-GB"/>
              </w:rPr>
              <w:t>.</w:t>
            </w:r>
            <w:r w:rsidRPr="004F4352">
              <w:rPr>
                <w:lang w:val="en-GB"/>
              </w:rPr>
              <w:t>1 p.p.).</w:t>
            </w:r>
            <w:r>
              <w:rPr>
                <w:lang w:val="en-GB"/>
              </w:rPr>
              <w:t xml:space="preserve"> Services hiked up by 3</w:t>
            </w:r>
            <w:r w:rsidRPr="004F4352">
              <w:rPr>
                <w:lang w:val="en-GB"/>
              </w:rPr>
              <w:t>% a</w:t>
            </w:r>
            <w:r>
              <w:rPr>
                <w:lang w:val="en-GB"/>
              </w:rPr>
              <w:t xml:space="preserve">nd contributed </w:t>
            </w:r>
            <w:r w:rsidRPr="004F4352">
              <w:rPr>
                <w:lang w:val="en-GB"/>
              </w:rPr>
              <w:t>+1</w:t>
            </w:r>
            <w:r>
              <w:rPr>
                <w:lang w:val="en-GB"/>
              </w:rPr>
              <w:t>.</w:t>
            </w:r>
            <w:r w:rsidRPr="004F4352">
              <w:rPr>
                <w:lang w:val="en-GB"/>
              </w:rPr>
              <w:t>8 p.</w:t>
            </w:r>
            <w:r>
              <w:rPr>
                <w:lang w:val="en-GB"/>
              </w:rPr>
              <w:t>p</w:t>
            </w:r>
            <w:r w:rsidRPr="004F4352">
              <w:rPr>
                <w:lang w:val="en-GB"/>
              </w:rPr>
              <w:t>.</w:t>
            </w:r>
            <w:r>
              <w:rPr>
                <w:lang w:val="en-GB"/>
              </w:rPr>
              <w:t xml:space="preserve"> to the growth</w:t>
            </w:r>
            <w:r w:rsidRPr="004F4352">
              <w:rPr>
                <w:lang w:val="en-GB"/>
              </w:rPr>
              <w:t xml:space="preserve">, </w:t>
            </w:r>
            <w:r>
              <w:rPr>
                <w:lang w:val="en-GB"/>
              </w:rPr>
              <w:t xml:space="preserve">with the important fact, that a wider spectrum of branches prospered in comparison to </w:t>
            </w:r>
            <w:r w:rsidRPr="004F4352">
              <w:rPr>
                <w:spacing w:val="-2"/>
                <w:lang w:val="en-GB"/>
              </w:rPr>
              <w:t xml:space="preserve">2014. </w:t>
            </w:r>
            <w:r>
              <w:rPr>
                <w:spacing w:val="-2"/>
                <w:lang w:val="en-GB"/>
              </w:rPr>
              <w:t xml:space="preserve">Trade, transportation, accommodation and food service </w:t>
            </w:r>
            <w:r>
              <w:rPr>
                <w:lang w:val="en-GB"/>
              </w:rPr>
              <w:t xml:space="preserve">added together </w:t>
            </w:r>
            <w:r w:rsidRPr="004F4352">
              <w:rPr>
                <w:lang w:val="en-GB"/>
              </w:rPr>
              <w:t>+0</w:t>
            </w:r>
            <w:r>
              <w:rPr>
                <w:lang w:val="en-GB"/>
              </w:rPr>
              <w:t>.</w:t>
            </w:r>
            <w:r w:rsidRPr="004F4352">
              <w:rPr>
                <w:lang w:val="en-GB"/>
              </w:rPr>
              <w:t>4 p.</w:t>
            </w:r>
            <w:r>
              <w:rPr>
                <w:lang w:val="en-GB"/>
              </w:rPr>
              <w:t>p</w:t>
            </w:r>
            <w:r w:rsidRPr="004F4352">
              <w:rPr>
                <w:lang w:val="en-GB"/>
              </w:rPr>
              <w:t xml:space="preserve">., </w:t>
            </w:r>
            <w:r>
              <w:rPr>
                <w:lang w:val="en-GB"/>
              </w:rPr>
              <w:t xml:space="preserve">the branches with a dominance of public sector </w:t>
            </w:r>
            <w:r w:rsidRPr="004F4352">
              <w:rPr>
                <w:lang w:val="en-GB"/>
              </w:rPr>
              <w:t>(CZ-NACE O</w:t>
            </w:r>
            <w:r>
              <w:rPr>
                <w:lang w:val="en-GB"/>
              </w:rPr>
              <w:t xml:space="preserve"> to </w:t>
            </w:r>
            <w:r w:rsidRPr="004F4352">
              <w:rPr>
                <w:lang w:val="en-GB"/>
              </w:rPr>
              <w:t>Q)</w:t>
            </w:r>
            <w:r>
              <w:rPr>
                <w:lang w:val="en-GB"/>
              </w:rPr>
              <w:t xml:space="preserve"> also participated by an equal share on the economic growth</w:t>
            </w:r>
            <w:r w:rsidRPr="004F4352">
              <w:rPr>
                <w:lang w:val="en-GB"/>
              </w:rPr>
              <w:t xml:space="preserve">. </w:t>
            </w:r>
            <w:r>
              <w:rPr>
                <w:lang w:val="en-GB"/>
              </w:rPr>
              <w:t>Fast growing information and communication (+7</w:t>
            </w:r>
            <w:r w:rsidRPr="004F4352">
              <w:rPr>
                <w:lang w:val="en-GB"/>
              </w:rPr>
              <w:t xml:space="preserve">%) </w:t>
            </w:r>
            <w:r>
              <w:rPr>
                <w:lang w:val="en-GB"/>
              </w:rPr>
              <w:t xml:space="preserve">contributed </w:t>
            </w:r>
            <w:r w:rsidRPr="004F4352">
              <w:rPr>
                <w:lang w:val="en-GB"/>
              </w:rPr>
              <w:t>+0</w:t>
            </w:r>
            <w:r>
              <w:rPr>
                <w:lang w:val="en-GB"/>
              </w:rPr>
              <w:t>.</w:t>
            </w:r>
            <w:r w:rsidRPr="004F4352">
              <w:rPr>
                <w:lang w:val="en-GB"/>
              </w:rPr>
              <w:t>3 p.</w:t>
            </w:r>
            <w:r>
              <w:rPr>
                <w:lang w:val="en-GB"/>
              </w:rPr>
              <w:t>p</w:t>
            </w:r>
            <w:r w:rsidRPr="004F4352">
              <w:rPr>
                <w:lang w:val="en-GB"/>
              </w:rPr>
              <w:t>.,</w:t>
            </w:r>
            <w:r>
              <w:rPr>
                <w:lang w:val="en-GB"/>
              </w:rPr>
              <w:t xml:space="preserve"> the same as the professional, scientific, technical and administrative activities, that are more significant by weight</w:t>
            </w:r>
            <w:r w:rsidRPr="004F4352">
              <w:rPr>
                <w:lang w:val="en-GB"/>
              </w:rPr>
              <w:t>.</w:t>
            </w:r>
          </w:p>
          <w:p w:rsidR="006E4832" w:rsidRPr="00906D0C" w:rsidRDefault="006E4832" w:rsidP="00FA0110">
            <w:pPr>
              <w:pStyle w:val="Textpoznpodarou"/>
              <w:jc w:val="both"/>
              <w:rPr>
                <w:lang w:val="en-GB"/>
              </w:rPr>
            </w:pPr>
          </w:p>
        </w:tc>
      </w:tr>
      <w:tr w:rsidR="006E4832" w:rsidRPr="002A7D6D" w:rsidTr="00FA0110">
        <w:tc>
          <w:tcPr>
            <w:tcW w:w="1054" w:type="pct"/>
          </w:tcPr>
          <w:p w:rsidR="006E4832" w:rsidRPr="0056640C" w:rsidRDefault="006E4832" w:rsidP="00FA0110">
            <w:pPr>
              <w:spacing w:line="240" w:lineRule="auto"/>
              <w:rPr>
                <w:sz w:val="16"/>
                <w:szCs w:val="16"/>
                <w:lang w:val="en-GB"/>
              </w:rPr>
            </w:pPr>
            <w:r w:rsidRPr="0056640C">
              <w:rPr>
                <w:sz w:val="16"/>
                <w:szCs w:val="16"/>
                <w:lang w:val="en-GB"/>
              </w:rPr>
              <w:t xml:space="preserve">… </w:t>
            </w:r>
            <w:proofErr w:type="gramStart"/>
            <w:r w:rsidRPr="0056640C">
              <w:rPr>
                <w:sz w:val="16"/>
                <w:szCs w:val="16"/>
                <w:lang w:val="en-GB"/>
              </w:rPr>
              <w:t>the</w:t>
            </w:r>
            <w:proofErr w:type="gramEnd"/>
            <w:r w:rsidRPr="0056640C">
              <w:rPr>
                <w:sz w:val="16"/>
                <w:szCs w:val="16"/>
                <w:lang w:val="en-GB"/>
              </w:rPr>
              <w:t xml:space="preserve"> contribution of construction remained the same as in the preceding year (+0.2 p.p.)</w:t>
            </w:r>
          </w:p>
        </w:tc>
        <w:tc>
          <w:tcPr>
            <w:tcW w:w="143" w:type="pct"/>
          </w:tcPr>
          <w:p w:rsidR="006E4832" w:rsidRPr="0056640C" w:rsidRDefault="006E4832" w:rsidP="00FA0110">
            <w:pPr>
              <w:pStyle w:val="Textpoznpodarou"/>
              <w:jc w:val="both"/>
              <w:rPr>
                <w:lang w:val="en-GB"/>
              </w:rPr>
            </w:pPr>
          </w:p>
        </w:tc>
        <w:tc>
          <w:tcPr>
            <w:tcW w:w="3803" w:type="pct"/>
          </w:tcPr>
          <w:p w:rsidR="006E4832" w:rsidRPr="0056640C" w:rsidRDefault="006E4832" w:rsidP="00FA0110">
            <w:pPr>
              <w:pStyle w:val="Textpoznpodarou"/>
              <w:jc w:val="both"/>
              <w:rPr>
                <w:lang w:val="en-GB"/>
              </w:rPr>
            </w:pPr>
            <w:r w:rsidRPr="0056640C">
              <w:rPr>
                <w:lang w:val="en-GB"/>
              </w:rPr>
              <w:t>The inflow of finances into construction from the EU funds ensured, that this branch was growing by a solid pace also in the last year. The contribution to the total growth did not change and stayed the same as in year 2014 (+</w:t>
            </w:r>
            <w:proofErr w:type="gramStart"/>
            <w:r w:rsidRPr="0056640C">
              <w:rPr>
                <w:lang w:val="en-GB"/>
              </w:rPr>
              <w:t>0.2 p.p</w:t>
            </w:r>
            <w:proofErr w:type="gramEnd"/>
            <w:r w:rsidRPr="0056640C">
              <w:rPr>
                <w:lang w:val="en-GB"/>
              </w:rPr>
              <w:t xml:space="preserve">.). Agriculture, forestry and fishing however slowed down due to the high basis associated with a very good harvest and did not share in the growth. </w:t>
            </w:r>
          </w:p>
        </w:tc>
      </w:tr>
    </w:tbl>
    <w:p w:rsidR="00977343" w:rsidRDefault="00977343" w:rsidP="00960769">
      <w:pPr>
        <w:pStyle w:val="Textpoznpodarou"/>
        <w:jc w:val="both"/>
      </w:pPr>
    </w:p>
    <w:p w:rsidR="00977343" w:rsidRDefault="00977343" w:rsidP="00960769">
      <w:pPr>
        <w:pStyle w:val="Textpoznpodarou"/>
        <w:jc w:val="both"/>
      </w:pPr>
    </w:p>
    <w:p w:rsidR="00977343" w:rsidRDefault="00977343" w:rsidP="00960769">
      <w:pPr>
        <w:pStyle w:val="Textpoznpodarou"/>
        <w:jc w:val="both"/>
      </w:pPr>
    </w:p>
    <w:p w:rsidR="00977343" w:rsidRDefault="00977343" w:rsidP="00960769">
      <w:pPr>
        <w:pStyle w:val="Textpoznpodarou"/>
        <w:jc w:val="both"/>
      </w:pPr>
    </w:p>
    <w:p w:rsidR="00977343" w:rsidRDefault="00977343" w:rsidP="00960769">
      <w:pPr>
        <w:pStyle w:val="Textpoznpodarou"/>
        <w:jc w:val="both"/>
      </w:pPr>
    </w:p>
    <w:p w:rsidR="00977343" w:rsidRDefault="00977343" w:rsidP="00960769">
      <w:pPr>
        <w:pStyle w:val="Textpoznpodarou"/>
        <w:jc w:val="both"/>
      </w:pPr>
    </w:p>
    <w:p w:rsidR="00977343" w:rsidRDefault="00977343" w:rsidP="00960769">
      <w:pPr>
        <w:pStyle w:val="Textpoznpodarou"/>
        <w:jc w:val="both"/>
      </w:pPr>
    </w:p>
    <w:p w:rsidR="00977343" w:rsidRDefault="00977343" w:rsidP="00960769">
      <w:pPr>
        <w:pStyle w:val="Textpoznpodarou"/>
        <w:jc w:val="both"/>
      </w:pPr>
    </w:p>
    <w:p w:rsidR="00977343" w:rsidRDefault="00977343" w:rsidP="00960769">
      <w:pPr>
        <w:pStyle w:val="Textpoznpodarou"/>
        <w:jc w:val="both"/>
      </w:pPr>
    </w:p>
    <w:tbl>
      <w:tblPr>
        <w:tblW w:w="5000" w:type="pct"/>
        <w:tblLayout w:type="fixed"/>
        <w:tblLook w:val="04A0"/>
      </w:tblPr>
      <w:tblGrid>
        <w:gridCol w:w="1062"/>
        <w:gridCol w:w="3867"/>
        <w:gridCol w:w="717"/>
        <w:gridCol w:w="4208"/>
      </w:tblGrid>
      <w:tr w:rsidR="006E4832" w:rsidRPr="00C47694" w:rsidTr="00126DD1">
        <w:tc>
          <w:tcPr>
            <w:tcW w:w="539" w:type="pct"/>
          </w:tcPr>
          <w:p w:rsidR="006E4832" w:rsidRPr="00FF314F" w:rsidRDefault="006E4832" w:rsidP="00FA0110">
            <w:pPr>
              <w:pStyle w:val="Textpoznpodarou"/>
              <w:rPr>
                <w:lang w:eastAsia="en-US"/>
              </w:rPr>
            </w:pPr>
            <w:r>
              <w:rPr>
                <w:lang w:eastAsia="en-US"/>
              </w:rPr>
              <w:lastRenderedPageBreak/>
              <w:t xml:space="preserve">Chart </w:t>
            </w:r>
            <w:r w:rsidRPr="00FF314F">
              <w:rPr>
                <w:lang w:eastAsia="en-US"/>
              </w:rPr>
              <w:t>1</w:t>
            </w:r>
          </w:p>
        </w:tc>
        <w:tc>
          <w:tcPr>
            <w:tcW w:w="1962" w:type="pct"/>
          </w:tcPr>
          <w:p w:rsidR="006E4832" w:rsidRPr="00FF314F" w:rsidRDefault="006E4832" w:rsidP="00FA0110">
            <w:pPr>
              <w:pStyle w:val="Textpoznpodarou"/>
              <w:rPr>
                <w:lang w:eastAsia="en-US"/>
              </w:rPr>
            </w:pPr>
            <w:r>
              <w:rPr>
                <w:b/>
                <w:lang w:eastAsia="en-US"/>
              </w:rPr>
              <w:t>GDP</w:t>
            </w:r>
            <w:r w:rsidRPr="00960769">
              <w:rPr>
                <w:b/>
                <w:lang w:eastAsia="en-US"/>
              </w:rPr>
              <w:t xml:space="preserve"> </w:t>
            </w:r>
            <w:r w:rsidRPr="00FF314F">
              <w:rPr>
                <w:lang w:eastAsia="en-US"/>
              </w:rPr>
              <w:t>(</w:t>
            </w:r>
            <w:r w:rsidRPr="00C72A00">
              <w:rPr>
                <w:lang w:val="en-GB" w:eastAsia="en-US"/>
              </w:rPr>
              <w:t>constant prices, adjusted for seasonal and calendar effects, in</w:t>
            </w:r>
            <w:r>
              <w:rPr>
                <w:lang w:val="en-GB" w:eastAsia="en-US"/>
              </w:rPr>
              <w:t xml:space="preserve"> </w:t>
            </w:r>
            <w:r w:rsidRPr="00C72A00">
              <w:rPr>
                <w:lang w:val="en-GB" w:eastAsia="en-US"/>
              </w:rPr>
              <w:t>%)</w:t>
            </w:r>
          </w:p>
        </w:tc>
        <w:tc>
          <w:tcPr>
            <w:tcW w:w="364" w:type="pct"/>
          </w:tcPr>
          <w:p w:rsidR="006E4832" w:rsidRPr="00FF314F" w:rsidRDefault="006E4832" w:rsidP="00FA0110">
            <w:pPr>
              <w:pStyle w:val="Textpoznpodarou"/>
              <w:rPr>
                <w:lang w:eastAsia="en-US"/>
              </w:rPr>
            </w:pPr>
            <w:r>
              <w:rPr>
                <w:lang w:eastAsia="en-US"/>
              </w:rPr>
              <w:t xml:space="preserve">Chart </w:t>
            </w:r>
            <w:r w:rsidRPr="00FF314F">
              <w:rPr>
                <w:lang w:eastAsia="en-US"/>
              </w:rPr>
              <w:t>2</w:t>
            </w:r>
          </w:p>
        </w:tc>
        <w:tc>
          <w:tcPr>
            <w:tcW w:w="2135" w:type="pct"/>
          </w:tcPr>
          <w:p w:rsidR="006E4832" w:rsidRPr="00C47694" w:rsidRDefault="006E4832" w:rsidP="00FA0110">
            <w:pPr>
              <w:pStyle w:val="Textpoznpodarou"/>
              <w:rPr>
                <w:spacing w:val="-2"/>
                <w:lang w:val="en-GB" w:eastAsia="en-US"/>
              </w:rPr>
            </w:pPr>
            <w:r w:rsidRPr="00C47694">
              <w:rPr>
                <w:b/>
                <w:spacing w:val="-2"/>
                <w:lang w:val="en-GB" w:eastAsia="en-US"/>
              </w:rPr>
              <w:t xml:space="preserve">GDP </w:t>
            </w:r>
            <w:r w:rsidRPr="00C47694">
              <w:rPr>
                <w:spacing w:val="-2"/>
                <w:lang w:val="en-GB" w:eastAsia="en-US"/>
              </w:rPr>
              <w:t xml:space="preserve">(constant prices, adjusted for seasonal and calendar effects, y/y in %, right axis) </w:t>
            </w:r>
            <w:r w:rsidRPr="00C47694">
              <w:rPr>
                <w:b/>
                <w:spacing w:val="-2"/>
                <w:lang w:val="en-GB" w:eastAsia="en-US"/>
              </w:rPr>
              <w:t xml:space="preserve">and confidence indicators </w:t>
            </w:r>
            <w:r w:rsidRPr="00C47694">
              <w:rPr>
                <w:spacing w:val="-2"/>
                <w:lang w:val="en-GB" w:eastAsia="en-US"/>
              </w:rPr>
              <w:t>(2005=100, left axis)</w:t>
            </w:r>
          </w:p>
        </w:tc>
      </w:tr>
      <w:tr w:rsidR="006E4832" w:rsidRPr="006133A2" w:rsidTr="00126DD1">
        <w:tc>
          <w:tcPr>
            <w:tcW w:w="2501" w:type="pct"/>
            <w:gridSpan w:val="2"/>
          </w:tcPr>
          <w:p w:rsidR="006E4832" w:rsidRPr="00960769" w:rsidRDefault="006E4832" w:rsidP="00FA0110">
            <w:pPr>
              <w:pStyle w:val="Textpoznpodarou"/>
              <w:jc w:val="both"/>
              <w:rPr>
                <w:color w:val="FF0000"/>
                <w:lang w:eastAsia="en-US"/>
              </w:rPr>
            </w:pPr>
            <w:r w:rsidRPr="008211C3">
              <w:rPr>
                <w:noProof/>
                <w:color w:val="FF0000"/>
              </w:rPr>
              <w:drawing>
                <wp:inline distT="0" distB="0" distL="0" distR="0">
                  <wp:extent cx="3017520" cy="2377440"/>
                  <wp:effectExtent l="19050" t="0" r="0" b="0"/>
                  <wp:docPr id="2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3017520" cy="2377440"/>
                          </a:xfrm>
                          <a:prstGeom prst="rect">
                            <a:avLst/>
                          </a:prstGeom>
                          <a:noFill/>
                        </pic:spPr>
                      </pic:pic>
                    </a:graphicData>
                  </a:graphic>
                </wp:inline>
              </w:drawing>
            </w:r>
          </w:p>
        </w:tc>
        <w:tc>
          <w:tcPr>
            <w:tcW w:w="2499" w:type="pct"/>
            <w:gridSpan w:val="2"/>
          </w:tcPr>
          <w:p w:rsidR="006E4832" w:rsidRPr="00960769" w:rsidRDefault="006E4832" w:rsidP="00FA0110">
            <w:pPr>
              <w:pStyle w:val="Textpoznpodarou"/>
              <w:jc w:val="both"/>
              <w:rPr>
                <w:color w:val="FF0000"/>
                <w:lang w:eastAsia="en-US"/>
              </w:rPr>
            </w:pPr>
            <w:r w:rsidRPr="008211C3">
              <w:rPr>
                <w:noProof/>
                <w:color w:val="FF0000"/>
              </w:rPr>
              <w:drawing>
                <wp:inline distT="0" distB="0" distL="0" distR="0">
                  <wp:extent cx="3005455" cy="2377440"/>
                  <wp:effectExtent l="19050" t="0" r="4445" b="0"/>
                  <wp:docPr id="3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3005455" cy="2377440"/>
                          </a:xfrm>
                          <a:prstGeom prst="rect">
                            <a:avLst/>
                          </a:prstGeom>
                          <a:noFill/>
                        </pic:spPr>
                      </pic:pic>
                    </a:graphicData>
                  </a:graphic>
                </wp:inline>
              </w:drawing>
            </w:r>
          </w:p>
        </w:tc>
      </w:tr>
      <w:tr w:rsidR="006E4832" w:rsidRPr="006133A2" w:rsidTr="00126DD1">
        <w:tc>
          <w:tcPr>
            <w:tcW w:w="5000" w:type="pct"/>
            <w:gridSpan w:val="4"/>
          </w:tcPr>
          <w:p w:rsidR="006E4832" w:rsidRPr="00960769" w:rsidRDefault="006E4832" w:rsidP="00FA0110">
            <w:pPr>
              <w:pStyle w:val="Textpoznpodarou"/>
              <w:jc w:val="right"/>
              <w:rPr>
                <w:sz w:val="18"/>
                <w:szCs w:val="18"/>
                <w:lang w:eastAsia="en-US"/>
              </w:rPr>
            </w:pPr>
            <w:proofErr w:type="spellStart"/>
            <w:r>
              <w:rPr>
                <w:sz w:val="18"/>
                <w:szCs w:val="18"/>
                <w:lang w:eastAsia="en-US"/>
              </w:rPr>
              <w:t>Source</w:t>
            </w:r>
            <w:proofErr w:type="spellEnd"/>
            <w:r w:rsidRPr="00960769">
              <w:rPr>
                <w:sz w:val="18"/>
                <w:szCs w:val="18"/>
                <w:lang w:eastAsia="en-US"/>
              </w:rPr>
              <w:t xml:space="preserve">: </w:t>
            </w:r>
            <w:r>
              <w:rPr>
                <w:sz w:val="18"/>
                <w:szCs w:val="18"/>
                <w:lang w:eastAsia="en-US"/>
              </w:rPr>
              <w:t>CZSO</w:t>
            </w:r>
            <w:r w:rsidRPr="00960769">
              <w:rPr>
                <w:sz w:val="18"/>
                <w:szCs w:val="18"/>
                <w:lang w:eastAsia="en-US"/>
              </w:rPr>
              <w:t xml:space="preserve">, </w:t>
            </w:r>
            <w:proofErr w:type="spellStart"/>
            <w:r w:rsidRPr="00960769">
              <w:rPr>
                <w:sz w:val="18"/>
                <w:szCs w:val="18"/>
                <w:lang w:eastAsia="en-US"/>
              </w:rPr>
              <w:t>Eurostat</w:t>
            </w:r>
            <w:proofErr w:type="spellEnd"/>
          </w:p>
        </w:tc>
      </w:tr>
    </w:tbl>
    <w:p w:rsidR="00977343" w:rsidRDefault="00977343" w:rsidP="00960769">
      <w:pPr>
        <w:pStyle w:val="Textpoznpodarou"/>
        <w:jc w:val="both"/>
      </w:pPr>
    </w:p>
    <w:tbl>
      <w:tblPr>
        <w:tblW w:w="5000" w:type="pct"/>
        <w:tblLook w:val="04A0"/>
      </w:tblPr>
      <w:tblGrid>
        <w:gridCol w:w="816"/>
        <w:gridCol w:w="4104"/>
        <w:gridCol w:w="1009"/>
        <w:gridCol w:w="1393"/>
        <w:gridCol w:w="2532"/>
      </w:tblGrid>
      <w:tr w:rsidR="006E4832" w:rsidRPr="006133A2" w:rsidTr="00126DD1">
        <w:tc>
          <w:tcPr>
            <w:tcW w:w="415" w:type="pct"/>
          </w:tcPr>
          <w:p w:rsidR="006E4832" w:rsidRPr="00FF314F" w:rsidRDefault="006E4832" w:rsidP="00FA0110">
            <w:pPr>
              <w:pStyle w:val="Textpoznpodarou"/>
              <w:rPr>
                <w:lang w:eastAsia="en-US"/>
              </w:rPr>
            </w:pPr>
            <w:r>
              <w:rPr>
                <w:lang w:eastAsia="en-US"/>
              </w:rPr>
              <w:t>Chart</w:t>
            </w:r>
            <w:r w:rsidRPr="00FF314F">
              <w:rPr>
                <w:lang w:eastAsia="en-US"/>
              </w:rPr>
              <w:t xml:space="preserve"> 3</w:t>
            </w:r>
          </w:p>
        </w:tc>
        <w:tc>
          <w:tcPr>
            <w:tcW w:w="2095" w:type="pct"/>
          </w:tcPr>
          <w:p w:rsidR="006E4832" w:rsidRPr="007E3720" w:rsidRDefault="006E4832" w:rsidP="00FA0110">
            <w:pPr>
              <w:pStyle w:val="Textpoznpodarou"/>
              <w:rPr>
                <w:spacing w:val="-6"/>
                <w:lang w:val="en-GB" w:eastAsia="en-US"/>
              </w:rPr>
            </w:pPr>
            <w:r w:rsidRPr="007E3720">
              <w:rPr>
                <w:b/>
                <w:spacing w:val="-6"/>
                <w:lang w:val="en-GB" w:eastAsia="en-US"/>
              </w:rPr>
              <w:t>Contributions of expenditure items to GDP change*</w:t>
            </w:r>
            <w:r w:rsidRPr="007E3720">
              <w:rPr>
                <w:spacing w:val="-6"/>
                <w:lang w:val="en-GB" w:eastAsia="en-US"/>
              </w:rPr>
              <w:t xml:space="preserve"> (constant prices, y/y, contributions in p.p., GDP in %)</w:t>
            </w:r>
          </w:p>
        </w:tc>
        <w:tc>
          <w:tcPr>
            <w:tcW w:w="509" w:type="pct"/>
          </w:tcPr>
          <w:p w:rsidR="006E4832" w:rsidRPr="007E3720" w:rsidRDefault="006E4832" w:rsidP="00FA0110">
            <w:pPr>
              <w:pStyle w:val="Textpoznpodarou"/>
              <w:rPr>
                <w:lang w:val="en-GB" w:eastAsia="en-US"/>
              </w:rPr>
            </w:pPr>
            <w:r w:rsidRPr="007E3720">
              <w:rPr>
                <w:lang w:val="en-GB" w:eastAsia="en-US"/>
              </w:rPr>
              <w:t>Chart 4</w:t>
            </w:r>
          </w:p>
        </w:tc>
        <w:tc>
          <w:tcPr>
            <w:tcW w:w="1982" w:type="pct"/>
            <w:gridSpan w:val="2"/>
          </w:tcPr>
          <w:p w:rsidR="006E4832" w:rsidRPr="007E3720" w:rsidRDefault="006E4832" w:rsidP="00FA0110">
            <w:pPr>
              <w:pStyle w:val="Textpoznpodarou"/>
              <w:rPr>
                <w:lang w:val="en-GB" w:eastAsia="en-US"/>
              </w:rPr>
            </w:pPr>
            <w:r w:rsidRPr="007E3720">
              <w:rPr>
                <w:b/>
                <w:lang w:val="en-GB" w:eastAsia="en-US"/>
              </w:rPr>
              <w:t>Contributions of branches to change in GVA</w:t>
            </w:r>
            <w:r w:rsidRPr="007E3720">
              <w:rPr>
                <w:lang w:val="en-GB" w:eastAsia="en-US"/>
              </w:rPr>
              <w:t xml:space="preserve"> (constant prices, y/y, contributions in p.p., GVA in %)</w:t>
            </w:r>
          </w:p>
        </w:tc>
      </w:tr>
      <w:tr w:rsidR="006E4832" w:rsidRPr="006133A2" w:rsidTr="00126DD1">
        <w:tc>
          <w:tcPr>
            <w:tcW w:w="2509" w:type="pct"/>
            <w:gridSpan w:val="2"/>
          </w:tcPr>
          <w:p w:rsidR="006E4832" w:rsidRPr="00960769" w:rsidRDefault="006E4832" w:rsidP="00FA0110">
            <w:pPr>
              <w:pStyle w:val="Textpoznpodarou"/>
              <w:jc w:val="both"/>
              <w:rPr>
                <w:color w:val="FF0000"/>
                <w:sz w:val="22"/>
                <w:lang w:eastAsia="en-US"/>
              </w:rPr>
            </w:pPr>
            <w:r w:rsidRPr="008211C3">
              <w:rPr>
                <w:noProof/>
                <w:color w:val="FF0000"/>
                <w:sz w:val="22"/>
              </w:rPr>
              <w:drawing>
                <wp:inline distT="0" distB="0" distL="0" distR="0">
                  <wp:extent cx="3005455" cy="2377440"/>
                  <wp:effectExtent l="19050" t="0" r="4445" b="0"/>
                  <wp:docPr id="3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3005455" cy="2377440"/>
                          </a:xfrm>
                          <a:prstGeom prst="rect">
                            <a:avLst/>
                          </a:prstGeom>
                          <a:noFill/>
                        </pic:spPr>
                      </pic:pic>
                    </a:graphicData>
                  </a:graphic>
                </wp:inline>
              </w:drawing>
            </w:r>
          </w:p>
        </w:tc>
        <w:tc>
          <w:tcPr>
            <w:tcW w:w="2491" w:type="pct"/>
            <w:gridSpan w:val="3"/>
          </w:tcPr>
          <w:p w:rsidR="006E4832" w:rsidRPr="00960769" w:rsidRDefault="006E4832" w:rsidP="00FA0110">
            <w:pPr>
              <w:pStyle w:val="Textpoznpodarou"/>
              <w:jc w:val="both"/>
              <w:rPr>
                <w:color w:val="FF0000"/>
                <w:sz w:val="22"/>
                <w:lang w:eastAsia="en-US"/>
              </w:rPr>
            </w:pPr>
            <w:r w:rsidRPr="008211C3">
              <w:rPr>
                <w:noProof/>
                <w:color w:val="FF0000"/>
                <w:sz w:val="22"/>
              </w:rPr>
              <w:drawing>
                <wp:inline distT="0" distB="0" distL="0" distR="0">
                  <wp:extent cx="3017520" cy="2377440"/>
                  <wp:effectExtent l="19050" t="0" r="0" b="0"/>
                  <wp:docPr id="37"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3017520" cy="2377440"/>
                          </a:xfrm>
                          <a:prstGeom prst="rect">
                            <a:avLst/>
                          </a:prstGeom>
                          <a:noFill/>
                        </pic:spPr>
                      </pic:pic>
                    </a:graphicData>
                  </a:graphic>
                </wp:inline>
              </w:drawing>
            </w:r>
          </w:p>
        </w:tc>
      </w:tr>
      <w:tr w:rsidR="006E4832" w:rsidRPr="006133A2" w:rsidTr="00126DD1">
        <w:tc>
          <w:tcPr>
            <w:tcW w:w="3722" w:type="pct"/>
            <w:gridSpan w:val="4"/>
          </w:tcPr>
          <w:p w:rsidR="006E4832" w:rsidRPr="00960769" w:rsidRDefault="006E4832" w:rsidP="00FA0110">
            <w:pPr>
              <w:pStyle w:val="Textpoznpodarou"/>
              <w:rPr>
                <w:sz w:val="18"/>
                <w:szCs w:val="18"/>
                <w:lang w:eastAsia="en-US"/>
              </w:rPr>
            </w:pPr>
            <w:r w:rsidRPr="00960769">
              <w:rPr>
                <w:sz w:val="18"/>
                <w:szCs w:val="18"/>
                <w:lang w:eastAsia="en-US"/>
              </w:rPr>
              <w:t>*</w:t>
            </w:r>
            <w:r w:rsidRPr="00C47694">
              <w:rPr>
                <w:sz w:val="18"/>
                <w:szCs w:val="18"/>
                <w:lang w:val="en-GB" w:eastAsia="en-US"/>
              </w:rPr>
              <w:t xml:space="preserve">contributions to GDP </w:t>
            </w:r>
            <w:r>
              <w:rPr>
                <w:sz w:val="18"/>
                <w:szCs w:val="18"/>
                <w:lang w:val="en-GB" w:eastAsia="en-US"/>
              </w:rPr>
              <w:t>change not excluding the import</w:t>
            </w:r>
            <w:r w:rsidRPr="00C47694">
              <w:rPr>
                <w:sz w:val="18"/>
                <w:szCs w:val="18"/>
                <w:lang w:val="en-GB" w:eastAsia="en-US"/>
              </w:rPr>
              <w:t xml:space="preserve"> for final use</w:t>
            </w:r>
          </w:p>
        </w:tc>
        <w:tc>
          <w:tcPr>
            <w:tcW w:w="1278" w:type="pct"/>
          </w:tcPr>
          <w:p w:rsidR="006E4832" w:rsidRPr="00960769" w:rsidRDefault="006E4832" w:rsidP="00FA0110">
            <w:pPr>
              <w:pStyle w:val="Textpoznpodarou"/>
              <w:jc w:val="right"/>
              <w:rPr>
                <w:sz w:val="18"/>
                <w:szCs w:val="18"/>
                <w:lang w:eastAsia="en-US"/>
              </w:rPr>
            </w:pPr>
            <w:proofErr w:type="spellStart"/>
            <w:r>
              <w:rPr>
                <w:sz w:val="18"/>
                <w:szCs w:val="18"/>
                <w:lang w:eastAsia="en-US"/>
              </w:rPr>
              <w:t>Source</w:t>
            </w:r>
            <w:proofErr w:type="spellEnd"/>
            <w:r w:rsidRPr="00960769">
              <w:rPr>
                <w:sz w:val="18"/>
                <w:szCs w:val="18"/>
                <w:lang w:eastAsia="en-US"/>
              </w:rPr>
              <w:t xml:space="preserve">: </w:t>
            </w:r>
            <w:r>
              <w:rPr>
                <w:sz w:val="18"/>
                <w:szCs w:val="18"/>
                <w:lang w:eastAsia="en-US"/>
              </w:rPr>
              <w:t>CZSO</w:t>
            </w:r>
          </w:p>
        </w:tc>
      </w:tr>
    </w:tbl>
    <w:p w:rsidR="00977343" w:rsidRDefault="00977343" w:rsidP="00960769">
      <w:pPr>
        <w:pStyle w:val="Textpoznpodarou"/>
        <w:jc w:val="both"/>
      </w:pPr>
    </w:p>
    <w:p w:rsidR="00AA0F37" w:rsidRDefault="00AA0F37" w:rsidP="00960769">
      <w:pPr>
        <w:pStyle w:val="Textpoznpodarou"/>
        <w:jc w:val="both"/>
      </w:pPr>
    </w:p>
    <w:p w:rsidR="00576A3E" w:rsidRPr="00365CF1" w:rsidRDefault="00451DCC" w:rsidP="00FC3C84">
      <w:pPr>
        <w:pStyle w:val="Nadpis1"/>
        <w:numPr>
          <w:ilvl w:val="0"/>
          <w:numId w:val="3"/>
        </w:numPr>
        <w:jc w:val="both"/>
        <w:rPr>
          <w:lang w:val="en-GB"/>
        </w:rPr>
      </w:pPr>
      <w:bookmarkStart w:id="4" w:name="_Toc449604558"/>
      <w:r w:rsidRPr="00365CF1">
        <w:rPr>
          <w:lang w:val="en-GB"/>
        </w:rPr>
        <w:t>Branches Performance</w:t>
      </w:r>
      <w:bookmarkEnd w:id="4"/>
    </w:p>
    <w:tbl>
      <w:tblPr>
        <w:tblW w:w="4999" w:type="pct"/>
        <w:tblCellMar>
          <w:left w:w="28" w:type="dxa"/>
          <w:right w:w="28" w:type="dxa"/>
        </w:tblCellMar>
        <w:tblLook w:val="04A0"/>
      </w:tblPr>
      <w:tblGrid>
        <w:gridCol w:w="2113"/>
        <w:gridCol w:w="281"/>
        <w:gridCol w:w="7298"/>
      </w:tblGrid>
      <w:tr w:rsidR="00891FDE" w:rsidRPr="007E61CB" w:rsidTr="00FA0110">
        <w:tc>
          <w:tcPr>
            <w:tcW w:w="1090" w:type="pct"/>
          </w:tcPr>
          <w:p w:rsidR="00891FDE" w:rsidRPr="00365CF1" w:rsidRDefault="00891FDE" w:rsidP="00FA0110">
            <w:pPr>
              <w:spacing w:line="240" w:lineRule="auto"/>
              <w:rPr>
                <w:color w:val="0D0D0D" w:themeColor="text1" w:themeTint="F2"/>
                <w:sz w:val="16"/>
                <w:szCs w:val="16"/>
                <w:lang w:val="en-GB"/>
              </w:rPr>
            </w:pPr>
            <w:r>
              <w:rPr>
                <w:color w:val="0D0D0D" w:themeColor="text1" w:themeTint="F2"/>
                <w:sz w:val="16"/>
                <w:szCs w:val="16"/>
                <w:lang w:val="en-GB"/>
              </w:rPr>
              <w:t>Y</w:t>
            </w:r>
            <w:r w:rsidRPr="00365CF1">
              <w:rPr>
                <w:color w:val="0D0D0D" w:themeColor="text1" w:themeTint="F2"/>
                <w:sz w:val="16"/>
                <w:szCs w:val="16"/>
                <w:lang w:val="en-GB"/>
              </w:rPr>
              <w:t xml:space="preserve">ear-on-year dynamics of GVA was </w:t>
            </w:r>
            <w:r>
              <w:rPr>
                <w:color w:val="0D0D0D" w:themeColor="text1" w:themeTint="F2"/>
                <w:sz w:val="16"/>
                <w:szCs w:val="16"/>
                <w:lang w:val="en-GB"/>
              </w:rPr>
              <w:t xml:space="preserve">the </w:t>
            </w:r>
            <w:r w:rsidRPr="00365CF1">
              <w:rPr>
                <w:color w:val="0D0D0D" w:themeColor="text1" w:themeTint="F2"/>
                <w:sz w:val="16"/>
                <w:szCs w:val="16"/>
                <w:lang w:val="en-GB"/>
              </w:rPr>
              <w:t xml:space="preserve">highest in the last </w:t>
            </w:r>
            <w:r>
              <w:rPr>
                <w:color w:val="0D0D0D" w:themeColor="text1" w:themeTint="F2"/>
                <w:sz w:val="16"/>
                <w:szCs w:val="16"/>
                <w:lang w:val="en-GB"/>
              </w:rPr>
              <w:t xml:space="preserve">eight </w:t>
            </w:r>
            <w:r w:rsidRPr="00365CF1">
              <w:rPr>
                <w:color w:val="0D0D0D" w:themeColor="text1" w:themeTint="F2"/>
                <w:sz w:val="16"/>
                <w:szCs w:val="16"/>
                <w:lang w:val="en-GB"/>
              </w:rPr>
              <w:t xml:space="preserve">year in 2015 </w:t>
            </w:r>
          </w:p>
          <w:p w:rsidR="00891FDE" w:rsidRPr="00F266BD" w:rsidRDefault="00891FDE" w:rsidP="00FA0110">
            <w:pPr>
              <w:spacing w:line="240" w:lineRule="auto"/>
              <w:rPr>
                <w:color w:val="0D0D0D" w:themeColor="text1" w:themeTint="F2"/>
                <w:sz w:val="14"/>
                <w:szCs w:val="14"/>
                <w:lang w:val="en-GB"/>
              </w:rPr>
            </w:pPr>
          </w:p>
          <w:p w:rsidR="00891FDE" w:rsidRPr="009511A7" w:rsidRDefault="00891FDE" w:rsidP="00FA0110">
            <w:pPr>
              <w:spacing w:line="240" w:lineRule="auto"/>
              <w:rPr>
                <w:color w:val="0D0D0D" w:themeColor="text1" w:themeTint="F2"/>
                <w:spacing w:val="-4"/>
                <w:sz w:val="16"/>
                <w:szCs w:val="16"/>
                <w:lang w:val="en-GB"/>
              </w:rPr>
            </w:pPr>
            <w:r w:rsidRPr="009511A7">
              <w:rPr>
                <w:color w:val="0D0D0D" w:themeColor="text1" w:themeTint="F2"/>
                <w:spacing w:val="-4"/>
                <w:sz w:val="16"/>
                <w:szCs w:val="16"/>
                <w:lang w:val="en-GB"/>
              </w:rPr>
              <w:t xml:space="preserve">Manufacturing pulled the GVA growth in the CR, however the cluster of branches “trade, transportation, </w:t>
            </w:r>
            <w:proofErr w:type="spellStart"/>
            <w:r w:rsidRPr="009511A7">
              <w:rPr>
                <w:color w:val="0D0D0D" w:themeColor="text1" w:themeTint="F2"/>
                <w:spacing w:val="-4"/>
                <w:sz w:val="16"/>
                <w:szCs w:val="16"/>
                <w:lang w:val="en-GB"/>
              </w:rPr>
              <w:t>accommoda</w:t>
            </w:r>
            <w:r>
              <w:rPr>
                <w:color w:val="0D0D0D" w:themeColor="text1" w:themeTint="F2"/>
                <w:spacing w:val="-4"/>
                <w:sz w:val="16"/>
                <w:szCs w:val="16"/>
                <w:lang w:val="en-GB"/>
              </w:rPr>
              <w:t>-</w:t>
            </w:r>
            <w:r w:rsidRPr="009511A7">
              <w:rPr>
                <w:color w:val="0D0D0D" w:themeColor="text1" w:themeTint="F2"/>
                <w:spacing w:val="-4"/>
                <w:sz w:val="16"/>
                <w:szCs w:val="16"/>
                <w:lang w:val="en-GB"/>
              </w:rPr>
              <w:t>tion</w:t>
            </w:r>
            <w:proofErr w:type="spellEnd"/>
            <w:r w:rsidRPr="009511A7">
              <w:rPr>
                <w:color w:val="0D0D0D" w:themeColor="text1" w:themeTint="F2"/>
                <w:spacing w:val="-4"/>
                <w:sz w:val="16"/>
                <w:szCs w:val="16"/>
                <w:lang w:val="en-GB"/>
              </w:rPr>
              <w:t xml:space="preserve"> and food service activities” fulfils this role in the EU </w:t>
            </w:r>
          </w:p>
          <w:p w:rsidR="00891FDE" w:rsidRPr="000B1183" w:rsidRDefault="00891FDE" w:rsidP="00FA0110">
            <w:pPr>
              <w:spacing w:line="240" w:lineRule="auto"/>
              <w:rPr>
                <w:color w:val="0D0D0D" w:themeColor="text1" w:themeTint="F2"/>
                <w:sz w:val="12"/>
                <w:szCs w:val="12"/>
              </w:rPr>
            </w:pPr>
          </w:p>
        </w:tc>
        <w:tc>
          <w:tcPr>
            <w:tcW w:w="145" w:type="pct"/>
          </w:tcPr>
          <w:p w:rsidR="00891FDE" w:rsidRDefault="00891FDE" w:rsidP="00FA0110">
            <w:pPr>
              <w:pStyle w:val="Textpoznpodarou"/>
              <w:jc w:val="both"/>
            </w:pPr>
          </w:p>
        </w:tc>
        <w:tc>
          <w:tcPr>
            <w:tcW w:w="3765" w:type="pct"/>
          </w:tcPr>
          <w:p w:rsidR="00891FDE" w:rsidRDefault="00891FDE" w:rsidP="00FA0110">
            <w:pPr>
              <w:pStyle w:val="Textpoznpodarou"/>
              <w:jc w:val="both"/>
              <w:rPr>
                <w:color w:val="0D0D0D" w:themeColor="text1" w:themeTint="F2"/>
                <w:lang w:val="en-GB"/>
              </w:rPr>
            </w:pPr>
            <w:r w:rsidRPr="000935D1">
              <w:rPr>
                <w:color w:val="0D0D0D" w:themeColor="text1" w:themeTint="F2"/>
                <w:lang w:val="en-GB"/>
              </w:rPr>
              <w:t>Very good condition of the CR was permeating into all key branches in 2015</w:t>
            </w:r>
            <w:r w:rsidRPr="000935D1">
              <w:rPr>
                <w:lang w:val="en-GB"/>
              </w:rPr>
              <w:t xml:space="preserve">. Gross value added </w:t>
            </w:r>
            <w:r w:rsidRPr="000935D1">
              <w:rPr>
                <w:color w:val="0D0D0D" w:themeColor="text1" w:themeTint="F2"/>
                <w:lang w:val="en-GB"/>
              </w:rPr>
              <w:t>(GVA)</w:t>
            </w:r>
            <w:r w:rsidRPr="000935D1">
              <w:rPr>
                <w:rStyle w:val="Znakapoznpodarou"/>
                <w:color w:val="0D0D0D" w:themeColor="text1" w:themeTint="F2"/>
                <w:lang w:val="en-GB"/>
              </w:rPr>
              <w:footnoteReference w:id="9"/>
            </w:r>
            <w:r w:rsidRPr="000935D1">
              <w:rPr>
                <w:color w:val="0D0D0D" w:themeColor="text1" w:themeTint="F2"/>
                <w:lang w:val="en-GB"/>
              </w:rPr>
              <w:t xml:space="preserve"> continued in its quarter-on-quarter growth already eleven quarters in a row (longer than in the period of short-term revival following the deep recession in 2009</w:t>
            </w:r>
            <w:r>
              <w:rPr>
                <w:color w:val="0D0D0D" w:themeColor="text1" w:themeTint="F2"/>
                <w:lang w:val="en-GB"/>
              </w:rPr>
              <w:t>)</w:t>
            </w:r>
            <w:r w:rsidRPr="000935D1">
              <w:rPr>
                <w:color w:val="0D0D0D" w:themeColor="text1" w:themeTint="F2"/>
                <w:lang w:val="en-GB"/>
              </w:rPr>
              <w:t>. Year-on-year GVA dynamics (+3.</w:t>
            </w:r>
            <w:r>
              <w:rPr>
                <w:color w:val="0D0D0D" w:themeColor="text1" w:themeTint="F2"/>
                <w:lang w:val="en-GB"/>
              </w:rPr>
              <w:t>8</w:t>
            </w:r>
            <w:r w:rsidRPr="000935D1">
              <w:rPr>
                <w:color w:val="0D0D0D" w:themeColor="text1" w:themeTint="F2"/>
                <w:lang w:val="en-GB"/>
              </w:rPr>
              <w:t>%) was the highest since 2007. Manufacturing kept the key role similarly to th</w:t>
            </w:r>
            <w:r>
              <w:rPr>
                <w:color w:val="0D0D0D" w:themeColor="text1" w:themeTint="F2"/>
                <w:lang w:val="en-GB"/>
              </w:rPr>
              <w:t>e preceding year, contributing</w:t>
            </w:r>
            <w:r w:rsidRPr="000935D1">
              <w:rPr>
                <w:color w:val="0D0D0D" w:themeColor="text1" w:themeTint="F2"/>
                <w:lang w:val="en-GB"/>
              </w:rPr>
              <w:t xml:space="preserve"> one half to the </w:t>
            </w:r>
            <w:r>
              <w:rPr>
                <w:color w:val="0D0D0D" w:themeColor="text1" w:themeTint="F2"/>
                <w:lang w:val="en-GB"/>
              </w:rPr>
              <w:t>total GVA growth</w:t>
            </w:r>
            <w:r w:rsidRPr="000935D1">
              <w:rPr>
                <w:color w:val="0D0D0D" w:themeColor="text1" w:themeTint="F2"/>
                <w:lang w:val="en-GB"/>
              </w:rPr>
              <w:t xml:space="preserve">, all main groups of services then contributed quite equally (with a mild dominance of the branch trade, </w:t>
            </w:r>
            <w:r>
              <w:rPr>
                <w:color w:val="0D0D0D" w:themeColor="text1" w:themeTint="F2"/>
                <w:lang w:val="en-GB"/>
              </w:rPr>
              <w:t>t</w:t>
            </w:r>
            <w:r w:rsidRPr="000935D1">
              <w:rPr>
                <w:color w:val="0D0D0D" w:themeColor="text1" w:themeTint="F2"/>
                <w:lang w:val="en-GB"/>
              </w:rPr>
              <w:t xml:space="preserve">ransportation, accommodation and food service activities). </w:t>
            </w:r>
          </w:p>
          <w:p w:rsidR="00891FDE" w:rsidRPr="00AA0F37" w:rsidRDefault="00891FDE" w:rsidP="00FA0110">
            <w:pPr>
              <w:pStyle w:val="Textpoznpodarou"/>
              <w:jc w:val="both"/>
              <w:rPr>
                <w:spacing w:val="-4"/>
              </w:rPr>
            </w:pPr>
          </w:p>
        </w:tc>
      </w:tr>
      <w:tr w:rsidR="00891FDE" w:rsidRPr="00A51B62" w:rsidTr="00FA0110">
        <w:tc>
          <w:tcPr>
            <w:tcW w:w="1090" w:type="pct"/>
          </w:tcPr>
          <w:p w:rsidR="00891FDE" w:rsidRPr="00197D35" w:rsidRDefault="00891FDE" w:rsidP="00FA0110">
            <w:pPr>
              <w:spacing w:line="240" w:lineRule="auto"/>
              <w:rPr>
                <w:color w:val="0D0D0D" w:themeColor="text1" w:themeTint="F2"/>
                <w:sz w:val="16"/>
                <w:szCs w:val="16"/>
                <w:lang w:val="en-GB"/>
              </w:rPr>
            </w:pPr>
            <w:r w:rsidRPr="00197D35">
              <w:rPr>
                <w:color w:val="0D0D0D" w:themeColor="text1" w:themeTint="F2"/>
                <w:sz w:val="16"/>
                <w:szCs w:val="16"/>
                <w:lang w:val="en-GB"/>
              </w:rPr>
              <w:t>Value added grew compared to the whole economy by a nearly d</w:t>
            </w:r>
            <w:r>
              <w:rPr>
                <w:color w:val="0D0D0D" w:themeColor="text1" w:themeTint="F2"/>
                <w:sz w:val="16"/>
                <w:szCs w:val="16"/>
                <w:lang w:val="en-GB"/>
              </w:rPr>
              <w:t>ouble pace in the mostly export-</w:t>
            </w:r>
            <w:r w:rsidRPr="00197D35">
              <w:rPr>
                <w:color w:val="0D0D0D" w:themeColor="text1" w:themeTint="F2"/>
                <w:sz w:val="16"/>
                <w:szCs w:val="16"/>
                <w:lang w:val="en-GB"/>
              </w:rPr>
              <w:t xml:space="preserve">oriented manufacturing (similarly to last year </w:t>
            </w:r>
            <w:r>
              <w:rPr>
                <w:color w:val="0D0D0D" w:themeColor="text1" w:themeTint="F2"/>
                <w:sz w:val="16"/>
                <w:szCs w:val="16"/>
                <w:lang w:val="en-GB"/>
              </w:rPr>
              <w:t>)</w:t>
            </w:r>
          </w:p>
          <w:p w:rsidR="00891FDE" w:rsidRPr="000A4ACC" w:rsidRDefault="00891FDE" w:rsidP="00FA0110">
            <w:pPr>
              <w:spacing w:line="240" w:lineRule="auto"/>
              <w:rPr>
                <w:spacing w:val="-2"/>
                <w:sz w:val="16"/>
                <w:szCs w:val="16"/>
              </w:rPr>
            </w:pPr>
          </w:p>
        </w:tc>
        <w:tc>
          <w:tcPr>
            <w:tcW w:w="145" w:type="pct"/>
          </w:tcPr>
          <w:p w:rsidR="00891FDE" w:rsidRDefault="00891FDE" w:rsidP="00FA0110">
            <w:pPr>
              <w:pStyle w:val="Textpoznpodarou"/>
              <w:jc w:val="both"/>
            </w:pPr>
          </w:p>
        </w:tc>
        <w:tc>
          <w:tcPr>
            <w:tcW w:w="3765" w:type="pct"/>
          </w:tcPr>
          <w:p w:rsidR="00891FDE" w:rsidRPr="00AA0F37" w:rsidRDefault="00891FDE" w:rsidP="00FA0110">
            <w:pPr>
              <w:pStyle w:val="Textpoznpodarou"/>
              <w:jc w:val="both"/>
              <w:rPr>
                <w:lang w:val="en-GB"/>
              </w:rPr>
            </w:pPr>
            <w:r w:rsidRPr="00AA0F37">
              <w:rPr>
                <w:lang w:val="en-GB"/>
              </w:rPr>
              <w:t xml:space="preserve">The value added further accelerated up to 8.9% in the manufacturing in the first three quarters of the year, it grew by 6.6% at the end of the year (against a high last year’s basis). Total employment was by nearly 2% higher in 2015, similar dynamics occurred in the previous year. However, the rate of growth of the hours </w:t>
            </w:r>
            <w:r w:rsidRPr="00AA0F37">
              <w:rPr>
                <w:lang w:val="en-GB"/>
              </w:rPr>
              <w:lastRenderedPageBreak/>
              <w:t xml:space="preserve">worked doubled – to 4% (in addition there was worked even by 8.2% hours more year-on-year in Q4 itself). Construction also continued in the success from the previous year, its GVA accelerated during 2015 </w:t>
            </w:r>
            <w:r w:rsidRPr="00AA0F37">
              <w:t>(</w:t>
            </w:r>
            <w:proofErr w:type="spellStart"/>
            <w:r w:rsidRPr="00AA0F37">
              <w:t>up</w:t>
            </w:r>
            <w:proofErr w:type="spellEnd"/>
            <w:r w:rsidRPr="00AA0F37">
              <w:t xml:space="preserve"> to 4.7% in Q4), </w:t>
            </w:r>
            <w:r w:rsidRPr="00AA0F37">
              <w:rPr>
                <w:lang w:val="en-GB"/>
              </w:rPr>
              <w:t xml:space="preserve">similarly to the hours worked of its employees. The GVA in fact stagnated after the high last year’s growth (+5.9%) in the grouping of agriculture, forestry and fishing. The long lasting droughts lowered especially the harvest of fodder crops, potatoes or vegetables. </w:t>
            </w:r>
          </w:p>
          <w:p w:rsidR="00891FDE" w:rsidRPr="00AA0F37" w:rsidRDefault="00891FDE" w:rsidP="00FA0110">
            <w:pPr>
              <w:pStyle w:val="Textpoznpodarou"/>
              <w:jc w:val="both"/>
              <w:rPr>
                <w:spacing w:val="-4"/>
              </w:rPr>
            </w:pPr>
          </w:p>
        </w:tc>
      </w:tr>
      <w:tr w:rsidR="00891FDE" w:rsidTr="00FA0110">
        <w:tc>
          <w:tcPr>
            <w:tcW w:w="1090" w:type="pct"/>
          </w:tcPr>
          <w:p w:rsidR="00891FDE" w:rsidRPr="0021030B" w:rsidRDefault="00891FDE" w:rsidP="00FA0110">
            <w:pPr>
              <w:spacing w:line="240" w:lineRule="auto"/>
              <w:rPr>
                <w:sz w:val="16"/>
                <w:szCs w:val="16"/>
                <w:lang w:val="en-GB"/>
              </w:rPr>
            </w:pPr>
            <w:r w:rsidRPr="0021030B">
              <w:rPr>
                <w:sz w:val="16"/>
                <w:szCs w:val="16"/>
                <w:lang w:val="en-GB"/>
              </w:rPr>
              <w:lastRenderedPageBreak/>
              <w:t xml:space="preserve">Among services, </w:t>
            </w:r>
            <w:r>
              <w:rPr>
                <w:sz w:val="16"/>
                <w:szCs w:val="16"/>
                <w:lang w:val="en-GB"/>
              </w:rPr>
              <w:t xml:space="preserve">GVA grew </w:t>
            </w:r>
            <w:r w:rsidRPr="0021030B">
              <w:rPr>
                <w:sz w:val="16"/>
                <w:szCs w:val="16"/>
                <w:lang w:val="en-GB"/>
              </w:rPr>
              <w:t xml:space="preserve">the most in information and communication activities </w:t>
            </w:r>
          </w:p>
          <w:p w:rsidR="00891FDE" w:rsidRPr="0021030B" w:rsidRDefault="00891FDE" w:rsidP="00FA0110">
            <w:pPr>
              <w:spacing w:line="240" w:lineRule="auto"/>
              <w:rPr>
                <w:sz w:val="16"/>
                <w:szCs w:val="16"/>
                <w:lang w:val="en-GB"/>
              </w:rPr>
            </w:pPr>
          </w:p>
          <w:p w:rsidR="00891FDE" w:rsidRPr="0021030B" w:rsidRDefault="00891FDE" w:rsidP="00FA0110">
            <w:pPr>
              <w:spacing w:line="240" w:lineRule="auto"/>
              <w:rPr>
                <w:sz w:val="16"/>
                <w:szCs w:val="16"/>
                <w:lang w:val="en-GB"/>
              </w:rPr>
            </w:pPr>
          </w:p>
          <w:p w:rsidR="00891FDE" w:rsidRPr="0021030B" w:rsidRDefault="00891FDE" w:rsidP="00FA0110">
            <w:pPr>
              <w:spacing w:line="240" w:lineRule="auto"/>
              <w:rPr>
                <w:sz w:val="16"/>
                <w:szCs w:val="16"/>
                <w:lang w:val="en-GB"/>
              </w:rPr>
            </w:pPr>
          </w:p>
          <w:p w:rsidR="00891FDE" w:rsidRPr="0021030B" w:rsidRDefault="00891FDE" w:rsidP="00FA0110">
            <w:pPr>
              <w:spacing w:line="240" w:lineRule="auto"/>
              <w:rPr>
                <w:color w:val="000000" w:themeColor="text1"/>
                <w:sz w:val="16"/>
                <w:szCs w:val="16"/>
                <w:lang w:val="en-GB"/>
              </w:rPr>
            </w:pPr>
            <w:r w:rsidRPr="0021030B">
              <w:rPr>
                <w:color w:val="000000" w:themeColor="text1"/>
                <w:sz w:val="16"/>
                <w:szCs w:val="16"/>
                <w:lang w:val="en-GB"/>
              </w:rPr>
              <w:t xml:space="preserve">Cost pressures due to strong competition most likely prevent </w:t>
            </w:r>
            <w:r w:rsidRPr="00E16594">
              <w:rPr>
                <w:color w:val="000000" w:themeColor="text1"/>
                <w:sz w:val="16"/>
                <w:szCs w:val="16"/>
                <w:lang w:val="en-GB"/>
              </w:rPr>
              <w:t xml:space="preserve">creation </w:t>
            </w:r>
            <w:r w:rsidRPr="0021030B">
              <w:rPr>
                <w:color w:val="000000" w:themeColor="text1"/>
                <w:sz w:val="16"/>
                <w:szCs w:val="16"/>
                <w:lang w:val="en-GB"/>
              </w:rPr>
              <w:t xml:space="preserve">of new job vacancies in the </w:t>
            </w:r>
            <w:r>
              <w:rPr>
                <w:color w:val="000000" w:themeColor="text1"/>
                <w:sz w:val="16"/>
                <w:szCs w:val="16"/>
                <w:lang w:val="en-GB"/>
              </w:rPr>
              <w:t>f</w:t>
            </w:r>
            <w:r w:rsidRPr="0021030B">
              <w:rPr>
                <w:color w:val="000000" w:themeColor="text1"/>
                <w:sz w:val="16"/>
                <w:szCs w:val="16"/>
                <w:lang w:val="en-GB"/>
              </w:rPr>
              <w:t xml:space="preserve">inancial sector  </w:t>
            </w:r>
          </w:p>
          <w:p w:rsidR="00891FDE" w:rsidRPr="00DA1318" w:rsidRDefault="00891FDE" w:rsidP="00FA0110">
            <w:pPr>
              <w:spacing w:line="240" w:lineRule="auto"/>
              <w:rPr>
                <w:sz w:val="16"/>
                <w:szCs w:val="16"/>
              </w:rPr>
            </w:pPr>
            <w:r>
              <w:rPr>
                <w:sz w:val="16"/>
                <w:szCs w:val="16"/>
              </w:rPr>
              <w:t xml:space="preserve"> </w:t>
            </w:r>
          </w:p>
        </w:tc>
        <w:tc>
          <w:tcPr>
            <w:tcW w:w="145" w:type="pct"/>
          </w:tcPr>
          <w:p w:rsidR="00891FDE" w:rsidRDefault="00891FDE" w:rsidP="00FA0110">
            <w:pPr>
              <w:pStyle w:val="Textpoznpodarou"/>
              <w:jc w:val="both"/>
              <w:rPr>
                <w:spacing w:val="-2"/>
              </w:rPr>
            </w:pPr>
          </w:p>
        </w:tc>
        <w:tc>
          <w:tcPr>
            <w:tcW w:w="3765" w:type="pct"/>
          </w:tcPr>
          <w:p w:rsidR="00891FDE" w:rsidRPr="00AA0F37" w:rsidRDefault="00891FDE" w:rsidP="00FA0110">
            <w:pPr>
              <w:pStyle w:val="Textpoznpodarou"/>
              <w:jc w:val="both"/>
              <w:rPr>
                <w:color w:val="0D0D0D" w:themeColor="text1" w:themeTint="F2"/>
                <w:lang w:val="en-GB"/>
              </w:rPr>
            </w:pPr>
            <w:r w:rsidRPr="00AA0F37">
              <w:rPr>
                <w:color w:val="0D0D0D" w:themeColor="text1" w:themeTint="F2"/>
                <w:lang w:val="en-GB"/>
              </w:rPr>
              <w:t xml:space="preserve">The GVA increased by a more modest 2.5% in the branch trade, transportation, accommodation and food service activities in </w:t>
            </w:r>
            <w:proofErr w:type="gramStart"/>
            <w:r w:rsidRPr="00AA0F37">
              <w:rPr>
                <w:color w:val="0D0D0D" w:themeColor="text1" w:themeTint="F2"/>
                <w:lang w:val="en-GB"/>
              </w:rPr>
              <w:t>2015,</w:t>
            </w:r>
            <w:proofErr w:type="gramEnd"/>
            <w:r w:rsidRPr="00AA0F37">
              <w:rPr>
                <w:color w:val="0D0D0D" w:themeColor="text1" w:themeTint="F2"/>
                <w:lang w:val="en-GB"/>
              </w:rPr>
              <w:t xml:space="preserve"> still it represented the best result in the last five years. The branch profited from the positive sentiments of the consumers supported by the growth of employment as well as real wages, more frequent arrivals of both domestic and foreign guests as well as higher demand for freight transportation. On the contrary, the growth of the professional, scientific, technical and administrative activities (lastly by 4.3%) already lasted for five years, supported by higher performance of job agencies as well as rising demand for the project activities (</w:t>
            </w:r>
            <w:r w:rsidRPr="00AA0F37">
              <w:rPr>
                <w:rStyle w:val="shorttext"/>
                <w:rFonts w:cs="Arial"/>
                <w:color w:val="222222"/>
              </w:rPr>
              <w:t xml:space="preserve">in </w:t>
            </w:r>
            <w:proofErr w:type="spellStart"/>
            <w:r w:rsidRPr="00AA0F37">
              <w:rPr>
                <w:rStyle w:val="shorttext"/>
                <w:rFonts w:cs="Arial"/>
                <w:color w:val="222222"/>
              </w:rPr>
              <w:t>relation</w:t>
            </w:r>
            <w:proofErr w:type="spellEnd"/>
            <w:r w:rsidRPr="00AA0F37">
              <w:rPr>
                <w:rStyle w:val="shorttext"/>
                <w:rFonts w:cs="Arial"/>
                <w:color w:val="222222"/>
              </w:rPr>
              <w:t xml:space="preserve"> to </w:t>
            </w:r>
            <w:proofErr w:type="spellStart"/>
            <w:r w:rsidRPr="00AA0F37">
              <w:rPr>
                <w:rStyle w:val="shorttext"/>
                <w:rFonts w:cs="Arial"/>
                <w:color w:val="222222"/>
              </w:rPr>
              <w:t>construction</w:t>
            </w:r>
            <w:proofErr w:type="spellEnd"/>
            <w:r w:rsidRPr="00AA0F37">
              <w:rPr>
                <w:rStyle w:val="shorttext"/>
                <w:rFonts w:cs="Arial"/>
                <w:color w:val="222222"/>
              </w:rPr>
              <w:t>)</w:t>
            </w:r>
            <w:r w:rsidRPr="00AA0F37">
              <w:rPr>
                <w:color w:val="0D0D0D" w:themeColor="text1" w:themeTint="F2"/>
                <w:lang w:val="en-GB"/>
              </w:rPr>
              <w:t>. Information and communication activities also prosper in the long-term, the GVA jumped to the highest rate of growth since 2007 here. The GVA increased by 4% in the financial sector, the total employment however fell already second year in a row. The GVA increased its pace after three years of stagnation in the public services</w:t>
            </w:r>
            <w:r w:rsidRPr="00AA0F37">
              <w:rPr>
                <w:rStyle w:val="Znakapoznpodarou"/>
                <w:color w:val="0D0D0D" w:themeColor="text1" w:themeTint="F2"/>
                <w:lang w:val="en-GB"/>
              </w:rPr>
              <w:footnoteReference w:id="10"/>
            </w:r>
            <w:r w:rsidRPr="00AA0F37">
              <w:rPr>
                <w:color w:val="0D0D0D" w:themeColor="text1" w:themeTint="F2"/>
                <w:lang w:val="en-GB"/>
              </w:rPr>
              <w:t xml:space="preserve"> to 2.6%, the most since 2002 (the gradually growing employment across all branches together with the increase of the wage tariffs at the end of 2014 contributed to this development). </w:t>
            </w:r>
          </w:p>
          <w:p w:rsidR="00891FDE" w:rsidRPr="00AA0F37" w:rsidRDefault="00891FDE" w:rsidP="00FA0110">
            <w:pPr>
              <w:pStyle w:val="Textpoznpodarou"/>
              <w:jc w:val="both"/>
              <w:rPr>
                <w:spacing w:val="-4"/>
              </w:rPr>
            </w:pPr>
          </w:p>
        </w:tc>
      </w:tr>
      <w:tr w:rsidR="00891FDE" w:rsidTr="00FA0110">
        <w:tc>
          <w:tcPr>
            <w:tcW w:w="1090" w:type="pct"/>
          </w:tcPr>
          <w:p w:rsidR="00891FDE" w:rsidRPr="0059153E" w:rsidRDefault="00891FDE" w:rsidP="00FA0110">
            <w:pPr>
              <w:spacing w:line="240" w:lineRule="auto"/>
              <w:rPr>
                <w:sz w:val="16"/>
                <w:szCs w:val="16"/>
                <w:lang w:val="en-GB"/>
              </w:rPr>
            </w:pPr>
            <w:r w:rsidRPr="0059153E">
              <w:rPr>
                <w:color w:val="000000" w:themeColor="text1"/>
                <w:sz w:val="16"/>
                <w:szCs w:val="16"/>
                <w:lang w:val="en-GB"/>
              </w:rPr>
              <w:t>Industrial production maintained the high growth rates thanks to the dominant manufacturing benefiting especially from the so far str</w:t>
            </w:r>
            <w:r>
              <w:rPr>
                <w:color w:val="000000" w:themeColor="text1"/>
                <w:sz w:val="16"/>
                <w:szCs w:val="16"/>
                <w:lang w:val="en-GB"/>
              </w:rPr>
              <w:t>o</w:t>
            </w:r>
            <w:r w:rsidRPr="0059153E">
              <w:rPr>
                <w:color w:val="000000" w:themeColor="text1"/>
                <w:sz w:val="16"/>
                <w:szCs w:val="16"/>
                <w:lang w:val="en-GB"/>
              </w:rPr>
              <w:t>ng domestic</w:t>
            </w:r>
            <w:r>
              <w:rPr>
                <w:color w:val="000000" w:themeColor="text1"/>
                <w:sz w:val="16"/>
                <w:szCs w:val="16"/>
                <w:lang w:val="en-GB"/>
              </w:rPr>
              <w:t xml:space="preserve"> </w:t>
            </w:r>
            <w:r w:rsidRPr="0059153E">
              <w:rPr>
                <w:color w:val="000000" w:themeColor="text1"/>
                <w:sz w:val="16"/>
                <w:szCs w:val="16"/>
                <w:lang w:val="en-GB"/>
              </w:rPr>
              <w:t xml:space="preserve">as well as foreign demand for the </w:t>
            </w:r>
            <w:r>
              <w:rPr>
                <w:color w:val="000000" w:themeColor="text1"/>
                <w:sz w:val="16"/>
                <w:szCs w:val="16"/>
                <w:lang w:val="en-GB"/>
              </w:rPr>
              <w:t>t</w:t>
            </w:r>
            <w:r w:rsidRPr="0059153E">
              <w:rPr>
                <w:color w:val="000000" w:themeColor="text1"/>
                <w:sz w:val="16"/>
                <w:szCs w:val="16"/>
                <w:lang w:val="en-GB"/>
              </w:rPr>
              <w:t xml:space="preserve">ransportation vehicles and their components </w:t>
            </w:r>
          </w:p>
        </w:tc>
        <w:tc>
          <w:tcPr>
            <w:tcW w:w="145" w:type="pct"/>
          </w:tcPr>
          <w:p w:rsidR="00891FDE" w:rsidRPr="005A16AE" w:rsidRDefault="00891FDE" w:rsidP="00FA0110">
            <w:pPr>
              <w:rPr>
                <w:color w:val="000000" w:themeColor="text1"/>
                <w:szCs w:val="16"/>
              </w:rPr>
            </w:pPr>
          </w:p>
        </w:tc>
        <w:tc>
          <w:tcPr>
            <w:tcW w:w="3765" w:type="pct"/>
          </w:tcPr>
          <w:p w:rsidR="00891FDE" w:rsidRPr="00532E6C" w:rsidRDefault="00891FDE" w:rsidP="00FA0110">
            <w:pPr>
              <w:pStyle w:val="Textpoznpodarou"/>
              <w:jc w:val="both"/>
              <w:rPr>
                <w:color w:val="000000" w:themeColor="text1"/>
                <w:spacing w:val="-4"/>
                <w:lang w:val="en-GB"/>
              </w:rPr>
            </w:pPr>
            <w:r w:rsidRPr="00AA0F37">
              <w:rPr>
                <w:color w:val="000000" w:themeColor="text1"/>
                <w:lang w:val="en-GB"/>
              </w:rPr>
              <w:t>Industry performance (measured by the industrial producer index)</w:t>
            </w:r>
            <w:r w:rsidRPr="00AA0F37">
              <w:rPr>
                <w:color w:val="000000" w:themeColor="text1"/>
                <w:vertAlign w:val="superscript"/>
                <w:lang w:val="en-GB"/>
              </w:rPr>
              <w:footnoteReference w:id="11"/>
            </w:r>
            <w:r w:rsidRPr="00AA0F37">
              <w:rPr>
                <w:color w:val="000000" w:themeColor="text1"/>
                <w:lang w:val="en-GB"/>
              </w:rPr>
              <w:t xml:space="preserve"> continued in the successful preceding year in 2015, when it strengthened by 4.6%. Nevertheless, its year-on-year growth already slumped 2.7% (after calendar adjustment) in Q4 itself and it stagnated in the quarter-on-quarter measurement already second time in a row. Manufacturing exclusively pushed the whole industry similarly to the two preceding years. The production kept further falling in mining and quarrying marked by the long-term decline of especially the black coal mining, even though by a slower pace (by 1.7%, compared by an average of more than 6% for the 2012</w:t>
            </w:r>
            <w:r w:rsidRPr="00AA0F37">
              <w:rPr>
                <w:lang w:val="en-GB"/>
              </w:rPr>
              <w:t>–</w:t>
            </w:r>
            <w:r w:rsidRPr="00AA0F37">
              <w:rPr>
                <w:color w:val="000000" w:themeColor="text1"/>
                <w:lang w:val="en-GB"/>
              </w:rPr>
              <w:t xml:space="preserve">14 period). The unexpected lowering of production capacities in the nuclear plants was considerably reflected in the lower production in </w:t>
            </w:r>
            <w:proofErr w:type="spellStart"/>
            <w:r w:rsidRPr="00AA0F37">
              <w:rPr>
                <w:color w:val="000000" w:themeColor="text1"/>
                <w:lang w:val="en-GB"/>
              </w:rPr>
              <w:t>energetics</w:t>
            </w:r>
            <w:proofErr w:type="spellEnd"/>
            <w:r w:rsidRPr="00AA0F37">
              <w:rPr>
                <w:color w:val="000000" w:themeColor="text1"/>
                <w:lang w:val="en-GB"/>
              </w:rPr>
              <w:t xml:space="preserve"> (weaker by nearly 6% year-on-year)</w:t>
            </w:r>
            <w:proofErr w:type="gramStart"/>
            <w:r w:rsidRPr="00AA0F37">
              <w:rPr>
                <w:color w:val="000000" w:themeColor="text1"/>
                <w:lang w:val="en-GB"/>
              </w:rPr>
              <w:t>,</w:t>
            </w:r>
            <w:proofErr w:type="gramEnd"/>
            <w:r w:rsidRPr="00AA0F37">
              <w:rPr>
                <w:color w:val="000000" w:themeColor="text1"/>
                <w:lang w:val="en-GB"/>
              </w:rPr>
              <w:t xml:space="preserve"> however this branch deals with mild falls of production in the long run</w:t>
            </w:r>
            <w:r w:rsidRPr="00532E6C">
              <w:rPr>
                <w:color w:val="000000" w:themeColor="text1"/>
                <w:spacing w:val="-4"/>
                <w:lang w:val="en-GB"/>
              </w:rPr>
              <w:t>.</w:t>
            </w:r>
          </w:p>
          <w:p w:rsidR="00891FDE" w:rsidRPr="00AA0F37" w:rsidRDefault="00891FDE" w:rsidP="00FA0110">
            <w:pPr>
              <w:pStyle w:val="Textpoznpodarou"/>
              <w:jc w:val="both"/>
              <w:rPr>
                <w:color w:val="000000" w:themeColor="text1"/>
                <w:spacing w:val="-4"/>
              </w:rPr>
            </w:pPr>
          </w:p>
        </w:tc>
      </w:tr>
      <w:tr w:rsidR="00891FDE" w:rsidTr="00FA0110">
        <w:tc>
          <w:tcPr>
            <w:tcW w:w="1090" w:type="pct"/>
          </w:tcPr>
          <w:p w:rsidR="00891FDE" w:rsidRPr="00862DA0" w:rsidRDefault="00891FDE" w:rsidP="00FA0110">
            <w:pPr>
              <w:spacing w:line="240" w:lineRule="auto"/>
              <w:rPr>
                <w:spacing w:val="-2"/>
                <w:sz w:val="16"/>
                <w:szCs w:val="16"/>
                <w:lang w:val="en-GB"/>
              </w:rPr>
            </w:pPr>
            <w:r w:rsidRPr="00862DA0">
              <w:rPr>
                <w:spacing w:val="-2"/>
                <w:sz w:val="16"/>
                <w:szCs w:val="16"/>
                <w:lang w:val="en-GB"/>
              </w:rPr>
              <w:t>Manufacturing of motor vehicles returned into the position of the strongest growing manufacturing activity. Manufacture of plastic and rubber products</w:t>
            </w:r>
            <w:r>
              <w:rPr>
                <w:spacing w:val="-2"/>
                <w:sz w:val="16"/>
                <w:szCs w:val="16"/>
                <w:lang w:val="en-GB"/>
              </w:rPr>
              <w:t xml:space="preserve"> </w:t>
            </w:r>
            <w:r w:rsidRPr="00862DA0">
              <w:rPr>
                <w:spacing w:val="-2"/>
                <w:sz w:val="16"/>
                <w:szCs w:val="16"/>
                <w:lang w:val="en-GB"/>
              </w:rPr>
              <w:t>also drove on the wave of strong foreign as well as domestic demand, its p</w:t>
            </w:r>
            <w:r>
              <w:rPr>
                <w:spacing w:val="-2"/>
                <w:sz w:val="16"/>
                <w:szCs w:val="16"/>
                <w:lang w:val="en-GB"/>
              </w:rPr>
              <w:t>roduction increased</w:t>
            </w:r>
            <w:r w:rsidRPr="00862DA0">
              <w:rPr>
                <w:spacing w:val="-2"/>
                <w:sz w:val="16"/>
                <w:szCs w:val="16"/>
                <w:lang w:val="en-GB"/>
              </w:rPr>
              <w:t xml:space="preserve"> year-on-year the most since 2007</w:t>
            </w:r>
          </w:p>
          <w:p w:rsidR="00891FDE" w:rsidRPr="00532E6C" w:rsidRDefault="00891FDE" w:rsidP="00FA0110">
            <w:pPr>
              <w:spacing w:line="240" w:lineRule="auto"/>
              <w:rPr>
                <w:spacing w:val="-2"/>
                <w:sz w:val="16"/>
                <w:szCs w:val="16"/>
              </w:rPr>
            </w:pPr>
          </w:p>
          <w:p w:rsidR="00891FDE" w:rsidRPr="007F2953" w:rsidRDefault="00891FDE" w:rsidP="00FA0110">
            <w:pPr>
              <w:spacing w:line="240" w:lineRule="auto"/>
              <w:rPr>
                <w:spacing w:val="-4"/>
                <w:sz w:val="16"/>
                <w:szCs w:val="16"/>
                <w:lang w:val="en-GB"/>
              </w:rPr>
            </w:pPr>
            <w:r w:rsidRPr="007F2953">
              <w:rPr>
                <w:spacing w:val="-4"/>
                <w:sz w:val="16"/>
                <w:szCs w:val="16"/>
                <w:lang w:val="en-GB"/>
              </w:rPr>
              <w:t>The yearly production was falling only in metallurgy (</w:t>
            </w:r>
            <w:r w:rsidRPr="007D71F5">
              <w:rPr>
                <w:spacing w:val="-4"/>
                <w:sz w:val="16"/>
                <w:szCs w:val="16"/>
                <w:lang w:val="en-GB"/>
              </w:rPr>
              <w:t>due to the surplus of steel on the European markets) and the chemical industry (because of the accidents in the production facilities)</w:t>
            </w:r>
            <w:r w:rsidRPr="007F2953">
              <w:rPr>
                <w:spacing w:val="-4"/>
                <w:sz w:val="16"/>
                <w:szCs w:val="16"/>
                <w:lang w:val="en-GB"/>
              </w:rPr>
              <w:t xml:space="preserve"> </w:t>
            </w:r>
          </w:p>
          <w:p w:rsidR="00891FDE" w:rsidRPr="00F3262E" w:rsidRDefault="00891FDE" w:rsidP="00FA0110">
            <w:pPr>
              <w:spacing w:line="240" w:lineRule="auto"/>
              <w:rPr>
                <w:color w:val="000000" w:themeColor="text1"/>
                <w:sz w:val="16"/>
                <w:szCs w:val="16"/>
              </w:rPr>
            </w:pPr>
          </w:p>
        </w:tc>
        <w:tc>
          <w:tcPr>
            <w:tcW w:w="145" w:type="pct"/>
          </w:tcPr>
          <w:p w:rsidR="00891FDE" w:rsidRPr="00F3262E" w:rsidRDefault="00891FDE" w:rsidP="00FA0110">
            <w:pPr>
              <w:pStyle w:val="Textpoznpodarou"/>
              <w:jc w:val="both"/>
              <w:rPr>
                <w:color w:val="000000" w:themeColor="text1"/>
                <w:spacing w:val="-2"/>
              </w:rPr>
            </w:pPr>
          </w:p>
        </w:tc>
        <w:tc>
          <w:tcPr>
            <w:tcW w:w="3765" w:type="pct"/>
          </w:tcPr>
          <w:p w:rsidR="00891FDE" w:rsidRPr="00AA0F37" w:rsidRDefault="00891FDE" w:rsidP="00FA0110">
            <w:pPr>
              <w:pStyle w:val="Textpoznpodarou"/>
              <w:jc w:val="both"/>
              <w:rPr>
                <w:color w:val="000000"/>
                <w:lang w:val="en-GB"/>
              </w:rPr>
            </w:pPr>
            <w:r w:rsidRPr="00AA0F37">
              <w:rPr>
                <w:color w:val="000000"/>
                <w:lang w:val="en-GB"/>
              </w:rPr>
              <w:t>Manufacturing of motor vehicles played a dominant role (similarly to years of the strongest business cycle peak) when it contributed by nearly one half to the year-on-year growth in the whole industry in 2015 (main sub-supplier activities then added a quarter in the sum – manufacturing of electrical appliances and manufacturing of rubber and plastic products). The production of motor vehicle manufacturers grew the most dynamically (+11.5%) among specialized manufacturing branches. The record of the number of manufactured passenger vehicles was exceeded, but manufacturers of buses and trucks also fared well. On the contrary, the production of computers, electronic and optical appliances, which represented the most dynamic industrial activity in the two preceding years, slowed down during the year (from 8.4% in Q1 to stagnation at the end of the year). Metallurgy and especially the chemical industry also faced adverse tendencies during 2015, when their production weakened by more than 4% and 13% resp. year-on-year in H2. The production grew by mild but stable pace in the branches significant by weight and internally diversified – machinery and also the food industry (where the growth of 4.6% presented the highest dynamics after year 2001).</w:t>
            </w:r>
          </w:p>
          <w:p w:rsidR="00891FDE" w:rsidRPr="00AA0F37" w:rsidRDefault="00891FDE" w:rsidP="00FA0110">
            <w:pPr>
              <w:pStyle w:val="Textpoznpodarou"/>
              <w:jc w:val="both"/>
              <w:rPr>
                <w:color w:val="000000" w:themeColor="text1"/>
                <w:spacing w:val="-4"/>
              </w:rPr>
            </w:pPr>
          </w:p>
        </w:tc>
      </w:tr>
      <w:tr w:rsidR="00891FDE" w:rsidTr="00FA0110">
        <w:tc>
          <w:tcPr>
            <w:tcW w:w="1090" w:type="pct"/>
          </w:tcPr>
          <w:p w:rsidR="00891FDE" w:rsidRPr="00921370" w:rsidRDefault="00891FDE" w:rsidP="00FA0110">
            <w:pPr>
              <w:spacing w:line="240" w:lineRule="auto"/>
              <w:rPr>
                <w:sz w:val="16"/>
                <w:szCs w:val="16"/>
                <w:lang w:val="en-GB"/>
              </w:rPr>
            </w:pPr>
            <w:r w:rsidRPr="00921370">
              <w:rPr>
                <w:sz w:val="16"/>
                <w:szCs w:val="16"/>
                <w:lang w:val="en-GB"/>
              </w:rPr>
              <w:t xml:space="preserve">Higher demand from abroad assisted the first </w:t>
            </w:r>
            <w:r>
              <w:rPr>
                <w:sz w:val="16"/>
                <w:szCs w:val="16"/>
                <w:lang w:val="en-GB"/>
              </w:rPr>
              <w:t>r</w:t>
            </w:r>
            <w:r w:rsidRPr="00921370">
              <w:rPr>
                <w:sz w:val="16"/>
                <w:szCs w:val="16"/>
                <w:lang w:val="en-GB"/>
              </w:rPr>
              <w:t xml:space="preserve">ecovery of the clothing industry after ten years </w:t>
            </w:r>
          </w:p>
          <w:p w:rsidR="00891FDE" w:rsidRPr="00921370" w:rsidRDefault="00891FDE" w:rsidP="00FA0110">
            <w:pPr>
              <w:spacing w:line="240" w:lineRule="auto"/>
              <w:rPr>
                <w:sz w:val="16"/>
                <w:szCs w:val="16"/>
                <w:lang w:val="en-GB"/>
              </w:rPr>
            </w:pPr>
          </w:p>
          <w:p w:rsidR="00891FDE" w:rsidRPr="00921370" w:rsidRDefault="00891FDE" w:rsidP="00FA0110">
            <w:pPr>
              <w:spacing w:line="240" w:lineRule="auto"/>
              <w:rPr>
                <w:sz w:val="16"/>
                <w:szCs w:val="16"/>
                <w:lang w:val="en-GB"/>
              </w:rPr>
            </w:pPr>
          </w:p>
          <w:p w:rsidR="00891FDE" w:rsidRPr="00921370" w:rsidRDefault="00891FDE" w:rsidP="00FA0110">
            <w:pPr>
              <w:spacing w:line="240" w:lineRule="auto"/>
              <w:rPr>
                <w:sz w:val="16"/>
                <w:szCs w:val="16"/>
                <w:lang w:val="en-GB"/>
              </w:rPr>
            </w:pPr>
            <w:r w:rsidRPr="00921370">
              <w:rPr>
                <w:sz w:val="16"/>
                <w:szCs w:val="16"/>
                <w:lang w:val="en-GB"/>
              </w:rPr>
              <w:t xml:space="preserve">Nearly half of manufacturing activities still did not reach the level of real production from the peak of the business cycle, however it was already by nearly two thirds higher for motor vehicle producers </w:t>
            </w:r>
          </w:p>
          <w:p w:rsidR="00891FDE" w:rsidRPr="00DA1318" w:rsidRDefault="00891FDE" w:rsidP="00FA0110">
            <w:pPr>
              <w:spacing w:line="240" w:lineRule="auto"/>
              <w:rPr>
                <w:sz w:val="16"/>
                <w:szCs w:val="16"/>
              </w:rPr>
            </w:pPr>
          </w:p>
        </w:tc>
        <w:tc>
          <w:tcPr>
            <w:tcW w:w="145" w:type="pct"/>
          </w:tcPr>
          <w:p w:rsidR="00891FDE" w:rsidRDefault="00891FDE" w:rsidP="00FA0110">
            <w:pPr>
              <w:pStyle w:val="Textpoznpodarou"/>
              <w:jc w:val="both"/>
              <w:rPr>
                <w:spacing w:val="-2"/>
              </w:rPr>
            </w:pPr>
          </w:p>
        </w:tc>
        <w:tc>
          <w:tcPr>
            <w:tcW w:w="3765" w:type="pct"/>
          </w:tcPr>
          <w:p w:rsidR="00891FDE" w:rsidRPr="00AA0F37" w:rsidRDefault="00891FDE" w:rsidP="00FA0110">
            <w:pPr>
              <w:pStyle w:val="Textpoznpodarou"/>
              <w:jc w:val="both"/>
              <w:rPr>
                <w:color w:val="000000" w:themeColor="text1"/>
                <w:lang w:val="en-GB"/>
              </w:rPr>
            </w:pPr>
            <w:r w:rsidRPr="00AA0F37">
              <w:rPr>
                <w:color w:val="000000"/>
                <w:lang w:val="en-GB"/>
              </w:rPr>
              <w:t xml:space="preserve">The majority of smaller, mostly branches in decline in the long-run also achieved a higher production in 2015. And it was the first growth (by 10.7%) after ten years for the producers of clothing, </w:t>
            </w:r>
            <w:proofErr w:type="gramStart"/>
            <w:r w:rsidRPr="00AA0F37">
              <w:rPr>
                <w:color w:val="000000"/>
                <w:lang w:val="en-GB"/>
              </w:rPr>
              <w:t>who</w:t>
            </w:r>
            <w:proofErr w:type="gramEnd"/>
            <w:r w:rsidRPr="00AA0F37">
              <w:rPr>
                <w:color w:val="000000"/>
                <w:lang w:val="en-GB"/>
              </w:rPr>
              <w:t xml:space="preserve"> benefited from the foreign demand. The </w:t>
            </w:r>
            <w:r w:rsidRPr="00AA0F37">
              <w:rPr>
                <w:color w:val="000000"/>
                <w:lang w:val="en-GB"/>
              </w:rPr>
              <w:lastRenderedPageBreak/>
              <w:t xml:space="preserve">development of some specialised segments of this activity could contribute to this turn (e.g. the work or sport clothing). </w:t>
            </w:r>
            <w:r w:rsidRPr="00AA0F37">
              <w:rPr>
                <w:color w:val="000000" w:themeColor="text1"/>
                <w:lang w:val="en-GB"/>
              </w:rPr>
              <w:t>The recovery in the</w:t>
            </w:r>
            <w:r w:rsidRPr="00AA0F37">
              <w:rPr>
                <w:color w:val="000000"/>
                <w:lang w:val="en-GB"/>
              </w:rPr>
              <w:t xml:space="preserve"> textile, paper or furniture industry lasts for nearly three years.  On the contrary, the production did not increase in the printing and wood industry as the only manufacturing activities since the end of the last recession in the economy</w:t>
            </w:r>
            <w:r w:rsidRPr="00AA0F37">
              <w:rPr>
                <w:color w:val="000000" w:themeColor="text1"/>
                <w:lang w:val="en-GB"/>
              </w:rPr>
              <w:t xml:space="preserve"> (it was similarly by nearly 5% lower compared to year 2013). Even though the production of the whole industry exceeded the level reached seven years ago by nearly 8% in 2015, almost one half of manufacturing activities have not reached the level of the business cycle peak yet (manufacturing of beverages, clothing and printing industry were one quarter below this level, among the larger activities it was the chemical industry, metallurgy and manufacturing of other non-metal minerals products).</w:t>
            </w:r>
          </w:p>
          <w:p w:rsidR="00891FDE" w:rsidRPr="00AA0F37" w:rsidRDefault="00891FDE" w:rsidP="00FA0110">
            <w:pPr>
              <w:pStyle w:val="Textpoznpodarou"/>
              <w:jc w:val="both"/>
              <w:rPr>
                <w:spacing w:val="-4"/>
              </w:rPr>
            </w:pPr>
          </w:p>
        </w:tc>
      </w:tr>
      <w:tr w:rsidR="00891FDE" w:rsidTr="00FA0110">
        <w:trPr>
          <w:trHeight w:val="269"/>
        </w:trPr>
        <w:tc>
          <w:tcPr>
            <w:tcW w:w="1090" w:type="pct"/>
          </w:tcPr>
          <w:p w:rsidR="00891FDE" w:rsidRPr="00E8532E" w:rsidRDefault="00891FDE" w:rsidP="00FA0110">
            <w:pPr>
              <w:spacing w:line="240" w:lineRule="auto"/>
              <w:rPr>
                <w:sz w:val="16"/>
                <w:szCs w:val="16"/>
                <w:lang w:val="en-GB"/>
              </w:rPr>
            </w:pPr>
            <w:r w:rsidRPr="00E8532E">
              <w:rPr>
                <w:sz w:val="16"/>
                <w:szCs w:val="16"/>
                <w:lang w:val="en-GB"/>
              </w:rPr>
              <w:lastRenderedPageBreak/>
              <w:t xml:space="preserve">High year-on-year dynamics of foreign industrial orders prevailed also towards the end of the year, especially for the manufacturers of motor vehicles </w:t>
            </w:r>
          </w:p>
          <w:p w:rsidR="00891FDE" w:rsidRPr="000B1183" w:rsidRDefault="00891FDE" w:rsidP="00FA0110">
            <w:pPr>
              <w:spacing w:line="240" w:lineRule="auto"/>
              <w:rPr>
                <w:sz w:val="16"/>
                <w:szCs w:val="16"/>
              </w:rPr>
            </w:pPr>
          </w:p>
          <w:p w:rsidR="00891FDE" w:rsidRPr="000B1183" w:rsidRDefault="00891FDE" w:rsidP="00FA0110">
            <w:pPr>
              <w:spacing w:line="240" w:lineRule="auto"/>
              <w:rPr>
                <w:sz w:val="16"/>
                <w:szCs w:val="16"/>
              </w:rPr>
            </w:pPr>
          </w:p>
          <w:p w:rsidR="00891FDE" w:rsidRPr="000B1183" w:rsidRDefault="00891FDE" w:rsidP="00FA0110">
            <w:pPr>
              <w:spacing w:line="240" w:lineRule="auto"/>
              <w:rPr>
                <w:sz w:val="16"/>
                <w:szCs w:val="16"/>
              </w:rPr>
            </w:pPr>
          </w:p>
          <w:p w:rsidR="00891FDE" w:rsidRPr="00E8532E" w:rsidRDefault="00891FDE" w:rsidP="00FA0110">
            <w:pPr>
              <w:spacing w:line="240" w:lineRule="auto"/>
              <w:rPr>
                <w:sz w:val="16"/>
                <w:szCs w:val="16"/>
                <w:lang w:val="en-GB"/>
              </w:rPr>
            </w:pPr>
            <w:r w:rsidRPr="00E8532E">
              <w:rPr>
                <w:spacing w:val="-2"/>
                <w:sz w:val="16"/>
                <w:szCs w:val="16"/>
                <w:lang w:val="en-GB"/>
              </w:rPr>
              <w:t>The propo</w:t>
            </w:r>
            <w:r>
              <w:rPr>
                <w:spacing w:val="-2"/>
                <w:sz w:val="16"/>
                <w:szCs w:val="16"/>
                <w:lang w:val="en-GB"/>
              </w:rPr>
              <w:t>rtion of businesses, which stated</w:t>
            </w:r>
            <w:r w:rsidRPr="00E8532E">
              <w:rPr>
                <w:spacing w:val="-2"/>
                <w:sz w:val="16"/>
                <w:szCs w:val="16"/>
                <w:lang w:val="en-GB"/>
              </w:rPr>
              <w:t xml:space="preserve"> the lack of employees as the barrier to</w:t>
            </w:r>
            <w:r>
              <w:rPr>
                <w:spacing w:val="-2"/>
                <w:sz w:val="16"/>
                <w:szCs w:val="16"/>
                <w:lang w:val="en-GB"/>
              </w:rPr>
              <w:t xml:space="preserve"> </w:t>
            </w:r>
            <w:r w:rsidRPr="00E8532E">
              <w:rPr>
                <w:spacing w:val="-2"/>
                <w:sz w:val="16"/>
                <w:szCs w:val="16"/>
                <w:lang w:val="en-GB"/>
              </w:rPr>
              <w:t xml:space="preserve">growth </w:t>
            </w:r>
            <w:r>
              <w:rPr>
                <w:spacing w:val="-2"/>
                <w:sz w:val="16"/>
                <w:szCs w:val="16"/>
                <w:lang w:val="en-GB"/>
              </w:rPr>
              <w:t xml:space="preserve">(15,4%) </w:t>
            </w:r>
            <w:r w:rsidRPr="00E8532E">
              <w:rPr>
                <w:spacing w:val="-2"/>
                <w:sz w:val="16"/>
                <w:szCs w:val="16"/>
                <w:lang w:val="en-GB"/>
              </w:rPr>
              <w:t xml:space="preserve">was the highest in the last 4.5 years towards the end of 2015 </w:t>
            </w:r>
          </w:p>
        </w:tc>
        <w:tc>
          <w:tcPr>
            <w:tcW w:w="145" w:type="pct"/>
          </w:tcPr>
          <w:p w:rsidR="00891FDE" w:rsidRPr="00636F97" w:rsidRDefault="00891FDE" w:rsidP="00FA0110">
            <w:pPr>
              <w:rPr>
                <w:spacing w:val="-4"/>
                <w:szCs w:val="20"/>
              </w:rPr>
            </w:pPr>
          </w:p>
        </w:tc>
        <w:tc>
          <w:tcPr>
            <w:tcW w:w="3765" w:type="pct"/>
          </w:tcPr>
          <w:p w:rsidR="00891FDE" w:rsidRPr="00AA0F37" w:rsidRDefault="00891FDE" w:rsidP="00FA0110">
            <w:pPr>
              <w:pStyle w:val="Textpoznpodarou"/>
              <w:jc w:val="both"/>
              <w:rPr>
                <w:color w:val="000000"/>
                <w:lang w:val="en-GB"/>
              </w:rPr>
            </w:pPr>
            <w:proofErr w:type="gramStart"/>
            <w:r w:rsidRPr="00AA0F37">
              <w:rPr>
                <w:color w:val="000000"/>
                <w:lang w:val="en-GB"/>
              </w:rPr>
              <w:t>A stable growth of the foreign orders as well as the results of the business cycle surveys suggest</w:t>
            </w:r>
            <w:proofErr w:type="gramEnd"/>
            <w:r w:rsidRPr="00AA0F37">
              <w:rPr>
                <w:color w:val="000000"/>
                <w:lang w:val="en-GB"/>
              </w:rPr>
              <w:t xml:space="preserve"> a continuing favourable outlook of the industry in the short-term horizon at least. The value of new orders was year-on-year higher in all months of the year, in spite of their rates of growth not usually reaching the last year’s double digit values. The dynamics did not abate in case of the foreign orders even in Q4 (+9.2% for whole industry, it strengthened even to 21.5% for the manufacturers of motor vehicles).</w:t>
            </w:r>
            <w:r w:rsidRPr="00AA0F37">
              <w:rPr>
                <w:color w:val="000000"/>
              </w:rPr>
              <w:t xml:space="preserve"> </w:t>
            </w:r>
            <w:proofErr w:type="spellStart"/>
            <w:r w:rsidRPr="00AA0F37">
              <w:rPr>
                <w:color w:val="000000"/>
              </w:rPr>
              <w:t>The</w:t>
            </w:r>
            <w:proofErr w:type="spellEnd"/>
            <w:r w:rsidRPr="00AA0F37">
              <w:rPr>
                <w:color w:val="000000"/>
              </w:rPr>
              <w:t xml:space="preserve"> </w:t>
            </w:r>
            <w:proofErr w:type="spellStart"/>
            <w:r w:rsidRPr="00AA0F37">
              <w:rPr>
                <w:color w:val="000000"/>
              </w:rPr>
              <w:t>value</w:t>
            </w:r>
            <w:proofErr w:type="spellEnd"/>
            <w:r w:rsidRPr="00AA0F37">
              <w:rPr>
                <w:color w:val="000000"/>
              </w:rPr>
              <w:t xml:space="preserve"> </w:t>
            </w:r>
            <w:proofErr w:type="spellStart"/>
            <w:r w:rsidRPr="00AA0F37">
              <w:rPr>
                <w:color w:val="000000"/>
              </w:rPr>
              <w:t>of</w:t>
            </w:r>
            <w:proofErr w:type="spellEnd"/>
            <w:r w:rsidRPr="00AA0F37">
              <w:rPr>
                <w:color w:val="000000"/>
              </w:rPr>
              <w:t xml:space="preserve"> </w:t>
            </w:r>
            <w:r w:rsidRPr="00AA0F37">
              <w:rPr>
                <w:color w:val="000000"/>
                <w:lang w:val="en-GB"/>
              </w:rPr>
              <w:t xml:space="preserve">domestic orders was on the contrary mildly falling due to the development in metallurgy, machinery and especially the sharp slumps in the chemical industry in H2. A mildly positive entrepreneur confidence prevails in the industry, the seasonally adjusted balances of the confidence indicator reach stable values already for two years (following a slight decrease in Q4 2015,  they again returned to the level typical for the previous year at the beginning of </w:t>
            </w:r>
            <w:r w:rsidRPr="00AA0F37">
              <w:rPr>
                <w:color w:val="000000" w:themeColor="text1"/>
                <w:lang w:val="en-GB"/>
              </w:rPr>
              <w:t xml:space="preserve">2016). The significant effect of the inadequate demand falls somewhat with respect to the barriers of growth, the role of lack of material or equipment and especially of employees grows (already 15.4% for businesses at the beginning of 2016, only 6.7% a year ago). However, the favourable development of foreign demand in industry spills into the strengthening rates of growth of both employment and wages. The average number of registered employees in industry (for businesses with 50 and more employees) increased already by 3% year-on-year in Q4 itself (with the highest </w:t>
            </w:r>
            <w:r w:rsidRPr="00AA0F37">
              <w:rPr>
                <w:color w:val="000000" w:themeColor="text1"/>
                <w:spacing w:val="-2"/>
                <w:lang w:val="en-GB"/>
              </w:rPr>
              <w:t>dynamics in the manufacture of rubber and plastic products, manufacture of computers as well as motor vehicle industry). Businesses were transferring the “proven” agency workers into the category of primary employees to a higher extent</w:t>
            </w:r>
            <w:r w:rsidRPr="00AA0F37">
              <w:rPr>
                <w:color w:val="000000" w:themeColor="text1"/>
                <w:lang w:val="en-GB"/>
              </w:rPr>
              <w:t>.</w:t>
            </w:r>
          </w:p>
          <w:p w:rsidR="00891FDE" w:rsidRPr="00AA0F37" w:rsidRDefault="00891FDE" w:rsidP="00FA0110">
            <w:pPr>
              <w:pStyle w:val="Textpoznpodarou"/>
              <w:jc w:val="both"/>
              <w:rPr>
                <w:spacing w:val="-4"/>
              </w:rPr>
            </w:pPr>
          </w:p>
        </w:tc>
      </w:tr>
      <w:tr w:rsidR="00891FDE" w:rsidTr="00FA0110">
        <w:tc>
          <w:tcPr>
            <w:tcW w:w="1090" w:type="pct"/>
          </w:tcPr>
          <w:p w:rsidR="00891FDE" w:rsidRPr="00057864" w:rsidRDefault="00891FDE" w:rsidP="00FA0110">
            <w:pPr>
              <w:spacing w:line="240" w:lineRule="auto"/>
              <w:rPr>
                <w:spacing w:val="-4"/>
                <w:sz w:val="16"/>
                <w:szCs w:val="16"/>
                <w:lang w:val="en-GB"/>
              </w:rPr>
            </w:pPr>
            <w:r>
              <w:rPr>
                <w:spacing w:val="-4"/>
                <w:sz w:val="16"/>
                <w:szCs w:val="16"/>
                <w:lang w:val="en-GB"/>
              </w:rPr>
              <w:t>The highest</w:t>
            </w:r>
            <w:r w:rsidRPr="00057864">
              <w:rPr>
                <w:spacing w:val="-4"/>
                <w:sz w:val="16"/>
                <w:szCs w:val="16"/>
                <w:lang w:val="en-GB"/>
              </w:rPr>
              <w:t xml:space="preserve"> of growth of the </w:t>
            </w:r>
            <w:r>
              <w:rPr>
                <w:spacing w:val="-4"/>
                <w:sz w:val="16"/>
                <w:szCs w:val="16"/>
                <w:lang w:val="en-GB"/>
              </w:rPr>
              <w:t>industrial production is concentrated</w:t>
            </w:r>
            <w:r w:rsidRPr="00057864">
              <w:rPr>
                <w:spacing w:val="-4"/>
                <w:sz w:val="16"/>
                <w:szCs w:val="16"/>
                <w:lang w:val="en-GB"/>
              </w:rPr>
              <w:t xml:space="preserve"> in the strategically placed converging (mostly Central European) economies in the EU in the long-term, mainly thanks to the activities producing</w:t>
            </w:r>
            <w:r>
              <w:rPr>
                <w:spacing w:val="-4"/>
                <w:sz w:val="16"/>
                <w:szCs w:val="16"/>
                <w:lang w:val="en-GB"/>
              </w:rPr>
              <w:t xml:space="preserve"> c</w:t>
            </w:r>
            <w:r w:rsidRPr="005B0321">
              <w:rPr>
                <w:spacing w:val="-4"/>
                <w:sz w:val="16"/>
                <w:szCs w:val="16"/>
                <w:lang w:val="en-GB"/>
              </w:rPr>
              <w:t>apital goods</w:t>
            </w:r>
          </w:p>
        </w:tc>
        <w:tc>
          <w:tcPr>
            <w:tcW w:w="145" w:type="pct"/>
          </w:tcPr>
          <w:p w:rsidR="00891FDE" w:rsidRDefault="00891FDE" w:rsidP="00FA0110">
            <w:pPr>
              <w:pStyle w:val="Textpoznpodarou"/>
              <w:jc w:val="both"/>
            </w:pPr>
          </w:p>
        </w:tc>
        <w:tc>
          <w:tcPr>
            <w:tcW w:w="3765" w:type="pct"/>
          </w:tcPr>
          <w:p w:rsidR="00891FDE" w:rsidRPr="00AA0F37" w:rsidRDefault="00891FDE" w:rsidP="00FA0110">
            <w:pPr>
              <w:pStyle w:val="Textpoznpodarou"/>
              <w:jc w:val="both"/>
              <w:rPr>
                <w:color w:val="000000" w:themeColor="text1"/>
                <w:lang w:val="en-GB"/>
              </w:rPr>
            </w:pPr>
            <w:r w:rsidRPr="00AA0F37">
              <w:rPr>
                <w:color w:val="000000" w:themeColor="text1"/>
                <w:lang w:val="en-GB"/>
              </w:rPr>
              <w:t>The CR belongs to countries with the above average dynamics of the industrial production within EU in the long-term. It was growing by the fifth fastest rate among all EU countries in 2015 (the fourth the year ago). For example Hungary (+7.3%) and Slovakia (+5.9%) reached even a higher dynamics. Ireland (with the less significant and much specialised industry regarding the activities) recorded a considerable growth (in the range of 18 to 21%) already second year in a row, on the contrary it oscillated only around 1% in Germany in the same time period. The activities focused on the production of capital goods strengthened the most in the EU (2.2%) similarly to the CR (6.7%). The CR belongs to the group of twelve countries, which already exceeded the pre-crisis level (year 2008) of the industrial production. These are mostly the converging economies (incl. the CR)</w:t>
            </w:r>
            <w:proofErr w:type="gramStart"/>
            <w:r w:rsidRPr="00AA0F37">
              <w:rPr>
                <w:color w:val="000000" w:themeColor="text1"/>
                <w:lang w:val="en-GB"/>
              </w:rPr>
              <w:t>,</w:t>
            </w:r>
            <w:proofErr w:type="gramEnd"/>
            <w:r w:rsidRPr="00AA0F37">
              <w:rPr>
                <w:color w:val="000000" w:themeColor="text1"/>
                <w:lang w:val="en-GB"/>
              </w:rPr>
              <w:t xml:space="preserve"> Ireland (by 40%) also passed this mark and Austria or Germany also tightly. Italy, Contrary to it, Spain or Finland still remained one quarter below this level.</w:t>
            </w:r>
          </w:p>
          <w:p w:rsidR="00891FDE" w:rsidRPr="00AA0F37" w:rsidRDefault="00891FDE" w:rsidP="00FA0110">
            <w:pPr>
              <w:pStyle w:val="Textpoznpodarou"/>
              <w:jc w:val="both"/>
              <w:rPr>
                <w:color w:val="000000" w:themeColor="text1"/>
                <w:spacing w:val="-4"/>
              </w:rPr>
            </w:pPr>
          </w:p>
        </w:tc>
      </w:tr>
      <w:tr w:rsidR="00891FDE" w:rsidTr="00FA0110">
        <w:tc>
          <w:tcPr>
            <w:tcW w:w="1090" w:type="pct"/>
          </w:tcPr>
          <w:p w:rsidR="00891FDE" w:rsidRPr="009D1C80" w:rsidRDefault="00891FDE" w:rsidP="00FA0110">
            <w:pPr>
              <w:spacing w:line="240" w:lineRule="auto"/>
              <w:rPr>
                <w:sz w:val="16"/>
                <w:szCs w:val="16"/>
                <w:lang w:val="en-GB"/>
              </w:rPr>
            </w:pPr>
            <w:r w:rsidRPr="009D1C80">
              <w:rPr>
                <w:sz w:val="16"/>
                <w:szCs w:val="16"/>
                <w:lang w:val="en-GB"/>
              </w:rPr>
              <w:t>The construction was in the major part determined by</w:t>
            </w:r>
            <w:r>
              <w:rPr>
                <w:sz w:val="16"/>
                <w:szCs w:val="16"/>
                <w:lang w:val="en-GB"/>
              </w:rPr>
              <w:t xml:space="preserve"> </w:t>
            </w:r>
            <w:r w:rsidRPr="009D1C80">
              <w:rPr>
                <w:sz w:val="16"/>
                <w:szCs w:val="16"/>
                <w:lang w:val="en-GB"/>
              </w:rPr>
              <w:t>the completion of drawing on the European funds</w:t>
            </w:r>
            <w:r>
              <w:rPr>
                <w:sz w:val="16"/>
                <w:szCs w:val="16"/>
                <w:lang w:val="en-GB"/>
              </w:rPr>
              <w:t>,</w:t>
            </w:r>
            <w:r w:rsidRPr="009D1C80">
              <w:rPr>
                <w:sz w:val="16"/>
                <w:szCs w:val="16"/>
                <w:lang w:val="en-GB"/>
              </w:rPr>
              <w:t xml:space="preserve"> </w:t>
            </w:r>
            <w:r>
              <w:rPr>
                <w:sz w:val="16"/>
                <w:szCs w:val="16"/>
                <w:lang w:val="en-GB"/>
              </w:rPr>
              <w:t xml:space="preserve">especially </w:t>
            </w:r>
            <w:r w:rsidRPr="009D1C80">
              <w:rPr>
                <w:sz w:val="16"/>
                <w:szCs w:val="16"/>
                <w:lang w:val="en-GB"/>
              </w:rPr>
              <w:t xml:space="preserve">on transport infrastructure in 2015  </w:t>
            </w:r>
          </w:p>
        </w:tc>
        <w:tc>
          <w:tcPr>
            <w:tcW w:w="145" w:type="pct"/>
          </w:tcPr>
          <w:p w:rsidR="00891FDE" w:rsidRPr="009D1C80" w:rsidRDefault="00891FDE" w:rsidP="00FA0110">
            <w:pPr>
              <w:pStyle w:val="Textpoznpodarou"/>
              <w:jc w:val="both"/>
              <w:rPr>
                <w:spacing w:val="-2"/>
                <w:lang w:val="en-GB"/>
              </w:rPr>
            </w:pPr>
          </w:p>
        </w:tc>
        <w:tc>
          <w:tcPr>
            <w:tcW w:w="3765" w:type="pct"/>
          </w:tcPr>
          <w:p w:rsidR="00891FDE" w:rsidRPr="009D1C80" w:rsidRDefault="00891FDE" w:rsidP="00FA0110">
            <w:pPr>
              <w:pStyle w:val="Textpoznpodarou"/>
              <w:jc w:val="both"/>
              <w:rPr>
                <w:lang w:val="en-GB"/>
              </w:rPr>
            </w:pPr>
            <w:r w:rsidRPr="009D1C80">
              <w:rPr>
                <w:lang w:val="en-GB"/>
              </w:rPr>
              <w:t xml:space="preserve">The acceleration of public investment into the </w:t>
            </w:r>
            <w:r>
              <w:rPr>
                <w:lang w:val="en-GB"/>
              </w:rPr>
              <w:t>civil e</w:t>
            </w:r>
            <w:r w:rsidRPr="009D1C80">
              <w:rPr>
                <w:lang w:val="en-GB"/>
              </w:rPr>
              <w:t xml:space="preserve">ngineering </w:t>
            </w:r>
            <w:r>
              <w:rPr>
                <w:lang w:val="en-GB"/>
              </w:rPr>
              <w:t xml:space="preserve">works (driven by </w:t>
            </w:r>
            <w:r w:rsidRPr="009D1C80">
              <w:rPr>
                <w:lang w:val="en-GB"/>
              </w:rPr>
              <w:t>the fina</w:t>
            </w:r>
            <w:r>
              <w:rPr>
                <w:lang w:val="en-GB"/>
              </w:rPr>
              <w:t>lisation of drawing of resour</w:t>
            </w:r>
            <w:r w:rsidRPr="009D1C80">
              <w:rPr>
                <w:lang w:val="en-GB"/>
              </w:rPr>
              <w:t>ces from the EU budget</w:t>
            </w:r>
            <w:r>
              <w:rPr>
                <w:lang w:val="en-GB"/>
              </w:rPr>
              <w:t>)</w:t>
            </w:r>
            <w:r w:rsidRPr="009D1C80">
              <w:rPr>
                <w:lang w:val="en-GB"/>
              </w:rPr>
              <w:t xml:space="preserve"> </w:t>
            </w:r>
            <w:r>
              <w:rPr>
                <w:lang w:val="en-GB"/>
              </w:rPr>
              <w:t>was a key factor behind</w:t>
            </w:r>
            <w:r w:rsidRPr="009D1C80">
              <w:rPr>
                <w:lang w:val="en-GB"/>
              </w:rPr>
              <w:t xml:space="preserve"> the results in construction in 2015. </w:t>
            </w:r>
            <w:r>
              <w:rPr>
                <w:lang w:val="en-GB"/>
              </w:rPr>
              <w:t>T</w:t>
            </w:r>
            <w:r w:rsidRPr="009D1C80">
              <w:rPr>
                <w:lang w:val="en-GB"/>
              </w:rPr>
              <w:t xml:space="preserve">he impact of the notable economic revival still on the contrary manifests </w:t>
            </w:r>
            <w:r w:rsidRPr="006E638B">
              <w:rPr>
                <w:lang w:val="en-GB"/>
              </w:rPr>
              <w:t>less clear</w:t>
            </w:r>
            <w:r>
              <w:rPr>
                <w:lang w:val="en-GB"/>
              </w:rPr>
              <w:t>ly (</w:t>
            </w:r>
            <w:r w:rsidRPr="009D1C80">
              <w:rPr>
                <w:lang w:val="en-GB"/>
              </w:rPr>
              <w:t xml:space="preserve">e.g. the production of the </w:t>
            </w:r>
            <w:r>
              <w:rPr>
                <w:lang w:val="en-GB"/>
              </w:rPr>
              <w:t xml:space="preserve">building construction </w:t>
            </w:r>
            <w:r w:rsidRPr="009D1C80">
              <w:rPr>
                <w:lang w:val="en-GB"/>
              </w:rPr>
              <w:t>increased only by 6% compared to its bottom from year 2013</w:t>
            </w:r>
            <w:r>
              <w:rPr>
                <w:lang w:val="en-GB"/>
              </w:rPr>
              <w:t>)</w:t>
            </w:r>
            <w:r w:rsidRPr="009D1C80">
              <w:rPr>
                <w:lang w:val="en-GB"/>
              </w:rPr>
              <w:t xml:space="preserve">. The construction firms also </w:t>
            </w:r>
            <w:r>
              <w:rPr>
                <w:lang w:val="en-GB"/>
              </w:rPr>
              <w:t>generate</w:t>
            </w:r>
            <w:r w:rsidRPr="009D1C80">
              <w:rPr>
                <w:lang w:val="en-GB"/>
              </w:rPr>
              <w:t xml:space="preserve"> new job positions carefully, due to the experience from the pro-longed recession of the branch and remaining uncertainty linked to the subsiding of the</w:t>
            </w:r>
            <w:r>
              <w:rPr>
                <w:lang w:val="en-GB"/>
              </w:rPr>
              <w:t xml:space="preserve"> “doping”</w:t>
            </w:r>
            <w:r w:rsidRPr="009D1C80">
              <w:rPr>
                <w:lang w:val="en-GB"/>
              </w:rPr>
              <w:t xml:space="preserve"> effect of the strong drawing on the European subsidies. </w:t>
            </w:r>
          </w:p>
          <w:p w:rsidR="00891FDE" w:rsidRPr="00AA0F37" w:rsidRDefault="00891FDE" w:rsidP="00FA0110">
            <w:pPr>
              <w:pStyle w:val="Textpoznpodarou"/>
              <w:jc w:val="both"/>
              <w:rPr>
                <w:spacing w:val="-4"/>
                <w:lang w:val="en-GB"/>
              </w:rPr>
            </w:pPr>
          </w:p>
        </w:tc>
      </w:tr>
      <w:tr w:rsidR="00891FDE" w:rsidTr="00FA0110">
        <w:tc>
          <w:tcPr>
            <w:tcW w:w="1090" w:type="pct"/>
          </w:tcPr>
          <w:p w:rsidR="00891FDE" w:rsidRPr="009D1C80" w:rsidRDefault="00891FDE" w:rsidP="00FA0110">
            <w:pPr>
              <w:spacing w:line="240" w:lineRule="auto"/>
              <w:rPr>
                <w:sz w:val="16"/>
                <w:szCs w:val="16"/>
                <w:lang w:val="en-GB"/>
              </w:rPr>
            </w:pPr>
            <w:r w:rsidRPr="009D1C80">
              <w:rPr>
                <w:sz w:val="16"/>
                <w:szCs w:val="16"/>
                <w:lang w:val="en-GB"/>
              </w:rPr>
              <w:t xml:space="preserve">Mounting pressure on the completion of drawing on </w:t>
            </w:r>
            <w:r w:rsidRPr="009D1C80">
              <w:rPr>
                <w:sz w:val="16"/>
                <w:szCs w:val="16"/>
                <w:lang w:val="en-GB"/>
              </w:rPr>
              <w:lastRenderedPageBreak/>
              <w:t>funds from the EU budget allocated to the development of the transport infrastructure led to sharp year-on-year growth of the</w:t>
            </w:r>
            <w:r>
              <w:rPr>
                <w:sz w:val="16"/>
                <w:szCs w:val="16"/>
                <w:lang w:val="en-GB"/>
              </w:rPr>
              <w:t xml:space="preserve"> civil engineering construction </w:t>
            </w:r>
            <w:r w:rsidRPr="009D1C80">
              <w:rPr>
                <w:sz w:val="16"/>
                <w:szCs w:val="16"/>
                <w:lang w:val="en-GB"/>
              </w:rPr>
              <w:t xml:space="preserve"> </w:t>
            </w:r>
            <w:r>
              <w:rPr>
                <w:sz w:val="16"/>
                <w:szCs w:val="16"/>
                <w:lang w:val="en-GB"/>
              </w:rPr>
              <w:t>p</w:t>
            </w:r>
            <w:r w:rsidRPr="009D1C80">
              <w:rPr>
                <w:sz w:val="16"/>
                <w:szCs w:val="16"/>
                <w:lang w:val="en-GB"/>
              </w:rPr>
              <w:t xml:space="preserve">roduction, the highest in the last twelve years  </w:t>
            </w:r>
          </w:p>
        </w:tc>
        <w:tc>
          <w:tcPr>
            <w:tcW w:w="145" w:type="pct"/>
          </w:tcPr>
          <w:p w:rsidR="00891FDE" w:rsidRPr="009D1C80" w:rsidRDefault="00891FDE" w:rsidP="00FA0110">
            <w:pPr>
              <w:pStyle w:val="Textpoznpodarou"/>
              <w:jc w:val="both"/>
              <w:rPr>
                <w:spacing w:val="-2"/>
                <w:lang w:val="en-GB"/>
              </w:rPr>
            </w:pPr>
          </w:p>
        </w:tc>
        <w:tc>
          <w:tcPr>
            <w:tcW w:w="3765" w:type="pct"/>
          </w:tcPr>
          <w:p w:rsidR="00FA0110" w:rsidRPr="00AA0F37" w:rsidRDefault="00891FDE" w:rsidP="00906D0C">
            <w:pPr>
              <w:pStyle w:val="Textpoznpodarou"/>
              <w:jc w:val="both"/>
              <w:rPr>
                <w:lang w:val="en-GB"/>
              </w:rPr>
            </w:pPr>
            <w:r w:rsidRPr="00AA0F37">
              <w:rPr>
                <w:lang w:val="en-GB"/>
              </w:rPr>
              <w:t xml:space="preserve">Year-on-year rate of growth of the construction production mildly accelerated to 7.1% (from 4.3% from year 2014) in 2015. Civil engineering construction (less </w:t>
            </w:r>
            <w:r w:rsidRPr="00AA0F37">
              <w:rPr>
                <w:lang w:val="en-GB"/>
              </w:rPr>
              <w:lastRenderedPageBreak/>
              <w:t>significant by weight) contributed to the growth of the whole branch from three quarters (its performance was by one sixth higher year-on-year). The whole construction however started to lose the dynamics in the second half of the year, when it rose by 1.1% year-on-year (after calendar adjustment) in Q4 (and simultaneously recorded already second quarter-on-quarter decrease in a row). Even though the construction production for the whole year increased the most since year 2007, it was still by nearly 15% lower in comparison to the level of the business cycle peak in 2008.</w:t>
            </w:r>
          </w:p>
          <w:p w:rsidR="00AA0F37" w:rsidRPr="00FA0110" w:rsidRDefault="00AA0F37" w:rsidP="00906D0C">
            <w:pPr>
              <w:pStyle w:val="Textpoznpodarou"/>
              <w:jc w:val="both"/>
              <w:rPr>
                <w:spacing w:val="-4"/>
                <w:lang w:val="en-GB"/>
              </w:rPr>
            </w:pPr>
          </w:p>
        </w:tc>
      </w:tr>
      <w:tr w:rsidR="00891FDE" w:rsidTr="00FA0110">
        <w:tc>
          <w:tcPr>
            <w:tcW w:w="1090" w:type="pct"/>
          </w:tcPr>
          <w:p w:rsidR="00891FDE" w:rsidRPr="002C1A8A" w:rsidRDefault="00891FDE" w:rsidP="00FA0110">
            <w:pPr>
              <w:spacing w:line="240" w:lineRule="auto"/>
              <w:rPr>
                <w:sz w:val="16"/>
                <w:szCs w:val="16"/>
                <w:lang w:val="en-GB"/>
              </w:rPr>
            </w:pPr>
            <w:r w:rsidRPr="002C1A8A">
              <w:rPr>
                <w:sz w:val="16"/>
                <w:szCs w:val="16"/>
                <w:lang w:val="en-GB"/>
              </w:rPr>
              <w:lastRenderedPageBreak/>
              <w:t xml:space="preserve">The stock of all not yet realised construction orders narrowed down by a whole one quarter during 2015 </w:t>
            </w:r>
          </w:p>
          <w:p w:rsidR="00891FDE" w:rsidRPr="002C1A8A" w:rsidRDefault="00891FDE" w:rsidP="00FA0110">
            <w:pPr>
              <w:spacing w:line="240" w:lineRule="auto"/>
              <w:rPr>
                <w:sz w:val="16"/>
                <w:szCs w:val="16"/>
                <w:lang w:val="en-GB"/>
              </w:rPr>
            </w:pPr>
          </w:p>
          <w:p w:rsidR="00891FDE" w:rsidRPr="002C1A8A" w:rsidRDefault="00891FDE" w:rsidP="00FA0110">
            <w:pPr>
              <w:spacing w:line="240" w:lineRule="auto"/>
              <w:rPr>
                <w:sz w:val="16"/>
                <w:szCs w:val="16"/>
                <w:lang w:val="en-GB"/>
              </w:rPr>
            </w:pPr>
          </w:p>
          <w:p w:rsidR="00891FDE" w:rsidRPr="002C1A8A" w:rsidRDefault="00891FDE" w:rsidP="00FA0110">
            <w:pPr>
              <w:spacing w:line="240" w:lineRule="auto"/>
              <w:rPr>
                <w:sz w:val="16"/>
                <w:szCs w:val="16"/>
                <w:lang w:val="en-GB"/>
              </w:rPr>
            </w:pPr>
          </w:p>
          <w:p w:rsidR="00891FDE" w:rsidRPr="002C1A8A" w:rsidRDefault="00891FDE" w:rsidP="00FA0110">
            <w:pPr>
              <w:spacing w:line="240" w:lineRule="auto"/>
              <w:rPr>
                <w:sz w:val="16"/>
                <w:szCs w:val="16"/>
                <w:lang w:val="en-GB"/>
              </w:rPr>
            </w:pPr>
          </w:p>
          <w:p w:rsidR="00891FDE" w:rsidRPr="002C1A8A" w:rsidRDefault="00891FDE" w:rsidP="00FA0110">
            <w:pPr>
              <w:spacing w:line="240" w:lineRule="auto"/>
              <w:rPr>
                <w:color w:val="000000" w:themeColor="text1"/>
                <w:sz w:val="16"/>
                <w:szCs w:val="16"/>
                <w:lang w:val="en-GB"/>
              </w:rPr>
            </w:pPr>
          </w:p>
          <w:p w:rsidR="00891FDE" w:rsidRPr="0032604E" w:rsidRDefault="00891FDE" w:rsidP="00FA0110">
            <w:pPr>
              <w:spacing w:line="240" w:lineRule="auto"/>
              <w:rPr>
                <w:color w:val="000000" w:themeColor="text1"/>
                <w:sz w:val="16"/>
                <w:szCs w:val="16"/>
              </w:rPr>
            </w:pPr>
            <w:r w:rsidRPr="002C1A8A">
              <w:rPr>
                <w:color w:val="000000" w:themeColor="text1"/>
                <w:sz w:val="16"/>
                <w:szCs w:val="16"/>
                <w:lang w:val="en-GB"/>
              </w:rPr>
              <w:t xml:space="preserve">Marked growth of the </w:t>
            </w:r>
            <w:r>
              <w:rPr>
                <w:color w:val="000000" w:themeColor="text1"/>
                <w:sz w:val="16"/>
                <w:szCs w:val="16"/>
                <w:lang w:val="en-GB"/>
              </w:rPr>
              <w:t>floor area within</w:t>
            </w:r>
            <w:r w:rsidRPr="002C1A8A">
              <w:rPr>
                <w:color w:val="000000" w:themeColor="text1"/>
                <w:sz w:val="16"/>
                <w:szCs w:val="16"/>
                <w:lang w:val="en-GB"/>
              </w:rPr>
              <w:t xml:space="preserve"> new permitted non-residential buildings</w:t>
            </w:r>
            <w:r>
              <w:rPr>
                <w:color w:val="000000" w:themeColor="text1"/>
                <w:sz w:val="16"/>
                <w:szCs w:val="16"/>
              </w:rPr>
              <w:t xml:space="preserve"> </w:t>
            </w:r>
          </w:p>
        </w:tc>
        <w:tc>
          <w:tcPr>
            <w:tcW w:w="145" w:type="pct"/>
          </w:tcPr>
          <w:p w:rsidR="00891FDE" w:rsidRDefault="00891FDE" w:rsidP="00FA0110">
            <w:pPr>
              <w:pStyle w:val="Textpoznpodarou"/>
              <w:jc w:val="both"/>
              <w:rPr>
                <w:spacing w:val="-2"/>
              </w:rPr>
            </w:pPr>
          </w:p>
        </w:tc>
        <w:tc>
          <w:tcPr>
            <w:tcW w:w="3765" w:type="pct"/>
          </w:tcPr>
          <w:p w:rsidR="00891FDE" w:rsidRPr="00524962" w:rsidRDefault="00891FDE" w:rsidP="00FA0110">
            <w:pPr>
              <w:pStyle w:val="Textpoznpodarou"/>
              <w:jc w:val="both"/>
              <w:rPr>
                <w:spacing w:val="-2"/>
                <w:lang w:val="en-GB"/>
              </w:rPr>
            </w:pPr>
            <w:r w:rsidRPr="00524962">
              <w:rPr>
                <w:spacing w:val="-2"/>
                <w:lang w:val="en-GB"/>
              </w:rPr>
              <w:t xml:space="preserve">Good results in construction throughout most of year 2015 were partially the reflection of implementation of a high stock of last year’s new orders for </w:t>
            </w:r>
            <w:proofErr w:type="spellStart"/>
            <w:r w:rsidRPr="00524962">
              <w:rPr>
                <w:spacing w:val="-2"/>
                <w:lang w:val="en-GB"/>
              </w:rPr>
              <w:t>civiů</w:t>
            </w:r>
            <w:proofErr w:type="spellEnd"/>
            <w:r w:rsidRPr="00524962">
              <w:rPr>
                <w:spacing w:val="-2"/>
                <w:lang w:val="en-GB"/>
              </w:rPr>
              <w:t xml:space="preserve"> engineering works (in the value of 117 CZK </w:t>
            </w:r>
            <w:proofErr w:type="spellStart"/>
            <w:r w:rsidRPr="00524962">
              <w:rPr>
                <w:spacing w:val="-2"/>
                <w:lang w:val="en-GB"/>
              </w:rPr>
              <w:t>bn</w:t>
            </w:r>
            <w:proofErr w:type="spellEnd"/>
            <w:r w:rsidRPr="00524962">
              <w:rPr>
                <w:spacing w:val="-2"/>
                <w:lang w:val="en-GB"/>
              </w:rPr>
              <w:t xml:space="preserve">, the highest since 2008). The value of new orders (in businesses with 50 and more employees) fell by 1.7% year-on-year in H2. The heightened pressure to complete especially the transport constructions transferred into a considerable drop of the stock of all not yet finished orders (by 38.3 CZK </w:t>
            </w:r>
            <w:proofErr w:type="spellStart"/>
            <w:r w:rsidRPr="00524962">
              <w:rPr>
                <w:spacing w:val="-2"/>
                <w:lang w:val="en-GB"/>
              </w:rPr>
              <w:t>bn</w:t>
            </w:r>
            <w:proofErr w:type="spellEnd"/>
            <w:r w:rsidRPr="00524962">
              <w:rPr>
                <w:spacing w:val="-2"/>
                <w:lang w:val="en-GB"/>
              </w:rPr>
              <w:t xml:space="preserve">) year-on-year at the end of the year, mainly due to the effect of drawing of domestic public orders and also orders from abroad. At the same time, the estimated value of issued construction permits was increasing (by 14.9% year-on-year in Q4), however not for new construction, but for renovations of existing structures. The floor area within new buildings (permitted in 2015) enlarged for the first time since 2008 year-on-year, especially thanks to the non-residential structures. It can present a signal that the fastened growth of the economy starts to lead businesses (in industry or services) to expand their capacities. </w:t>
            </w:r>
          </w:p>
          <w:p w:rsidR="00891FDE" w:rsidRPr="00FA0110" w:rsidRDefault="00891FDE" w:rsidP="00FA0110">
            <w:pPr>
              <w:pStyle w:val="Textpoznpodarou"/>
              <w:jc w:val="both"/>
              <w:rPr>
                <w:spacing w:val="-4"/>
              </w:rPr>
            </w:pPr>
          </w:p>
        </w:tc>
      </w:tr>
      <w:tr w:rsidR="00891FDE" w:rsidTr="00FA0110">
        <w:tc>
          <w:tcPr>
            <w:tcW w:w="1090" w:type="pct"/>
          </w:tcPr>
          <w:p w:rsidR="00891FDE" w:rsidRPr="00493036" w:rsidRDefault="00891FDE" w:rsidP="00FA0110">
            <w:pPr>
              <w:spacing w:line="240" w:lineRule="auto"/>
              <w:rPr>
                <w:spacing w:val="-4"/>
                <w:sz w:val="16"/>
                <w:szCs w:val="16"/>
                <w:lang w:val="en-GB"/>
              </w:rPr>
            </w:pPr>
            <w:r w:rsidRPr="00493036">
              <w:rPr>
                <w:spacing w:val="-4"/>
                <w:sz w:val="16"/>
                <w:szCs w:val="16"/>
                <w:lang w:val="en-GB"/>
              </w:rPr>
              <w:t>The number of commenced fla</w:t>
            </w:r>
            <w:r>
              <w:rPr>
                <w:spacing w:val="-4"/>
                <w:sz w:val="16"/>
                <w:szCs w:val="16"/>
                <w:lang w:val="en-GB"/>
              </w:rPr>
              <w:t>ts in the residential buildings</w:t>
            </w:r>
            <w:r w:rsidRPr="00493036">
              <w:rPr>
                <w:spacing w:val="-4"/>
                <w:sz w:val="16"/>
                <w:szCs w:val="16"/>
                <w:lang w:val="en-GB"/>
              </w:rPr>
              <w:t xml:space="preserve"> grew already three years</w:t>
            </w:r>
            <w:r>
              <w:rPr>
                <w:spacing w:val="-4"/>
                <w:sz w:val="16"/>
                <w:szCs w:val="16"/>
                <w:lang w:val="en-GB"/>
              </w:rPr>
              <w:t xml:space="preserve"> in a row, it was however by 55</w:t>
            </w:r>
            <w:r w:rsidRPr="00493036">
              <w:rPr>
                <w:spacing w:val="-4"/>
                <w:sz w:val="16"/>
                <w:szCs w:val="16"/>
                <w:lang w:val="en-GB"/>
              </w:rPr>
              <w:t>% weaker r</w:t>
            </w:r>
            <w:r>
              <w:rPr>
                <w:spacing w:val="-4"/>
                <w:sz w:val="16"/>
                <w:szCs w:val="16"/>
                <w:lang w:val="en-GB"/>
              </w:rPr>
              <w:t>elative to the “</w:t>
            </w:r>
            <w:r w:rsidRPr="00493036">
              <w:rPr>
                <w:spacing w:val="-4"/>
                <w:sz w:val="16"/>
                <w:szCs w:val="16"/>
                <w:lang w:val="en-GB"/>
              </w:rPr>
              <w:t>peak year</w:t>
            </w:r>
            <w:r>
              <w:rPr>
                <w:spacing w:val="-4"/>
                <w:sz w:val="16"/>
                <w:szCs w:val="16"/>
                <w:lang w:val="en-GB"/>
              </w:rPr>
              <w:t>”</w:t>
            </w:r>
            <w:r w:rsidRPr="00493036">
              <w:rPr>
                <w:spacing w:val="-4"/>
                <w:sz w:val="16"/>
                <w:szCs w:val="16"/>
                <w:lang w:val="en-GB"/>
              </w:rPr>
              <w:t xml:space="preserve"> </w:t>
            </w:r>
            <w:r>
              <w:rPr>
                <w:spacing w:val="-4"/>
                <w:sz w:val="16"/>
                <w:szCs w:val="16"/>
                <w:lang w:val="en-GB"/>
              </w:rPr>
              <w:t>2007</w:t>
            </w:r>
          </w:p>
          <w:p w:rsidR="00891FDE" w:rsidRPr="00493036" w:rsidRDefault="00891FDE" w:rsidP="00FA0110">
            <w:pPr>
              <w:spacing w:line="240" w:lineRule="auto"/>
              <w:rPr>
                <w:color w:val="000000" w:themeColor="text1"/>
                <w:spacing w:val="-4"/>
                <w:sz w:val="16"/>
                <w:szCs w:val="16"/>
                <w:lang w:val="en-GB"/>
              </w:rPr>
            </w:pPr>
          </w:p>
          <w:p w:rsidR="00891FDE" w:rsidRDefault="00891FDE" w:rsidP="00FA0110">
            <w:pPr>
              <w:spacing w:line="240" w:lineRule="auto"/>
              <w:rPr>
                <w:color w:val="000000" w:themeColor="text1"/>
                <w:spacing w:val="-4"/>
                <w:sz w:val="16"/>
                <w:szCs w:val="16"/>
              </w:rPr>
            </w:pPr>
            <w:r w:rsidRPr="00493036">
              <w:rPr>
                <w:color w:val="000000" w:themeColor="text1"/>
                <w:spacing w:val="-4"/>
                <w:sz w:val="16"/>
                <w:szCs w:val="16"/>
                <w:lang w:val="en-GB"/>
              </w:rPr>
              <w:t>The territorial disproportion in the commenced residential construction deepens</w:t>
            </w:r>
            <w:r>
              <w:rPr>
                <w:color w:val="000000" w:themeColor="text1"/>
                <w:spacing w:val="-4"/>
                <w:sz w:val="16"/>
                <w:szCs w:val="16"/>
              </w:rPr>
              <w:t xml:space="preserve"> </w:t>
            </w:r>
          </w:p>
          <w:p w:rsidR="00891FDE" w:rsidRPr="0032604E" w:rsidRDefault="00891FDE" w:rsidP="00FA0110">
            <w:pPr>
              <w:spacing w:line="240" w:lineRule="auto"/>
              <w:rPr>
                <w:color w:val="000000" w:themeColor="text1"/>
                <w:sz w:val="16"/>
                <w:szCs w:val="16"/>
              </w:rPr>
            </w:pPr>
          </w:p>
        </w:tc>
        <w:tc>
          <w:tcPr>
            <w:tcW w:w="145" w:type="pct"/>
          </w:tcPr>
          <w:p w:rsidR="00891FDE" w:rsidRDefault="00891FDE" w:rsidP="00FA0110">
            <w:pPr>
              <w:pStyle w:val="Textpoznpodarou"/>
              <w:jc w:val="both"/>
              <w:rPr>
                <w:spacing w:val="-2"/>
              </w:rPr>
            </w:pPr>
          </w:p>
        </w:tc>
        <w:tc>
          <w:tcPr>
            <w:tcW w:w="3765" w:type="pct"/>
          </w:tcPr>
          <w:p w:rsidR="00891FDE" w:rsidRPr="00AA0F37" w:rsidRDefault="00891FDE" w:rsidP="00FA0110">
            <w:pPr>
              <w:pStyle w:val="Textpoznpodarou"/>
              <w:jc w:val="both"/>
              <w:rPr>
                <w:lang w:val="en-GB"/>
              </w:rPr>
            </w:pPr>
            <w:r w:rsidRPr="00AA0F37">
              <w:rPr>
                <w:lang w:val="en-GB"/>
              </w:rPr>
              <w:t xml:space="preserve">The residential construction bounces from its bottom (year 2013) only slowly despite the growth of the disposable income of households and prevailing historically low interest rates (mortgages). The number of commenced dwellings increased by 8.3% in 2015 (by a similar pace as in the previous year), there were more flats in all forms of construction year-on-year except for the retirement homes, where the mere 476 flats represented the lowest value in the modern history. Almost 58% of the number of commenced dwellings in the residential buildings across the country belonged to Prague (under 40%, however, in the period of the business cycle peak). </w:t>
            </w:r>
          </w:p>
          <w:p w:rsidR="00891FDE" w:rsidRPr="00FA0110" w:rsidRDefault="00891FDE" w:rsidP="00FA0110">
            <w:pPr>
              <w:pStyle w:val="Textpoznpodarou"/>
              <w:jc w:val="both"/>
              <w:rPr>
                <w:spacing w:val="-4"/>
              </w:rPr>
            </w:pPr>
          </w:p>
        </w:tc>
      </w:tr>
      <w:tr w:rsidR="00891FDE" w:rsidTr="00FA0110">
        <w:trPr>
          <w:cantSplit/>
          <w:trHeight w:val="203"/>
        </w:trPr>
        <w:tc>
          <w:tcPr>
            <w:tcW w:w="1090" w:type="pct"/>
          </w:tcPr>
          <w:p w:rsidR="00891FDE" w:rsidRPr="003C5DD4" w:rsidRDefault="00891FDE" w:rsidP="00FA0110">
            <w:pPr>
              <w:spacing w:line="240" w:lineRule="auto"/>
              <w:rPr>
                <w:sz w:val="16"/>
                <w:szCs w:val="16"/>
                <w:lang w:val="en-GB"/>
              </w:rPr>
            </w:pPr>
            <w:r w:rsidRPr="003C5DD4">
              <w:rPr>
                <w:sz w:val="16"/>
                <w:szCs w:val="16"/>
                <w:lang w:val="en-GB"/>
              </w:rPr>
              <w:t xml:space="preserve">Improvement of the confidence indicators in construction, short-term outlook more favourable especially for the largest firms, who carried the decisive part of the responsibility to realise the investment into the transport infrastructure </w:t>
            </w:r>
          </w:p>
        </w:tc>
        <w:tc>
          <w:tcPr>
            <w:tcW w:w="145" w:type="pct"/>
          </w:tcPr>
          <w:p w:rsidR="00891FDE" w:rsidRPr="003C5DD4" w:rsidRDefault="00891FDE" w:rsidP="00FA0110">
            <w:pPr>
              <w:pStyle w:val="Textpoznpodarou"/>
              <w:jc w:val="both"/>
              <w:rPr>
                <w:spacing w:val="-2"/>
                <w:lang w:val="en-GB"/>
              </w:rPr>
            </w:pPr>
          </w:p>
        </w:tc>
        <w:tc>
          <w:tcPr>
            <w:tcW w:w="3765" w:type="pct"/>
          </w:tcPr>
          <w:p w:rsidR="00891FDE" w:rsidRPr="00AA0F37" w:rsidRDefault="00891FDE" w:rsidP="00FA0110">
            <w:pPr>
              <w:pStyle w:val="Textpoznpodarou"/>
              <w:jc w:val="both"/>
              <w:rPr>
                <w:lang w:val="en-GB"/>
              </w:rPr>
            </w:pPr>
            <w:r w:rsidRPr="00AA0F37">
              <w:rPr>
                <w:color w:val="000000" w:themeColor="text1"/>
                <w:lang w:val="en-GB"/>
              </w:rPr>
              <w:t>The total balance of the entrepreneur confidence in construction improves already since the beginning of year 2014 and it was the highest in November 2015 since January 2009. The proportion of businesses considering inadequate demand as the barrier to higher output lowered by more than 10 p.p. within year 2015 (to 56%), still it represented a high value within the European context (EU 35%, Germany 17%). The share of businesses in the CR, who are prevented in further growth by the lack of labour force on the contrary increased during the H1 (up to 8.5% in June 2015, which was the most since December 2008</w:t>
            </w:r>
            <w:r w:rsidRPr="00AA0F37">
              <w:rPr>
                <w:lang w:val="en-GB"/>
              </w:rPr>
              <w:t>). The construction businesses reacted to the higher demand by a more intensive utilisation of the current labour force this year (e.g. in the form of an overtime work). The average wage thus increased by high 5.3% (given the still lower number of registered employees), which was considerably more than in the manufacturing (3.7%) or the whole economy (3.8%).</w:t>
            </w:r>
          </w:p>
          <w:p w:rsidR="00891FDE" w:rsidRPr="00FA0110" w:rsidRDefault="00891FDE" w:rsidP="00FA0110">
            <w:pPr>
              <w:pStyle w:val="Textpoznpodarou"/>
              <w:jc w:val="both"/>
              <w:rPr>
                <w:spacing w:val="-4"/>
                <w:lang w:val="en-GB"/>
              </w:rPr>
            </w:pPr>
          </w:p>
        </w:tc>
      </w:tr>
      <w:tr w:rsidR="00891FDE" w:rsidRPr="00A51B62" w:rsidTr="00FA0110">
        <w:trPr>
          <w:trHeight w:val="250"/>
        </w:trPr>
        <w:tc>
          <w:tcPr>
            <w:tcW w:w="1090" w:type="pct"/>
          </w:tcPr>
          <w:p w:rsidR="00891FDE" w:rsidRPr="00556828" w:rsidRDefault="00891FDE" w:rsidP="00FA0110">
            <w:pPr>
              <w:spacing w:line="240" w:lineRule="auto"/>
              <w:rPr>
                <w:color w:val="000000" w:themeColor="text1"/>
                <w:sz w:val="16"/>
                <w:szCs w:val="16"/>
                <w:lang w:val="en-GB"/>
              </w:rPr>
            </w:pPr>
            <w:r w:rsidRPr="00556828">
              <w:rPr>
                <w:color w:val="000000" w:themeColor="text1"/>
                <w:sz w:val="16"/>
                <w:szCs w:val="16"/>
                <w:lang w:val="en-GB"/>
              </w:rPr>
              <w:t>Sales in services accelerated the dynamics (given the current decrease of prices), they grew the most year-on-year since 2007</w:t>
            </w:r>
          </w:p>
          <w:p w:rsidR="00891FDE" w:rsidRPr="00556828" w:rsidRDefault="00891FDE" w:rsidP="00FA0110">
            <w:pPr>
              <w:spacing w:line="240" w:lineRule="auto"/>
              <w:rPr>
                <w:color w:val="000000" w:themeColor="text1"/>
                <w:sz w:val="14"/>
                <w:szCs w:val="14"/>
                <w:lang w:val="en-GB"/>
              </w:rPr>
            </w:pPr>
          </w:p>
          <w:p w:rsidR="00891FDE" w:rsidRPr="00556828" w:rsidRDefault="00891FDE" w:rsidP="00FA0110">
            <w:pPr>
              <w:spacing w:line="240" w:lineRule="auto"/>
              <w:rPr>
                <w:color w:val="000000" w:themeColor="text1"/>
                <w:sz w:val="14"/>
                <w:szCs w:val="14"/>
                <w:lang w:val="en-GB"/>
              </w:rPr>
            </w:pPr>
          </w:p>
          <w:p w:rsidR="00891FDE" w:rsidRPr="00556828" w:rsidRDefault="00891FDE" w:rsidP="00FA0110">
            <w:pPr>
              <w:spacing w:line="240" w:lineRule="auto"/>
              <w:rPr>
                <w:color w:val="000000" w:themeColor="text1"/>
                <w:sz w:val="14"/>
                <w:szCs w:val="14"/>
                <w:lang w:val="en-GB"/>
              </w:rPr>
            </w:pPr>
          </w:p>
          <w:p w:rsidR="00891FDE" w:rsidRPr="00556828" w:rsidRDefault="00891FDE" w:rsidP="00FA0110">
            <w:pPr>
              <w:spacing w:line="240" w:lineRule="auto"/>
              <w:rPr>
                <w:color w:val="000000" w:themeColor="text1"/>
                <w:sz w:val="16"/>
                <w:szCs w:val="16"/>
                <w:lang w:val="en-GB"/>
              </w:rPr>
            </w:pPr>
            <w:r w:rsidRPr="00556828">
              <w:rPr>
                <w:color w:val="000000" w:themeColor="text1"/>
                <w:sz w:val="16"/>
                <w:szCs w:val="16"/>
                <w:lang w:val="en-GB"/>
              </w:rPr>
              <w:t xml:space="preserve">Strong growth of industry as well as foreign trade well reflected also in the higher sales </w:t>
            </w:r>
            <w:r>
              <w:rPr>
                <w:color w:val="000000" w:themeColor="text1"/>
                <w:sz w:val="16"/>
                <w:szCs w:val="16"/>
                <w:lang w:val="en-GB"/>
              </w:rPr>
              <w:t>of</w:t>
            </w:r>
            <w:r w:rsidRPr="00556828">
              <w:rPr>
                <w:color w:val="000000" w:themeColor="text1"/>
                <w:sz w:val="16"/>
                <w:szCs w:val="16"/>
                <w:lang w:val="en-GB"/>
              </w:rPr>
              <w:t xml:space="preserve"> the land transport </w:t>
            </w:r>
          </w:p>
          <w:p w:rsidR="00891FDE" w:rsidRPr="00556828" w:rsidRDefault="00891FDE" w:rsidP="00FA0110">
            <w:pPr>
              <w:spacing w:line="240" w:lineRule="auto"/>
              <w:rPr>
                <w:color w:val="000000" w:themeColor="text1"/>
                <w:sz w:val="14"/>
                <w:szCs w:val="14"/>
                <w:lang w:val="en-GB"/>
              </w:rPr>
            </w:pPr>
          </w:p>
          <w:p w:rsidR="00891FDE" w:rsidRDefault="00891FDE" w:rsidP="00FA0110">
            <w:pPr>
              <w:spacing w:line="240" w:lineRule="auto"/>
              <w:rPr>
                <w:color w:val="000000" w:themeColor="text1"/>
                <w:sz w:val="14"/>
                <w:szCs w:val="14"/>
              </w:rPr>
            </w:pPr>
          </w:p>
          <w:p w:rsidR="00891FDE" w:rsidRPr="009D0B10" w:rsidRDefault="00891FDE" w:rsidP="00FA0110">
            <w:pPr>
              <w:spacing w:line="240" w:lineRule="auto"/>
              <w:rPr>
                <w:color w:val="000000" w:themeColor="text1"/>
                <w:sz w:val="14"/>
                <w:szCs w:val="14"/>
              </w:rPr>
            </w:pPr>
          </w:p>
          <w:p w:rsidR="00891FDE" w:rsidRPr="005152B2" w:rsidRDefault="00891FDE" w:rsidP="00FA0110">
            <w:pPr>
              <w:spacing w:line="240" w:lineRule="auto"/>
              <w:rPr>
                <w:color w:val="000000" w:themeColor="text1"/>
                <w:sz w:val="16"/>
                <w:szCs w:val="16"/>
                <w:lang w:val="en-GB"/>
              </w:rPr>
            </w:pPr>
            <w:r w:rsidRPr="005152B2">
              <w:rPr>
                <w:color w:val="000000" w:themeColor="text1"/>
                <w:sz w:val="16"/>
                <w:szCs w:val="16"/>
                <w:lang w:val="en-GB"/>
              </w:rPr>
              <w:t xml:space="preserve">The slump of sales in the travel agencies continued already thirteen quarters in a row </w:t>
            </w:r>
          </w:p>
          <w:p w:rsidR="00891FDE" w:rsidRDefault="00891FDE" w:rsidP="00FA0110">
            <w:pPr>
              <w:spacing w:line="240" w:lineRule="auto"/>
              <w:rPr>
                <w:sz w:val="14"/>
                <w:szCs w:val="14"/>
              </w:rPr>
            </w:pPr>
          </w:p>
          <w:p w:rsidR="00891FDE" w:rsidRPr="009D0B10" w:rsidRDefault="00891FDE" w:rsidP="00FA0110">
            <w:pPr>
              <w:spacing w:line="240" w:lineRule="auto"/>
              <w:rPr>
                <w:sz w:val="6"/>
                <w:szCs w:val="6"/>
              </w:rPr>
            </w:pPr>
          </w:p>
        </w:tc>
        <w:tc>
          <w:tcPr>
            <w:tcW w:w="145" w:type="pct"/>
          </w:tcPr>
          <w:p w:rsidR="00891FDE" w:rsidRDefault="00891FDE" w:rsidP="00FA0110">
            <w:pPr>
              <w:pStyle w:val="Textpoznpodarou"/>
              <w:jc w:val="both"/>
              <w:rPr>
                <w:spacing w:val="-2"/>
              </w:rPr>
            </w:pPr>
          </w:p>
        </w:tc>
        <w:tc>
          <w:tcPr>
            <w:tcW w:w="3765" w:type="pct"/>
          </w:tcPr>
          <w:p w:rsidR="00906D0C" w:rsidRPr="00AA0F37" w:rsidRDefault="00891FDE" w:rsidP="00AA0F37">
            <w:pPr>
              <w:pStyle w:val="Textpoznpodarou"/>
              <w:jc w:val="both"/>
              <w:rPr>
                <w:lang w:val="en-GB"/>
              </w:rPr>
            </w:pPr>
            <w:r w:rsidRPr="00AA0F37">
              <w:rPr>
                <w:color w:val="000000" w:themeColor="text1"/>
                <w:lang w:val="en-GB"/>
              </w:rPr>
              <w:t>Sales in selected services</w:t>
            </w:r>
            <w:r w:rsidRPr="00AA0F37">
              <w:rPr>
                <w:color w:val="000000" w:themeColor="text1"/>
                <w:vertAlign w:val="superscript"/>
                <w:lang w:val="en-GB"/>
              </w:rPr>
              <w:footnoteReference w:id="12"/>
            </w:r>
            <w:r w:rsidRPr="00AA0F37">
              <w:rPr>
                <w:color w:val="000000" w:themeColor="text1"/>
                <w:lang w:val="en-GB"/>
              </w:rPr>
              <w:t xml:space="preserve"> increased in 2015 in the second time in a row, when they accelerated year-on-year up to 2.6%. The sales in fact stagnated in transportation and warehousing, when the land and pipe transport dominant by weight </w:t>
            </w:r>
            <w:r w:rsidRPr="00AA0F37">
              <w:rPr>
                <w:lang w:val="en-GB"/>
              </w:rPr>
              <w:t xml:space="preserve">(+3.9%) only managed to compensate the notable fall of the real sales in the air transport (-3.6%) and warehousing (whose result was also influenced by high year-on-year basis). Professional, scientific and technical activities enjoyed a first growth </w:t>
            </w:r>
            <w:r w:rsidRPr="00AA0F37">
              <w:rPr>
                <w:color w:val="000000" w:themeColor="text1"/>
                <w:lang w:val="en-GB"/>
              </w:rPr>
              <w:t xml:space="preserve">(by 2.1%) after six </w:t>
            </w:r>
            <w:proofErr w:type="gramStart"/>
            <w:r w:rsidRPr="00AA0F37">
              <w:rPr>
                <w:color w:val="000000" w:themeColor="text1"/>
                <w:lang w:val="en-GB"/>
              </w:rPr>
              <w:t>years,</w:t>
            </w:r>
            <w:proofErr w:type="gramEnd"/>
            <w:r w:rsidRPr="00AA0F37">
              <w:rPr>
                <w:color w:val="000000" w:themeColor="text1"/>
                <w:lang w:val="en-GB"/>
              </w:rPr>
              <w:t xml:space="preserve"> with the turn occurring in all constituent activities in 2015 (a mild growth already even two years in a row lasted only in advertising). The accelerated growth of the economy was reflected also in information and communication (+5.5%). The sales were also increasing by the same rate in administrative and support service activities, whose development was to a large extent influenced by job agencies (where the growth of sales </w:t>
            </w:r>
            <w:r w:rsidRPr="00AA0F37">
              <w:rPr>
                <w:color w:val="000000" w:themeColor="text1"/>
                <w:lang w:val="en-GB"/>
              </w:rPr>
              <w:lastRenderedPageBreak/>
              <w:t xml:space="preserve">fastened by one fifth). All activities across the whole branch in fact prospered, apart from the travel agencies (-7.9%), whose sales were already declining the third year in a row. More frequent arrivals of both domestic and foreign guests (especially in the summer period) catapulted the sales in accommodation </w:t>
            </w:r>
            <w:r w:rsidRPr="00AA0F37">
              <w:rPr>
                <w:lang w:val="en-GB"/>
              </w:rPr>
              <w:t>(+7.5%) to the highest year-on-year growth after year 2005. The sales were record also in restaurants and food service activities (+4.1%)</w:t>
            </w:r>
            <w:proofErr w:type="gramStart"/>
            <w:r w:rsidRPr="00AA0F37">
              <w:rPr>
                <w:lang w:val="en-GB"/>
              </w:rPr>
              <w:t>,</w:t>
            </w:r>
            <w:proofErr w:type="gramEnd"/>
            <w:r w:rsidRPr="00AA0F37">
              <w:rPr>
                <w:lang w:val="en-GB"/>
              </w:rPr>
              <w:t xml:space="preserve"> these however have not yet exceeded the level from the business cycle peak of 2008 (in contrast to the accommodation).</w:t>
            </w:r>
          </w:p>
          <w:p w:rsidR="00AA0F37" w:rsidRPr="00AA0F37" w:rsidRDefault="00AA0F37" w:rsidP="00AA0F37">
            <w:pPr>
              <w:pStyle w:val="Textpoznpodarou"/>
              <w:jc w:val="both"/>
              <w:rPr>
                <w:spacing w:val="-4"/>
              </w:rPr>
            </w:pPr>
          </w:p>
        </w:tc>
      </w:tr>
      <w:tr w:rsidR="00891FDE" w:rsidRPr="00BE4405" w:rsidTr="00FA0110">
        <w:trPr>
          <w:trHeight w:val="250"/>
        </w:trPr>
        <w:tc>
          <w:tcPr>
            <w:tcW w:w="1090" w:type="pct"/>
          </w:tcPr>
          <w:p w:rsidR="00891FDE" w:rsidRPr="003A1467" w:rsidRDefault="00891FDE" w:rsidP="00FA0110">
            <w:pPr>
              <w:spacing w:line="240" w:lineRule="auto"/>
              <w:rPr>
                <w:color w:val="000000" w:themeColor="text1"/>
                <w:sz w:val="16"/>
                <w:szCs w:val="16"/>
                <w:lang w:val="en-GB"/>
              </w:rPr>
            </w:pPr>
            <w:r w:rsidRPr="003A1467">
              <w:rPr>
                <w:color w:val="000000" w:themeColor="text1"/>
                <w:sz w:val="16"/>
                <w:szCs w:val="16"/>
                <w:lang w:val="en-GB"/>
              </w:rPr>
              <w:lastRenderedPageBreak/>
              <w:t xml:space="preserve">Stable consumer confidence supported by a very favourable development on the labour market led to the highest growth of retail sales after 2007 </w:t>
            </w:r>
          </w:p>
          <w:p w:rsidR="00891FDE" w:rsidRPr="003A1467" w:rsidRDefault="00891FDE" w:rsidP="00FA0110">
            <w:pPr>
              <w:spacing w:line="240" w:lineRule="auto"/>
              <w:rPr>
                <w:color w:val="000000" w:themeColor="text1"/>
                <w:sz w:val="16"/>
                <w:szCs w:val="16"/>
                <w:lang w:val="en-GB"/>
              </w:rPr>
            </w:pPr>
          </w:p>
          <w:p w:rsidR="00891FDE" w:rsidRPr="003A1467" w:rsidRDefault="00891FDE" w:rsidP="00FA0110">
            <w:pPr>
              <w:spacing w:line="240" w:lineRule="auto"/>
              <w:rPr>
                <w:color w:val="000000" w:themeColor="text1"/>
                <w:sz w:val="16"/>
                <w:szCs w:val="16"/>
                <w:lang w:val="en-GB"/>
              </w:rPr>
            </w:pPr>
          </w:p>
          <w:p w:rsidR="00891FDE" w:rsidRPr="003A1467" w:rsidRDefault="00891FDE" w:rsidP="00FA0110">
            <w:pPr>
              <w:spacing w:line="240" w:lineRule="auto"/>
              <w:rPr>
                <w:color w:val="000000" w:themeColor="text1"/>
                <w:spacing w:val="-4"/>
                <w:sz w:val="16"/>
                <w:szCs w:val="16"/>
                <w:lang w:val="en-GB"/>
              </w:rPr>
            </w:pPr>
            <w:r>
              <w:rPr>
                <w:color w:val="000000" w:themeColor="text1"/>
                <w:spacing w:val="-4"/>
                <w:sz w:val="16"/>
                <w:szCs w:val="16"/>
                <w:lang w:val="en-GB"/>
              </w:rPr>
              <w:t xml:space="preserve">Favourable price development stimulated the demand especially for automotive fuels and also the computer as well as communication appliances, it assisted the internet sellers in keeping the high rate of sales growth </w:t>
            </w:r>
          </w:p>
          <w:p w:rsidR="00891FDE" w:rsidRPr="00F3262E" w:rsidRDefault="00891FDE" w:rsidP="00FA0110">
            <w:pPr>
              <w:spacing w:line="240" w:lineRule="auto"/>
              <w:rPr>
                <w:color w:val="000000" w:themeColor="text1"/>
                <w:sz w:val="16"/>
                <w:szCs w:val="16"/>
              </w:rPr>
            </w:pPr>
          </w:p>
        </w:tc>
        <w:tc>
          <w:tcPr>
            <w:tcW w:w="145" w:type="pct"/>
          </w:tcPr>
          <w:p w:rsidR="00891FDE" w:rsidRPr="00F3262E" w:rsidRDefault="00891FDE" w:rsidP="00FA0110">
            <w:pPr>
              <w:pStyle w:val="Textpoznpodarou"/>
              <w:jc w:val="both"/>
              <w:rPr>
                <w:color w:val="000000" w:themeColor="text1"/>
                <w:spacing w:val="-2"/>
              </w:rPr>
            </w:pPr>
          </w:p>
        </w:tc>
        <w:tc>
          <w:tcPr>
            <w:tcW w:w="3765" w:type="pct"/>
          </w:tcPr>
          <w:p w:rsidR="00891FDE" w:rsidRPr="00AA0F37" w:rsidRDefault="00891FDE" w:rsidP="00FA0110">
            <w:pPr>
              <w:pStyle w:val="Textpoznpodarou"/>
              <w:jc w:val="both"/>
              <w:rPr>
                <w:color w:val="000000" w:themeColor="text1"/>
                <w:lang w:val="en-GB"/>
              </w:rPr>
            </w:pPr>
            <w:r w:rsidRPr="00AA0F37">
              <w:rPr>
                <w:color w:val="000000" w:themeColor="text1"/>
                <w:lang w:val="en-GB"/>
              </w:rPr>
              <w:t>The year-on-year growth of sales</w:t>
            </w:r>
            <w:r w:rsidRPr="00AA0F37">
              <w:rPr>
                <w:rStyle w:val="Znakapoznpodarou"/>
                <w:color w:val="000000" w:themeColor="text1"/>
                <w:lang w:val="en-GB"/>
              </w:rPr>
              <w:footnoteReference w:id="13"/>
            </w:r>
            <w:r w:rsidRPr="00AA0F37">
              <w:rPr>
                <w:color w:val="000000" w:themeColor="text1"/>
                <w:lang w:val="en-GB"/>
              </w:rPr>
              <w:t xml:space="preserve"> accelerated up to 5.9% even in the retail trade itself in line with the trends in other services and thus moved closer to the values from the business cycle peak in years 2005</w:t>
            </w:r>
            <w:r w:rsidRPr="00AA0F37">
              <w:rPr>
                <w:lang w:val="en-GB"/>
              </w:rPr>
              <w:t>–</w:t>
            </w:r>
            <w:r w:rsidRPr="00AA0F37">
              <w:rPr>
                <w:color w:val="000000" w:themeColor="text1"/>
                <w:lang w:val="en-GB"/>
              </w:rPr>
              <w:t xml:space="preserve">2007. The sales dynamics did not feature any significant changes during 2015, similarly to the favourable sentiment of the consumers. The sale of non-food products traditionally drove the whole branch (+6.8%). The sale of food however also fared well (3.9%), even in specialised stores (+3.0%, which thus halted the nine years lasting drop of real sales). Within other specialised stores, the strong development of sales of computer and communication appliances continued (+10%), the rate of growth of sales of products for culture and recreation nearly doubled compared to year 2014. The dynamic growth of sales at petrol stations lasted already thirteen months, they were by 10.6% higher year-on-year in Q4 2015 (still they remained in real terms 5% below the level of the end of year 2008). The demand was stimulated by low prices of automotive fuel (also when compared to the neighbouring states), partially also by the higher transport demands connected to the growth of the economy as well as the foreign trade. Sales of motor vehicles increased by one eight (similarly to the preceding year). </w:t>
            </w:r>
          </w:p>
          <w:p w:rsidR="00891FDE" w:rsidRPr="00FA0110" w:rsidRDefault="00891FDE" w:rsidP="00FA0110">
            <w:pPr>
              <w:pStyle w:val="Textpoznpodarou"/>
              <w:jc w:val="both"/>
              <w:rPr>
                <w:color w:val="000000" w:themeColor="text1"/>
                <w:spacing w:val="-2"/>
              </w:rPr>
            </w:pPr>
          </w:p>
        </w:tc>
      </w:tr>
      <w:tr w:rsidR="00891FDE" w:rsidRPr="00BE4405" w:rsidTr="00FA0110">
        <w:trPr>
          <w:cantSplit/>
          <w:trHeight w:val="250"/>
        </w:trPr>
        <w:tc>
          <w:tcPr>
            <w:tcW w:w="1090" w:type="pct"/>
          </w:tcPr>
          <w:p w:rsidR="00891FDE" w:rsidRPr="00532E6C" w:rsidRDefault="00891FDE" w:rsidP="00FA0110">
            <w:pPr>
              <w:spacing w:line="240" w:lineRule="auto"/>
              <w:rPr>
                <w:color w:val="000000" w:themeColor="text1"/>
                <w:spacing w:val="-4"/>
                <w:sz w:val="16"/>
                <w:szCs w:val="16"/>
                <w:lang w:val="en-GB"/>
              </w:rPr>
            </w:pPr>
            <w:r w:rsidRPr="00006026">
              <w:rPr>
                <w:color w:val="000000" w:themeColor="text1"/>
                <w:spacing w:val="-4"/>
                <w:sz w:val="16"/>
                <w:szCs w:val="16"/>
                <w:lang w:val="en-GB"/>
              </w:rPr>
              <w:t>Growth of retail sales</w:t>
            </w:r>
            <w:r>
              <w:rPr>
                <w:color w:val="000000" w:themeColor="text1"/>
                <w:spacing w:val="-4"/>
                <w:sz w:val="16"/>
                <w:szCs w:val="16"/>
                <w:lang w:val="en-GB"/>
              </w:rPr>
              <w:t xml:space="preserve"> </w:t>
            </w:r>
            <w:r w:rsidRPr="00006026">
              <w:rPr>
                <w:color w:val="000000" w:themeColor="text1"/>
                <w:spacing w:val="-4"/>
                <w:sz w:val="16"/>
                <w:szCs w:val="16"/>
                <w:lang w:val="en-GB"/>
              </w:rPr>
              <w:t>in the CR was the fourth highest among the EU countries in  2015, the CR exceeded the EU dynamics in the long term (except for 2010)</w:t>
            </w:r>
          </w:p>
        </w:tc>
        <w:tc>
          <w:tcPr>
            <w:tcW w:w="145" w:type="pct"/>
          </w:tcPr>
          <w:p w:rsidR="00891FDE" w:rsidRPr="00006026" w:rsidRDefault="00891FDE" w:rsidP="00FA0110">
            <w:pPr>
              <w:rPr>
                <w:color w:val="000000" w:themeColor="text1"/>
                <w:szCs w:val="16"/>
                <w:lang w:val="en-GB"/>
              </w:rPr>
            </w:pPr>
          </w:p>
        </w:tc>
        <w:tc>
          <w:tcPr>
            <w:tcW w:w="3765" w:type="pct"/>
          </w:tcPr>
          <w:p w:rsidR="00891FDE" w:rsidRPr="00006026" w:rsidRDefault="00891FDE" w:rsidP="00FA0110">
            <w:pPr>
              <w:spacing w:line="240" w:lineRule="auto"/>
              <w:jc w:val="both"/>
              <w:rPr>
                <w:color w:val="000000" w:themeColor="text1"/>
                <w:spacing w:val="-4"/>
                <w:lang w:val="en-GB"/>
              </w:rPr>
            </w:pPr>
            <w:r w:rsidRPr="00006026">
              <w:rPr>
                <w:color w:val="000000" w:themeColor="text1"/>
                <w:spacing w:val="-4"/>
                <w:szCs w:val="20"/>
                <w:lang w:val="en-GB"/>
              </w:rPr>
              <w:t>Retail sales dynamics</w:t>
            </w:r>
            <w:r w:rsidRPr="00006026">
              <w:rPr>
                <w:rStyle w:val="Znakapoznpodarou"/>
                <w:color w:val="000000" w:themeColor="text1"/>
                <w:spacing w:val="-4"/>
                <w:szCs w:val="20"/>
                <w:lang w:val="en-GB"/>
              </w:rPr>
              <w:footnoteReference w:id="14"/>
            </w:r>
            <w:r w:rsidRPr="00006026">
              <w:rPr>
                <w:color w:val="000000" w:themeColor="text1"/>
                <w:spacing w:val="-4"/>
                <w:szCs w:val="20"/>
                <w:lang w:val="en-GB"/>
              </w:rPr>
              <w:t xml:space="preserve"> was double in the CR compared to the EU in 2015. </w:t>
            </w:r>
            <w:r>
              <w:rPr>
                <w:color w:val="000000" w:themeColor="text1"/>
                <w:spacing w:val="-4"/>
                <w:szCs w:val="20"/>
                <w:lang w:val="en-GB"/>
              </w:rPr>
              <w:t xml:space="preserve">Only Romania </w:t>
            </w:r>
            <w:r w:rsidRPr="00006026">
              <w:rPr>
                <w:color w:val="000000" w:themeColor="text1"/>
                <w:spacing w:val="-4"/>
                <w:lang w:val="en-GB"/>
              </w:rPr>
              <w:t>(+8</w:t>
            </w:r>
            <w:r>
              <w:rPr>
                <w:color w:val="000000" w:themeColor="text1"/>
                <w:spacing w:val="-4"/>
                <w:lang w:val="en-GB"/>
              </w:rPr>
              <w:t>.8</w:t>
            </w:r>
            <w:r w:rsidRPr="00006026">
              <w:rPr>
                <w:color w:val="000000" w:themeColor="text1"/>
                <w:spacing w:val="-4"/>
                <w:lang w:val="en-GB"/>
              </w:rPr>
              <w:t>%), Pol</w:t>
            </w:r>
            <w:r>
              <w:rPr>
                <w:color w:val="000000" w:themeColor="text1"/>
                <w:spacing w:val="-4"/>
                <w:lang w:val="en-GB"/>
              </w:rPr>
              <w:t>and</w:t>
            </w:r>
            <w:r w:rsidRPr="00006026">
              <w:rPr>
                <w:color w:val="000000" w:themeColor="text1"/>
                <w:spacing w:val="-4"/>
                <w:lang w:val="en-GB"/>
              </w:rPr>
              <w:t xml:space="preserve"> (+6</w:t>
            </w:r>
            <w:r>
              <w:rPr>
                <w:color w:val="000000" w:themeColor="text1"/>
                <w:spacing w:val="-4"/>
                <w:lang w:val="en-GB"/>
              </w:rPr>
              <w:t>.6</w:t>
            </w:r>
            <w:r w:rsidRPr="00006026">
              <w:rPr>
                <w:color w:val="000000" w:themeColor="text1"/>
                <w:spacing w:val="-4"/>
                <w:lang w:val="en-GB"/>
              </w:rPr>
              <w:t>%) a</w:t>
            </w:r>
            <w:r>
              <w:rPr>
                <w:color w:val="000000" w:themeColor="text1"/>
                <w:spacing w:val="-4"/>
                <w:lang w:val="en-GB"/>
              </w:rPr>
              <w:t>nd</w:t>
            </w:r>
            <w:r w:rsidRPr="00006026">
              <w:rPr>
                <w:color w:val="000000" w:themeColor="text1"/>
                <w:spacing w:val="-4"/>
                <w:lang w:val="en-GB"/>
              </w:rPr>
              <w:t xml:space="preserve"> Ir</w:t>
            </w:r>
            <w:r>
              <w:rPr>
                <w:color w:val="000000" w:themeColor="text1"/>
                <w:spacing w:val="-4"/>
                <w:lang w:val="en-GB"/>
              </w:rPr>
              <w:t xml:space="preserve">eland </w:t>
            </w:r>
            <w:r w:rsidRPr="00006026">
              <w:rPr>
                <w:color w:val="000000" w:themeColor="text1"/>
                <w:spacing w:val="-4"/>
                <w:lang w:val="en-GB"/>
              </w:rPr>
              <w:t>(+6</w:t>
            </w:r>
            <w:r>
              <w:rPr>
                <w:color w:val="000000" w:themeColor="text1"/>
                <w:spacing w:val="-4"/>
                <w:lang w:val="en-GB"/>
              </w:rPr>
              <w:t>.3</w:t>
            </w:r>
            <w:r w:rsidRPr="00006026">
              <w:rPr>
                <w:color w:val="000000" w:themeColor="text1"/>
                <w:spacing w:val="-4"/>
                <w:lang w:val="en-GB"/>
              </w:rPr>
              <w:t>%)</w:t>
            </w:r>
            <w:r>
              <w:rPr>
                <w:color w:val="000000" w:themeColor="text1"/>
                <w:spacing w:val="-4"/>
                <w:lang w:val="en-GB"/>
              </w:rPr>
              <w:t xml:space="preserve"> achieved better results. </w:t>
            </w:r>
            <w:r w:rsidRPr="00524962">
              <w:rPr>
                <w:color w:val="000000" w:themeColor="text1"/>
                <w:spacing w:val="-4"/>
                <w:lang w:val="en-GB"/>
              </w:rPr>
              <w:t>Sixteen</w:t>
            </w:r>
            <w:r>
              <w:rPr>
                <w:color w:val="000000" w:themeColor="text1"/>
                <w:spacing w:val="-4"/>
                <w:lang w:val="en-GB"/>
              </w:rPr>
              <w:t xml:space="preserve"> member states overtook the pre-crisis level of sales </w:t>
            </w:r>
            <w:r w:rsidRPr="00006026">
              <w:rPr>
                <w:color w:val="000000" w:themeColor="text1"/>
                <w:spacing w:val="-4"/>
                <w:lang w:val="en-GB"/>
              </w:rPr>
              <w:t>(</w:t>
            </w:r>
            <w:r>
              <w:rPr>
                <w:color w:val="000000" w:themeColor="text1"/>
                <w:spacing w:val="-4"/>
                <w:lang w:val="en-GB"/>
              </w:rPr>
              <w:t xml:space="preserve">year </w:t>
            </w:r>
            <w:r w:rsidRPr="00006026">
              <w:rPr>
                <w:color w:val="000000" w:themeColor="text1"/>
                <w:spacing w:val="-4"/>
                <w:lang w:val="en-GB"/>
              </w:rPr>
              <w:t>2008)</w:t>
            </w:r>
            <w:r>
              <w:rPr>
                <w:color w:val="000000" w:themeColor="text1"/>
                <w:spacing w:val="-4"/>
                <w:lang w:val="en-GB"/>
              </w:rPr>
              <w:t xml:space="preserve">, Poland (by one fifth) the most significantly among the larger economies, the Great Britain and France (similarly by one tenth), also the CR </w:t>
            </w:r>
            <w:r w:rsidRPr="00006026">
              <w:rPr>
                <w:color w:val="000000" w:themeColor="text1"/>
                <w:spacing w:val="-4"/>
                <w:lang w:val="en-GB"/>
              </w:rPr>
              <w:t>(6</w:t>
            </w:r>
            <w:r>
              <w:rPr>
                <w:color w:val="000000" w:themeColor="text1"/>
                <w:spacing w:val="-4"/>
                <w:lang w:val="en-GB"/>
              </w:rPr>
              <w:t>.</w:t>
            </w:r>
            <w:r w:rsidRPr="00006026">
              <w:rPr>
                <w:color w:val="000000" w:themeColor="text1"/>
                <w:spacing w:val="-4"/>
                <w:lang w:val="en-GB"/>
              </w:rPr>
              <w:t>3</w:t>
            </w:r>
            <w:r>
              <w:rPr>
                <w:color w:val="000000" w:themeColor="text1"/>
                <w:spacing w:val="-4"/>
                <w:lang w:val="en-GB"/>
              </w:rPr>
              <w:t xml:space="preserve">%), Germany </w:t>
            </w:r>
            <w:r w:rsidRPr="00006026">
              <w:rPr>
                <w:color w:val="000000" w:themeColor="text1"/>
                <w:spacing w:val="-4"/>
                <w:lang w:val="en-GB"/>
              </w:rPr>
              <w:t>(4</w:t>
            </w:r>
            <w:r>
              <w:rPr>
                <w:color w:val="000000" w:themeColor="text1"/>
                <w:spacing w:val="-4"/>
                <w:lang w:val="en-GB"/>
              </w:rPr>
              <w:t>.1</w:t>
            </w:r>
            <w:r w:rsidRPr="00006026">
              <w:rPr>
                <w:color w:val="000000" w:themeColor="text1"/>
                <w:spacing w:val="-4"/>
                <w:lang w:val="en-GB"/>
              </w:rPr>
              <w:t>%)</w:t>
            </w:r>
            <w:r>
              <w:rPr>
                <w:color w:val="000000" w:themeColor="text1"/>
                <w:spacing w:val="-4"/>
                <w:lang w:val="en-GB"/>
              </w:rPr>
              <w:t xml:space="preserve">, Austria </w:t>
            </w:r>
            <w:r w:rsidRPr="00006026">
              <w:rPr>
                <w:color w:val="000000" w:themeColor="text1"/>
                <w:spacing w:val="-4"/>
                <w:lang w:val="en-GB"/>
              </w:rPr>
              <w:t>(3</w:t>
            </w:r>
            <w:r>
              <w:rPr>
                <w:color w:val="000000" w:themeColor="text1"/>
                <w:spacing w:val="-4"/>
                <w:lang w:val="en-GB"/>
              </w:rPr>
              <w:t>.</w:t>
            </w:r>
            <w:r w:rsidRPr="00006026">
              <w:rPr>
                <w:color w:val="000000" w:themeColor="text1"/>
                <w:spacing w:val="-4"/>
                <w:lang w:val="en-GB"/>
              </w:rPr>
              <w:t>7%).</w:t>
            </w:r>
          </w:p>
        </w:tc>
      </w:tr>
    </w:tbl>
    <w:p w:rsidR="00977343" w:rsidRDefault="00977343" w:rsidP="00FE16E6">
      <w:pPr>
        <w:pStyle w:val="Textpoznpodarou"/>
        <w:jc w:val="both"/>
      </w:pPr>
    </w:p>
    <w:tbl>
      <w:tblPr>
        <w:tblW w:w="5059" w:type="pct"/>
        <w:tblLayout w:type="fixed"/>
        <w:tblCellMar>
          <w:left w:w="28" w:type="dxa"/>
          <w:right w:w="28" w:type="dxa"/>
        </w:tblCellMar>
        <w:tblLook w:val="04A0"/>
      </w:tblPr>
      <w:tblGrid>
        <w:gridCol w:w="736"/>
        <w:gridCol w:w="4180"/>
        <w:gridCol w:w="45"/>
        <w:gridCol w:w="596"/>
        <w:gridCol w:w="4251"/>
      </w:tblGrid>
      <w:tr w:rsidR="00891FDE" w:rsidTr="00FA0110">
        <w:tc>
          <w:tcPr>
            <w:tcW w:w="375" w:type="pct"/>
          </w:tcPr>
          <w:p w:rsidR="00891FDE" w:rsidRDefault="00891FDE" w:rsidP="00FA0110">
            <w:pPr>
              <w:spacing w:line="240" w:lineRule="auto"/>
            </w:pPr>
            <w:r>
              <w:t>Chart 5</w:t>
            </w:r>
          </w:p>
        </w:tc>
        <w:tc>
          <w:tcPr>
            <w:tcW w:w="2131" w:type="pct"/>
          </w:tcPr>
          <w:p w:rsidR="00891FDE" w:rsidRDefault="00891FDE" w:rsidP="00FA0110">
            <w:pPr>
              <w:pStyle w:val="Textpoznpodarou"/>
              <w:rPr>
                <w:b/>
                <w:lang w:val="en-GB"/>
              </w:rPr>
            </w:pPr>
            <w:r w:rsidRPr="005E0476">
              <w:rPr>
                <w:b/>
                <w:lang w:val="en-GB"/>
              </w:rPr>
              <w:t xml:space="preserve">Production in industry and selected manufacturing </w:t>
            </w:r>
            <w:r>
              <w:rPr>
                <w:b/>
                <w:lang w:val="en-GB"/>
              </w:rPr>
              <w:t>branches</w:t>
            </w:r>
            <w:r w:rsidRPr="005E0476">
              <w:rPr>
                <w:b/>
                <w:lang w:val="en-GB"/>
              </w:rPr>
              <w:t xml:space="preserve"> </w:t>
            </w:r>
          </w:p>
          <w:p w:rsidR="00891FDE" w:rsidRDefault="00891FDE" w:rsidP="00FA0110">
            <w:pPr>
              <w:pStyle w:val="Textpoznpodarou"/>
              <w:rPr>
                <w:b/>
              </w:rPr>
            </w:pPr>
            <w:r>
              <w:t>(</w:t>
            </w:r>
            <w:proofErr w:type="spellStart"/>
            <w:r>
              <w:t>constant</w:t>
            </w:r>
            <w:proofErr w:type="spellEnd"/>
            <w:r>
              <w:t xml:space="preserve"> </w:t>
            </w:r>
            <w:proofErr w:type="spellStart"/>
            <w:r>
              <w:t>prices</w:t>
            </w:r>
            <w:proofErr w:type="spellEnd"/>
            <w:r w:rsidRPr="001D04BA">
              <w:t xml:space="preserve">, y/y, </w:t>
            </w:r>
            <w:r>
              <w:t>in</w:t>
            </w:r>
            <w:r w:rsidRPr="001D04BA">
              <w:t xml:space="preserve"> %)</w:t>
            </w:r>
          </w:p>
        </w:tc>
        <w:tc>
          <w:tcPr>
            <w:tcW w:w="327" w:type="pct"/>
            <w:gridSpan w:val="2"/>
          </w:tcPr>
          <w:p w:rsidR="00891FDE" w:rsidRDefault="00891FDE" w:rsidP="00FA0110">
            <w:pPr>
              <w:spacing w:line="240" w:lineRule="auto"/>
            </w:pPr>
            <w:r>
              <w:t>Chart 6</w:t>
            </w:r>
          </w:p>
        </w:tc>
        <w:tc>
          <w:tcPr>
            <w:tcW w:w="2167" w:type="pct"/>
          </w:tcPr>
          <w:p w:rsidR="00891FDE" w:rsidRPr="00CE095E" w:rsidRDefault="00891FDE" w:rsidP="00FA0110">
            <w:pPr>
              <w:spacing w:line="240" w:lineRule="auto"/>
              <w:rPr>
                <w:b/>
                <w:spacing w:val="-4"/>
              </w:rPr>
            </w:pPr>
            <w:r w:rsidRPr="00CE095E">
              <w:rPr>
                <w:b/>
                <w:spacing w:val="-4"/>
                <w:lang w:val="en-GB"/>
              </w:rPr>
              <w:t xml:space="preserve">New orders in manufacture of motor vehicles, industry in total </w:t>
            </w:r>
            <w:r w:rsidRPr="00CE095E">
              <w:rPr>
                <w:bCs/>
                <w:spacing w:val="-4"/>
              </w:rPr>
              <w:t>(</w:t>
            </w:r>
            <w:proofErr w:type="spellStart"/>
            <w:r w:rsidRPr="00CE095E">
              <w:rPr>
                <w:bCs/>
                <w:spacing w:val="-4"/>
              </w:rPr>
              <w:t>cur.p</w:t>
            </w:r>
            <w:proofErr w:type="spellEnd"/>
            <w:r w:rsidRPr="00CE095E">
              <w:rPr>
                <w:bCs/>
                <w:spacing w:val="-4"/>
              </w:rPr>
              <w:t xml:space="preserve">., y/y, in %) </w:t>
            </w:r>
            <w:proofErr w:type="spellStart"/>
            <w:r w:rsidRPr="00CE095E">
              <w:rPr>
                <w:spacing w:val="-4"/>
              </w:rPr>
              <w:t>and</w:t>
            </w:r>
            <w:proofErr w:type="spellEnd"/>
            <w:r w:rsidRPr="00CE095E">
              <w:rPr>
                <w:b/>
                <w:spacing w:val="-4"/>
              </w:rPr>
              <w:t xml:space="preserve"> </w:t>
            </w:r>
            <w:r w:rsidRPr="00CE095E">
              <w:rPr>
                <w:b/>
                <w:spacing w:val="-4"/>
                <w:lang w:val="en-GB"/>
              </w:rPr>
              <w:t>balance of confidence indicator in industry</w:t>
            </w:r>
            <w:r w:rsidRPr="00CE095E">
              <w:rPr>
                <w:spacing w:val="-4"/>
              </w:rPr>
              <w:t xml:space="preserve"> (</w:t>
            </w:r>
            <w:proofErr w:type="spellStart"/>
            <w:r w:rsidRPr="00CE095E">
              <w:rPr>
                <w:spacing w:val="-4"/>
              </w:rPr>
              <w:t>right</w:t>
            </w:r>
            <w:proofErr w:type="spellEnd"/>
            <w:r w:rsidRPr="00CE095E">
              <w:rPr>
                <w:spacing w:val="-4"/>
              </w:rPr>
              <w:t xml:space="preserve"> axis)</w:t>
            </w:r>
          </w:p>
        </w:tc>
      </w:tr>
      <w:tr w:rsidR="00891FDE" w:rsidTr="00FA0110">
        <w:tc>
          <w:tcPr>
            <w:tcW w:w="2506" w:type="pct"/>
            <w:gridSpan w:val="2"/>
          </w:tcPr>
          <w:p w:rsidR="00891FDE" w:rsidRDefault="00891FDE" w:rsidP="00FA0110">
            <w:pPr>
              <w:pStyle w:val="Textpoznpodarou"/>
              <w:jc w:val="both"/>
            </w:pPr>
            <w:r>
              <w:rPr>
                <w:noProof/>
              </w:rPr>
              <w:drawing>
                <wp:inline distT="0" distB="0" distL="0" distR="0">
                  <wp:extent cx="3045729" cy="2433100"/>
                  <wp:effectExtent l="19050" t="0" r="2271" b="0"/>
                  <wp:docPr id="44"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3045460" cy="2432885"/>
                          </a:xfrm>
                          <a:prstGeom prst="rect">
                            <a:avLst/>
                          </a:prstGeom>
                          <a:noFill/>
                          <a:ln w="9525">
                            <a:noFill/>
                            <a:miter lim="800000"/>
                            <a:headEnd/>
                            <a:tailEnd/>
                          </a:ln>
                        </pic:spPr>
                      </pic:pic>
                    </a:graphicData>
                  </a:graphic>
                </wp:inline>
              </w:drawing>
            </w:r>
          </w:p>
        </w:tc>
        <w:tc>
          <w:tcPr>
            <w:tcW w:w="2494" w:type="pct"/>
            <w:gridSpan w:val="3"/>
          </w:tcPr>
          <w:p w:rsidR="00891FDE" w:rsidRDefault="00891FDE" w:rsidP="00FA0110">
            <w:pPr>
              <w:pStyle w:val="Textpoznpodarou"/>
              <w:jc w:val="both"/>
            </w:pPr>
            <w:r>
              <w:rPr>
                <w:noProof/>
              </w:rPr>
              <w:drawing>
                <wp:inline distT="0" distB="0" distL="0" distR="0">
                  <wp:extent cx="3064786" cy="2433100"/>
                  <wp:effectExtent l="19050" t="0" r="2264" b="0"/>
                  <wp:docPr id="38"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3068955" cy="2436410"/>
                          </a:xfrm>
                          <a:prstGeom prst="rect">
                            <a:avLst/>
                          </a:prstGeom>
                          <a:noFill/>
                          <a:ln w="9525">
                            <a:noFill/>
                            <a:miter lim="800000"/>
                            <a:headEnd/>
                            <a:tailEnd/>
                          </a:ln>
                        </pic:spPr>
                      </pic:pic>
                    </a:graphicData>
                  </a:graphic>
                </wp:inline>
              </w:drawing>
            </w:r>
          </w:p>
        </w:tc>
      </w:tr>
      <w:tr w:rsidR="00891FDE" w:rsidTr="00FA0110">
        <w:trPr>
          <w:trHeight w:val="58"/>
        </w:trPr>
        <w:tc>
          <w:tcPr>
            <w:tcW w:w="2529" w:type="pct"/>
            <w:gridSpan w:val="3"/>
          </w:tcPr>
          <w:p w:rsidR="00891FDE" w:rsidRDefault="00891FDE" w:rsidP="00FA0110">
            <w:pPr>
              <w:pStyle w:val="Zhlav"/>
              <w:jc w:val="right"/>
              <w:rPr>
                <w:rFonts w:ascii="Arial" w:eastAsia="Times New Roman" w:hAnsi="Arial" w:cs="Arial"/>
                <w:sz w:val="18"/>
                <w:szCs w:val="18"/>
              </w:rPr>
            </w:pPr>
          </w:p>
        </w:tc>
        <w:tc>
          <w:tcPr>
            <w:tcW w:w="2471" w:type="pct"/>
            <w:gridSpan w:val="2"/>
          </w:tcPr>
          <w:p w:rsidR="00891FDE" w:rsidRDefault="00891FDE" w:rsidP="00FA0110">
            <w:pPr>
              <w:pStyle w:val="Zhlav"/>
              <w:spacing w:line="240" w:lineRule="auto"/>
              <w:jc w:val="right"/>
              <w:rPr>
                <w:rFonts w:ascii="Arial" w:eastAsia="Times New Roman" w:hAnsi="Arial" w:cs="Arial"/>
                <w:sz w:val="18"/>
                <w:szCs w:val="18"/>
              </w:rPr>
            </w:pPr>
            <w:proofErr w:type="spellStart"/>
            <w:r>
              <w:rPr>
                <w:rFonts w:ascii="Arial" w:hAnsi="Arial" w:cs="Arial"/>
                <w:sz w:val="18"/>
                <w:szCs w:val="18"/>
                <w:lang w:eastAsia="cs-CZ"/>
              </w:rPr>
              <w:t>Source</w:t>
            </w:r>
            <w:proofErr w:type="spellEnd"/>
            <w:r w:rsidRPr="000F401E">
              <w:rPr>
                <w:rFonts w:ascii="Arial" w:hAnsi="Arial" w:cs="Arial"/>
                <w:sz w:val="18"/>
                <w:szCs w:val="18"/>
                <w:lang w:eastAsia="cs-CZ"/>
              </w:rPr>
              <w:t xml:space="preserve">: </w:t>
            </w:r>
            <w:r>
              <w:rPr>
                <w:rFonts w:ascii="Arial" w:hAnsi="Arial" w:cs="Arial"/>
                <w:sz w:val="18"/>
                <w:szCs w:val="18"/>
                <w:lang w:eastAsia="cs-CZ"/>
              </w:rPr>
              <w:t>CZSO</w:t>
            </w:r>
          </w:p>
        </w:tc>
      </w:tr>
    </w:tbl>
    <w:p w:rsidR="00977343" w:rsidRDefault="00977343" w:rsidP="00FE16E6">
      <w:pPr>
        <w:pStyle w:val="Textpoznpodarou"/>
        <w:jc w:val="both"/>
      </w:pPr>
    </w:p>
    <w:p w:rsidR="00AA0F37" w:rsidRDefault="00AA0F37" w:rsidP="00FE16E6">
      <w:pPr>
        <w:pStyle w:val="Textpoznpodarou"/>
        <w:jc w:val="both"/>
      </w:pPr>
    </w:p>
    <w:p w:rsidR="00AA0F37" w:rsidRDefault="00AA0F37" w:rsidP="00FE16E6">
      <w:pPr>
        <w:pStyle w:val="Textpoznpodarou"/>
        <w:jc w:val="both"/>
      </w:pPr>
    </w:p>
    <w:p w:rsidR="00AA0F37" w:rsidRDefault="00AA0F37" w:rsidP="00FE16E6">
      <w:pPr>
        <w:pStyle w:val="Textpoznpodarou"/>
        <w:jc w:val="both"/>
      </w:pPr>
    </w:p>
    <w:p w:rsidR="00AA0F37" w:rsidRDefault="00AA0F37" w:rsidP="00FE16E6">
      <w:pPr>
        <w:pStyle w:val="Textpoznpodarou"/>
        <w:jc w:val="both"/>
      </w:pPr>
    </w:p>
    <w:tbl>
      <w:tblPr>
        <w:tblW w:w="5059" w:type="pct"/>
        <w:tblLayout w:type="fixed"/>
        <w:tblCellMar>
          <w:left w:w="28" w:type="dxa"/>
          <w:right w:w="28" w:type="dxa"/>
        </w:tblCellMar>
        <w:tblLook w:val="04A0"/>
      </w:tblPr>
      <w:tblGrid>
        <w:gridCol w:w="735"/>
        <w:gridCol w:w="4180"/>
        <w:gridCol w:w="45"/>
        <w:gridCol w:w="738"/>
        <w:gridCol w:w="4110"/>
      </w:tblGrid>
      <w:tr w:rsidR="00FA0110" w:rsidTr="00FA0110">
        <w:tc>
          <w:tcPr>
            <w:tcW w:w="375" w:type="pct"/>
          </w:tcPr>
          <w:p w:rsidR="00FA0110" w:rsidRDefault="00FA0110" w:rsidP="00FA0110">
            <w:pPr>
              <w:spacing w:line="240" w:lineRule="auto"/>
            </w:pPr>
            <w:r>
              <w:lastRenderedPageBreak/>
              <w:t>Chart 7</w:t>
            </w:r>
          </w:p>
        </w:tc>
        <w:tc>
          <w:tcPr>
            <w:tcW w:w="2131" w:type="pct"/>
          </w:tcPr>
          <w:p w:rsidR="00FA0110" w:rsidRDefault="00FA0110" w:rsidP="00FA0110">
            <w:pPr>
              <w:spacing w:line="240" w:lineRule="auto"/>
              <w:rPr>
                <w:b/>
              </w:rPr>
            </w:pPr>
            <w:r w:rsidRPr="005E0476">
              <w:rPr>
                <w:b/>
                <w:lang w:val="en-GB"/>
              </w:rPr>
              <w:t>Construction production, value of new orders</w:t>
            </w:r>
            <w:r>
              <w:rPr>
                <w:bCs/>
              </w:rPr>
              <w:t xml:space="preserve"> (y/y, in %) </w:t>
            </w:r>
            <w:proofErr w:type="spellStart"/>
            <w:r w:rsidRPr="004B22DA">
              <w:t>a</w:t>
            </w:r>
            <w:r>
              <w:t>nd</w:t>
            </w:r>
            <w:proofErr w:type="spellEnd"/>
            <w:r>
              <w:rPr>
                <w:b/>
              </w:rPr>
              <w:t xml:space="preserve"> </w:t>
            </w:r>
            <w:r w:rsidRPr="005E0476">
              <w:rPr>
                <w:b/>
                <w:lang w:val="en-GB"/>
              </w:rPr>
              <w:t>balance of confidence indicator in construction</w:t>
            </w:r>
            <w:r>
              <w:rPr>
                <w:b/>
              </w:rPr>
              <w:t xml:space="preserve"> </w:t>
            </w:r>
            <w:r w:rsidRPr="00C1711F">
              <w:t>(</w:t>
            </w:r>
            <w:r w:rsidRPr="001946B9">
              <w:rPr>
                <w:lang w:val="en-GB"/>
              </w:rPr>
              <w:t>right axis)</w:t>
            </w:r>
          </w:p>
        </w:tc>
        <w:tc>
          <w:tcPr>
            <w:tcW w:w="399" w:type="pct"/>
            <w:gridSpan w:val="2"/>
          </w:tcPr>
          <w:p w:rsidR="00FA0110" w:rsidRDefault="00FA0110" w:rsidP="00FA0110">
            <w:pPr>
              <w:spacing w:line="240" w:lineRule="auto"/>
            </w:pPr>
            <w:r>
              <w:t>Chart 8</w:t>
            </w:r>
          </w:p>
        </w:tc>
        <w:tc>
          <w:tcPr>
            <w:tcW w:w="2095" w:type="pct"/>
          </w:tcPr>
          <w:p w:rsidR="00FA0110" w:rsidRDefault="00FA0110" w:rsidP="00FA0110">
            <w:pPr>
              <w:spacing w:line="240" w:lineRule="auto"/>
              <w:rPr>
                <w:b/>
              </w:rPr>
            </w:pPr>
            <w:r w:rsidRPr="005E0476">
              <w:rPr>
                <w:b/>
                <w:lang w:val="en-GB"/>
              </w:rPr>
              <w:t xml:space="preserve">Retail sales incl. motorist segment </w:t>
            </w:r>
            <w:r>
              <w:rPr>
                <w:bCs/>
              </w:rPr>
              <w:t>(</w:t>
            </w:r>
            <w:proofErr w:type="spellStart"/>
            <w:r>
              <w:t>constant</w:t>
            </w:r>
            <w:proofErr w:type="spellEnd"/>
            <w:r>
              <w:t xml:space="preserve"> </w:t>
            </w:r>
            <w:proofErr w:type="spellStart"/>
            <w:r>
              <w:t>prices</w:t>
            </w:r>
            <w:proofErr w:type="spellEnd"/>
            <w:r w:rsidRPr="005E0476">
              <w:rPr>
                <w:bCs/>
                <w:lang w:val="en-GB"/>
              </w:rPr>
              <w:t>, y/y in %</w:t>
            </w:r>
            <w:r>
              <w:rPr>
                <w:bCs/>
              </w:rPr>
              <w:t xml:space="preserve">) </w:t>
            </w:r>
            <w:r w:rsidRPr="005E0476">
              <w:rPr>
                <w:bCs/>
                <w:lang w:val="en-GB"/>
              </w:rPr>
              <w:t xml:space="preserve">%), </w:t>
            </w:r>
            <w:r w:rsidRPr="005E0476">
              <w:rPr>
                <w:b/>
                <w:lang w:val="en-GB"/>
              </w:rPr>
              <w:t>balance of consumer confidence indicator</w:t>
            </w:r>
            <w:r>
              <w:rPr>
                <w:b/>
              </w:rPr>
              <w:t xml:space="preserve"> </w:t>
            </w:r>
            <w:r w:rsidRPr="00264AF7">
              <w:t>(</w:t>
            </w:r>
            <w:proofErr w:type="spellStart"/>
            <w:r w:rsidRPr="00264AF7">
              <w:t>right</w:t>
            </w:r>
            <w:proofErr w:type="spellEnd"/>
            <w:r w:rsidRPr="00264AF7">
              <w:t xml:space="preserve"> axis)</w:t>
            </w:r>
          </w:p>
        </w:tc>
      </w:tr>
      <w:tr w:rsidR="00FA0110" w:rsidTr="00FA0110">
        <w:tc>
          <w:tcPr>
            <w:tcW w:w="2506" w:type="pct"/>
            <w:gridSpan w:val="2"/>
          </w:tcPr>
          <w:p w:rsidR="00FA0110" w:rsidRDefault="00FA0110" w:rsidP="00FA0110">
            <w:pPr>
              <w:pStyle w:val="Textpoznpodarou"/>
              <w:jc w:val="both"/>
            </w:pPr>
            <w:r>
              <w:rPr>
                <w:noProof/>
              </w:rPr>
              <w:drawing>
                <wp:inline distT="0" distB="0" distL="0" distR="0">
                  <wp:extent cx="3048248" cy="2399275"/>
                  <wp:effectExtent l="19050" t="0" r="0" b="0"/>
                  <wp:docPr id="11"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3059261" cy="2407943"/>
                          </a:xfrm>
                          <a:prstGeom prst="rect">
                            <a:avLst/>
                          </a:prstGeom>
                          <a:noFill/>
                          <a:ln w="9525">
                            <a:noFill/>
                            <a:miter lim="800000"/>
                            <a:headEnd/>
                            <a:tailEnd/>
                          </a:ln>
                        </pic:spPr>
                      </pic:pic>
                    </a:graphicData>
                  </a:graphic>
                </wp:inline>
              </w:drawing>
            </w:r>
          </w:p>
        </w:tc>
        <w:tc>
          <w:tcPr>
            <w:tcW w:w="2494" w:type="pct"/>
            <w:gridSpan w:val="3"/>
          </w:tcPr>
          <w:p w:rsidR="00FA0110" w:rsidRDefault="00FA0110" w:rsidP="00FA0110">
            <w:pPr>
              <w:pStyle w:val="Textpoznpodarou"/>
              <w:jc w:val="both"/>
            </w:pPr>
            <w:r>
              <w:rPr>
                <w:noProof/>
              </w:rPr>
              <w:drawing>
                <wp:inline distT="0" distB="0" distL="0" distR="0">
                  <wp:extent cx="3064151" cy="2401294"/>
                  <wp:effectExtent l="19050" t="0" r="2899" b="0"/>
                  <wp:docPr id="1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067134" cy="2403632"/>
                          </a:xfrm>
                          <a:prstGeom prst="rect">
                            <a:avLst/>
                          </a:prstGeom>
                          <a:noFill/>
                          <a:ln w="9525">
                            <a:noFill/>
                            <a:miter lim="800000"/>
                            <a:headEnd/>
                            <a:tailEnd/>
                          </a:ln>
                        </pic:spPr>
                      </pic:pic>
                    </a:graphicData>
                  </a:graphic>
                </wp:inline>
              </w:drawing>
            </w:r>
          </w:p>
        </w:tc>
      </w:tr>
      <w:tr w:rsidR="00FA0110" w:rsidTr="00FA0110">
        <w:trPr>
          <w:trHeight w:val="58"/>
        </w:trPr>
        <w:tc>
          <w:tcPr>
            <w:tcW w:w="2529" w:type="pct"/>
            <w:gridSpan w:val="3"/>
          </w:tcPr>
          <w:p w:rsidR="00FA0110" w:rsidRDefault="00FA0110" w:rsidP="00FA0110">
            <w:pPr>
              <w:pStyle w:val="Zhlav"/>
              <w:jc w:val="right"/>
              <w:rPr>
                <w:rFonts w:ascii="Arial" w:eastAsia="Times New Roman" w:hAnsi="Arial" w:cs="Arial"/>
                <w:sz w:val="18"/>
                <w:szCs w:val="18"/>
              </w:rPr>
            </w:pPr>
          </w:p>
        </w:tc>
        <w:tc>
          <w:tcPr>
            <w:tcW w:w="2471" w:type="pct"/>
            <w:gridSpan w:val="2"/>
          </w:tcPr>
          <w:p w:rsidR="00FA0110" w:rsidRDefault="00FA0110" w:rsidP="00FA0110">
            <w:pPr>
              <w:pStyle w:val="Zhlav"/>
              <w:spacing w:line="240" w:lineRule="auto"/>
              <w:jc w:val="right"/>
              <w:rPr>
                <w:rFonts w:ascii="Arial" w:eastAsia="Times New Roman" w:hAnsi="Arial" w:cs="Arial"/>
                <w:sz w:val="18"/>
                <w:szCs w:val="18"/>
              </w:rPr>
            </w:pPr>
            <w:proofErr w:type="spellStart"/>
            <w:r>
              <w:rPr>
                <w:rFonts w:ascii="Arial" w:hAnsi="Arial" w:cs="Arial"/>
                <w:sz w:val="18"/>
                <w:szCs w:val="18"/>
                <w:lang w:eastAsia="cs-CZ"/>
              </w:rPr>
              <w:t>Source</w:t>
            </w:r>
            <w:proofErr w:type="spellEnd"/>
            <w:r w:rsidRPr="000F401E">
              <w:rPr>
                <w:rFonts w:ascii="Arial" w:hAnsi="Arial" w:cs="Arial"/>
                <w:sz w:val="18"/>
                <w:szCs w:val="18"/>
                <w:lang w:eastAsia="cs-CZ"/>
              </w:rPr>
              <w:t xml:space="preserve">: </w:t>
            </w:r>
            <w:r>
              <w:rPr>
                <w:rFonts w:ascii="Arial" w:hAnsi="Arial" w:cs="Arial"/>
                <w:sz w:val="18"/>
                <w:szCs w:val="18"/>
                <w:lang w:eastAsia="cs-CZ"/>
              </w:rPr>
              <w:t>CZSO</w:t>
            </w:r>
          </w:p>
        </w:tc>
      </w:tr>
    </w:tbl>
    <w:p w:rsidR="00977343" w:rsidRDefault="00977343" w:rsidP="00FE16E6">
      <w:pPr>
        <w:pStyle w:val="Textpoznpodarou"/>
        <w:jc w:val="both"/>
      </w:pPr>
    </w:p>
    <w:p w:rsidR="00977343" w:rsidRPr="00D8439B" w:rsidRDefault="00977343" w:rsidP="00FE16E6">
      <w:pPr>
        <w:pStyle w:val="Textpoznpodarou"/>
        <w:jc w:val="both"/>
      </w:pPr>
    </w:p>
    <w:p w:rsidR="00576A3E" w:rsidRPr="007D152D" w:rsidRDefault="00451DCC" w:rsidP="00FC3C84">
      <w:pPr>
        <w:pStyle w:val="Nadpis1"/>
        <w:numPr>
          <w:ilvl w:val="0"/>
          <w:numId w:val="3"/>
        </w:numPr>
        <w:jc w:val="both"/>
        <w:rPr>
          <w:lang w:val="en-GB"/>
        </w:rPr>
      </w:pPr>
      <w:bookmarkStart w:id="5" w:name="_Toc449604559"/>
      <w:r w:rsidRPr="007D152D">
        <w:rPr>
          <w:lang w:val="en-GB"/>
        </w:rPr>
        <w:t>External Economic Relations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7"/>
        <w:gridCol w:w="282"/>
        <w:gridCol w:w="7495"/>
      </w:tblGrid>
      <w:tr w:rsidR="006E4832" w:rsidRPr="008F2F8F" w:rsidTr="00FA0110">
        <w:tc>
          <w:tcPr>
            <w:tcW w:w="1054" w:type="pct"/>
            <w:tcBorders>
              <w:top w:val="nil"/>
              <w:left w:val="nil"/>
              <w:bottom w:val="nil"/>
              <w:right w:val="nil"/>
            </w:tcBorders>
          </w:tcPr>
          <w:p w:rsidR="006E4832" w:rsidRPr="007D152D" w:rsidRDefault="006E4832" w:rsidP="00FA0110">
            <w:pPr>
              <w:spacing w:line="240" w:lineRule="auto"/>
              <w:rPr>
                <w:sz w:val="16"/>
                <w:szCs w:val="16"/>
                <w:lang w:val="en-GB"/>
              </w:rPr>
            </w:pPr>
            <w:r w:rsidRPr="007D152D">
              <w:rPr>
                <w:sz w:val="16"/>
                <w:szCs w:val="16"/>
                <w:lang w:val="en-GB"/>
              </w:rPr>
              <w:t>Current account surplus more than quintupled</w:t>
            </w:r>
            <w:r>
              <w:rPr>
                <w:sz w:val="16"/>
                <w:szCs w:val="16"/>
                <w:lang w:val="en-GB"/>
              </w:rPr>
              <w:t xml:space="preserve"> in the last year</w:t>
            </w:r>
            <w:r w:rsidRPr="007D152D">
              <w:rPr>
                <w:sz w:val="16"/>
                <w:szCs w:val="16"/>
                <w:lang w:val="en-GB"/>
              </w:rPr>
              <w:t xml:space="preserve"> and was historically the highest, …</w:t>
            </w:r>
          </w:p>
        </w:tc>
        <w:tc>
          <w:tcPr>
            <w:tcW w:w="143" w:type="pct"/>
            <w:tcBorders>
              <w:top w:val="nil"/>
              <w:left w:val="nil"/>
              <w:bottom w:val="nil"/>
              <w:right w:val="nil"/>
            </w:tcBorders>
          </w:tcPr>
          <w:p w:rsidR="006E4832" w:rsidRPr="007D152D" w:rsidRDefault="006E4832" w:rsidP="00FA0110">
            <w:pPr>
              <w:pStyle w:val="Textpoznpodarou"/>
              <w:jc w:val="both"/>
              <w:rPr>
                <w:lang w:val="en-GB"/>
              </w:rPr>
            </w:pPr>
          </w:p>
        </w:tc>
        <w:tc>
          <w:tcPr>
            <w:tcW w:w="3803" w:type="pct"/>
            <w:tcBorders>
              <w:top w:val="nil"/>
              <w:left w:val="nil"/>
              <w:bottom w:val="nil"/>
              <w:right w:val="nil"/>
            </w:tcBorders>
          </w:tcPr>
          <w:p w:rsidR="006E4832" w:rsidRPr="007D152D" w:rsidRDefault="006E4832" w:rsidP="00FA0110">
            <w:pPr>
              <w:pStyle w:val="Textpoznpodarou"/>
              <w:jc w:val="both"/>
              <w:rPr>
                <w:lang w:val="en-GB"/>
              </w:rPr>
            </w:pPr>
            <w:r w:rsidRPr="007D152D">
              <w:rPr>
                <w:lang w:val="en-GB"/>
              </w:rPr>
              <w:t>The current account of the balanc</w:t>
            </w:r>
            <w:r>
              <w:rPr>
                <w:lang w:val="en-GB"/>
              </w:rPr>
              <w:t>e</w:t>
            </w:r>
            <w:r w:rsidRPr="007D152D">
              <w:rPr>
                <w:lang w:val="en-GB"/>
              </w:rPr>
              <w:t xml:space="preserve"> of payments ended in surplus a second year in a row. The excess of revenues over outlays in addition more than quintupled on this account compared to year 2014 and reached a</w:t>
            </w:r>
            <w:r>
              <w:rPr>
                <w:lang w:val="en-GB"/>
              </w:rPr>
              <w:t xml:space="preserve"> </w:t>
            </w:r>
            <w:r w:rsidRPr="007D152D">
              <w:rPr>
                <w:lang w:val="en-GB"/>
              </w:rPr>
              <w:t xml:space="preserve">record level. The surplus of the current account amounted </w:t>
            </w:r>
            <w:r>
              <w:rPr>
                <w:lang w:val="en-GB"/>
              </w:rPr>
              <w:t xml:space="preserve">to </w:t>
            </w:r>
            <w:r w:rsidRPr="007D152D">
              <w:rPr>
                <w:lang w:val="en-GB"/>
              </w:rPr>
              <w:t xml:space="preserve">7.5 </w:t>
            </w:r>
            <w:r>
              <w:rPr>
                <w:lang w:val="en-GB"/>
              </w:rPr>
              <w:t xml:space="preserve">CZK </w:t>
            </w:r>
            <w:proofErr w:type="spellStart"/>
            <w:r w:rsidRPr="007D152D">
              <w:rPr>
                <w:lang w:val="en-GB"/>
              </w:rPr>
              <w:t>bn</w:t>
            </w:r>
            <w:proofErr w:type="spellEnd"/>
            <w:r>
              <w:rPr>
                <w:lang w:val="en-GB"/>
              </w:rPr>
              <w:t xml:space="preserve"> </w:t>
            </w:r>
            <w:r w:rsidRPr="007D152D">
              <w:rPr>
                <w:lang w:val="en-GB"/>
              </w:rPr>
              <w:t>in 2014 (0.</w:t>
            </w:r>
            <w:r>
              <w:rPr>
                <w:lang w:val="en-GB"/>
              </w:rPr>
              <w:t>2</w:t>
            </w:r>
            <w:r w:rsidRPr="007D152D">
              <w:rPr>
                <w:lang w:val="en-GB"/>
              </w:rPr>
              <w:t>% of GDP)</w:t>
            </w:r>
            <w:r>
              <w:rPr>
                <w:lang w:val="en-GB"/>
              </w:rPr>
              <w:t xml:space="preserve"> and</w:t>
            </w:r>
            <w:r w:rsidRPr="007D152D">
              <w:rPr>
                <w:lang w:val="en-GB"/>
              </w:rPr>
              <w:t xml:space="preserve"> 41.4 </w:t>
            </w:r>
            <w:proofErr w:type="spellStart"/>
            <w:r w:rsidRPr="007D152D">
              <w:rPr>
                <w:lang w:val="en-GB"/>
              </w:rPr>
              <w:t>bn</w:t>
            </w:r>
            <w:proofErr w:type="spellEnd"/>
            <w:r w:rsidRPr="007D152D">
              <w:rPr>
                <w:lang w:val="en-GB"/>
              </w:rPr>
              <w:t xml:space="preserve"> in the last year</w:t>
            </w:r>
            <w:r>
              <w:rPr>
                <w:lang w:val="en-GB"/>
              </w:rPr>
              <w:t xml:space="preserve"> </w:t>
            </w:r>
            <w:r w:rsidRPr="007D152D">
              <w:rPr>
                <w:lang w:val="en-GB"/>
              </w:rPr>
              <w:t xml:space="preserve">(0.9% of GDP). </w:t>
            </w:r>
            <w:r>
              <w:rPr>
                <w:lang w:val="en-GB"/>
              </w:rPr>
              <w:t xml:space="preserve">The surplus of the capital account was also historically the </w:t>
            </w:r>
            <w:proofErr w:type="gramStart"/>
            <w:r>
              <w:rPr>
                <w:lang w:val="en-GB"/>
              </w:rPr>
              <w:t>highest,</w:t>
            </w:r>
            <w:proofErr w:type="gramEnd"/>
            <w:r>
              <w:rPr>
                <w:lang w:val="en-GB"/>
              </w:rPr>
              <w:t xml:space="preserve"> it overtook the 100 </w:t>
            </w:r>
            <w:proofErr w:type="spellStart"/>
            <w:r>
              <w:rPr>
                <w:lang w:val="en-GB"/>
              </w:rPr>
              <w:t>bn</w:t>
            </w:r>
            <w:proofErr w:type="spellEnd"/>
            <w:r>
              <w:rPr>
                <w:lang w:val="en-GB"/>
              </w:rPr>
              <w:t xml:space="preserve"> boundary for the first time </w:t>
            </w:r>
            <w:r w:rsidRPr="007D152D">
              <w:rPr>
                <w:lang w:val="en-GB"/>
              </w:rPr>
              <w:t>(106</w:t>
            </w:r>
            <w:r>
              <w:rPr>
                <w:lang w:val="en-GB"/>
              </w:rPr>
              <w:t>.</w:t>
            </w:r>
            <w:r w:rsidRPr="007D152D">
              <w:rPr>
                <w:lang w:val="en-GB"/>
              </w:rPr>
              <w:t>1 </w:t>
            </w:r>
            <w:r>
              <w:rPr>
                <w:lang w:val="en-GB"/>
              </w:rPr>
              <w:t xml:space="preserve">CZK </w:t>
            </w:r>
            <w:proofErr w:type="spellStart"/>
            <w:r>
              <w:rPr>
                <w:lang w:val="en-GB"/>
              </w:rPr>
              <w:t>bn</w:t>
            </w:r>
            <w:proofErr w:type="spellEnd"/>
            <w:r w:rsidRPr="007D152D">
              <w:rPr>
                <w:lang w:val="en-GB"/>
              </w:rPr>
              <w:t>)</w:t>
            </w:r>
            <w:r>
              <w:rPr>
                <w:lang w:val="en-GB"/>
              </w:rPr>
              <w:t xml:space="preserve"> thanks to the completion of drawing on the EU funds</w:t>
            </w:r>
            <w:r w:rsidRPr="007D152D">
              <w:rPr>
                <w:lang w:val="en-GB"/>
              </w:rPr>
              <w:t xml:space="preserve">. </w:t>
            </w:r>
            <w:r>
              <w:rPr>
                <w:lang w:val="en-GB"/>
              </w:rPr>
              <w:t>Some transactions on the financial account also eluded the historical contexts – net outflow of direct investment, excess of portfolio investment inflow over its outflow or the growth of the reserve assets, these are the further records captured in the balance of payments statement.</w:t>
            </w:r>
          </w:p>
          <w:p w:rsidR="006E4832" w:rsidRPr="00AA0F37" w:rsidRDefault="006E4832" w:rsidP="00FA0110">
            <w:pPr>
              <w:pStyle w:val="Textpoznpodarou"/>
              <w:jc w:val="both"/>
              <w:rPr>
                <w:lang w:val="en-GB"/>
              </w:rPr>
            </w:pPr>
          </w:p>
        </w:tc>
      </w:tr>
      <w:tr w:rsidR="006E4832" w:rsidRPr="008F2F8F" w:rsidTr="00FA0110">
        <w:tc>
          <w:tcPr>
            <w:tcW w:w="1054" w:type="pct"/>
            <w:tcBorders>
              <w:top w:val="nil"/>
              <w:left w:val="nil"/>
              <w:bottom w:val="nil"/>
              <w:right w:val="nil"/>
            </w:tcBorders>
          </w:tcPr>
          <w:p w:rsidR="006E4832" w:rsidRPr="00BD3B56" w:rsidRDefault="006E4832" w:rsidP="00FA0110">
            <w:pPr>
              <w:spacing w:line="240" w:lineRule="auto"/>
              <w:rPr>
                <w:sz w:val="16"/>
                <w:szCs w:val="16"/>
                <w:lang w:val="en-GB"/>
              </w:rPr>
            </w:pPr>
            <w:r w:rsidRPr="00BD3B56">
              <w:rPr>
                <w:sz w:val="16"/>
                <w:szCs w:val="16"/>
                <w:lang w:val="en-GB"/>
              </w:rPr>
              <w:t>…all partial balances participated on its</w:t>
            </w:r>
            <w:r>
              <w:rPr>
                <w:sz w:val="16"/>
                <w:szCs w:val="16"/>
                <w:lang w:val="en-GB"/>
              </w:rPr>
              <w:t xml:space="preserve"> improvement with the exception</w:t>
            </w:r>
            <w:r w:rsidRPr="00BD3B56">
              <w:rPr>
                <w:sz w:val="16"/>
                <w:szCs w:val="16"/>
                <w:lang w:val="en-GB"/>
              </w:rPr>
              <w:t xml:space="preserve"> of the trade balance </w:t>
            </w:r>
          </w:p>
        </w:tc>
        <w:tc>
          <w:tcPr>
            <w:tcW w:w="143" w:type="pct"/>
            <w:tcBorders>
              <w:top w:val="nil"/>
              <w:left w:val="nil"/>
              <w:bottom w:val="nil"/>
              <w:right w:val="nil"/>
            </w:tcBorders>
          </w:tcPr>
          <w:p w:rsidR="006E4832" w:rsidRPr="00BD3B56" w:rsidRDefault="006E4832" w:rsidP="00FA0110">
            <w:pPr>
              <w:pStyle w:val="Textpoznpodarou"/>
              <w:jc w:val="both"/>
              <w:rPr>
                <w:lang w:val="en-GB"/>
              </w:rPr>
            </w:pPr>
          </w:p>
        </w:tc>
        <w:tc>
          <w:tcPr>
            <w:tcW w:w="3803" w:type="pct"/>
            <w:tcBorders>
              <w:top w:val="nil"/>
              <w:left w:val="nil"/>
              <w:bottom w:val="nil"/>
              <w:right w:val="nil"/>
            </w:tcBorders>
          </w:tcPr>
          <w:p w:rsidR="006E4832" w:rsidRPr="00BD3B56" w:rsidRDefault="006E4832" w:rsidP="00FA0110">
            <w:pPr>
              <w:pStyle w:val="Textpoznpodarou"/>
              <w:jc w:val="both"/>
              <w:rPr>
                <w:lang w:val="en-GB"/>
              </w:rPr>
            </w:pPr>
            <w:r w:rsidRPr="00BD3B56">
              <w:rPr>
                <w:spacing w:val="-4"/>
                <w:lang w:val="en-GB"/>
              </w:rPr>
              <w:t xml:space="preserve">The lower deficit of both primary and secondary incomes </w:t>
            </w:r>
            <w:r w:rsidRPr="00BD3B56">
              <w:rPr>
                <w:lang w:val="en-GB"/>
              </w:rPr>
              <w:t xml:space="preserve">(+17.3 </w:t>
            </w:r>
            <w:r>
              <w:rPr>
                <w:lang w:val="en-GB"/>
              </w:rPr>
              <w:t xml:space="preserve">CZK </w:t>
            </w:r>
            <w:proofErr w:type="spellStart"/>
            <w:r w:rsidRPr="00BD3B56">
              <w:rPr>
                <w:lang w:val="en-GB"/>
              </w:rPr>
              <w:t>bn</w:t>
            </w:r>
            <w:proofErr w:type="spellEnd"/>
            <w:r>
              <w:rPr>
                <w:lang w:val="en-GB"/>
              </w:rPr>
              <w:t xml:space="preserve"> </w:t>
            </w:r>
            <w:r w:rsidRPr="00BD3B56">
              <w:rPr>
                <w:lang w:val="en-GB"/>
              </w:rPr>
              <w:t xml:space="preserve">and +6 </w:t>
            </w:r>
            <w:proofErr w:type="spellStart"/>
            <w:r w:rsidRPr="00BD3B56">
              <w:rPr>
                <w:lang w:val="en-GB"/>
              </w:rPr>
              <w:t>bn</w:t>
            </w:r>
            <w:proofErr w:type="spellEnd"/>
            <w:r w:rsidRPr="00BD3B56">
              <w:rPr>
                <w:lang w:val="en-GB"/>
              </w:rPr>
              <w:t xml:space="preserve"> resp.) and also the more notable surplus of the foreign trade with services (+19.4 </w:t>
            </w:r>
            <w:proofErr w:type="spellStart"/>
            <w:r w:rsidRPr="00BD3B56">
              <w:rPr>
                <w:lang w:val="en-GB"/>
              </w:rPr>
              <w:t>bn</w:t>
            </w:r>
            <w:proofErr w:type="spellEnd"/>
            <w:r w:rsidRPr="00BD3B56">
              <w:rPr>
                <w:lang w:val="en-GB"/>
              </w:rPr>
              <w:t xml:space="preserve">) worked in the direction of further improvement of the current account. However, the trade balance worsened in the last year, due to a faster increase of imports of goods (+193 </w:t>
            </w:r>
            <w:r>
              <w:rPr>
                <w:lang w:val="en-GB"/>
              </w:rPr>
              <w:t xml:space="preserve">CZK </w:t>
            </w:r>
            <w:proofErr w:type="spellStart"/>
            <w:r w:rsidRPr="00BD3B56">
              <w:rPr>
                <w:lang w:val="en-GB"/>
              </w:rPr>
              <w:t>bn</w:t>
            </w:r>
            <w:proofErr w:type="spellEnd"/>
            <w:r w:rsidRPr="00BD3B56">
              <w:rPr>
                <w:lang w:val="en-GB"/>
              </w:rPr>
              <w:t xml:space="preserve">) </w:t>
            </w:r>
            <w:r>
              <w:rPr>
                <w:lang w:val="en-GB"/>
              </w:rPr>
              <w:t xml:space="preserve">against its exports </w:t>
            </w:r>
            <w:r w:rsidRPr="00BD3B56">
              <w:rPr>
                <w:lang w:val="en-GB"/>
              </w:rPr>
              <w:t>(+184</w:t>
            </w:r>
            <w:r>
              <w:rPr>
                <w:lang w:val="en-GB"/>
              </w:rPr>
              <w:t>.</w:t>
            </w:r>
            <w:r w:rsidRPr="00BD3B56">
              <w:rPr>
                <w:lang w:val="en-GB"/>
              </w:rPr>
              <w:t xml:space="preserve">2 </w:t>
            </w:r>
            <w:proofErr w:type="spellStart"/>
            <w:r>
              <w:rPr>
                <w:lang w:val="en-GB"/>
              </w:rPr>
              <w:t>bn</w:t>
            </w:r>
            <w:proofErr w:type="spellEnd"/>
            <w:r w:rsidRPr="00BD3B56">
              <w:rPr>
                <w:lang w:val="en-GB"/>
              </w:rPr>
              <w:t xml:space="preserve">), </w:t>
            </w:r>
            <w:r>
              <w:rPr>
                <w:lang w:val="en-GB"/>
              </w:rPr>
              <w:t xml:space="preserve">by </w:t>
            </w:r>
            <w:r w:rsidRPr="00BD3B56">
              <w:rPr>
                <w:lang w:val="en-GB"/>
              </w:rPr>
              <w:t>8</w:t>
            </w:r>
            <w:r>
              <w:rPr>
                <w:lang w:val="en-GB"/>
              </w:rPr>
              <w:t>.</w:t>
            </w:r>
            <w:r w:rsidRPr="00BD3B56">
              <w:rPr>
                <w:lang w:val="en-GB"/>
              </w:rPr>
              <w:t>8 </w:t>
            </w:r>
            <w:r>
              <w:rPr>
                <w:lang w:val="en-GB"/>
              </w:rPr>
              <w:t>bn</w:t>
            </w:r>
            <w:r w:rsidRPr="00BD3B56">
              <w:rPr>
                <w:lang w:val="en-GB"/>
              </w:rPr>
              <w:t>.</w:t>
            </w:r>
            <w:r>
              <w:rPr>
                <w:lang w:val="en-GB"/>
              </w:rPr>
              <w:t xml:space="preserve"> The trends typical for years </w:t>
            </w:r>
            <w:r w:rsidRPr="00BD3B56">
              <w:rPr>
                <w:lang w:val="en-GB"/>
              </w:rPr>
              <w:t>2012, 2013 a</w:t>
            </w:r>
            <w:r>
              <w:rPr>
                <w:lang w:val="en-GB"/>
              </w:rPr>
              <w:t>nd</w:t>
            </w:r>
            <w:r w:rsidRPr="00BD3B56">
              <w:rPr>
                <w:lang w:val="en-GB"/>
              </w:rPr>
              <w:t xml:space="preserve"> 2014 </w:t>
            </w:r>
            <w:r>
              <w:rPr>
                <w:lang w:val="en-GB"/>
              </w:rPr>
              <w:t xml:space="preserve">– i.e. the continual increase of the primary incomes deficit and lowering of the surplus of the foreign trade with services accompanied by simultaneous increase of the trade balance surplus – thus completely reversed in the last year.  </w:t>
            </w:r>
            <w:r w:rsidRPr="00BD3B56">
              <w:rPr>
                <w:lang w:val="en-GB"/>
              </w:rPr>
              <w:t> </w:t>
            </w:r>
          </w:p>
          <w:p w:rsidR="006E4832" w:rsidRPr="00AA0F37" w:rsidRDefault="006E4832" w:rsidP="00FA0110">
            <w:pPr>
              <w:pStyle w:val="Textpoznpodarou"/>
              <w:jc w:val="both"/>
              <w:rPr>
                <w:lang w:val="en-GB"/>
              </w:rPr>
            </w:pPr>
          </w:p>
        </w:tc>
      </w:tr>
      <w:tr w:rsidR="006E4832" w:rsidRPr="008F2F8F" w:rsidTr="00FA0110">
        <w:tc>
          <w:tcPr>
            <w:tcW w:w="1054" w:type="pct"/>
            <w:tcBorders>
              <w:top w:val="nil"/>
              <w:left w:val="nil"/>
              <w:bottom w:val="nil"/>
              <w:right w:val="nil"/>
            </w:tcBorders>
          </w:tcPr>
          <w:p w:rsidR="006E4832" w:rsidRPr="00F36FAD" w:rsidRDefault="006E4832" w:rsidP="00FA0110">
            <w:pPr>
              <w:spacing w:line="240" w:lineRule="auto"/>
              <w:rPr>
                <w:sz w:val="16"/>
                <w:szCs w:val="16"/>
                <w:lang w:val="en-GB"/>
              </w:rPr>
            </w:pPr>
            <w:r w:rsidRPr="00F36FAD">
              <w:rPr>
                <w:sz w:val="16"/>
                <w:szCs w:val="16"/>
                <w:lang w:val="en-GB"/>
              </w:rPr>
              <w:t>Direct investment inflow into th</w:t>
            </w:r>
            <w:r>
              <w:rPr>
                <w:sz w:val="16"/>
                <w:szCs w:val="16"/>
                <w:lang w:val="en-GB"/>
              </w:rPr>
              <w:t>e CR was the weakest since 2003.</w:t>
            </w:r>
            <w:r w:rsidRPr="00F36FAD">
              <w:rPr>
                <w:sz w:val="16"/>
                <w:szCs w:val="16"/>
                <w:lang w:val="en-GB"/>
              </w:rPr>
              <w:t xml:space="preserve"> </w:t>
            </w:r>
            <w:r>
              <w:rPr>
                <w:sz w:val="16"/>
                <w:szCs w:val="16"/>
                <w:lang w:val="en-GB"/>
              </w:rPr>
              <w:t>I</w:t>
            </w:r>
            <w:r w:rsidRPr="00F36FAD">
              <w:rPr>
                <w:sz w:val="16"/>
                <w:szCs w:val="16"/>
                <w:lang w:val="en-GB"/>
              </w:rPr>
              <w:t xml:space="preserve">ts trend </w:t>
            </w:r>
            <w:r>
              <w:rPr>
                <w:sz w:val="16"/>
                <w:szCs w:val="16"/>
                <w:lang w:val="en-GB"/>
              </w:rPr>
              <w:t>in addition</w:t>
            </w:r>
            <w:r w:rsidRPr="00F36FAD">
              <w:rPr>
                <w:sz w:val="16"/>
                <w:szCs w:val="16"/>
                <w:lang w:val="en-GB"/>
              </w:rPr>
              <w:t xml:space="preserve"> weakens already ten years </w:t>
            </w:r>
          </w:p>
        </w:tc>
        <w:tc>
          <w:tcPr>
            <w:tcW w:w="143" w:type="pct"/>
            <w:tcBorders>
              <w:top w:val="nil"/>
              <w:left w:val="nil"/>
              <w:bottom w:val="nil"/>
              <w:right w:val="nil"/>
            </w:tcBorders>
          </w:tcPr>
          <w:p w:rsidR="006E4832" w:rsidRPr="00F36FAD" w:rsidRDefault="006E4832" w:rsidP="00FA0110">
            <w:pPr>
              <w:pStyle w:val="Textpoznpodarou"/>
              <w:jc w:val="both"/>
              <w:rPr>
                <w:color w:val="FF0000"/>
                <w:lang w:val="en-GB"/>
              </w:rPr>
            </w:pPr>
          </w:p>
        </w:tc>
        <w:tc>
          <w:tcPr>
            <w:tcW w:w="3803" w:type="pct"/>
            <w:tcBorders>
              <w:top w:val="nil"/>
              <w:left w:val="nil"/>
              <w:bottom w:val="nil"/>
              <w:right w:val="nil"/>
            </w:tcBorders>
          </w:tcPr>
          <w:p w:rsidR="006E4832" w:rsidRPr="00F36FAD" w:rsidRDefault="006E4832" w:rsidP="00AA0F37">
            <w:pPr>
              <w:pStyle w:val="Textpoznpodarou"/>
              <w:jc w:val="both"/>
              <w:rPr>
                <w:color w:val="FF0000"/>
                <w:sz w:val="18"/>
                <w:szCs w:val="18"/>
                <w:lang w:val="en-GB"/>
              </w:rPr>
            </w:pPr>
            <w:r w:rsidRPr="00963FA1">
              <w:rPr>
                <w:lang w:val="en-GB"/>
              </w:rPr>
              <w:t xml:space="preserve">The transactions with abroad recorded on the financial account led to a deficit, similarly </w:t>
            </w:r>
            <w:proofErr w:type="spellStart"/>
            <w:r w:rsidRPr="00963FA1">
              <w:rPr>
                <w:lang w:val="en-GB"/>
              </w:rPr>
              <w:t>to</w:t>
            </w:r>
            <w:proofErr w:type="spellEnd"/>
            <w:r w:rsidRPr="00963FA1">
              <w:rPr>
                <w:lang w:val="en-GB"/>
              </w:rPr>
              <w:t xml:space="preserve"> years 2012–2014. The size of this deficit was however completely extraordinary, since it reached 193.8 </w:t>
            </w:r>
            <w:r>
              <w:rPr>
                <w:lang w:val="en-GB"/>
              </w:rPr>
              <w:t xml:space="preserve">CZK </w:t>
            </w:r>
            <w:r w:rsidRPr="00963FA1">
              <w:rPr>
                <w:lang w:val="en-GB"/>
              </w:rPr>
              <w:t>bn. The Czech companies strengthened their direct investment abroad by 87.3</w:t>
            </w:r>
            <w:r>
              <w:rPr>
                <w:lang w:val="en-GB"/>
              </w:rPr>
              <w:t xml:space="preserve"> </w:t>
            </w:r>
            <w:proofErr w:type="spellStart"/>
            <w:r w:rsidRPr="00963FA1">
              <w:rPr>
                <w:lang w:val="en-GB"/>
              </w:rPr>
              <w:t>bn</w:t>
            </w:r>
            <w:proofErr w:type="spellEnd"/>
            <w:r w:rsidRPr="00963FA1">
              <w:rPr>
                <w:lang w:val="en-GB"/>
              </w:rPr>
              <w:t xml:space="preserve"> in the last year, investment in the CR were nevertheless less attractive, since foreign direct  investors spent only 60.7 </w:t>
            </w:r>
            <w:proofErr w:type="spellStart"/>
            <w:r w:rsidRPr="00963FA1">
              <w:rPr>
                <w:lang w:val="en-GB"/>
              </w:rPr>
              <w:t>bn</w:t>
            </w:r>
            <w:proofErr w:type="spellEnd"/>
            <w:r w:rsidRPr="00963FA1">
              <w:rPr>
                <w:lang w:val="en-GB"/>
              </w:rPr>
              <w:t xml:space="preserve"> in the CR. </w:t>
            </w:r>
            <w:r>
              <w:rPr>
                <w:lang w:val="en-GB"/>
              </w:rPr>
              <w:t>T</w:t>
            </w:r>
            <w:r w:rsidRPr="00963FA1">
              <w:rPr>
                <w:lang w:val="en-GB"/>
              </w:rPr>
              <w:t xml:space="preserve">he </w:t>
            </w:r>
            <w:r>
              <w:rPr>
                <w:lang w:val="en-GB"/>
              </w:rPr>
              <w:t>growth</w:t>
            </w:r>
            <w:r w:rsidRPr="00963FA1">
              <w:rPr>
                <w:lang w:val="en-GB"/>
              </w:rPr>
              <w:t xml:space="preserve"> of the foreign </w:t>
            </w:r>
            <w:r>
              <w:rPr>
                <w:lang w:val="en-GB"/>
              </w:rPr>
              <w:t xml:space="preserve">investors’ </w:t>
            </w:r>
            <w:r w:rsidRPr="00963FA1">
              <w:rPr>
                <w:lang w:val="en-GB"/>
              </w:rPr>
              <w:t xml:space="preserve">capital in the CR was the smallest since </w:t>
            </w:r>
            <w:proofErr w:type="gramStart"/>
            <w:r w:rsidRPr="00963FA1">
              <w:rPr>
                <w:lang w:val="en-GB"/>
              </w:rPr>
              <w:t>2003,</w:t>
            </w:r>
            <w:proofErr w:type="gramEnd"/>
            <w:r w:rsidRPr="00963FA1">
              <w:rPr>
                <w:lang w:val="en-GB"/>
              </w:rPr>
              <w:t xml:space="preserve"> its trend in addition weakens already since 2006. The financial account deficit was thus caused by the net outflow of direct investment, especially however by the dramatic increase of the reserve assets in the amount of 351.3 </w:t>
            </w:r>
            <w:r>
              <w:rPr>
                <w:lang w:val="en-GB"/>
              </w:rPr>
              <w:t xml:space="preserve">CZK </w:t>
            </w:r>
            <w:r w:rsidRPr="00963FA1">
              <w:rPr>
                <w:lang w:val="en-GB"/>
              </w:rPr>
              <w:t xml:space="preserve">bn. These were increased for once due to the continuing interventions of the CNB against the strengthening crown, </w:t>
            </w:r>
            <w:proofErr w:type="gramStart"/>
            <w:r w:rsidRPr="00963FA1">
              <w:rPr>
                <w:lang w:val="en-GB"/>
              </w:rPr>
              <w:t>then</w:t>
            </w:r>
            <w:proofErr w:type="gramEnd"/>
            <w:r w:rsidRPr="00963FA1">
              <w:rPr>
                <w:lang w:val="en-GB"/>
              </w:rPr>
              <w:t xml:space="preserve"> also because of the </w:t>
            </w:r>
            <w:r>
              <w:rPr>
                <w:lang w:val="en-GB"/>
              </w:rPr>
              <w:t>accelerated</w:t>
            </w:r>
            <w:r w:rsidRPr="00963FA1">
              <w:rPr>
                <w:lang w:val="en-GB"/>
              </w:rPr>
              <w:t xml:space="preserve"> drawing of finances from</w:t>
            </w:r>
            <w:r>
              <w:rPr>
                <w:lang w:val="en-GB"/>
              </w:rPr>
              <w:t xml:space="preserve"> </w:t>
            </w:r>
            <w:r w:rsidRPr="00963FA1">
              <w:rPr>
                <w:lang w:val="en-GB"/>
              </w:rPr>
              <w:t>the EU funds, which were exchanged into crowns outside the market and thus increased the foreign exchange reserves of the CNB</w:t>
            </w:r>
            <w:r>
              <w:rPr>
                <w:lang w:val="en-GB"/>
              </w:rPr>
              <w:t>.</w:t>
            </w:r>
          </w:p>
        </w:tc>
      </w:tr>
      <w:tr w:rsidR="006E4832" w:rsidRPr="008F2F8F" w:rsidTr="00FA0110">
        <w:tc>
          <w:tcPr>
            <w:tcW w:w="1054" w:type="pct"/>
            <w:tcBorders>
              <w:top w:val="nil"/>
              <w:left w:val="nil"/>
              <w:bottom w:val="nil"/>
              <w:right w:val="nil"/>
            </w:tcBorders>
          </w:tcPr>
          <w:p w:rsidR="006E4832" w:rsidRPr="00963FA1" w:rsidRDefault="006E4832" w:rsidP="00FA0110">
            <w:pPr>
              <w:spacing w:line="240" w:lineRule="auto"/>
              <w:rPr>
                <w:sz w:val="16"/>
                <w:szCs w:val="16"/>
                <w:lang w:val="en-GB"/>
              </w:rPr>
            </w:pPr>
            <w:r w:rsidRPr="00963FA1">
              <w:rPr>
                <w:sz w:val="16"/>
                <w:szCs w:val="16"/>
                <w:lang w:val="en-GB"/>
              </w:rPr>
              <w:lastRenderedPageBreak/>
              <w:t xml:space="preserve">Foreign investors purchased securities worth 236.4 </w:t>
            </w:r>
            <w:r>
              <w:rPr>
                <w:sz w:val="16"/>
                <w:szCs w:val="16"/>
                <w:lang w:val="en-GB"/>
              </w:rPr>
              <w:t xml:space="preserve">CZK </w:t>
            </w:r>
            <w:proofErr w:type="spellStart"/>
            <w:r w:rsidRPr="00963FA1">
              <w:rPr>
                <w:sz w:val="16"/>
                <w:szCs w:val="16"/>
                <w:lang w:val="en-GB"/>
              </w:rPr>
              <w:t>bn</w:t>
            </w:r>
            <w:proofErr w:type="spellEnd"/>
            <w:r>
              <w:rPr>
                <w:sz w:val="16"/>
                <w:szCs w:val="16"/>
                <w:lang w:val="en-GB"/>
              </w:rPr>
              <w:t xml:space="preserve"> </w:t>
            </w:r>
            <w:r w:rsidRPr="00963FA1">
              <w:rPr>
                <w:sz w:val="16"/>
                <w:szCs w:val="16"/>
                <w:lang w:val="en-GB"/>
              </w:rPr>
              <w:t xml:space="preserve">in the CR in the last year. In that, 117.7 </w:t>
            </w:r>
            <w:proofErr w:type="spellStart"/>
            <w:r w:rsidRPr="00963FA1">
              <w:rPr>
                <w:sz w:val="16"/>
                <w:szCs w:val="16"/>
                <w:lang w:val="en-GB"/>
              </w:rPr>
              <w:t>bn</w:t>
            </w:r>
            <w:proofErr w:type="spellEnd"/>
            <w:r w:rsidRPr="00963FA1">
              <w:rPr>
                <w:sz w:val="16"/>
                <w:szCs w:val="16"/>
                <w:lang w:val="en-GB"/>
              </w:rPr>
              <w:t xml:space="preserve"> was assigned to the purchases of</w:t>
            </w:r>
            <w:r>
              <w:rPr>
                <w:sz w:val="16"/>
                <w:szCs w:val="16"/>
                <w:lang w:val="en-GB"/>
              </w:rPr>
              <w:t xml:space="preserve"> </w:t>
            </w:r>
            <w:r w:rsidRPr="00963FA1">
              <w:rPr>
                <w:sz w:val="16"/>
                <w:szCs w:val="16"/>
                <w:lang w:val="en-GB"/>
              </w:rPr>
              <w:t xml:space="preserve">the government bonds </w:t>
            </w:r>
          </w:p>
        </w:tc>
        <w:tc>
          <w:tcPr>
            <w:tcW w:w="143" w:type="pct"/>
            <w:tcBorders>
              <w:top w:val="nil"/>
              <w:left w:val="nil"/>
              <w:bottom w:val="nil"/>
              <w:right w:val="nil"/>
            </w:tcBorders>
          </w:tcPr>
          <w:p w:rsidR="006E4832" w:rsidRPr="007A45B1" w:rsidRDefault="006E4832" w:rsidP="00FA0110">
            <w:pPr>
              <w:pStyle w:val="Textpoznpodarou"/>
              <w:jc w:val="both"/>
            </w:pPr>
          </w:p>
        </w:tc>
        <w:tc>
          <w:tcPr>
            <w:tcW w:w="3803" w:type="pct"/>
            <w:tcBorders>
              <w:top w:val="nil"/>
              <w:left w:val="nil"/>
              <w:bottom w:val="nil"/>
              <w:right w:val="nil"/>
            </w:tcBorders>
          </w:tcPr>
          <w:p w:rsidR="006E4832" w:rsidRPr="00577861" w:rsidRDefault="006E4832" w:rsidP="00FA0110">
            <w:pPr>
              <w:pStyle w:val="Textpoznpodarou"/>
              <w:jc w:val="both"/>
              <w:rPr>
                <w:lang w:val="en-GB"/>
              </w:rPr>
            </w:pPr>
            <w:r w:rsidRPr="00577861">
              <w:rPr>
                <w:lang w:val="en-GB"/>
              </w:rPr>
              <w:t>The Czech economy received 164.1 </w:t>
            </w:r>
            <w:r>
              <w:rPr>
                <w:lang w:val="en-GB"/>
              </w:rPr>
              <w:t xml:space="preserve">CZK </w:t>
            </w:r>
            <w:proofErr w:type="spellStart"/>
            <w:r w:rsidRPr="00577861">
              <w:rPr>
                <w:lang w:val="en-GB"/>
              </w:rPr>
              <w:t>bn</w:t>
            </w:r>
            <w:proofErr w:type="spellEnd"/>
            <w:r>
              <w:rPr>
                <w:lang w:val="en-GB"/>
              </w:rPr>
              <w:t xml:space="preserve"> </w:t>
            </w:r>
            <w:r w:rsidRPr="00577861">
              <w:rPr>
                <w:lang w:val="en-GB"/>
              </w:rPr>
              <w:t xml:space="preserve">in the form of portfolio investment balance in 2015. The residents increased the holding of foreign securities by 72.2 </w:t>
            </w:r>
            <w:r>
              <w:rPr>
                <w:lang w:val="en-GB"/>
              </w:rPr>
              <w:t xml:space="preserve">CZK </w:t>
            </w:r>
            <w:proofErr w:type="spellStart"/>
            <w:r w:rsidRPr="00577861">
              <w:rPr>
                <w:lang w:val="en-GB"/>
              </w:rPr>
              <w:t>bn</w:t>
            </w:r>
            <w:proofErr w:type="spellEnd"/>
            <w:r w:rsidRPr="00577861">
              <w:rPr>
                <w:lang w:val="en-GB"/>
              </w:rPr>
              <w:t xml:space="preserve">, the exposure of foreign investors in portfolio investment towards the CR </w:t>
            </w:r>
            <w:r>
              <w:rPr>
                <w:lang w:val="en-GB"/>
              </w:rPr>
              <w:t>rose</w:t>
            </w:r>
            <w:r w:rsidRPr="00577861">
              <w:rPr>
                <w:lang w:val="en-GB"/>
              </w:rPr>
              <w:t xml:space="preserve"> by 236.4 bn. The e</w:t>
            </w:r>
            <w:r>
              <w:rPr>
                <w:lang w:val="en-GB"/>
              </w:rPr>
              <w:t>f</w:t>
            </w:r>
            <w:r w:rsidRPr="00577861">
              <w:rPr>
                <w:lang w:val="en-GB"/>
              </w:rPr>
              <w:t xml:space="preserve">fort of the domestic </w:t>
            </w:r>
            <w:r>
              <w:rPr>
                <w:lang w:val="en-GB"/>
              </w:rPr>
              <w:t>b</w:t>
            </w:r>
            <w:r w:rsidRPr="00577861">
              <w:rPr>
                <w:lang w:val="en-GB"/>
              </w:rPr>
              <w:t xml:space="preserve">anks to optimise the structure of the balances </w:t>
            </w:r>
            <w:r>
              <w:rPr>
                <w:lang w:val="en-GB"/>
              </w:rPr>
              <w:t>at the end of the year</w:t>
            </w:r>
            <w:r w:rsidRPr="00577861">
              <w:rPr>
                <w:lang w:val="en-GB"/>
              </w:rPr>
              <w:t xml:space="preserve"> was refle</w:t>
            </w:r>
            <w:r>
              <w:rPr>
                <w:lang w:val="en-GB"/>
              </w:rPr>
              <w:t>c</w:t>
            </w:r>
            <w:r w:rsidRPr="00577861">
              <w:rPr>
                <w:lang w:val="en-GB"/>
              </w:rPr>
              <w:t>te</w:t>
            </w:r>
            <w:r>
              <w:rPr>
                <w:lang w:val="en-GB"/>
              </w:rPr>
              <w:t>d in</w:t>
            </w:r>
            <w:r w:rsidRPr="00577861">
              <w:rPr>
                <w:lang w:val="en-GB"/>
              </w:rPr>
              <w:t xml:space="preserve"> the investment of foreign investors into their bonds for 148</w:t>
            </w:r>
            <w:r>
              <w:rPr>
                <w:lang w:val="en-GB"/>
              </w:rPr>
              <w:t>.</w:t>
            </w:r>
            <w:r w:rsidRPr="00577861">
              <w:rPr>
                <w:lang w:val="en-GB"/>
              </w:rPr>
              <w:t xml:space="preserve">7 </w:t>
            </w:r>
            <w:r>
              <w:rPr>
                <w:lang w:val="en-GB"/>
              </w:rPr>
              <w:t xml:space="preserve">CZK </w:t>
            </w:r>
            <w:proofErr w:type="spellStart"/>
            <w:r>
              <w:rPr>
                <w:lang w:val="en-GB"/>
              </w:rPr>
              <w:t>bn</w:t>
            </w:r>
            <w:proofErr w:type="spellEnd"/>
            <w:r>
              <w:rPr>
                <w:lang w:val="en-GB"/>
              </w:rPr>
              <w:t xml:space="preserve">, the foreign investors however also purchased massively the government bonds </w:t>
            </w:r>
            <w:r w:rsidRPr="00577861">
              <w:rPr>
                <w:lang w:val="en-GB"/>
              </w:rPr>
              <w:t>(</w:t>
            </w:r>
            <w:r>
              <w:rPr>
                <w:lang w:val="en-GB"/>
              </w:rPr>
              <w:t xml:space="preserve">for </w:t>
            </w:r>
            <w:r w:rsidRPr="00577861">
              <w:rPr>
                <w:lang w:val="en-GB"/>
              </w:rPr>
              <w:t>117</w:t>
            </w:r>
            <w:r>
              <w:rPr>
                <w:lang w:val="en-GB"/>
              </w:rPr>
              <w:t>.</w:t>
            </w:r>
            <w:r w:rsidRPr="00577861">
              <w:rPr>
                <w:lang w:val="en-GB"/>
              </w:rPr>
              <w:t>7 </w:t>
            </w:r>
            <w:proofErr w:type="spellStart"/>
            <w:r>
              <w:rPr>
                <w:lang w:val="en-GB"/>
              </w:rPr>
              <w:t>bn</w:t>
            </w:r>
            <w:proofErr w:type="spellEnd"/>
            <w:r w:rsidRPr="00577861">
              <w:rPr>
                <w:lang w:val="en-GB"/>
              </w:rPr>
              <w:t>).</w:t>
            </w:r>
            <w:r>
              <w:rPr>
                <w:lang w:val="en-GB"/>
              </w:rPr>
              <w:t xml:space="preserve"> They preferred a low risk and speculated likely also on the further appreciation of the Czech crown, which could bring them additional yields.</w:t>
            </w:r>
          </w:p>
          <w:p w:rsidR="006E4832" w:rsidRPr="00FA0110" w:rsidRDefault="006E4832" w:rsidP="00FA0110">
            <w:pPr>
              <w:pStyle w:val="Textpoznpodarou"/>
              <w:jc w:val="both"/>
            </w:pPr>
          </w:p>
        </w:tc>
      </w:tr>
      <w:tr w:rsidR="006E4832" w:rsidRPr="008F2F8F" w:rsidTr="00FA0110">
        <w:tc>
          <w:tcPr>
            <w:tcW w:w="1054" w:type="pct"/>
            <w:tcBorders>
              <w:top w:val="nil"/>
              <w:left w:val="nil"/>
              <w:bottom w:val="nil"/>
              <w:right w:val="nil"/>
            </w:tcBorders>
          </w:tcPr>
          <w:p w:rsidR="006E4832" w:rsidRPr="001E25A6" w:rsidRDefault="006E4832" w:rsidP="00FA0110">
            <w:pPr>
              <w:spacing w:line="240" w:lineRule="auto"/>
              <w:rPr>
                <w:sz w:val="16"/>
                <w:szCs w:val="16"/>
                <w:lang w:val="en-GB"/>
              </w:rPr>
            </w:pPr>
            <w:r w:rsidRPr="001E25A6">
              <w:rPr>
                <w:sz w:val="16"/>
                <w:szCs w:val="16"/>
                <w:lang w:val="en-GB"/>
              </w:rPr>
              <w:t>Exports of goods rose based on the</w:t>
            </w:r>
            <w:r>
              <w:rPr>
                <w:sz w:val="16"/>
                <w:szCs w:val="16"/>
                <w:lang w:val="en-GB"/>
              </w:rPr>
              <w:t xml:space="preserve"> data in the national concept</w:t>
            </w:r>
            <w:r w:rsidRPr="001E25A6">
              <w:rPr>
                <w:sz w:val="16"/>
                <w:szCs w:val="16"/>
                <w:lang w:val="en-GB"/>
              </w:rPr>
              <w:t xml:space="preserve"> by 5.</w:t>
            </w:r>
            <w:r>
              <w:rPr>
                <w:sz w:val="16"/>
                <w:szCs w:val="16"/>
                <w:lang w:val="en-GB"/>
              </w:rPr>
              <w:t>9</w:t>
            </w:r>
            <w:r w:rsidRPr="001E25A6">
              <w:rPr>
                <w:sz w:val="16"/>
                <w:szCs w:val="16"/>
                <w:lang w:val="en-GB"/>
              </w:rPr>
              <w:t>% in the last year. The drop of goods exports by one third into the Russian Federation however also decreased the total exports into countries outside the EU (-0.</w:t>
            </w:r>
            <w:r>
              <w:rPr>
                <w:sz w:val="16"/>
                <w:szCs w:val="16"/>
                <w:lang w:val="en-GB"/>
              </w:rPr>
              <w:t>4</w:t>
            </w:r>
            <w:r w:rsidRPr="001E25A6">
              <w:rPr>
                <w:sz w:val="16"/>
                <w:szCs w:val="16"/>
                <w:lang w:val="en-GB"/>
              </w:rPr>
              <w:t>%)</w:t>
            </w:r>
          </w:p>
        </w:tc>
        <w:tc>
          <w:tcPr>
            <w:tcW w:w="143" w:type="pct"/>
            <w:tcBorders>
              <w:top w:val="nil"/>
              <w:left w:val="nil"/>
              <w:bottom w:val="nil"/>
              <w:right w:val="nil"/>
            </w:tcBorders>
          </w:tcPr>
          <w:p w:rsidR="006E4832" w:rsidRPr="001E25A6" w:rsidRDefault="006E4832" w:rsidP="00FA0110">
            <w:pPr>
              <w:pStyle w:val="Textpoznpodarou"/>
              <w:jc w:val="both"/>
              <w:rPr>
                <w:lang w:val="en-GB"/>
              </w:rPr>
            </w:pPr>
          </w:p>
        </w:tc>
        <w:tc>
          <w:tcPr>
            <w:tcW w:w="3803" w:type="pct"/>
            <w:tcBorders>
              <w:top w:val="nil"/>
              <w:left w:val="nil"/>
              <w:bottom w:val="nil"/>
              <w:right w:val="nil"/>
            </w:tcBorders>
          </w:tcPr>
          <w:p w:rsidR="006E4832" w:rsidRPr="001E25A6" w:rsidRDefault="006E4832" w:rsidP="00FA0110">
            <w:pPr>
              <w:pStyle w:val="Textpoznpodarou"/>
              <w:jc w:val="both"/>
              <w:rPr>
                <w:lang w:val="en-GB"/>
              </w:rPr>
            </w:pPr>
            <w:r w:rsidRPr="001E25A6">
              <w:rPr>
                <w:lang w:val="en-GB"/>
              </w:rPr>
              <w:t xml:space="preserve">The exports of goods increased </w:t>
            </w:r>
            <w:r>
              <w:rPr>
                <w:lang w:val="en-GB"/>
              </w:rPr>
              <w:t>based on the national concept</w:t>
            </w:r>
            <w:r w:rsidRPr="001E25A6">
              <w:rPr>
                <w:lang w:val="en-GB"/>
              </w:rPr>
              <w:t xml:space="preserve"> data</w:t>
            </w:r>
            <w:r w:rsidRPr="001E25A6">
              <w:rPr>
                <w:rStyle w:val="Znakapoznpodarou"/>
                <w:lang w:val="en-GB"/>
              </w:rPr>
              <w:footnoteReference w:id="15"/>
            </w:r>
            <w:r w:rsidRPr="001E25A6">
              <w:rPr>
                <w:lang w:val="en-GB"/>
              </w:rPr>
              <w:t xml:space="preserve"> by 5.</w:t>
            </w:r>
            <w:r>
              <w:rPr>
                <w:lang w:val="en-GB"/>
              </w:rPr>
              <w:t>9</w:t>
            </w:r>
            <w:r w:rsidRPr="001E25A6">
              <w:rPr>
                <w:lang w:val="en-GB"/>
              </w:rPr>
              <w:t xml:space="preserve">% in 2015 and reached the value of 3 336 </w:t>
            </w:r>
            <w:r>
              <w:rPr>
                <w:lang w:val="en-GB"/>
              </w:rPr>
              <w:t xml:space="preserve">CZK </w:t>
            </w:r>
            <w:r w:rsidRPr="001E25A6">
              <w:rPr>
                <w:lang w:val="en-GB"/>
              </w:rPr>
              <w:t>bn. Its dynamics was stronger in H1, when it rose by 7.</w:t>
            </w:r>
            <w:r>
              <w:rPr>
                <w:lang w:val="en-GB"/>
              </w:rPr>
              <w:t>1</w:t>
            </w:r>
            <w:r w:rsidRPr="001E25A6">
              <w:rPr>
                <w:lang w:val="en-GB"/>
              </w:rPr>
              <w:t xml:space="preserve">%, compared to H2, when it was by </w:t>
            </w:r>
            <w:r w:rsidRPr="001E25A6">
              <w:rPr>
                <w:spacing w:val="-2"/>
                <w:lang w:val="en-GB"/>
              </w:rPr>
              <w:t>4.</w:t>
            </w:r>
            <w:r>
              <w:rPr>
                <w:spacing w:val="-2"/>
                <w:lang w:val="en-GB"/>
              </w:rPr>
              <w:t>7</w:t>
            </w:r>
            <w:r w:rsidRPr="001E25A6">
              <w:rPr>
                <w:spacing w:val="-2"/>
                <w:lang w:val="en-GB"/>
              </w:rPr>
              <w:t>% higher year-on-year. The exporters succeeded to expand</w:t>
            </w:r>
            <w:r>
              <w:rPr>
                <w:spacing w:val="-2"/>
                <w:lang w:val="en-GB"/>
              </w:rPr>
              <w:t xml:space="preserve"> especially</w:t>
            </w:r>
            <w:r w:rsidRPr="001E25A6">
              <w:rPr>
                <w:spacing w:val="-2"/>
                <w:lang w:val="en-GB"/>
              </w:rPr>
              <w:t xml:space="preserve"> to the EU markets in the la</w:t>
            </w:r>
            <w:r>
              <w:rPr>
                <w:spacing w:val="-2"/>
                <w:lang w:val="en-GB"/>
              </w:rPr>
              <w:t>s</w:t>
            </w:r>
            <w:r w:rsidRPr="001E25A6">
              <w:rPr>
                <w:spacing w:val="-2"/>
                <w:lang w:val="en-GB"/>
              </w:rPr>
              <w:t xml:space="preserve">t year, similarly </w:t>
            </w:r>
            <w:proofErr w:type="spellStart"/>
            <w:r w:rsidRPr="001E25A6">
              <w:rPr>
                <w:spacing w:val="-2"/>
                <w:lang w:val="en-GB"/>
              </w:rPr>
              <w:t>to</w:t>
            </w:r>
            <w:proofErr w:type="spellEnd"/>
            <w:r w:rsidRPr="001E25A6">
              <w:rPr>
                <w:spacing w:val="-2"/>
                <w:lang w:val="en-GB"/>
              </w:rPr>
              <w:t xml:space="preserve"> years </w:t>
            </w:r>
            <w:r w:rsidRPr="001E25A6">
              <w:rPr>
                <w:lang w:val="en-GB"/>
              </w:rPr>
              <w:t>2013 and 2014. The e</w:t>
            </w:r>
            <w:r>
              <w:rPr>
                <w:lang w:val="en-GB"/>
              </w:rPr>
              <w:t>x</w:t>
            </w:r>
            <w:r w:rsidRPr="001E25A6">
              <w:rPr>
                <w:lang w:val="en-GB"/>
              </w:rPr>
              <w:t>port</w:t>
            </w:r>
            <w:r>
              <w:rPr>
                <w:lang w:val="en-GB"/>
              </w:rPr>
              <w:t>s</w:t>
            </w:r>
            <w:r w:rsidRPr="001E25A6">
              <w:rPr>
                <w:lang w:val="en-GB"/>
              </w:rPr>
              <w:t xml:space="preserve"> of goods into the</w:t>
            </w:r>
            <w:r>
              <w:rPr>
                <w:lang w:val="en-GB"/>
              </w:rPr>
              <w:t xml:space="preserve"> </w:t>
            </w:r>
            <w:r w:rsidRPr="001E25A6">
              <w:rPr>
                <w:lang w:val="en-GB"/>
              </w:rPr>
              <w:t>Union went up by 7.2%,</w:t>
            </w:r>
            <w:r>
              <w:rPr>
                <w:lang w:val="en-GB"/>
              </w:rPr>
              <w:t xml:space="preserve"> by 7.4</w:t>
            </w:r>
            <w:r w:rsidRPr="001E25A6">
              <w:rPr>
                <w:lang w:val="en-GB"/>
              </w:rPr>
              <w:t>% into Germany itself and even by 14.</w:t>
            </w:r>
            <w:r>
              <w:rPr>
                <w:lang w:val="en-GB"/>
              </w:rPr>
              <w:t>4</w:t>
            </w:r>
            <w:r w:rsidRPr="001E25A6">
              <w:rPr>
                <w:lang w:val="en-GB"/>
              </w:rPr>
              <w:t>% to Slovakia. Regarding the value of goods exports into the countries outside the EU, it fell (-0.</w:t>
            </w:r>
            <w:r>
              <w:rPr>
                <w:lang w:val="en-GB"/>
              </w:rPr>
              <w:t>4%)</w:t>
            </w:r>
            <w:r w:rsidRPr="001E25A6">
              <w:rPr>
                <w:lang w:val="en-GB"/>
              </w:rPr>
              <w:t xml:space="preserve"> for the first time since 2009. T</w:t>
            </w:r>
            <w:r>
              <w:rPr>
                <w:lang w:val="en-GB"/>
              </w:rPr>
              <w:t xml:space="preserve">his decrease was for once connected to the restriction of exports into the Russian Federation, for second to the economic difficulties of this country. The export of goods into Russia slumped by </w:t>
            </w:r>
            <w:r w:rsidRPr="001E25A6">
              <w:rPr>
                <w:spacing w:val="-2"/>
                <w:lang w:val="en-GB"/>
              </w:rPr>
              <w:t>32</w:t>
            </w:r>
            <w:r>
              <w:rPr>
                <w:spacing w:val="-2"/>
                <w:lang w:val="en-GB"/>
              </w:rPr>
              <w:t>.8</w:t>
            </w:r>
            <w:r w:rsidRPr="001E25A6">
              <w:rPr>
                <w:spacing w:val="-2"/>
                <w:lang w:val="en-GB"/>
              </w:rPr>
              <w:t>%</w:t>
            </w:r>
            <w:r>
              <w:rPr>
                <w:spacing w:val="-2"/>
                <w:lang w:val="en-GB"/>
              </w:rPr>
              <w:t xml:space="preserve"> </w:t>
            </w:r>
            <w:proofErr w:type="gramStart"/>
            <w:r>
              <w:rPr>
                <w:spacing w:val="-2"/>
                <w:lang w:val="en-GB"/>
              </w:rPr>
              <w:t>year-on-year</w:t>
            </w:r>
            <w:proofErr w:type="gramEnd"/>
            <w:r>
              <w:rPr>
                <w:spacing w:val="-2"/>
                <w:lang w:val="en-GB"/>
              </w:rPr>
              <w:t xml:space="preserve"> in the last year and it was already lower by </w:t>
            </w:r>
            <w:r w:rsidRPr="001E25A6">
              <w:rPr>
                <w:spacing w:val="-2"/>
                <w:lang w:val="en-GB"/>
              </w:rPr>
              <w:t>37</w:t>
            </w:r>
            <w:r>
              <w:rPr>
                <w:spacing w:val="-2"/>
                <w:lang w:val="en-GB"/>
              </w:rPr>
              <w:t>.</w:t>
            </w:r>
            <w:r>
              <w:rPr>
                <w:lang w:val="en-GB"/>
              </w:rPr>
              <w:t>3</w:t>
            </w:r>
            <w:r w:rsidRPr="001E25A6">
              <w:rPr>
                <w:lang w:val="en-GB"/>
              </w:rPr>
              <w:t>%</w:t>
            </w:r>
            <w:r>
              <w:rPr>
                <w:lang w:val="en-GB"/>
              </w:rPr>
              <w:t xml:space="preserve"> compared to year 2012</w:t>
            </w:r>
            <w:r w:rsidRPr="001E25A6">
              <w:rPr>
                <w:lang w:val="en-GB"/>
              </w:rPr>
              <w:t>.</w:t>
            </w:r>
          </w:p>
          <w:p w:rsidR="006E4832" w:rsidRPr="00FA0110" w:rsidRDefault="006E4832" w:rsidP="00FA0110">
            <w:pPr>
              <w:pStyle w:val="Textpoznpodarou"/>
              <w:jc w:val="both"/>
              <w:rPr>
                <w:spacing w:val="-2"/>
                <w:lang w:val="en-GB"/>
              </w:rPr>
            </w:pPr>
          </w:p>
        </w:tc>
      </w:tr>
      <w:tr w:rsidR="006E4832" w:rsidRPr="008F2F8F" w:rsidTr="00FA0110">
        <w:tc>
          <w:tcPr>
            <w:tcW w:w="1054" w:type="pct"/>
            <w:tcBorders>
              <w:top w:val="nil"/>
              <w:left w:val="nil"/>
              <w:bottom w:val="nil"/>
              <w:right w:val="nil"/>
            </w:tcBorders>
          </w:tcPr>
          <w:p w:rsidR="006E4832" w:rsidRPr="00A35140" w:rsidRDefault="006E4832" w:rsidP="00FA0110">
            <w:pPr>
              <w:spacing w:line="240" w:lineRule="auto"/>
              <w:rPr>
                <w:sz w:val="16"/>
                <w:szCs w:val="16"/>
                <w:lang w:val="en-GB"/>
              </w:rPr>
            </w:pPr>
            <w:r w:rsidRPr="00A35140">
              <w:rPr>
                <w:sz w:val="16"/>
                <w:szCs w:val="16"/>
                <w:lang w:val="en-GB"/>
              </w:rPr>
              <w:t xml:space="preserve">Rate of growth of exports into </w:t>
            </w:r>
            <w:r w:rsidRPr="00E07D1E">
              <w:rPr>
                <w:sz w:val="16"/>
                <w:szCs w:val="16"/>
                <w:lang w:val="en-GB"/>
              </w:rPr>
              <w:t>China higher than the dynamics of total exports in years 2009–</w:t>
            </w:r>
            <w:r>
              <w:rPr>
                <w:sz w:val="16"/>
                <w:szCs w:val="16"/>
                <w:lang w:val="en-GB"/>
              </w:rPr>
              <w:t>2013.</w:t>
            </w:r>
            <w:r w:rsidRPr="00E07D1E">
              <w:rPr>
                <w:sz w:val="16"/>
                <w:szCs w:val="16"/>
                <w:lang w:val="en-GB"/>
              </w:rPr>
              <w:t xml:space="preserve"> </w:t>
            </w:r>
            <w:r>
              <w:rPr>
                <w:sz w:val="16"/>
                <w:szCs w:val="16"/>
                <w:lang w:val="en-GB"/>
              </w:rPr>
              <w:t>In the last two years</w:t>
            </w:r>
            <w:r w:rsidRPr="00A35140">
              <w:rPr>
                <w:sz w:val="16"/>
                <w:szCs w:val="16"/>
                <w:lang w:val="en-GB"/>
              </w:rPr>
              <w:t xml:space="preserve"> </w:t>
            </w:r>
            <w:r w:rsidRPr="00E07D1E">
              <w:rPr>
                <w:sz w:val="16"/>
                <w:szCs w:val="16"/>
                <w:lang w:val="en-GB"/>
              </w:rPr>
              <w:t>it was however already below average</w:t>
            </w:r>
            <w:r w:rsidRPr="00A35140">
              <w:rPr>
                <w:sz w:val="16"/>
                <w:szCs w:val="16"/>
                <w:lang w:val="en-GB"/>
              </w:rPr>
              <w:t xml:space="preserve"> </w:t>
            </w:r>
          </w:p>
        </w:tc>
        <w:tc>
          <w:tcPr>
            <w:tcW w:w="143" w:type="pct"/>
            <w:tcBorders>
              <w:top w:val="nil"/>
              <w:left w:val="nil"/>
              <w:bottom w:val="nil"/>
              <w:right w:val="nil"/>
            </w:tcBorders>
          </w:tcPr>
          <w:p w:rsidR="006E4832" w:rsidRPr="00A35140" w:rsidRDefault="006E4832" w:rsidP="00FA0110">
            <w:pPr>
              <w:pStyle w:val="Textpoznpodarou"/>
              <w:jc w:val="both"/>
              <w:rPr>
                <w:lang w:val="en-GB"/>
              </w:rPr>
            </w:pPr>
          </w:p>
        </w:tc>
        <w:tc>
          <w:tcPr>
            <w:tcW w:w="3803" w:type="pct"/>
            <w:tcBorders>
              <w:top w:val="nil"/>
              <w:left w:val="nil"/>
              <w:bottom w:val="nil"/>
              <w:right w:val="nil"/>
            </w:tcBorders>
          </w:tcPr>
          <w:p w:rsidR="006E4832" w:rsidRPr="00A35140" w:rsidRDefault="006E4832" w:rsidP="00FA0110">
            <w:pPr>
              <w:pStyle w:val="Textpoznpodarou"/>
              <w:jc w:val="both"/>
              <w:rPr>
                <w:lang w:val="en-GB"/>
              </w:rPr>
            </w:pPr>
            <w:r w:rsidRPr="00A35140">
              <w:rPr>
                <w:lang w:val="en-GB"/>
              </w:rPr>
              <w:t>The exports of goods heading to China increased by 20.</w:t>
            </w:r>
            <w:r>
              <w:rPr>
                <w:lang w:val="en-GB"/>
              </w:rPr>
              <w:t>6</w:t>
            </w:r>
            <w:r w:rsidRPr="00A35140">
              <w:rPr>
                <w:lang w:val="en-GB"/>
              </w:rPr>
              <w:t>% despite the generally weak demand in 2009. It was developing favourabl</w:t>
            </w:r>
            <w:r>
              <w:rPr>
                <w:lang w:val="en-GB"/>
              </w:rPr>
              <w:t>y</w:t>
            </w:r>
            <w:r w:rsidRPr="00A35140">
              <w:rPr>
                <w:lang w:val="en-GB"/>
              </w:rPr>
              <w:t xml:space="preserve"> also in years 2010–2013, since it grew much faster than the total exports of goods from the CR. Nonetheless, the Czech exporters did not progress as</w:t>
            </w:r>
            <w:r>
              <w:rPr>
                <w:lang w:val="en-GB"/>
              </w:rPr>
              <w:t xml:space="preserve"> </w:t>
            </w:r>
            <w:r w:rsidRPr="00A35140">
              <w:rPr>
                <w:lang w:val="en-GB"/>
              </w:rPr>
              <w:t>much on the Chinese market in the last two years – the exports into China increased by 8.</w:t>
            </w:r>
            <w:r>
              <w:rPr>
                <w:lang w:val="en-GB"/>
              </w:rPr>
              <w:t>7</w:t>
            </w:r>
            <w:r w:rsidRPr="00A35140">
              <w:rPr>
                <w:lang w:val="en-GB"/>
              </w:rPr>
              <w:t>% in 2014 and by 4.</w:t>
            </w:r>
            <w:r>
              <w:rPr>
                <w:lang w:val="en-GB"/>
              </w:rPr>
              <w:t>4</w:t>
            </w:r>
            <w:r w:rsidRPr="00A35140">
              <w:rPr>
                <w:lang w:val="en-GB"/>
              </w:rPr>
              <w:t xml:space="preserve">% in 2015, less than was the corresponding additions to total exports of goods in both years. </w:t>
            </w:r>
          </w:p>
          <w:p w:rsidR="006E4832" w:rsidRPr="00FA0110" w:rsidRDefault="006E4832" w:rsidP="00FA0110">
            <w:pPr>
              <w:pStyle w:val="Textpoznpodarou"/>
              <w:jc w:val="both"/>
              <w:rPr>
                <w:lang w:val="en-GB"/>
              </w:rPr>
            </w:pPr>
          </w:p>
        </w:tc>
      </w:tr>
      <w:tr w:rsidR="006E4832" w:rsidRPr="008F2F8F" w:rsidTr="00FA0110">
        <w:tc>
          <w:tcPr>
            <w:tcW w:w="1054" w:type="pct"/>
            <w:tcBorders>
              <w:top w:val="nil"/>
              <w:left w:val="nil"/>
              <w:bottom w:val="nil"/>
              <w:right w:val="nil"/>
            </w:tcBorders>
          </w:tcPr>
          <w:p w:rsidR="006E4832" w:rsidRPr="00C07A1C" w:rsidRDefault="006E4832" w:rsidP="00FA0110">
            <w:pPr>
              <w:spacing w:line="240" w:lineRule="auto"/>
              <w:rPr>
                <w:sz w:val="16"/>
                <w:szCs w:val="16"/>
                <w:lang w:val="en-GB"/>
              </w:rPr>
            </w:pPr>
            <w:r w:rsidRPr="00C07A1C">
              <w:rPr>
                <w:sz w:val="16"/>
                <w:szCs w:val="16"/>
                <w:lang w:val="en-GB"/>
              </w:rPr>
              <w:t>Exports of motor vehicles rose by 12.</w:t>
            </w:r>
            <w:r>
              <w:rPr>
                <w:sz w:val="16"/>
                <w:szCs w:val="16"/>
                <w:lang w:val="en-GB"/>
              </w:rPr>
              <w:t>7</w:t>
            </w:r>
            <w:r w:rsidRPr="00C07A1C">
              <w:rPr>
                <w:sz w:val="16"/>
                <w:szCs w:val="16"/>
                <w:lang w:val="en-GB"/>
              </w:rPr>
              <w:t>%</w:t>
            </w:r>
            <w:r>
              <w:rPr>
                <w:sz w:val="16"/>
                <w:szCs w:val="16"/>
                <w:lang w:val="en-GB"/>
              </w:rPr>
              <w:t xml:space="preserve"> and by 38</w:t>
            </w:r>
            <w:r w:rsidRPr="00C07A1C">
              <w:rPr>
                <w:sz w:val="16"/>
                <w:szCs w:val="16"/>
                <w:lang w:val="en-GB"/>
              </w:rPr>
              <w:t>% in accumulation for years 2014 and 2015. It was nearly double compared to year 2007 (+87.</w:t>
            </w:r>
            <w:r>
              <w:rPr>
                <w:sz w:val="16"/>
                <w:szCs w:val="16"/>
                <w:lang w:val="en-GB"/>
              </w:rPr>
              <w:t>3</w:t>
            </w:r>
            <w:r w:rsidRPr="00C07A1C">
              <w:rPr>
                <w:sz w:val="16"/>
                <w:szCs w:val="16"/>
                <w:lang w:val="en-GB"/>
              </w:rPr>
              <w:t>%)</w:t>
            </w:r>
          </w:p>
        </w:tc>
        <w:tc>
          <w:tcPr>
            <w:tcW w:w="143" w:type="pct"/>
            <w:tcBorders>
              <w:top w:val="nil"/>
              <w:left w:val="nil"/>
              <w:bottom w:val="nil"/>
              <w:right w:val="nil"/>
            </w:tcBorders>
          </w:tcPr>
          <w:p w:rsidR="006E4832" w:rsidRPr="00C07A1C" w:rsidRDefault="006E4832" w:rsidP="00FA0110">
            <w:pPr>
              <w:pStyle w:val="Textpoznpodarou"/>
              <w:jc w:val="both"/>
              <w:rPr>
                <w:lang w:val="en-GB"/>
              </w:rPr>
            </w:pPr>
          </w:p>
        </w:tc>
        <w:tc>
          <w:tcPr>
            <w:tcW w:w="3803" w:type="pct"/>
            <w:tcBorders>
              <w:top w:val="nil"/>
              <w:left w:val="nil"/>
              <w:bottom w:val="nil"/>
              <w:right w:val="nil"/>
            </w:tcBorders>
          </w:tcPr>
          <w:p w:rsidR="006E4832" w:rsidRPr="00C07A1C" w:rsidRDefault="006E4832" w:rsidP="00FA0110">
            <w:pPr>
              <w:pStyle w:val="Textpoznpodarou"/>
              <w:jc w:val="both"/>
              <w:rPr>
                <w:lang w:val="en-GB"/>
              </w:rPr>
            </w:pPr>
            <w:r w:rsidRPr="00C07A1C">
              <w:rPr>
                <w:lang w:val="en-GB"/>
              </w:rPr>
              <w:t>The dynamic increase of the</w:t>
            </w:r>
            <w:r>
              <w:rPr>
                <w:lang w:val="en-GB"/>
              </w:rPr>
              <w:t xml:space="preserve"> exports of</w:t>
            </w:r>
            <w:r w:rsidRPr="00C07A1C">
              <w:rPr>
                <w:lang w:val="en-GB"/>
              </w:rPr>
              <w:t xml:space="preserve"> motor vehicles from year 2014 (+22.</w:t>
            </w:r>
            <w:r>
              <w:rPr>
                <w:lang w:val="en-GB"/>
              </w:rPr>
              <w:t>5</w:t>
            </w:r>
            <w:r w:rsidRPr="00C07A1C">
              <w:rPr>
                <w:lang w:val="en-GB"/>
              </w:rPr>
              <w:t>%) did no</w:t>
            </w:r>
            <w:r>
              <w:rPr>
                <w:lang w:val="en-GB"/>
              </w:rPr>
              <w:t>t</w:t>
            </w:r>
            <w:r w:rsidRPr="00C07A1C">
              <w:rPr>
                <w:lang w:val="en-GB"/>
              </w:rPr>
              <w:t xml:space="preserve"> repeat in the last year. Nevertheless, it remained strong (+12.</w:t>
            </w:r>
            <w:r>
              <w:rPr>
                <w:lang w:val="en-GB"/>
              </w:rPr>
              <w:t>7</w:t>
            </w:r>
            <w:r w:rsidRPr="00C07A1C">
              <w:rPr>
                <w:lang w:val="en-GB"/>
              </w:rPr>
              <w:t>%) and roughly double compared to the total increase o</w:t>
            </w:r>
            <w:r>
              <w:rPr>
                <w:lang w:val="en-GB"/>
              </w:rPr>
              <w:t>f</w:t>
            </w:r>
            <w:r w:rsidRPr="00C07A1C">
              <w:rPr>
                <w:lang w:val="en-GB"/>
              </w:rPr>
              <w:t xml:space="preserve"> the exports of goods. Year 2015 was also favourable for exporters of </w:t>
            </w:r>
            <w:r>
              <w:rPr>
                <w:lang w:val="en-GB"/>
              </w:rPr>
              <w:t>fabricated metal products</w:t>
            </w:r>
            <w:r w:rsidRPr="00C07A1C">
              <w:rPr>
                <w:lang w:val="en-GB"/>
              </w:rPr>
              <w:t xml:space="preserve"> </w:t>
            </w:r>
            <w:r>
              <w:rPr>
                <w:lang w:val="en-GB"/>
              </w:rPr>
              <w:t>(+9.4</w:t>
            </w:r>
            <w:r w:rsidRPr="00C07A1C">
              <w:rPr>
                <w:lang w:val="en-GB"/>
              </w:rPr>
              <w:t xml:space="preserve">%), electrical </w:t>
            </w:r>
            <w:r>
              <w:rPr>
                <w:lang w:val="en-GB"/>
              </w:rPr>
              <w:t>equipment</w:t>
            </w:r>
            <w:r w:rsidRPr="00C07A1C">
              <w:rPr>
                <w:lang w:val="en-GB"/>
              </w:rPr>
              <w:t xml:space="preserve"> (+6.</w:t>
            </w:r>
            <w:r>
              <w:rPr>
                <w:lang w:val="en-GB"/>
              </w:rPr>
              <w:t>9</w:t>
            </w:r>
            <w:r w:rsidRPr="00C07A1C">
              <w:rPr>
                <w:lang w:val="en-GB"/>
              </w:rPr>
              <w:t>%) and rubber and plastic products (+6.</w:t>
            </w:r>
            <w:r>
              <w:rPr>
                <w:lang w:val="en-GB"/>
              </w:rPr>
              <w:t>6</w:t>
            </w:r>
            <w:r w:rsidRPr="00C07A1C">
              <w:rPr>
                <w:lang w:val="en-GB"/>
              </w:rPr>
              <w:t xml:space="preserve">%). From the remaining divisions, whose value of exports exceeds the boundary of 100 </w:t>
            </w:r>
            <w:r>
              <w:rPr>
                <w:lang w:val="en-GB"/>
              </w:rPr>
              <w:t xml:space="preserve">CZK </w:t>
            </w:r>
            <w:proofErr w:type="spellStart"/>
            <w:r w:rsidRPr="00C07A1C">
              <w:rPr>
                <w:lang w:val="en-GB"/>
              </w:rPr>
              <w:t>bn</w:t>
            </w:r>
            <w:proofErr w:type="spellEnd"/>
            <w:r>
              <w:rPr>
                <w:lang w:val="en-GB"/>
              </w:rPr>
              <w:t xml:space="preserve"> </w:t>
            </w:r>
            <w:r w:rsidRPr="00C07A1C">
              <w:rPr>
                <w:lang w:val="en-GB"/>
              </w:rPr>
              <w:t>a year in the long-term, th</w:t>
            </w:r>
            <w:r>
              <w:rPr>
                <w:lang w:val="en-GB"/>
              </w:rPr>
              <w:t>e</w:t>
            </w:r>
            <w:r w:rsidRPr="00C07A1C">
              <w:rPr>
                <w:lang w:val="en-GB"/>
              </w:rPr>
              <w:t>re was only chemicals (-6.</w:t>
            </w:r>
            <w:r>
              <w:rPr>
                <w:lang w:val="en-GB"/>
              </w:rPr>
              <w:t>8</w:t>
            </w:r>
            <w:r w:rsidRPr="00C07A1C">
              <w:rPr>
                <w:lang w:val="en-GB"/>
              </w:rPr>
              <w:t>%) and basic metals (-5.</w:t>
            </w:r>
            <w:r>
              <w:rPr>
                <w:lang w:val="en-GB"/>
              </w:rPr>
              <w:t>5</w:t>
            </w:r>
            <w:r w:rsidRPr="00C07A1C">
              <w:rPr>
                <w:lang w:val="en-GB"/>
              </w:rPr>
              <w:t>%) exported less in the last year. A slump of the value of exports in case of chemicals occurred due to the effect of</w:t>
            </w:r>
            <w:r>
              <w:rPr>
                <w:lang w:val="en-GB"/>
              </w:rPr>
              <w:t xml:space="preserve"> </w:t>
            </w:r>
            <w:r w:rsidRPr="00C07A1C">
              <w:rPr>
                <w:lang w:val="en-GB"/>
              </w:rPr>
              <w:t xml:space="preserve">a forced </w:t>
            </w:r>
            <w:r>
              <w:rPr>
                <w:lang w:val="en-GB"/>
              </w:rPr>
              <w:t>shutdown</w:t>
            </w:r>
            <w:r w:rsidRPr="00C07A1C">
              <w:rPr>
                <w:lang w:val="en-GB"/>
              </w:rPr>
              <w:t xml:space="preserve"> of the part of the production capacities, lower prices of oil however also contributed. It</w:t>
            </w:r>
            <w:r>
              <w:rPr>
                <w:lang w:val="en-GB"/>
              </w:rPr>
              <w:t xml:space="preserve"> </w:t>
            </w:r>
            <w:r w:rsidRPr="00C07A1C">
              <w:rPr>
                <w:lang w:val="en-GB"/>
              </w:rPr>
              <w:t>is</w:t>
            </w:r>
            <w:r>
              <w:rPr>
                <w:lang w:val="en-GB"/>
              </w:rPr>
              <w:t xml:space="preserve"> nevertheless interesting, that</w:t>
            </w:r>
            <w:r w:rsidRPr="00C07A1C">
              <w:rPr>
                <w:lang w:val="en-GB"/>
              </w:rPr>
              <w:t xml:space="preserve"> the exports of the oil itself and natural gas doubled (+126.</w:t>
            </w:r>
            <w:r>
              <w:rPr>
                <w:lang w:val="en-GB"/>
              </w:rPr>
              <w:t>1</w:t>
            </w:r>
            <w:r w:rsidRPr="00C07A1C">
              <w:rPr>
                <w:lang w:val="en-GB"/>
              </w:rPr>
              <w:t>%).</w:t>
            </w:r>
          </w:p>
          <w:p w:rsidR="006E4832" w:rsidRPr="00FA0110" w:rsidRDefault="006E4832" w:rsidP="00FA0110">
            <w:pPr>
              <w:pStyle w:val="Textpoznpodarou"/>
              <w:jc w:val="both"/>
              <w:rPr>
                <w:lang w:val="en-GB"/>
              </w:rPr>
            </w:pPr>
          </w:p>
        </w:tc>
      </w:tr>
      <w:tr w:rsidR="006E4832" w:rsidRPr="008F2F8F" w:rsidTr="00FA0110">
        <w:tc>
          <w:tcPr>
            <w:tcW w:w="1054" w:type="pct"/>
            <w:tcBorders>
              <w:top w:val="nil"/>
              <w:left w:val="nil"/>
              <w:bottom w:val="nil"/>
              <w:right w:val="nil"/>
            </w:tcBorders>
          </w:tcPr>
          <w:p w:rsidR="006E4832" w:rsidRPr="00C07A1C" w:rsidRDefault="006E4832" w:rsidP="00FA0110">
            <w:pPr>
              <w:spacing w:line="240" w:lineRule="auto"/>
              <w:rPr>
                <w:sz w:val="16"/>
                <w:szCs w:val="16"/>
                <w:lang w:val="en-GB"/>
              </w:rPr>
            </w:pPr>
            <w:r w:rsidRPr="00C07A1C">
              <w:rPr>
                <w:sz w:val="16"/>
                <w:szCs w:val="16"/>
                <w:lang w:val="en-GB"/>
              </w:rPr>
              <w:t xml:space="preserve">Strong domestic demand was mirrored in the more notable increase of imports over exports </w:t>
            </w:r>
          </w:p>
        </w:tc>
        <w:tc>
          <w:tcPr>
            <w:tcW w:w="143" w:type="pct"/>
            <w:tcBorders>
              <w:top w:val="nil"/>
              <w:left w:val="nil"/>
              <w:bottom w:val="nil"/>
              <w:right w:val="nil"/>
            </w:tcBorders>
          </w:tcPr>
          <w:p w:rsidR="006E4832" w:rsidRPr="00C07A1C" w:rsidRDefault="006E4832" w:rsidP="00FA0110">
            <w:pPr>
              <w:pStyle w:val="Textpoznpodarou"/>
              <w:jc w:val="both"/>
              <w:rPr>
                <w:lang w:val="en-GB"/>
              </w:rPr>
            </w:pPr>
          </w:p>
        </w:tc>
        <w:tc>
          <w:tcPr>
            <w:tcW w:w="3803" w:type="pct"/>
            <w:tcBorders>
              <w:top w:val="nil"/>
              <w:left w:val="nil"/>
              <w:bottom w:val="nil"/>
              <w:right w:val="nil"/>
            </w:tcBorders>
          </w:tcPr>
          <w:p w:rsidR="006E4832" w:rsidRPr="00C07A1C" w:rsidRDefault="006E4832" w:rsidP="00FA0110">
            <w:pPr>
              <w:pStyle w:val="Textpoznpodarou"/>
              <w:jc w:val="both"/>
              <w:rPr>
                <w:lang w:val="en-GB"/>
              </w:rPr>
            </w:pPr>
            <w:r w:rsidRPr="00C07A1C">
              <w:rPr>
                <w:lang w:val="en-GB"/>
              </w:rPr>
              <w:t>Prices of oil and natural gas dropped on the world market in 2015 and were significantly reflected in th</w:t>
            </w:r>
            <w:r>
              <w:rPr>
                <w:lang w:val="en-GB"/>
              </w:rPr>
              <w:t>e</w:t>
            </w:r>
            <w:r w:rsidRPr="00C07A1C">
              <w:rPr>
                <w:lang w:val="en-GB"/>
              </w:rPr>
              <w:t xml:space="preserve"> value of imports of this good into the Czech </w:t>
            </w:r>
            <w:r>
              <w:rPr>
                <w:lang w:val="en-GB"/>
              </w:rPr>
              <w:t>R</w:t>
            </w:r>
            <w:r w:rsidRPr="00C07A1C">
              <w:rPr>
                <w:lang w:val="en-GB"/>
              </w:rPr>
              <w:t>epublic (-</w:t>
            </w:r>
            <w:r>
              <w:rPr>
                <w:lang w:val="en-GB"/>
              </w:rPr>
              <w:t>2</w:t>
            </w:r>
            <w:r w:rsidRPr="00C07A1C">
              <w:rPr>
                <w:lang w:val="en-GB"/>
              </w:rPr>
              <w:t>0.</w:t>
            </w:r>
            <w:r>
              <w:rPr>
                <w:lang w:val="en-GB"/>
              </w:rPr>
              <w:t>3</w:t>
            </w:r>
            <w:r w:rsidRPr="00C07A1C">
              <w:rPr>
                <w:lang w:val="en-GB"/>
              </w:rPr>
              <w:t xml:space="preserve">%). </w:t>
            </w:r>
            <w:r>
              <w:rPr>
                <w:lang w:val="en-GB"/>
              </w:rPr>
              <w:t xml:space="preserve">Even so, the total imports of goods into the CR increased by 6.5 %. </w:t>
            </w:r>
            <w:r w:rsidRPr="00C07A1C">
              <w:rPr>
                <w:lang w:val="en-GB"/>
              </w:rPr>
              <w:t xml:space="preserve">It rose faster than exports. </w:t>
            </w:r>
            <w:r>
              <w:rPr>
                <w:lang w:val="en-GB"/>
              </w:rPr>
              <w:t>At the same time, i</w:t>
            </w:r>
            <w:r w:rsidRPr="00C07A1C">
              <w:rPr>
                <w:lang w:val="en-GB"/>
              </w:rPr>
              <w:t>t</w:t>
            </w:r>
            <w:r>
              <w:rPr>
                <w:lang w:val="en-GB"/>
              </w:rPr>
              <w:t xml:space="preserve"> </w:t>
            </w:r>
            <w:r w:rsidRPr="00C07A1C">
              <w:rPr>
                <w:lang w:val="en-GB"/>
              </w:rPr>
              <w:t>is apparent from</w:t>
            </w:r>
            <w:r>
              <w:rPr>
                <w:lang w:val="en-GB"/>
              </w:rPr>
              <w:t xml:space="preserve"> </w:t>
            </w:r>
            <w:r w:rsidRPr="00C07A1C">
              <w:rPr>
                <w:lang w:val="en-GB"/>
              </w:rPr>
              <w:t xml:space="preserve">the quarterly data, that it was </w:t>
            </w:r>
            <w:r>
              <w:rPr>
                <w:lang w:val="en-GB"/>
              </w:rPr>
              <w:t>t</w:t>
            </w:r>
            <w:r w:rsidRPr="00C07A1C">
              <w:rPr>
                <w:lang w:val="en-GB"/>
              </w:rPr>
              <w:t>he consequen</w:t>
            </w:r>
            <w:r>
              <w:rPr>
                <w:lang w:val="en-GB"/>
              </w:rPr>
              <w:t>ce</w:t>
            </w:r>
            <w:r w:rsidRPr="00C07A1C">
              <w:rPr>
                <w:lang w:val="en-GB"/>
              </w:rPr>
              <w:t xml:space="preserve"> of the development in </w:t>
            </w:r>
            <w:r>
              <w:rPr>
                <w:lang w:val="en-GB"/>
              </w:rPr>
              <w:t>Q</w:t>
            </w:r>
            <w:r w:rsidRPr="00C07A1C">
              <w:rPr>
                <w:lang w:val="en-GB"/>
              </w:rPr>
              <w:t>1</w:t>
            </w:r>
            <w:r>
              <w:rPr>
                <w:lang w:val="en-GB"/>
              </w:rPr>
              <w:t xml:space="preserve"> to Q</w:t>
            </w:r>
            <w:r w:rsidRPr="00C07A1C">
              <w:rPr>
                <w:lang w:val="en-GB"/>
              </w:rPr>
              <w:t>3</w:t>
            </w:r>
            <w:r>
              <w:rPr>
                <w:lang w:val="en-GB"/>
              </w:rPr>
              <w:t xml:space="preserve">, since the rate of growth of imports already lagged behind in Q4. Strong domestic demand, given by the fast growing consumption and investment, pushed up especially the imports from Poland </w:t>
            </w:r>
            <w:r w:rsidRPr="00C07A1C">
              <w:rPr>
                <w:lang w:val="en-GB"/>
              </w:rPr>
              <w:t>(+11</w:t>
            </w:r>
            <w:r>
              <w:rPr>
                <w:lang w:val="en-GB"/>
              </w:rPr>
              <w:t>.4</w:t>
            </w:r>
            <w:r w:rsidRPr="00C07A1C">
              <w:rPr>
                <w:lang w:val="en-GB"/>
              </w:rPr>
              <w:t xml:space="preserve">%), </w:t>
            </w:r>
            <w:r>
              <w:rPr>
                <w:lang w:val="en-GB"/>
              </w:rPr>
              <w:t>China</w:t>
            </w:r>
            <w:r w:rsidRPr="00C07A1C">
              <w:rPr>
                <w:lang w:val="en-GB"/>
              </w:rPr>
              <w:t xml:space="preserve"> (+11</w:t>
            </w:r>
            <w:r>
              <w:rPr>
                <w:lang w:val="en-GB"/>
              </w:rPr>
              <w:t>.1</w:t>
            </w:r>
            <w:r w:rsidRPr="00C07A1C">
              <w:rPr>
                <w:lang w:val="en-GB"/>
              </w:rPr>
              <w:t>%) a</w:t>
            </w:r>
            <w:r>
              <w:rPr>
                <w:lang w:val="en-GB"/>
              </w:rPr>
              <w:t xml:space="preserve">nd Germany </w:t>
            </w:r>
            <w:r w:rsidRPr="00C07A1C">
              <w:rPr>
                <w:lang w:val="en-GB"/>
              </w:rPr>
              <w:t>(+8</w:t>
            </w:r>
            <w:r>
              <w:rPr>
                <w:lang w:val="en-GB"/>
              </w:rPr>
              <w:t>.3</w:t>
            </w:r>
            <w:r w:rsidRPr="00C07A1C">
              <w:rPr>
                <w:lang w:val="en-GB"/>
              </w:rPr>
              <w:t xml:space="preserve">%). </w:t>
            </w:r>
            <w:r>
              <w:rPr>
                <w:lang w:val="en-GB"/>
              </w:rPr>
              <w:t xml:space="preserve">The value of goods originating from countries outside the EU increased by </w:t>
            </w:r>
            <w:r w:rsidRPr="00C07A1C">
              <w:rPr>
                <w:lang w:val="en-GB"/>
              </w:rPr>
              <w:t>2</w:t>
            </w:r>
            <w:r>
              <w:rPr>
                <w:lang w:val="en-GB"/>
              </w:rPr>
              <w:t>.9</w:t>
            </w:r>
            <w:r w:rsidRPr="00C07A1C">
              <w:rPr>
                <w:lang w:val="en-GB"/>
              </w:rPr>
              <w:t xml:space="preserve">%, </w:t>
            </w:r>
            <w:r>
              <w:rPr>
                <w:lang w:val="en-GB"/>
              </w:rPr>
              <w:t xml:space="preserve">the imports from Russia fell by </w:t>
            </w:r>
            <w:r w:rsidRPr="00C07A1C">
              <w:rPr>
                <w:lang w:val="en-GB"/>
              </w:rPr>
              <w:t>18</w:t>
            </w:r>
            <w:r>
              <w:rPr>
                <w:lang w:val="en-GB"/>
              </w:rPr>
              <w:t>.4</w:t>
            </w:r>
            <w:r w:rsidRPr="00C07A1C">
              <w:rPr>
                <w:lang w:val="en-GB"/>
              </w:rPr>
              <w:t>%.</w:t>
            </w:r>
          </w:p>
          <w:p w:rsidR="006E4832" w:rsidRPr="00FA0110" w:rsidRDefault="006E4832" w:rsidP="00FA0110">
            <w:pPr>
              <w:pStyle w:val="Textpoznpodarou"/>
              <w:jc w:val="both"/>
              <w:rPr>
                <w:lang w:val="en-GB"/>
              </w:rPr>
            </w:pPr>
          </w:p>
        </w:tc>
      </w:tr>
      <w:tr w:rsidR="006E4832" w:rsidRPr="008F2F8F" w:rsidTr="00FA0110">
        <w:tc>
          <w:tcPr>
            <w:tcW w:w="1054" w:type="pct"/>
            <w:tcBorders>
              <w:top w:val="nil"/>
              <w:left w:val="nil"/>
              <w:bottom w:val="nil"/>
              <w:right w:val="nil"/>
            </w:tcBorders>
          </w:tcPr>
          <w:p w:rsidR="006E4832" w:rsidRPr="00B918A9" w:rsidRDefault="006E4832" w:rsidP="00FA0110">
            <w:pPr>
              <w:spacing w:line="240" w:lineRule="auto"/>
              <w:rPr>
                <w:sz w:val="16"/>
                <w:szCs w:val="16"/>
                <w:lang w:val="en-GB"/>
              </w:rPr>
            </w:pPr>
            <w:r w:rsidRPr="00B918A9">
              <w:rPr>
                <w:sz w:val="16"/>
                <w:szCs w:val="16"/>
                <w:lang w:val="en-GB"/>
              </w:rPr>
              <w:t xml:space="preserve">Interconnectedness of the Czech economy with the EU further increased in the last year </w:t>
            </w:r>
          </w:p>
        </w:tc>
        <w:tc>
          <w:tcPr>
            <w:tcW w:w="143" w:type="pct"/>
            <w:tcBorders>
              <w:top w:val="nil"/>
              <w:left w:val="nil"/>
              <w:bottom w:val="nil"/>
              <w:right w:val="nil"/>
            </w:tcBorders>
          </w:tcPr>
          <w:p w:rsidR="006E4832" w:rsidRPr="00B918A9" w:rsidRDefault="006E4832" w:rsidP="00FA0110">
            <w:pPr>
              <w:pStyle w:val="Textpoznpodarou"/>
              <w:jc w:val="both"/>
              <w:rPr>
                <w:lang w:val="en-GB"/>
              </w:rPr>
            </w:pPr>
          </w:p>
        </w:tc>
        <w:tc>
          <w:tcPr>
            <w:tcW w:w="3803" w:type="pct"/>
            <w:tcBorders>
              <w:top w:val="nil"/>
              <w:left w:val="nil"/>
              <w:bottom w:val="nil"/>
              <w:right w:val="nil"/>
            </w:tcBorders>
          </w:tcPr>
          <w:p w:rsidR="006E4832" w:rsidRPr="00B918A9" w:rsidRDefault="006E4832" w:rsidP="00FA0110">
            <w:pPr>
              <w:pStyle w:val="Textpoznpodarou"/>
              <w:jc w:val="both"/>
              <w:rPr>
                <w:lang w:val="en-GB"/>
              </w:rPr>
            </w:pPr>
            <w:r w:rsidRPr="00B918A9">
              <w:rPr>
                <w:lang w:val="en-GB"/>
              </w:rPr>
              <w:t>The orientation of the CR towards the EU</w:t>
            </w:r>
            <w:r>
              <w:rPr>
                <w:lang w:val="en-GB"/>
              </w:rPr>
              <w:t xml:space="preserve"> strengthened in 2015. While 83% </w:t>
            </w:r>
            <w:r w:rsidRPr="00B918A9">
              <w:rPr>
                <w:lang w:val="en-GB"/>
              </w:rPr>
              <w:t>of total exports of goods from the CR ende</w:t>
            </w:r>
            <w:r>
              <w:rPr>
                <w:lang w:val="en-GB"/>
              </w:rPr>
              <w:t>d in the Union countries in 2014</w:t>
            </w:r>
            <w:r w:rsidRPr="00B918A9">
              <w:rPr>
                <w:lang w:val="en-GB"/>
              </w:rPr>
              <w:t xml:space="preserve">, it was already </w:t>
            </w:r>
            <w:r>
              <w:rPr>
                <w:lang w:val="en-GB"/>
              </w:rPr>
              <w:t>84</w:t>
            </w:r>
            <w:r w:rsidRPr="00B918A9">
              <w:rPr>
                <w:lang w:val="en-GB"/>
              </w:rPr>
              <w:t xml:space="preserve">% last year. The weight of goods imported from the EU on total imported goods expanded from </w:t>
            </w:r>
            <w:r w:rsidRPr="00B918A9">
              <w:rPr>
                <w:spacing w:val="-2"/>
                <w:lang w:val="en-GB"/>
              </w:rPr>
              <w:t>68.</w:t>
            </w:r>
            <w:r>
              <w:rPr>
                <w:spacing w:val="-2"/>
                <w:lang w:val="en-GB"/>
              </w:rPr>
              <w:t>1%</w:t>
            </w:r>
            <w:r w:rsidRPr="00B918A9">
              <w:rPr>
                <w:spacing w:val="-2"/>
                <w:lang w:val="en-GB"/>
              </w:rPr>
              <w:t xml:space="preserve"> to 68.9</w:t>
            </w:r>
            <w:r w:rsidRPr="00B918A9">
              <w:rPr>
                <w:lang w:val="en-GB"/>
              </w:rPr>
              <w:t>%.</w:t>
            </w:r>
          </w:p>
          <w:p w:rsidR="006E4832" w:rsidRPr="00B918A9" w:rsidRDefault="006E4832" w:rsidP="00FA0110">
            <w:pPr>
              <w:pStyle w:val="Textpoznpodarou"/>
              <w:jc w:val="both"/>
              <w:rPr>
                <w:sz w:val="14"/>
                <w:szCs w:val="14"/>
                <w:lang w:val="en-GB"/>
              </w:rPr>
            </w:pPr>
          </w:p>
        </w:tc>
      </w:tr>
      <w:tr w:rsidR="006E4832" w:rsidRPr="008F2F8F" w:rsidTr="00FA0110">
        <w:tc>
          <w:tcPr>
            <w:tcW w:w="1054" w:type="pct"/>
            <w:tcBorders>
              <w:top w:val="nil"/>
              <w:left w:val="nil"/>
              <w:bottom w:val="nil"/>
              <w:right w:val="nil"/>
            </w:tcBorders>
          </w:tcPr>
          <w:p w:rsidR="006E4832" w:rsidRPr="002778B0" w:rsidRDefault="006E4832" w:rsidP="00FA0110">
            <w:pPr>
              <w:spacing w:line="240" w:lineRule="auto"/>
              <w:rPr>
                <w:sz w:val="16"/>
                <w:szCs w:val="16"/>
                <w:lang w:val="en-GB"/>
              </w:rPr>
            </w:pPr>
            <w:r w:rsidRPr="002778B0">
              <w:rPr>
                <w:sz w:val="16"/>
                <w:szCs w:val="16"/>
                <w:lang w:val="en-GB"/>
              </w:rPr>
              <w:lastRenderedPageBreak/>
              <w:t xml:space="preserve">Surplus of foreign trade with </w:t>
            </w:r>
            <w:r>
              <w:rPr>
                <w:sz w:val="16"/>
                <w:szCs w:val="16"/>
                <w:lang w:val="en-GB"/>
              </w:rPr>
              <w:t>goods in the national concept</w:t>
            </w:r>
            <w:r w:rsidRPr="002778B0">
              <w:rPr>
                <w:sz w:val="16"/>
                <w:szCs w:val="16"/>
                <w:lang w:val="en-GB"/>
              </w:rPr>
              <w:t xml:space="preserve"> lowered by 7.3 </w:t>
            </w:r>
            <w:r>
              <w:rPr>
                <w:sz w:val="16"/>
                <w:szCs w:val="16"/>
                <w:lang w:val="en-GB"/>
              </w:rPr>
              <w:t xml:space="preserve">CZK </w:t>
            </w:r>
            <w:proofErr w:type="spellStart"/>
            <w:r w:rsidRPr="002778B0">
              <w:rPr>
                <w:sz w:val="16"/>
                <w:szCs w:val="16"/>
                <w:lang w:val="en-GB"/>
              </w:rPr>
              <w:t>bn</w:t>
            </w:r>
            <w:proofErr w:type="spellEnd"/>
            <w:r>
              <w:rPr>
                <w:sz w:val="16"/>
                <w:szCs w:val="16"/>
                <w:lang w:val="en-GB"/>
              </w:rPr>
              <w:t xml:space="preserve"> </w:t>
            </w:r>
            <w:r w:rsidRPr="002778B0">
              <w:rPr>
                <w:sz w:val="16"/>
                <w:szCs w:val="16"/>
                <w:lang w:val="en-GB"/>
              </w:rPr>
              <w:t xml:space="preserve">in 2015. At the same time, the deficit of the trade with oil and natural gas shrank by 55.5 </w:t>
            </w:r>
            <w:proofErr w:type="spellStart"/>
            <w:r w:rsidRPr="002778B0">
              <w:rPr>
                <w:sz w:val="16"/>
                <w:szCs w:val="16"/>
                <w:lang w:val="en-GB"/>
              </w:rPr>
              <w:t>bn</w:t>
            </w:r>
            <w:proofErr w:type="spellEnd"/>
          </w:p>
        </w:tc>
        <w:tc>
          <w:tcPr>
            <w:tcW w:w="143" w:type="pct"/>
            <w:tcBorders>
              <w:top w:val="nil"/>
              <w:left w:val="nil"/>
              <w:bottom w:val="nil"/>
              <w:right w:val="nil"/>
            </w:tcBorders>
          </w:tcPr>
          <w:p w:rsidR="006E4832" w:rsidRPr="002778B0" w:rsidRDefault="006E4832" w:rsidP="00FA0110">
            <w:pPr>
              <w:pStyle w:val="Textpoznpodarou"/>
              <w:jc w:val="both"/>
              <w:rPr>
                <w:lang w:val="en-GB"/>
              </w:rPr>
            </w:pPr>
          </w:p>
        </w:tc>
        <w:tc>
          <w:tcPr>
            <w:tcW w:w="3803" w:type="pct"/>
            <w:tcBorders>
              <w:top w:val="nil"/>
              <w:left w:val="nil"/>
              <w:bottom w:val="nil"/>
              <w:right w:val="nil"/>
            </w:tcBorders>
          </w:tcPr>
          <w:p w:rsidR="006E4832" w:rsidRPr="002778B0" w:rsidRDefault="006E4832" w:rsidP="00FA0110">
            <w:pPr>
              <w:pStyle w:val="Textpoznpodarou"/>
              <w:jc w:val="both"/>
              <w:rPr>
                <w:lang w:val="en-GB"/>
              </w:rPr>
            </w:pPr>
            <w:r w:rsidRPr="002778B0">
              <w:rPr>
                <w:lang w:val="en-GB"/>
              </w:rPr>
              <w:t xml:space="preserve">The surplus of the foreign trade with </w:t>
            </w:r>
            <w:r>
              <w:rPr>
                <w:lang w:val="en-GB"/>
              </w:rPr>
              <w:t>goods in the national concept</w:t>
            </w:r>
            <w:r w:rsidRPr="002778B0">
              <w:rPr>
                <w:lang w:val="en-GB"/>
              </w:rPr>
              <w:t>, i.e.</w:t>
            </w:r>
            <w:r>
              <w:rPr>
                <w:lang w:val="en-GB"/>
              </w:rPr>
              <w:t xml:space="preserve"> </w:t>
            </w:r>
            <w:r w:rsidRPr="002778B0">
              <w:rPr>
                <w:lang w:val="en-GB"/>
              </w:rPr>
              <w:t xml:space="preserve">the difference between the exports in the FOB prices and imports in the CIF prices, arrived at 138.7 </w:t>
            </w:r>
            <w:r>
              <w:rPr>
                <w:lang w:val="en-GB"/>
              </w:rPr>
              <w:t xml:space="preserve">CZK </w:t>
            </w:r>
            <w:proofErr w:type="spellStart"/>
            <w:r w:rsidRPr="002778B0">
              <w:rPr>
                <w:lang w:val="en-GB"/>
              </w:rPr>
              <w:t>bn</w:t>
            </w:r>
            <w:proofErr w:type="spellEnd"/>
            <w:r>
              <w:rPr>
                <w:lang w:val="en-GB"/>
              </w:rPr>
              <w:t xml:space="preserve"> </w:t>
            </w:r>
            <w:r w:rsidRPr="002778B0">
              <w:rPr>
                <w:lang w:val="en-GB"/>
              </w:rPr>
              <w:t xml:space="preserve">in the last year. Excess of exports over imports shrank by 7.3 </w:t>
            </w:r>
            <w:r>
              <w:rPr>
                <w:lang w:val="en-GB"/>
              </w:rPr>
              <w:t xml:space="preserve">CZK </w:t>
            </w:r>
            <w:proofErr w:type="spellStart"/>
            <w:r w:rsidRPr="002778B0">
              <w:rPr>
                <w:lang w:val="en-GB"/>
              </w:rPr>
              <w:t>bn</w:t>
            </w:r>
            <w:proofErr w:type="spellEnd"/>
            <w:r>
              <w:rPr>
                <w:lang w:val="en-GB"/>
              </w:rPr>
              <w:t xml:space="preserve"> </w:t>
            </w:r>
            <w:r w:rsidRPr="002778B0">
              <w:rPr>
                <w:lang w:val="en-GB"/>
              </w:rPr>
              <w:t>and the trend of</w:t>
            </w:r>
            <w:r>
              <w:rPr>
                <w:lang w:val="en-GB"/>
              </w:rPr>
              <w:t xml:space="preserve"> a continual growth of surplus</w:t>
            </w:r>
            <w:r w:rsidRPr="002778B0">
              <w:rPr>
                <w:lang w:val="en-GB"/>
              </w:rPr>
              <w:t xml:space="preserve"> from 2011–2014 halted. The surplus of the trade with the Union expanded</w:t>
            </w:r>
            <w:r>
              <w:rPr>
                <w:lang w:val="en-GB"/>
              </w:rPr>
              <w:t xml:space="preserve"> to</w:t>
            </w:r>
            <w:r w:rsidRPr="002778B0">
              <w:rPr>
                <w:lang w:val="en-GB"/>
              </w:rPr>
              <w:t xml:space="preserve"> 597.1 </w:t>
            </w:r>
            <w:r>
              <w:rPr>
                <w:lang w:val="en-GB"/>
              </w:rPr>
              <w:t xml:space="preserve">CZK </w:t>
            </w:r>
            <w:proofErr w:type="spellStart"/>
            <w:r w:rsidRPr="002778B0">
              <w:rPr>
                <w:lang w:val="en-GB"/>
              </w:rPr>
              <w:t>bn</w:t>
            </w:r>
            <w:proofErr w:type="spellEnd"/>
            <w:r>
              <w:rPr>
                <w:lang w:val="en-GB"/>
              </w:rPr>
              <w:t xml:space="preserve"> </w:t>
            </w:r>
            <w:r w:rsidRPr="002778B0">
              <w:rPr>
                <w:lang w:val="en-GB"/>
              </w:rPr>
              <w:t xml:space="preserve">(by 28.6 </w:t>
            </w:r>
            <w:proofErr w:type="spellStart"/>
            <w:r w:rsidRPr="002778B0">
              <w:rPr>
                <w:lang w:val="en-GB"/>
              </w:rPr>
              <w:t>bn</w:t>
            </w:r>
            <w:proofErr w:type="spellEnd"/>
            <w:r w:rsidRPr="002778B0">
              <w:rPr>
                <w:lang w:val="en-GB"/>
              </w:rPr>
              <w:t>), the deficit wit</w:t>
            </w:r>
            <w:r>
              <w:rPr>
                <w:lang w:val="en-GB"/>
              </w:rPr>
              <w:t>h</w:t>
            </w:r>
            <w:r w:rsidRPr="002778B0">
              <w:rPr>
                <w:lang w:val="en-GB"/>
              </w:rPr>
              <w:t xml:space="preserve"> countries outside th</w:t>
            </w:r>
            <w:r>
              <w:rPr>
                <w:lang w:val="en-GB"/>
              </w:rPr>
              <w:t>e</w:t>
            </w:r>
            <w:r w:rsidRPr="002778B0">
              <w:rPr>
                <w:lang w:val="en-GB"/>
              </w:rPr>
              <w:t xml:space="preserve"> EU increased to 437.7 </w:t>
            </w:r>
            <w:proofErr w:type="spellStart"/>
            <w:r w:rsidRPr="002778B0">
              <w:rPr>
                <w:lang w:val="en-GB"/>
              </w:rPr>
              <w:t>bn</w:t>
            </w:r>
            <w:proofErr w:type="spellEnd"/>
            <w:r w:rsidRPr="002778B0">
              <w:rPr>
                <w:lang w:val="en-GB"/>
              </w:rPr>
              <w:t xml:space="preserve"> (by 29.3 </w:t>
            </w:r>
            <w:proofErr w:type="spellStart"/>
            <w:r w:rsidRPr="002778B0">
              <w:rPr>
                <w:lang w:val="en-GB"/>
              </w:rPr>
              <w:t>bn</w:t>
            </w:r>
            <w:proofErr w:type="spellEnd"/>
            <w:r w:rsidRPr="002778B0">
              <w:rPr>
                <w:lang w:val="en-GB"/>
              </w:rPr>
              <w:t>).</w:t>
            </w:r>
            <w:r w:rsidRPr="002778B0">
              <w:rPr>
                <w:rStyle w:val="Znakapoznpodarou"/>
                <w:lang w:val="en-GB"/>
              </w:rPr>
              <w:footnoteReference w:id="16"/>
            </w:r>
            <w:r w:rsidRPr="002778B0">
              <w:rPr>
                <w:lang w:val="en-GB"/>
              </w:rPr>
              <w:t xml:space="preserve"> Oil and natural gas (deficit narrowed by 55.5 </w:t>
            </w:r>
            <w:proofErr w:type="spellStart"/>
            <w:r w:rsidRPr="002778B0">
              <w:rPr>
                <w:lang w:val="en-GB"/>
              </w:rPr>
              <w:t>bn</w:t>
            </w:r>
            <w:proofErr w:type="spellEnd"/>
            <w:r w:rsidRPr="002778B0">
              <w:rPr>
                <w:lang w:val="en-GB"/>
              </w:rPr>
              <w:t xml:space="preserve">), motor vehicles (growth of surplus by 27.9 </w:t>
            </w:r>
            <w:proofErr w:type="spellStart"/>
            <w:r w:rsidRPr="002778B0">
              <w:rPr>
                <w:lang w:val="en-GB"/>
              </w:rPr>
              <w:t>bn</w:t>
            </w:r>
            <w:proofErr w:type="spellEnd"/>
            <w:r w:rsidRPr="002778B0">
              <w:rPr>
                <w:lang w:val="en-GB"/>
              </w:rPr>
              <w:t xml:space="preserve">) and other transport equipment (growth of surplus by 10.8 </w:t>
            </w:r>
            <w:proofErr w:type="spellStart"/>
            <w:r w:rsidRPr="002778B0">
              <w:rPr>
                <w:lang w:val="en-GB"/>
              </w:rPr>
              <w:t>bn</w:t>
            </w:r>
            <w:proofErr w:type="spellEnd"/>
            <w:r w:rsidRPr="002778B0">
              <w:rPr>
                <w:lang w:val="en-GB"/>
              </w:rPr>
              <w:t xml:space="preserve">) experienced the most significant improvement of the balance. Mainly the trade with the tobacco products recorded a worse result than in 2014, moving from the surplus into the deficit. The deficit worsened by 26.8 </w:t>
            </w:r>
            <w:proofErr w:type="spellStart"/>
            <w:r w:rsidRPr="002778B0">
              <w:rPr>
                <w:lang w:val="en-GB"/>
              </w:rPr>
              <w:t>bn</w:t>
            </w:r>
            <w:proofErr w:type="spellEnd"/>
            <w:r w:rsidRPr="002778B0">
              <w:rPr>
                <w:lang w:val="en-GB"/>
              </w:rPr>
              <w:t xml:space="preserve"> and 15 </w:t>
            </w:r>
            <w:proofErr w:type="spellStart"/>
            <w:r w:rsidRPr="002778B0">
              <w:rPr>
                <w:lang w:val="en-GB"/>
              </w:rPr>
              <w:t>bn</w:t>
            </w:r>
            <w:proofErr w:type="spellEnd"/>
            <w:r w:rsidRPr="002778B0">
              <w:rPr>
                <w:lang w:val="en-GB"/>
              </w:rPr>
              <w:t xml:space="preserve"> in case of chemicals and basic metals, surplus in machiner</w:t>
            </w:r>
            <w:r>
              <w:rPr>
                <w:lang w:val="en-GB"/>
              </w:rPr>
              <w:t>y</w:t>
            </w:r>
            <w:r w:rsidRPr="002778B0">
              <w:rPr>
                <w:lang w:val="en-GB"/>
              </w:rPr>
              <w:t xml:space="preserve"> and </w:t>
            </w:r>
            <w:r>
              <w:rPr>
                <w:lang w:val="en-GB"/>
              </w:rPr>
              <w:t>equipment</w:t>
            </w:r>
            <w:r w:rsidRPr="002778B0">
              <w:rPr>
                <w:lang w:val="en-GB"/>
              </w:rPr>
              <w:t xml:space="preserve"> fell by 10.1 bn.</w:t>
            </w:r>
          </w:p>
        </w:tc>
      </w:tr>
    </w:tbl>
    <w:p w:rsidR="00977343" w:rsidRPr="00AA0F37" w:rsidRDefault="00977343" w:rsidP="007B6A6B">
      <w:pPr>
        <w:rPr>
          <w:sz w:val="16"/>
          <w:szCs w:val="16"/>
          <w:lang w:val="en-GB"/>
        </w:rPr>
      </w:pPr>
    </w:p>
    <w:tbl>
      <w:tblPr>
        <w:tblW w:w="5000" w:type="pct"/>
        <w:tblLook w:val="04A0"/>
      </w:tblPr>
      <w:tblGrid>
        <w:gridCol w:w="1123"/>
        <w:gridCol w:w="3802"/>
        <w:gridCol w:w="717"/>
        <w:gridCol w:w="1119"/>
        <w:gridCol w:w="3093"/>
      </w:tblGrid>
      <w:tr w:rsidR="006E4832" w:rsidRPr="00083224" w:rsidTr="006E4832">
        <w:tc>
          <w:tcPr>
            <w:tcW w:w="569" w:type="pct"/>
          </w:tcPr>
          <w:p w:rsidR="006E4832" w:rsidRPr="00AD7D49" w:rsidRDefault="006E4832" w:rsidP="00FA0110">
            <w:pPr>
              <w:pStyle w:val="Textpoznpodarou"/>
            </w:pPr>
            <w:r>
              <w:t xml:space="preserve">Chart </w:t>
            </w:r>
            <w:r w:rsidRPr="00AD7D49">
              <w:t>9</w:t>
            </w:r>
          </w:p>
        </w:tc>
        <w:tc>
          <w:tcPr>
            <w:tcW w:w="1930" w:type="pct"/>
          </w:tcPr>
          <w:p w:rsidR="006E4832" w:rsidRPr="00C83C08" w:rsidRDefault="006E4832" w:rsidP="00FA0110">
            <w:pPr>
              <w:pStyle w:val="Textpoznpodarou"/>
              <w:rPr>
                <w:lang w:val="en-GB"/>
              </w:rPr>
            </w:pPr>
            <w:r w:rsidRPr="00C83C08">
              <w:rPr>
                <w:b/>
                <w:lang w:val="en-GB"/>
              </w:rPr>
              <w:t>Current account of balance</w:t>
            </w:r>
            <w:r>
              <w:rPr>
                <w:b/>
                <w:lang w:val="en-GB"/>
              </w:rPr>
              <w:t xml:space="preserve"> of payments</w:t>
            </w:r>
            <w:r w:rsidRPr="00C83C08">
              <w:rPr>
                <w:b/>
                <w:lang w:val="en-GB"/>
              </w:rPr>
              <w:t xml:space="preserve"> </w:t>
            </w:r>
            <w:r w:rsidRPr="00C83C08">
              <w:rPr>
                <w:lang w:val="en-GB"/>
              </w:rPr>
              <w:t xml:space="preserve">(in </w:t>
            </w:r>
            <w:r>
              <w:rPr>
                <w:lang w:val="en-GB"/>
              </w:rPr>
              <w:t xml:space="preserve">CZK </w:t>
            </w:r>
            <w:proofErr w:type="spellStart"/>
            <w:r w:rsidRPr="00C83C08">
              <w:rPr>
                <w:lang w:val="en-GB"/>
              </w:rPr>
              <w:t>bn</w:t>
            </w:r>
            <w:proofErr w:type="spellEnd"/>
            <w:r w:rsidRPr="00C83C08">
              <w:rPr>
                <w:lang w:val="en-GB"/>
              </w:rPr>
              <w:t>)</w:t>
            </w:r>
          </w:p>
        </w:tc>
        <w:tc>
          <w:tcPr>
            <w:tcW w:w="363" w:type="pct"/>
          </w:tcPr>
          <w:p w:rsidR="006E4832" w:rsidRPr="00C83C08" w:rsidRDefault="006E4832" w:rsidP="00FA0110">
            <w:pPr>
              <w:pStyle w:val="Textpoznpodarou"/>
              <w:rPr>
                <w:lang w:val="en-GB"/>
              </w:rPr>
            </w:pPr>
            <w:r w:rsidRPr="00C83C08">
              <w:rPr>
                <w:lang w:val="en-GB"/>
              </w:rPr>
              <w:t>Chart 10</w:t>
            </w:r>
          </w:p>
        </w:tc>
        <w:tc>
          <w:tcPr>
            <w:tcW w:w="2138" w:type="pct"/>
            <w:gridSpan w:val="2"/>
          </w:tcPr>
          <w:p w:rsidR="006E4832" w:rsidRPr="00C83C08" w:rsidRDefault="006E4832" w:rsidP="00FA0110">
            <w:pPr>
              <w:pStyle w:val="Textpoznpodarou"/>
              <w:rPr>
                <w:b/>
                <w:lang w:val="en-GB"/>
              </w:rPr>
            </w:pPr>
            <w:r w:rsidRPr="00C83C08">
              <w:rPr>
                <w:b/>
                <w:lang w:val="en-GB"/>
              </w:rPr>
              <w:t>Balance of foreign trade w</w:t>
            </w:r>
            <w:r>
              <w:rPr>
                <w:b/>
                <w:lang w:val="en-GB"/>
              </w:rPr>
              <w:t>ith goods in national concept</w:t>
            </w:r>
            <w:r w:rsidRPr="00C83C08">
              <w:rPr>
                <w:b/>
                <w:lang w:val="en-GB"/>
              </w:rPr>
              <w:t xml:space="preserve"> in 2015 </w:t>
            </w:r>
            <w:r w:rsidRPr="00C83C08">
              <w:rPr>
                <w:lang w:val="en-GB"/>
              </w:rPr>
              <w:t xml:space="preserve">(y–y in </w:t>
            </w:r>
            <w:r>
              <w:rPr>
                <w:lang w:val="en-GB"/>
              </w:rPr>
              <w:t xml:space="preserve">CZK </w:t>
            </w:r>
            <w:proofErr w:type="spellStart"/>
            <w:r w:rsidRPr="00C83C08">
              <w:rPr>
                <w:lang w:val="en-GB"/>
              </w:rPr>
              <w:t>bn</w:t>
            </w:r>
            <w:proofErr w:type="spellEnd"/>
            <w:r w:rsidRPr="00C83C08">
              <w:rPr>
                <w:lang w:val="en-GB"/>
              </w:rPr>
              <w:t>, in FOB/CIF prices, nominal</w:t>
            </w:r>
            <w:r>
              <w:rPr>
                <w:lang w:val="en-GB"/>
              </w:rPr>
              <w:t>ly</w:t>
            </w:r>
            <w:r w:rsidRPr="00C83C08">
              <w:rPr>
                <w:lang w:val="en-GB"/>
              </w:rPr>
              <w:t>)</w:t>
            </w:r>
          </w:p>
        </w:tc>
      </w:tr>
      <w:tr w:rsidR="006E4832" w:rsidRPr="00083224" w:rsidTr="006E4832">
        <w:tc>
          <w:tcPr>
            <w:tcW w:w="2499" w:type="pct"/>
            <w:gridSpan w:val="2"/>
          </w:tcPr>
          <w:p w:rsidR="006E4832" w:rsidRPr="00083224" w:rsidRDefault="006E4832" w:rsidP="00FA0110">
            <w:pPr>
              <w:pStyle w:val="Textpoznpodarou"/>
              <w:jc w:val="both"/>
            </w:pPr>
            <w:r w:rsidRPr="00ED53CD">
              <w:rPr>
                <w:noProof/>
              </w:rPr>
              <w:drawing>
                <wp:inline distT="0" distB="0" distL="0" distR="0">
                  <wp:extent cx="3005455" cy="2371725"/>
                  <wp:effectExtent l="19050" t="0" r="4445" b="0"/>
                  <wp:docPr id="3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3005455" cy="2371725"/>
                          </a:xfrm>
                          <a:prstGeom prst="rect">
                            <a:avLst/>
                          </a:prstGeom>
                          <a:noFill/>
                        </pic:spPr>
                      </pic:pic>
                    </a:graphicData>
                  </a:graphic>
                </wp:inline>
              </w:drawing>
            </w:r>
          </w:p>
        </w:tc>
        <w:tc>
          <w:tcPr>
            <w:tcW w:w="2501" w:type="pct"/>
            <w:gridSpan w:val="3"/>
          </w:tcPr>
          <w:p w:rsidR="006E4832" w:rsidRPr="00C83C08" w:rsidRDefault="006E4832" w:rsidP="00FA0110">
            <w:pPr>
              <w:pStyle w:val="Textpoznpodarou"/>
              <w:jc w:val="both"/>
              <w:rPr>
                <w:lang w:val="en-GB"/>
              </w:rPr>
            </w:pPr>
            <w:r w:rsidRPr="00527241">
              <w:rPr>
                <w:noProof/>
              </w:rPr>
              <w:drawing>
                <wp:inline distT="0" distB="0" distL="0" distR="0">
                  <wp:extent cx="3005455" cy="2365375"/>
                  <wp:effectExtent l="19050" t="0" r="4445" b="0"/>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3005455" cy="2365375"/>
                          </a:xfrm>
                          <a:prstGeom prst="rect">
                            <a:avLst/>
                          </a:prstGeom>
                          <a:noFill/>
                        </pic:spPr>
                      </pic:pic>
                    </a:graphicData>
                  </a:graphic>
                </wp:inline>
              </w:drawing>
            </w:r>
          </w:p>
        </w:tc>
      </w:tr>
      <w:tr w:rsidR="006E4832" w:rsidRPr="00083224" w:rsidTr="006E4832">
        <w:tc>
          <w:tcPr>
            <w:tcW w:w="3429" w:type="pct"/>
            <w:gridSpan w:val="4"/>
          </w:tcPr>
          <w:p w:rsidR="006E4832" w:rsidRPr="00083224" w:rsidRDefault="006E4832" w:rsidP="00FA0110">
            <w:pPr>
              <w:pStyle w:val="Textpoznpodarou"/>
              <w:rPr>
                <w:noProof/>
                <w:sz w:val="18"/>
                <w:szCs w:val="18"/>
              </w:rPr>
            </w:pPr>
          </w:p>
        </w:tc>
        <w:tc>
          <w:tcPr>
            <w:tcW w:w="1571" w:type="pct"/>
          </w:tcPr>
          <w:p w:rsidR="006E4832" w:rsidRPr="00083224" w:rsidRDefault="006E4832" w:rsidP="00FA0110">
            <w:pPr>
              <w:pStyle w:val="Textpoznpodarou"/>
              <w:jc w:val="right"/>
              <w:rPr>
                <w:noProof/>
              </w:rPr>
            </w:pPr>
            <w:proofErr w:type="spellStart"/>
            <w:r>
              <w:rPr>
                <w:sz w:val="18"/>
                <w:szCs w:val="18"/>
              </w:rPr>
              <w:t>Source</w:t>
            </w:r>
            <w:proofErr w:type="spellEnd"/>
            <w:r w:rsidRPr="00083224">
              <w:rPr>
                <w:sz w:val="18"/>
                <w:szCs w:val="18"/>
              </w:rPr>
              <w:t xml:space="preserve">: </w:t>
            </w:r>
            <w:r>
              <w:rPr>
                <w:sz w:val="18"/>
                <w:szCs w:val="18"/>
              </w:rPr>
              <w:t>CZSO</w:t>
            </w:r>
            <w:r w:rsidRPr="00083224">
              <w:rPr>
                <w:sz w:val="18"/>
                <w:szCs w:val="18"/>
              </w:rPr>
              <w:t xml:space="preserve">, </w:t>
            </w:r>
            <w:r>
              <w:rPr>
                <w:sz w:val="18"/>
                <w:szCs w:val="18"/>
              </w:rPr>
              <w:t>C</w:t>
            </w:r>
            <w:r w:rsidRPr="00083224">
              <w:rPr>
                <w:sz w:val="18"/>
                <w:szCs w:val="18"/>
              </w:rPr>
              <w:t>NB</w:t>
            </w:r>
          </w:p>
        </w:tc>
      </w:tr>
    </w:tbl>
    <w:p w:rsidR="00977343" w:rsidRPr="00AA0F37" w:rsidRDefault="00977343" w:rsidP="007B6A6B">
      <w:pPr>
        <w:rPr>
          <w:sz w:val="16"/>
          <w:szCs w:val="16"/>
          <w:lang w:val="en-GB"/>
        </w:rPr>
      </w:pPr>
    </w:p>
    <w:p w:rsidR="00977343" w:rsidRPr="00AA0F37" w:rsidRDefault="00977343" w:rsidP="007B6A6B">
      <w:pPr>
        <w:rPr>
          <w:sz w:val="14"/>
          <w:szCs w:val="14"/>
          <w:lang w:val="en-GB"/>
        </w:rPr>
      </w:pPr>
    </w:p>
    <w:p w:rsidR="007D4281" w:rsidRPr="007D7CAD" w:rsidRDefault="00451DCC" w:rsidP="006D142E">
      <w:pPr>
        <w:pStyle w:val="Nadpis1"/>
        <w:numPr>
          <w:ilvl w:val="0"/>
          <w:numId w:val="3"/>
        </w:numPr>
        <w:jc w:val="both"/>
        <w:rPr>
          <w:lang w:val="en-GB"/>
        </w:rPr>
      </w:pPr>
      <w:bookmarkStart w:id="6" w:name="_Toc449604560"/>
      <w:r w:rsidRPr="007D7CAD">
        <w:rPr>
          <w:lang w:val="en-GB"/>
        </w:rPr>
        <w:t>Prices</w:t>
      </w:r>
      <w:bookmarkEnd w:id="6"/>
    </w:p>
    <w:tbl>
      <w:tblPr>
        <w:tblW w:w="5000" w:type="pct"/>
        <w:tblLayout w:type="fixed"/>
        <w:tblLook w:val="00A0"/>
      </w:tblPr>
      <w:tblGrid>
        <w:gridCol w:w="2077"/>
        <w:gridCol w:w="282"/>
        <w:gridCol w:w="7495"/>
      </w:tblGrid>
      <w:tr w:rsidR="006E4832" w:rsidRPr="007D44C3" w:rsidTr="00FA0110">
        <w:tc>
          <w:tcPr>
            <w:tcW w:w="1054" w:type="pct"/>
          </w:tcPr>
          <w:p w:rsidR="006E4832" w:rsidRPr="00353BEC" w:rsidRDefault="006E4832" w:rsidP="00FA0110">
            <w:pPr>
              <w:spacing w:line="240" w:lineRule="auto"/>
              <w:rPr>
                <w:sz w:val="16"/>
                <w:szCs w:val="16"/>
                <w:vertAlign w:val="superscript"/>
                <w:lang w:val="en-GB"/>
              </w:rPr>
            </w:pPr>
            <w:r w:rsidRPr="00353BEC">
              <w:rPr>
                <w:sz w:val="16"/>
                <w:szCs w:val="16"/>
                <w:lang w:val="en-GB"/>
              </w:rPr>
              <w:t>Total price level increased only by 0.</w:t>
            </w:r>
            <w:r>
              <w:rPr>
                <w:sz w:val="16"/>
                <w:szCs w:val="16"/>
                <w:lang w:val="en-GB"/>
              </w:rPr>
              <w:t>7</w:t>
            </w:r>
            <w:r w:rsidRPr="00353BEC">
              <w:rPr>
                <w:sz w:val="16"/>
                <w:szCs w:val="16"/>
                <w:lang w:val="en-GB"/>
              </w:rPr>
              <w:t xml:space="preserve">% in 2015. The dynamics of all demand components lowered </w:t>
            </w:r>
          </w:p>
        </w:tc>
        <w:tc>
          <w:tcPr>
            <w:tcW w:w="143" w:type="pct"/>
          </w:tcPr>
          <w:p w:rsidR="006E4832" w:rsidRPr="00353BEC" w:rsidRDefault="006E4832" w:rsidP="00FA0110">
            <w:pPr>
              <w:pStyle w:val="Textpoznpodarou"/>
              <w:jc w:val="both"/>
              <w:rPr>
                <w:lang w:val="en-GB"/>
              </w:rPr>
            </w:pPr>
          </w:p>
        </w:tc>
        <w:tc>
          <w:tcPr>
            <w:tcW w:w="3803" w:type="pct"/>
          </w:tcPr>
          <w:p w:rsidR="006E4832" w:rsidRPr="00353BEC" w:rsidRDefault="006E4832" w:rsidP="00FA0110">
            <w:pPr>
              <w:pStyle w:val="Textpoznpodarou"/>
              <w:jc w:val="both"/>
              <w:rPr>
                <w:lang w:val="en-GB"/>
              </w:rPr>
            </w:pPr>
            <w:r w:rsidRPr="00353BEC">
              <w:rPr>
                <w:lang w:val="en-GB"/>
              </w:rPr>
              <w:t>The total price level increased based on the implicit GDP deflator</w:t>
            </w:r>
            <w:r w:rsidRPr="00353BEC">
              <w:rPr>
                <w:rStyle w:val="Znakapoznpodarou"/>
                <w:lang w:val="en-GB"/>
              </w:rPr>
              <w:footnoteReference w:id="17"/>
            </w:r>
            <w:r w:rsidRPr="00353BEC">
              <w:rPr>
                <w:lang w:val="en-GB"/>
              </w:rPr>
              <w:t xml:space="preserve"> only by 0.7</w:t>
            </w:r>
            <w:r>
              <w:rPr>
                <w:lang w:val="en-GB"/>
              </w:rPr>
              <w:t>% in 2015</w:t>
            </w:r>
            <w:r w:rsidRPr="00353BEC">
              <w:rPr>
                <w:lang w:val="en-GB"/>
              </w:rPr>
              <w:t>. It slowed down considerabl</w:t>
            </w:r>
            <w:r>
              <w:rPr>
                <w:lang w:val="en-GB"/>
              </w:rPr>
              <w:t>y, since it rose by 2.5</w:t>
            </w:r>
            <w:r w:rsidRPr="00353BEC">
              <w:rPr>
                <w:lang w:val="en-GB"/>
              </w:rPr>
              <w:t>% in 2014. The dynamics of all components of the domestic demand lowered and the terms of trade were also lower. Consumption was from the view of households more expensive only by 0.</w:t>
            </w:r>
            <w:r>
              <w:rPr>
                <w:lang w:val="en-GB"/>
              </w:rPr>
              <w:t>1</w:t>
            </w:r>
            <w:r w:rsidRPr="00353BEC">
              <w:rPr>
                <w:lang w:val="en-GB"/>
              </w:rPr>
              <w:t>%, goods and services paid by government by 1.</w:t>
            </w:r>
            <w:r>
              <w:rPr>
                <w:lang w:val="en-GB"/>
              </w:rPr>
              <w:t>2</w:t>
            </w:r>
            <w:r w:rsidRPr="00353BEC">
              <w:rPr>
                <w:lang w:val="en-GB"/>
              </w:rPr>
              <w:t xml:space="preserve">%. Although the prices of these </w:t>
            </w:r>
            <w:r>
              <w:rPr>
                <w:lang w:val="en-GB"/>
              </w:rPr>
              <w:t>products</w:t>
            </w:r>
            <w:r w:rsidRPr="00353BEC">
              <w:rPr>
                <w:lang w:val="en-GB"/>
              </w:rPr>
              <w:t xml:space="preserve"> grew by 0.</w:t>
            </w:r>
            <w:r>
              <w:rPr>
                <w:lang w:val="en-GB"/>
              </w:rPr>
              <w:t>5</w:t>
            </w:r>
            <w:r w:rsidRPr="00353BEC">
              <w:rPr>
                <w:lang w:val="en-GB"/>
              </w:rPr>
              <w:t>% and 1.</w:t>
            </w:r>
            <w:r>
              <w:rPr>
                <w:lang w:val="en-GB"/>
              </w:rPr>
              <w:t>5</w:t>
            </w:r>
            <w:r w:rsidRPr="00353BEC">
              <w:rPr>
                <w:lang w:val="en-GB"/>
              </w:rPr>
              <w:t xml:space="preserve">% still in 2014. </w:t>
            </w:r>
            <w:r>
              <w:rPr>
                <w:lang w:val="en-GB"/>
              </w:rPr>
              <w:t>The addition to prices of investment</w:t>
            </w:r>
            <w:r w:rsidRPr="00353BEC">
              <w:rPr>
                <w:lang w:val="en-GB"/>
              </w:rPr>
              <w:t xml:space="preserve"> shrank by 1 p.p. to +0.</w:t>
            </w:r>
            <w:r>
              <w:rPr>
                <w:lang w:val="en-GB"/>
              </w:rPr>
              <w:t>9</w:t>
            </w:r>
            <w:r w:rsidRPr="00353BEC">
              <w:rPr>
                <w:lang w:val="en-GB"/>
              </w:rPr>
              <w:t xml:space="preserve">%. The terms of trade in foreign trade with goods and services remained positive, already third year in a </w:t>
            </w:r>
            <w:proofErr w:type="gramStart"/>
            <w:r w:rsidRPr="00353BEC">
              <w:rPr>
                <w:lang w:val="en-GB"/>
              </w:rPr>
              <w:t>row,</w:t>
            </w:r>
            <w:proofErr w:type="gramEnd"/>
            <w:r w:rsidRPr="00353BEC">
              <w:rPr>
                <w:lang w:val="en-GB"/>
              </w:rPr>
              <w:t xml:space="preserve"> however their value fell to 100.</w:t>
            </w:r>
            <w:r>
              <w:rPr>
                <w:lang w:val="en-GB"/>
              </w:rPr>
              <w:t>4</w:t>
            </w:r>
            <w:r w:rsidRPr="00353BEC">
              <w:rPr>
                <w:lang w:val="en-GB"/>
              </w:rPr>
              <w:t xml:space="preserve">%. They were positive in case of </w:t>
            </w:r>
            <w:proofErr w:type="gramStart"/>
            <w:r w:rsidRPr="00353BEC">
              <w:rPr>
                <w:lang w:val="en-GB"/>
              </w:rPr>
              <w:t>goods,</w:t>
            </w:r>
            <w:proofErr w:type="gramEnd"/>
            <w:r w:rsidRPr="00353BEC">
              <w:rPr>
                <w:lang w:val="en-GB"/>
              </w:rPr>
              <w:t xml:space="preserve"> in case of s</w:t>
            </w:r>
            <w:r>
              <w:rPr>
                <w:lang w:val="en-GB"/>
              </w:rPr>
              <w:t>e</w:t>
            </w:r>
            <w:r w:rsidRPr="00353BEC">
              <w:rPr>
                <w:lang w:val="en-GB"/>
              </w:rPr>
              <w:t xml:space="preserve">rvices they did not reach the value of </w:t>
            </w:r>
            <w:r>
              <w:rPr>
                <w:lang w:val="en-GB"/>
              </w:rPr>
              <w:t>100</w:t>
            </w:r>
            <w:r w:rsidRPr="00353BEC">
              <w:rPr>
                <w:lang w:val="en-GB"/>
              </w:rPr>
              <w:t xml:space="preserve">% already for four years. </w:t>
            </w:r>
          </w:p>
          <w:p w:rsidR="006E4832" w:rsidRPr="00AA0F37" w:rsidRDefault="006E4832" w:rsidP="00FA0110">
            <w:pPr>
              <w:pStyle w:val="Textpoznpodarou"/>
              <w:jc w:val="both"/>
              <w:rPr>
                <w:spacing w:val="-2"/>
                <w:sz w:val="16"/>
                <w:szCs w:val="16"/>
                <w:lang w:val="en-GB"/>
              </w:rPr>
            </w:pPr>
          </w:p>
        </w:tc>
      </w:tr>
      <w:tr w:rsidR="006E4832" w:rsidRPr="007D44C3" w:rsidTr="00FA0110">
        <w:tc>
          <w:tcPr>
            <w:tcW w:w="1054" w:type="pct"/>
          </w:tcPr>
          <w:p w:rsidR="006E4832" w:rsidRPr="00515D06" w:rsidRDefault="006E4832" w:rsidP="00FA0110">
            <w:pPr>
              <w:spacing w:line="240" w:lineRule="auto"/>
              <w:rPr>
                <w:sz w:val="16"/>
                <w:szCs w:val="16"/>
                <w:lang w:val="en-GB"/>
              </w:rPr>
            </w:pPr>
            <w:r w:rsidRPr="00515D06">
              <w:rPr>
                <w:sz w:val="16"/>
                <w:szCs w:val="16"/>
                <w:lang w:val="en-GB"/>
              </w:rPr>
              <w:t>Inflation rate fell to +0.</w:t>
            </w:r>
            <w:r>
              <w:rPr>
                <w:sz w:val="16"/>
                <w:szCs w:val="16"/>
                <w:lang w:val="en-GB"/>
              </w:rPr>
              <w:t>3</w:t>
            </w:r>
            <w:r w:rsidRPr="00515D06">
              <w:rPr>
                <w:sz w:val="16"/>
                <w:szCs w:val="16"/>
                <w:lang w:val="en-GB"/>
              </w:rPr>
              <w:t>% in the last year and it was the lowest in the last twelve years (the prices grew by 0.1%</w:t>
            </w:r>
            <w:r>
              <w:rPr>
                <w:sz w:val="16"/>
                <w:szCs w:val="16"/>
                <w:lang w:val="en-GB"/>
              </w:rPr>
              <w:t xml:space="preserve"> in 200</w:t>
            </w:r>
            <w:r w:rsidRPr="00515D06">
              <w:rPr>
                <w:sz w:val="16"/>
                <w:szCs w:val="16"/>
                <w:lang w:val="en-GB"/>
              </w:rPr>
              <w:t>3), …</w:t>
            </w:r>
          </w:p>
        </w:tc>
        <w:tc>
          <w:tcPr>
            <w:tcW w:w="143" w:type="pct"/>
          </w:tcPr>
          <w:p w:rsidR="006E4832" w:rsidRPr="00515D06" w:rsidRDefault="006E4832" w:rsidP="00FA0110">
            <w:pPr>
              <w:pStyle w:val="Textpoznpodarou"/>
              <w:jc w:val="both"/>
              <w:rPr>
                <w:lang w:val="en-GB"/>
              </w:rPr>
            </w:pPr>
          </w:p>
        </w:tc>
        <w:tc>
          <w:tcPr>
            <w:tcW w:w="3803" w:type="pct"/>
          </w:tcPr>
          <w:p w:rsidR="006E4832" w:rsidRPr="00515D06" w:rsidRDefault="006E4832" w:rsidP="00FA0110">
            <w:pPr>
              <w:pStyle w:val="Textpoznpodarou"/>
              <w:jc w:val="both"/>
              <w:rPr>
                <w:lang w:val="en-GB"/>
              </w:rPr>
            </w:pPr>
            <w:r w:rsidRPr="00515D06">
              <w:rPr>
                <w:lang w:val="en-GB"/>
              </w:rPr>
              <w:t>The inflation rate expressed by the year-on-year change of the consumer price index dropped to mere +0.</w:t>
            </w:r>
            <w:r>
              <w:rPr>
                <w:lang w:val="en-GB"/>
              </w:rPr>
              <w:t>3</w:t>
            </w:r>
            <w:r w:rsidRPr="00515D06">
              <w:rPr>
                <w:lang w:val="en-GB"/>
              </w:rPr>
              <w:t>% in 2015 and it was the lowest since 2003 (+0.</w:t>
            </w:r>
            <w:r>
              <w:rPr>
                <w:lang w:val="en-GB"/>
              </w:rPr>
              <w:t>1</w:t>
            </w:r>
            <w:r w:rsidRPr="00515D06">
              <w:rPr>
                <w:lang w:val="en-GB"/>
              </w:rPr>
              <w:t>%). It was falling already for a third year and its long-term development was thus apparent. The price dynamics during the year 2015 with</w:t>
            </w:r>
            <w:r>
              <w:rPr>
                <w:lang w:val="en-GB"/>
              </w:rPr>
              <w:t xml:space="preserve"> </w:t>
            </w:r>
            <w:r w:rsidRPr="00515D06">
              <w:rPr>
                <w:lang w:val="en-GB"/>
              </w:rPr>
              <w:t xml:space="preserve">respect to the individual </w:t>
            </w:r>
            <w:r w:rsidRPr="00734D0D">
              <w:rPr>
                <w:spacing w:val="-2"/>
                <w:lang w:val="en-GB"/>
              </w:rPr>
              <w:t>quarters was nevertheless fluctuating. The consumer prices grew by 0.7% and</w:t>
            </w:r>
            <w:r w:rsidRPr="00515D06">
              <w:rPr>
                <w:spacing w:val="-4"/>
                <w:lang w:val="en-GB"/>
              </w:rPr>
              <w:t xml:space="preserve"> 0.</w:t>
            </w:r>
            <w:r>
              <w:rPr>
                <w:spacing w:val="-4"/>
                <w:lang w:val="en-GB"/>
              </w:rPr>
              <w:t>4</w:t>
            </w:r>
            <w:r w:rsidRPr="00515D06">
              <w:rPr>
                <w:spacing w:val="-4"/>
                <w:lang w:val="en-GB"/>
              </w:rPr>
              <w:t>% in the year-</w:t>
            </w:r>
            <w:r>
              <w:rPr>
                <w:spacing w:val="-4"/>
                <w:lang w:val="en-GB"/>
              </w:rPr>
              <w:t>on-year comparison in Q2 and Q3. In Q1 and Q4</w:t>
            </w:r>
            <w:r w:rsidRPr="00515D06">
              <w:rPr>
                <w:spacing w:val="-4"/>
                <w:lang w:val="en-GB"/>
              </w:rPr>
              <w:t xml:space="preserve"> the Czech economy</w:t>
            </w:r>
            <w:r>
              <w:rPr>
                <w:spacing w:val="-4"/>
                <w:lang w:val="en-GB"/>
              </w:rPr>
              <w:t>, however,</w:t>
            </w:r>
            <w:r w:rsidRPr="00515D06">
              <w:rPr>
                <w:spacing w:val="-4"/>
                <w:lang w:val="en-GB"/>
              </w:rPr>
              <w:t xml:space="preserve"> balanced on the verge of deflation </w:t>
            </w:r>
            <w:r w:rsidRPr="00515D06">
              <w:rPr>
                <w:lang w:val="en-GB"/>
              </w:rPr>
              <w:t>(prices grew equally only by 0.</w:t>
            </w:r>
            <w:r>
              <w:rPr>
                <w:lang w:val="en-GB"/>
              </w:rPr>
              <w:t>1</w:t>
            </w:r>
            <w:r w:rsidRPr="00515D06">
              <w:rPr>
                <w:lang w:val="en-GB"/>
              </w:rPr>
              <w:t>%).</w:t>
            </w:r>
          </w:p>
          <w:p w:rsidR="006E4832" w:rsidRPr="00AA0F37" w:rsidRDefault="006E4832" w:rsidP="00FA0110">
            <w:pPr>
              <w:pStyle w:val="Textpoznpodarou"/>
              <w:jc w:val="both"/>
              <w:rPr>
                <w:sz w:val="16"/>
                <w:szCs w:val="16"/>
                <w:lang w:val="en-GB"/>
              </w:rPr>
            </w:pPr>
          </w:p>
        </w:tc>
      </w:tr>
      <w:tr w:rsidR="006E4832" w:rsidRPr="007D44C3" w:rsidTr="00FA0110">
        <w:tc>
          <w:tcPr>
            <w:tcW w:w="1054" w:type="pct"/>
          </w:tcPr>
          <w:p w:rsidR="006E4832" w:rsidRPr="00113819" w:rsidRDefault="006E4832" w:rsidP="00FA0110">
            <w:pPr>
              <w:spacing w:line="240" w:lineRule="auto"/>
              <w:rPr>
                <w:sz w:val="16"/>
                <w:szCs w:val="16"/>
                <w:lang w:val="en-GB"/>
              </w:rPr>
            </w:pPr>
            <w:r w:rsidRPr="00113819">
              <w:rPr>
                <w:sz w:val="16"/>
                <w:szCs w:val="16"/>
                <w:lang w:val="en-GB"/>
              </w:rPr>
              <w:t xml:space="preserve">… supply side factors were mainly the cause </w:t>
            </w:r>
          </w:p>
          <w:p w:rsidR="006E4832" w:rsidRPr="00113819" w:rsidRDefault="006E4832" w:rsidP="00FA0110">
            <w:pPr>
              <w:spacing w:line="240" w:lineRule="auto"/>
              <w:rPr>
                <w:sz w:val="16"/>
                <w:szCs w:val="16"/>
                <w:lang w:val="en-GB"/>
              </w:rPr>
            </w:pPr>
          </w:p>
        </w:tc>
        <w:tc>
          <w:tcPr>
            <w:tcW w:w="143" w:type="pct"/>
          </w:tcPr>
          <w:p w:rsidR="006E4832" w:rsidRPr="00113819" w:rsidRDefault="006E4832" w:rsidP="00FA0110">
            <w:pPr>
              <w:pStyle w:val="Textpoznpodarou"/>
              <w:jc w:val="both"/>
              <w:rPr>
                <w:lang w:val="en-GB"/>
              </w:rPr>
            </w:pPr>
          </w:p>
        </w:tc>
        <w:tc>
          <w:tcPr>
            <w:tcW w:w="3803" w:type="pct"/>
          </w:tcPr>
          <w:p w:rsidR="006E4832" w:rsidRPr="00113819" w:rsidRDefault="006E4832" w:rsidP="00FA0110">
            <w:pPr>
              <w:pStyle w:val="Textpoznpodarou"/>
              <w:jc w:val="both"/>
              <w:rPr>
                <w:lang w:val="en-GB"/>
              </w:rPr>
            </w:pPr>
            <w:r w:rsidRPr="00113819">
              <w:rPr>
                <w:lang w:val="en-GB"/>
              </w:rPr>
              <w:t>The dampened price development</w:t>
            </w:r>
            <w:r>
              <w:rPr>
                <w:lang w:val="en-GB"/>
              </w:rPr>
              <w:t xml:space="preserve"> in 2015</w:t>
            </w:r>
            <w:r w:rsidRPr="00113819">
              <w:rPr>
                <w:lang w:val="en-GB"/>
              </w:rPr>
              <w:t xml:space="preserve"> was caused mainly by the supply</w:t>
            </w:r>
            <w:r>
              <w:rPr>
                <w:lang w:val="en-GB"/>
              </w:rPr>
              <w:t xml:space="preserve"> side</w:t>
            </w:r>
            <w:r w:rsidRPr="00113819">
              <w:rPr>
                <w:lang w:val="en-GB"/>
              </w:rPr>
              <w:t xml:space="preserve"> factors. The key factor was the slide of the oil price on the world commodity market, when the average price of the </w:t>
            </w:r>
            <w:r>
              <w:rPr>
                <w:lang w:val="en-GB"/>
              </w:rPr>
              <w:t xml:space="preserve">barrel of the Brent </w:t>
            </w:r>
            <w:r w:rsidRPr="00113819">
              <w:rPr>
                <w:lang w:val="en-GB"/>
              </w:rPr>
              <w:t>oil</w:t>
            </w:r>
            <w:r>
              <w:rPr>
                <w:lang w:val="en-GB"/>
              </w:rPr>
              <w:t xml:space="preserve"> </w:t>
            </w:r>
            <w:r w:rsidRPr="00113819">
              <w:rPr>
                <w:lang w:val="en-GB"/>
              </w:rPr>
              <w:t xml:space="preserve">lowered from 99 US </w:t>
            </w:r>
            <w:r w:rsidRPr="00113819">
              <w:rPr>
                <w:lang w:val="en-GB"/>
              </w:rPr>
              <w:lastRenderedPageBreak/>
              <w:t xml:space="preserve">dollars in 2014 to 52.3 dollars in 2015. The lowering prices in manufacturing in the </w:t>
            </w:r>
            <w:r>
              <w:rPr>
                <w:lang w:val="en-GB"/>
              </w:rPr>
              <w:t xml:space="preserve">euro area affecting the prices </w:t>
            </w:r>
            <w:r w:rsidRPr="00113819">
              <w:rPr>
                <w:lang w:val="en-GB"/>
              </w:rPr>
              <w:t>of imports into the CR and also the falling prices of</w:t>
            </w:r>
            <w:r>
              <w:rPr>
                <w:lang w:val="en-GB"/>
              </w:rPr>
              <w:t xml:space="preserve"> animals and</w:t>
            </w:r>
            <w:r w:rsidRPr="00113819">
              <w:rPr>
                <w:lang w:val="en-GB"/>
              </w:rPr>
              <w:t xml:space="preserve"> animal</w:t>
            </w:r>
            <w:r>
              <w:rPr>
                <w:lang w:val="en-GB"/>
              </w:rPr>
              <w:t xml:space="preserve"> products</w:t>
            </w:r>
            <w:r w:rsidRPr="00113819">
              <w:rPr>
                <w:lang w:val="en-GB"/>
              </w:rPr>
              <w:t xml:space="preserve"> impacting the prices of food neverth</w:t>
            </w:r>
            <w:r>
              <w:rPr>
                <w:lang w:val="en-GB"/>
              </w:rPr>
              <w:t>eless also contributed to the disin</w:t>
            </w:r>
            <w:r w:rsidRPr="00113819">
              <w:rPr>
                <w:lang w:val="en-GB"/>
              </w:rPr>
              <w:t xml:space="preserve">flation. The dramatically weakening crown against the US dollar and growing demand of households for goods and services were hampering the </w:t>
            </w:r>
            <w:r>
              <w:rPr>
                <w:lang w:val="en-GB"/>
              </w:rPr>
              <w:t>established t</w:t>
            </w:r>
            <w:r w:rsidRPr="00113819">
              <w:rPr>
                <w:lang w:val="en-GB"/>
              </w:rPr>
              <w:t>rend, nevertheless they did not manage to reverse it.</w:t>
            </w:r>
          </w:p>
          <w:p w:rsidR="006E4832" w:rsidRPr="00AA0F37" w:rsidRDefault="006E4832" w:rsidP="00FA0110">
            <w:pPr>
              <w:pStyle w:val="Textpoznpodarou"/>
              <w:jc w:val="both"/>
              <w:rPr>
                <w:sz w:val="16"/>
                <w:szCs w:val="16"/>
                <w:lang w:val="en-GB"/>
              </w:rPr>
            </w:pPr>
          </w:p>
        </w:tc>
      </w:tr>
      <w:tr w:rsidR="006E4832" w:rsidRPr="007D44C3" w:rsidTr="00FA0110">
        <w:tc>
          <w:tcPr>
            <w:tcW w:w="1054" w:type="pct"/>
          </w:tcPr>
          <w:p w:rsidR="006E4832" w:rsidRPr="00E8128F" w:rsidRDefault="006E4832" w:rsidP="00FA0110">
            <w:pPr>
              <w:spacing w:line="240" w:lineRule="auto"/>
              <w:rPr>
                <w:sz w:val="16"/>
                <w:szCs w:val="16"/>
                <w:lang w:val="en-GB"/>
              </w:rPr>
            </w:pPr>
            <w:r w:rsidRPr="00E8128F">
              <w:rPr>
                <w:sz w:val="16"/>
                <w:szCs w:val="16"/>
                <w:lang w:val="en-GB"/>
              </w:rPr>
              <w:lastRenderedPageBreak/>
              <w:t>Prices of tobacco hiked by 7.</w:t>
            </w:r>
            <w:r>
              <w:rPr>
                <w:sz w:val="16"/>
                <w:szCs w:val="16"/>
                <w:lang w:val="en-GB"/>
              </w:rPr>
              <w:t>6</w:t>
            </w:r>
            <w:r w:rsidRPr="00E8128F">
              <w:rPr>
                <w:sz w:val="16"/>
                <w:szCs w:val="16"/>
                <w:lang w:val="en-GB"/>
              </w:rPr>
              <w:t>% in the last year and ensured, that the Czech economy did not descend into deflation</w:t>
            </w:r>
          </w:p>
          <w:p w:rsidR="006E4832" w:rsidRPr="00E8128F" w:rsidRDefault="006E4832" w:rsidP="00FA0110">
            <w:pPr>
              <w:spacing w:line="240" w:lineRule="auto"/>
              <w:rPr>
                <w:sz w:val="16"/>
                <w:szCs w:val="16"/>
                <w:lang w:val="en-GB"/>
              </w:rPr>
            </w:pPr>
          </w:p>
        </w:tc>
        <w:tc>
          <w:tcPr>
            <w:tcW w:w="143" w:type="pct"/>
          </w:tcPr>
          <w:p w:rsidR="006E4832" w:rsidRPr="00E8128F" w:rsidRDefault="006E4832" w:rsidP="00FA0110">
            <w:pPr>
              <w:pStyle w:val="Textpoznpodarou"/>
              <w:jc w:val="both"/>
              <w:rPr>
                <w:lang w:val="en-GB"/>
              </w:rPr>
            </w:pPr>
          </w:p>
        </w:tc>
        <w:tc>
          <w:tcPr>
            <w:tcW w:w="3803" w:type="pct"/>
          </w:tcPr>
          <w:p w:rsidR="006E4832" w:rsidRPr="00E8128F" w:rsidRDefault="006E4832" w:rsidP="00FA0110">
            <w:pPr>
              <w:pStyle w:val="Textpoznpodarou"/>
              <w:jc w:val="both"/>
              <w:rPr>
                <w:lang w:val="en-GB"/>
              </w:rPr>
            </w:pPr>
            <w:r w:rsidRPr="00E8128F">
              <w:rPr>
                <w:lang w:val="en-GB"/>
              </w:rPr>
              <w:t xml:space="preserve">The price dynamics worsened </w:t>
            </w:r>
            <w:r>
              <w:rPr>
                <w:lang w:val="en-GB"/>
              </w:rPr>
              <w:t>(</w:t>
            </w:r>
            <w:r w:rsidRPr="00E8128F">
              <w:rPr>
                <w:lang w:val="en-GB"/>
              </w:rPr>
              <w:t>with respect to the most significant divisions of the consum</w:t>
            </w:r>
            <w:r>
              <w:rPr>
                <w:lang w:val="en-GB"/>
              </w:rPr>
              <w:t>er</w:t>
            </w:r>
            <w:r w:rsidRPr="00E8128F">
              <w:rPr>
                <w:lang w:val="en-GB"/>
              </w:rPr>
              <w:t xml:space="preserve"> basket by weight</w:t>
            </w:r>
            <w:r>
              <w:rPr>
                <w:lang w:val="en-GB"/>
              </w:rPr>
              <w:t>)</w:t>
            </w:r>
            <w:r w:rsidRPr="00E8128F">
              <w:rPr>
                <w:lang w:val="en-GB"/>
              </w:rPr>
              <w:t xml:space="preserve"> in case of food and non-alcoholic beverages (from +2% to -1.</w:t>
            </w:r>
            <w:r>
              <w:rPr>
                <w:lang w:val="en-GB"/>
              </w:rPr>
              <w:t>1</w:t>
            </w:r>
            <w:r w:rsidRPr="00E8128F">
              <w:rPr>
                <w:lang w:val="en-GB"/>
              </w:rPr>
              <w:t>%)</w:t>
            </w:r>
            <w:r>
              <w:rPr>
                <w:lang w:val="en-GB"/>
              </w:rPr>
              <w:t xml:space="preserve"> and expenditure on transport (from +0.2 % to -4.2 %)</w:t>
            </w:r>
            <w:r w:rsidRPr="00E8128F">
              <w:rPr>
                <w:lang w:val="en-GB"/>
              </w:rPr>
              <w:t xml:space="preserve">. Nevertheless, the deep fall of the prices of expenditure on health (deepened </w:t>
            </w:r>
            <w:r>
              <w:rPr>
                <w:lang w:val="en-GB"/>
              </w:rPr>
              <w:t xml:space="preserve">from </w:t>
            </w:r>
            <w:r w:rsidRPr="00E8128F">
              <w:rPr>
                <w:spacing w:val="-2"/>
                <w:lang w:val="en-GB"/>
              </w:rPr>
              <w:t>-1.</w:t>
            </w:r>
            <w:r>
              <w:rPr>
                <w:spacing w:val="-2"/>
                <w:lang w:val="en-GB"/>
              </w:rPr>
              <w:t>8</w:t>
            </w:r>
            <w:r w:rsidRPr="00E8128F">
              <w:rPr>
                <w:spacing w:val="-2"/>
                <w:lang w:val="en-GB"/>
              </w:rPr>
              <w:t>% to -7.1</w:t>
            </w:r>
            <w:r w:rsidRPr="00E8128F">
              <w:rPr>
                <w:lang w:val="en-GB"/>
              </w:rPr>
              <w:t xml:space="preserve">%), which was linked to the cancelling of the regulation fees on </w:t>
            </w:r>
            <w:r>
              <w:rPr>
                <w:lang w:val="en-GB"/>
              </w:rPr>
              <w:t>dispensing</w:t>
            </w:r>
            <w:r w:rsidRPr="00E8128F">
              <w:rPr>
                <w:lang w:val="en-GB"/>
              </w:rPr>
              <w:t xml:space="preserve"> of medicine on receipts and fees at the visit of a doctor</w:t>
            </w:r>
            <w:r>
              <w:rPr>
                <w:lang w:val="en-GB"/>
              </w:rPr>
              <w:t>,</w:t>
            </w:r>
            <w:r w:rsidRPr="00E8128F">
              <w:rPr>
                <w:lang w:val="en-GB"/>
              </w:rPr>
              <w:t xml:space="preserve"> also contributed to the slowdown of the price development. The weaker growth of the prices of </w:t>
            </w:r>
            <w:r>
              <w:rPr>
                <w:lang w:val="en-GB"/>
              </w:rPr>
              <w:t xml:space="preserve">restaurants and hotels </w:t>
            </w:r>
            <w:r w:rsidRPr="00E8128F">
              <w:rPr>
                <w:lang w:val="en-GB"/>
              </w:rPr>
              <w:t xml:space="preserve">and </w:t>
            </w:r>
            <w:r>
              <w:rPr>
                <w:lang w:val="en-GB"/>
              </w:rPr>
              <w:t>prices of education also participated</w:t>
            </w:r>
            <w:r w:rsidRPr="00E8128F">
              <w:rPr>
                <w:lang w:val="en-GB"/>
              </w:rPr>
              <w:t>. Mostly the prices of tobacco worked in the direction of</w:t>
            </w:r>
            <w:r>
              <w:rPr>
                <w:lang w:val="en-GB"/>
              </w:rPr>
              <w:t xml:space="preserve"> growth of</w:t>
            </w:r>
            <w:r w:rsidRPr="00E8128F">
              <w:rPr>
                <w:lang w:val="en-GB"/>
              </w:rPr>
              <w:t xml:space="preserve"> consumer prices in 2015. They increased by 7.</w:t>
            </w:r>
            <w:r>
              <w:rPr>
                <w:lang w:val="en-GB"/>
              </w:rPr>
              <w:t>6</w:t>
            </w:r>
            <w:r w:rsidRPr="00E8128F">
              <w:rPr>
                <w:lang w:val="en-GB"/>
              </w:rPr>
              <w:t xml:space="preserve">%, thanks to the raising of the </w:t>
            </w:r>
            <w:r>
              <w:rPr>
                <w:lang w:val="en-GB"/>
              </w:rPr>
              <w:t>excise duty,</w:t>
            </w:r>
            <w:r w:rsidRPr="00E8128F">
              <w:rPr>
                <w:lang w:val="en-GB"/>
              </w:rPr>
              <w:t xml:space="preserve"> and thus they contributed to a large extent to the fact, that the Czech economy remained in the positive inflation range and did not descend into deflation. </w:t>
            </w:r>
          </w:p>
          <w:p w:rsidR="006E4832" w:rsidRPr="00E8128F" w:rsidRDefault="006E4832" w:rsidP="00FA0110">
            <w:pPr>
              <w:pStyle w:val="Textpoznpodarou"/>
              <w:jc w:val="both"/>
              <w:rPr>
                <w:sz w:val="16"/>
                <w:szCs w:val="16"/>
                <w:lang w:val="en-GB"/>
              </w:rPr>
            </w:pPr>
          </w:p>
        </w:tc>
      </w:tr>
      <w:tr w:rsidR="006E4832" w:rsidRPr="007D44C3" w:rsidTr="00FA0110">
        <w:tc>
          <w:tcPr>
            <w:tcW w:w="1054" w:type="pct"/>
          </w:tcPr>
          <w:p w:rsidR="006E4832" w:rsidRPr="00C8708D" w:rsidRDefault="006E4832" w:rsidP="00FA0110">
            <w:pPr>
              <w:spacing w:line="240" w:lineRule="auto"/>
              <w:rPr>
                <w:sz w:val="16"/>
                <w:szCs w:val="16"/>
                <w:lang w:val="en-GB"/>
              </w:rPr>
            </w:pPr>
            <w:r w:rsidRPr="00C8708D">
              <w:rPr>
                <w:sz w:val="16"/>
                <w:szCs w:val="16"/>
                <w:lang w:val="en-GB"/>
              </w:rPr>
              <w:t xml:space="preserve">The price development in the last two years </w:t>
            </w:r>
            <w:r>
              <w:rPr>
                <w:sz w:val="16"/>
                <w:szCs w:val="16"/>
                <w:lang w:val="en-GB"/>
              </w:rPr>
              <w:t>worked mildly</w:t>
            </w:r>
            <w:r w:rsidRPr="00C8708D">
              <w:rPr>
                <w:sz w:val="16"/>
                <w:szCs w:val="16"/>
                <w:lang w:val="en-GB"/>
              </w:rPr>
              <w:t xml:space="preserve"> in the direction of </w:t>
            </w:r>
            <w:r>
              <w:rPr>
                <w:sz w:val="16"/>
                <w:szCs w:val="16"/>
                <w:lang w:val="en-GB"/>
              </w:rPr>
              <w:t>straightening o</w:t>
            </w:r>
            <w:r w:rsidRPr="00C8708D">
              <w:rPr>
                <w:sz w:val="16"/>
                <w:szCs w:val="16"/>
                <w:lang w:val="en-GB"/>
              </w:rPr>
              <w:t xml:space="preserve">f social inequalities </w:t>
            </w:r>
          </w:p>
          <w:p w:rsidR="006E4832" w:rsidRPr="00C8708D" w:rsidRDefault="006E4832" w:rsidP="00FA0110">
            <w:pPr>
              <w:spacing w:line="240" w:lineRule="auto"/>
              <w:rPr>
                <w:sz w:val="16"/>
                <w:szCs w:val="16"/>
                <w:lang w:val="en-GB"/>
              </w:rPr>
            </w:pPr>
          </w:p>
        </w:tc>
        <w:tc>
          <w:tcPr>
            <w:tcW w:w="143" w:type="pct"/>
          </w:tcPr>
          <w:p w:rsidR="006E4832" w:rsidRPr="00C8708D" w:rsidRDefault="006E4832" w:rsidP="00FA0110">
            <w:pPr>
              <w:pStyle w:val="Textpoznpodarou"/>
              <w:jc w:val="both"/>
              <w:rPr>
                <w:lang w:val="en-GB"/>
              </w:rPr>
            </w:pPr>
          </w:p>
        </w:tc>
        <w:tc>
          <w:tcPr>
            <w:tcW w:w="3803" w:type="pct"/>
          </w:tcPr>
          <w:p w:rsidR="006E4832" w:rsidRPr="00C8708D" w:rsidRDefault="006E4832" w:rsidP="00FA0110">
            <w:pPr>
              <w:pStyle w:val="Textpoznpodarou"/>
              <w:jc w:val="both"/>
              <w:rPr>
                <w:lang w:val="en-GB"/>
              </w:rPr>
            </w:pPr>
            <w:r w:rsidRPr="00C8708D">
              <w:rPr>
                <w:lang w:val="en-GB"/>
              </w:rPr>
              <w:t xml:space="preserve">It is positive from the point of view of social inequality </w:t>
            </w:r>
            <w:proofErr w:type="gramStart"/>
            <w:r w:rsidRPr="00C8708D">
              <w:rPr>
                <w:lang w:val="en-GB"/>
              </w:rPr>
              <w:t xml:space="preserve">development, </w:t>
            </w:r>
            <w:r>
              <w:rPr>
                <w:lang w:val="en-GB"/>
              </w:rPr>
              <w:t xml:space="preserve">that the </w:t>
            </w:r>
            <w:r w:rsidRPr="00C8708D">
              <w:rPr>
                <w:lang w:val="en-GB"/>
              </w:rPr>
              <w:t>dynamics of prices fo</w:t>
            </w:r>
            <w:r>
              <w:rPr>
                <w:lang w:val="en-GB"/>
              </w:rPr>
              <w:t>r</w:t>
            </w:r>
            <w:r w:rsidRPr="00C8708D">
              <w:rPr>
                <w:lang w:val="en-GB"/>
              </w:rPr>
              <w:t xml:space="preserve"> households of pensioners (+0.</w:t>
            </w:r>
            <w:r>
              <w:rPr>
                <w:lang w:val="en-GB"/>
              </w:rPr>
              <w:t>1</w:t>
            </w:r>
            <w:r w:rsidRPr="00C8708D">
              <w:rPr>
                <w:lang w:val="en-GB"/>
              </w:rPr>
              <w:t xml:space="preserve">%) </w:t>
            </w:r>
            <w:r>
              <w:rPr>
                <w:lang w:val="en-GB"/>
              </w:rPr>
              <w:t xml:space="preserve">was weaker compared </w:t>
            </w:r>
            <w:r w:rsidRPr="00C8708D">
              <w:rPr>
                <w:lang w:val="en-GB"/>
              </w:rPr>
              <w:t>to households in total (+0.</w:t>
            </w:r>
            <w:r>
              <w:rPr>
                <w:lang w:val="en-GB"/>
              </w:rPr>
              <w:t>3</w:t>
            </w:r>
            <w:proofErr w:type="gramEnd"/>
            <w:r w:rsidRPr="00C8708D">
              <w:rPr>
                <w:lang w:val="en-GB"/>
              </w:rPr>
              <w:t>%) in the last year. The situation from the previous year was repeated. The long term increase of the social inequalities was thus slightly mitigated during the last two years, even though they still remain</w:t>
            </w:r>
            <w:r>
              <w:rPr>
                <w:lang w:val="en-GB"/>
              </w:rPr>
              <w:t>ed</w:t>
            </w:r>
            <w:r w:rsidRPr="00C8708D">
              <w:rPr>
                <w:lang w:val="en-GB"/>
              </w:rPr>
              <w:t xml:space="preserve"> considerable. If the prices rose by 23.</w:t>
            </w:r>
            <w:r>
              <w:rPr>
                <w:lang w:val="en-GB"/>
              </w:rPr>
              <w:t>6%</w:t>
            </w:r>
            <w:r w:rsidRPr="00C8708D">
              <w:rPr>
                <w:lang w:val="en-GB"/>
              </w:rPr>
              <w:t xml:space="preserve"> from the view of households in total in the last ten years, the cost of living for households of pensioners expanded by 32.</w:t>
            </w:r>
            <w:r>
              <w:rPr>
                <w:lang w:val="en-GB"/>
              </w:rPr>
              <w:t>4</w:t>
            </w:r>
            <w:r w:rsidRPr="00C8708D">
              <w:rPr>
                <w:lang w:val="en-GB"/>
              </w:rPr>
              <w:t xml:space="preserve">% in this period. </w:t>
            </w:r>
          </w:p>
          <w:p w:rsidR="006E4832" w:rsidRPr="00C8708D" w:rsidRDefault="006E4832" w:rsidP="00FA0110">
            <w:pPr>
              <w:pStyle w:val="Textpoznpodarou"/>
              <w:jc w:val="both"/>
              <w:rPr>
                <w:sz w:val="18"/>
                <w:szCs w:val="18"/>
                <w:lang w:val="en-GB"/>
              </w:rPr>
            </w:pPr>
          </w:p>
        </w:tc>
      </w:tr>
      <w:tr w:rsidR="006E4832" w:rsidRPr="007D44C3" w:rsidTr="00FA0110">
        <w:tc>
          <w:tcPr>
            <w:tcW w:w="1054" w:type="pct"/>
          </w:tcPr>
          <w:p w:rsidR="006E4832" w:rsidRPr="00C8708D" w:rsidRDefault="006E4832" w:rsidP="00FA0110">
            <w:pPr>
              <w:spacing w:line="240" w:lineRule="auto"/>
              <w:rPr>
                <w:sz w:val="16"/>
                <w:szCs w:val="16"/>
                <w:lang w:val="en-GB"/>
              </w:rPr>
            </w:pPr>
            <w:r w:rsidRPr="00C8708D">
              <w:rPr>
                <w:sz w:val="16"/>
                <w:szCs w:val="16"/>
                <w:lang w:val="en-GB"/>
              </w:rPr>
              <w:t>The prices of real estate dramatically increase in the environment of low i</w:t>
            </w:r>
            <w:r>
              <w:rPr>
                <w:sz w:val="16"/>
                <w:szCs w:val="16"/>
                <w:lang w:val="en-GB"/>
              </w:rPr>
              <w:t>nterest rates. The size of rentals</w:t>
            </w:r>
            <w:r w:rsidRPr="00C8708D">
              <w:rPr>
                <w:sz w:val="16"/>
                <w:szCs w:val="16"/>
                <w:lang w:val="en-GB"/>
              </w:rPr>
              <w:t xml:space="preserve"> however does not change much</w:t>
            </w:r>
          </w:p>
          <w:p w:rsidR="006E4832" w:rsidRPr="00C8708D" w:rsidRDefault="006E4832" w:rsidP="00FA0110">
            <w:pPr>
              <w:spacing w:line="240" w:lineRule="auto"/>
              <w:rPr>
                <w:sz w:val="16"/>
                <w:szCs w:val="16"/>
                <w:lang w:val="en-GB"/>
              </w:rPr>
            </w:pPr>
          </w:p>
        </w:tc>
        <w:tc>
          <w:tcPr>
            <w:tcW w:w="143" w:type="pct"/>
          </w:tcPr>
          <w:p w:rsidR="006E4832" w:rsidRPr="00C8708D" w:rsidRDefault="006E4832" w:rsidP="00FA0110">
            <w:pPr>
              <w:pStyle w:val="Textpoznpodarou"/>
              <w:jc w:val="both"/>
              <w:rPr>
                <w:lang w:val="en-GB"/>
              </w:rPr>
            </w:pPr>
          </w:p>
        </w:tc>
        <w:tc>
          <w:tcPr>
            <w:tcW w:w="3803" w:type="pct"/>
          </w:tcPr>
          <w:p w:rsidR="006E4832" w:rsidRPr="00C8708D" w:rsidRDefault="006E4832" w:rsidP="00FA0110">
            <w:pPr>
              <w:pStyle w:val="Textpoznpodarou"/>
              <w:jc w:val="both"/>
              <w:rPr>
                <w:lang w:val="en-GB"/>
              </w:rPr>
            </w:pPr>
            <w:r w:rsidRPr="00C8708D">
              <w:rPr>
                <w:lang w:val="en-GB"/>
              </w:rPr>
              <w:t>A fast growth of the real estate prices occurs in the Czech economy. The realised prices of new flats hiked up by 5.2% in Prague in Q4 2015 year-on-year, prices o</w:t>
            </w:r>
            <w:r>
              <w:rPr>
                <w:lang w:val="en-GB"/>
              </w:rPr>
              <w:t>f second-hand flats were raised up by</w:t>
            </w:r>
            <w:r w:rsidRPr="00C8708D">
              <w:rPr>
                <w:lang w:val="en-GB"/>
              </w:rPr>
              <w:t xml:space="preserve"> 4.6%. The development of prices was</w:t>
            </w:r>
            <w:r>
              <w:rPr>
                <w:lang w:val="en-GB"/>
              </w:rPr>
              <w:t xml:space="preserve"> even</w:t>
            </w:r>
            <w:r w:rsidRPr="00C8708D">
              <w:rPr>
                <w:lang w:val="en-GB"/>
              </w:rPr>
              <w:t xml:space="preserve"> faster in other regions, since the realised prices of </w:t>
            </w:r>
            <w:r>
              <w:rPr>
                <w:lang w:val="en-GB"/>
              </w:rPr>
              <w:t>second-hand</w:t>
            </w:r>
            <w:r w:rsidRPr="00C8708D">
              <w:rPr>
                <w:lang w:val="en-GB"/>
              </w:rPr>
              <w:t xml:space="preserve"> flats outside Prague increased by 7.4% in the last quarter 2015. This development was supported by low interest rates transforming in the enlarged volume of </w:t>
            </w:r>
            <w:r>
              <w:rPr>
                <w:lang w:val="en-GB"/>
              </w:rPr>
              <w:t>loans for house purchase</w:t>
            </w:r>
            <w:r w:rsidRPr="00C8708D">
              <w:rPr>
                <w:lang w:val="en-GB"/>
              </w:rPr>
              <w:t>. It is however surp</w:t>
            </w:r>
            <w:r>
              <w:rPr>
                <w:lang w:val="en-GB"/>
              </w:rPr>
              <w:t>rising, that the prices of rentals</w:t>
            </w:r>
            <w:r w:rsidRPr="00C8708D">
              <w:rPr>
                <w:lang w:val="en-GB"/>
              </w:rPr>
              <w:t xml:space="preserve"> do not react to the strong growth of real estate prices so far. The prices of </w:t>
            </w:r>
            <w:r>
              <w:rPr>
                <w:lang w:val="en-GB"/>
              </w:rPr>
              <w:t>actual rentals for housing</w:t>
            </w:r>
            <w:r w:rsidRPr="00C8708D">
              <w:rPr>
                <w:lang w:val="en-GB"/>
              </w:rPr>
              <w:t xml:space="preserve"> increased only by</w:t>
            </w:r>
            <w:r w:rsidRPr="00C8708D">
              <w:rPr>
                <w:spacing w:val="-2"/>
                <w:lang w:val="en-GB"/>
              </w:rPr>
              <w:t> 0.</w:t>
            </w:r>
            <w:r>
              <w:rPr>
                <w:spacing w:val="-2"/>
                <w:lang w:val="en-GB"/>
              </w:rPr>
              <w:t>8</w:t>
            </w:r>
            <w:r w:rsidRPr="00C8708D">
              <w:rPr>
                <w:spacing w:val="-2"/>
                <w:lang w:val="en-GB"/>
              </w:rPr>
              <w:t xml:space="preserve">% </w:t>
            </w:r>
            <w:r w:rsidRPr="00C8708D">
              <w:rPr>
                <w:lang w:val="en-GB"/>
              </w:rPr>
              <w:t xml:space="preserve">year-on-year in the last quarter of the last year and prices of </w:t>
            </w:r>
            <w:r>
              <w:rPr>
                <w:lang w:val="en-GB"/>
              </w:rPr>
              <w:t>imputed rentals</w:t>
            </w:r>
            <w:r w:rsidRPr="00C8708D">
              <w:rPr>
                <w:lang w:val="en-GB"/>
              </w:rPr>
              <w:t xml:space="preserve"> by</w:t>
            </w:r>
            <w:r w:rsidRPr="00C8708D">
              <w:rPr>
                <w:spacing w:val="-2"/>
                <w:lang w:val="en-GB"/>
              </w:rPr>
              <w:t xml:space="preserve"> 0.</w:t>
            </w:r>
            <w:r>
              <w:rPr>
                <w:lang w:val="en-GB"/>
              </w:rPr>
              <w:t>9</w:t>
            </w:r>
            <w:r w:rsidRPr="00C8708D">
              <w:rPr>
                <w:lang w:val="en-GB"/>
              </w:rPr>
              <w:t>%.</w:t>
            </w:r>
          </w:p>
          <w:p w:rsidR="006E4832" w:rsidRPr="00537E97" w:rsidRDefault="006E4832" w:rsidP="00FA0110">
            <w:pPr>
              <w:pStyle w:val="Textpoznpodarou"/>
              <w:jc w:val="both"/>
              <w:rPr>
                <w:sz w:val="16"/>
                <w:szCs w:val="16"/>
                <w:lang w:val="en-GB"/>
              </w:rPr>
            </w:pPr>
          </w:p>
        </w:tc>
      </w:tr>
      <w:tr w:rsidR="006E4832" w:rsidRPr="007D44C3" w:rsidTr="00FA0110">
        <w:tc>
          <w:tcPr>
            <w:tcW w:w="1054" w:type="pct"/>
          </w:tcPr>
          <w:p w:rsidR="006E4832" w:rsidRPr="006E6976" w:rsidRDefault="006E4832" w:rsidP="00FA0110">
            <w:pPr>
              <w:spacing w:line="240" w:lineRule="auto"/>
              <w:rPr>
                <w:sz w:val="16"/>
                <w:szCs w:val="16"/>
                <w:lang w:val="en-GB"/>
              </w:rPr>
            </w:pPr>
            <w:r w:rsidRPr="006E6976">
              <w:rPr>
                <w:sz w:val="16"/>
                <w:szCs w:val="16"/>
                <w:lang w:val="en-GB"/>
              </w:rPr>
              <w:t>Consumer prices fall mainly in the less developed economies of the EU</w:t>
            </w:r>
          </w:p>
        </w:tc>
        <w:tc>
          <w:tcPr>
            <w:tcW w:w="143" w:type="pct"/>
          </w:tcPr>
          <w:p w:rsidR="006E4832" w:rsidRPr="006E6976" w:rsidRDefault="006E4832" w:rsidP="00FA0110">
            <w:pPr>
              <w:pStyle w:val="Textpoznpodarou"/>
              <w:jc w:val="both"/>
              <w:rPr>
                <w:lang w:val="en-GB"/>
              </w:rPr>
            </w:pPr>
          </w:p>
        </w:tc>
        <w:tc>
          <w:tcPr>
            <w:tcW w:w="3803" w:type="pct"/>
          </w:tcPr>
          <w:p w:rsidR="006E4832" w:rsidRPr="006E6976" w:rsidRDefault="006E4832" w:rsidP="00FA0110">
            <w:pPr>
              <w:pStyle w:val="Textpoznpodarou"/>
              <w:jc w:val="both"/>
              <w:rPr>
                <w:lang w:val="en-GB"/>
              </w:rPr>
            </w:pPr>
            <w:r w:rsidRPr="006E6976">
              <w:rPr>
                <w:lang w:val="en-GB"/>
              </w:rPr>
              <w:t>The slump of the oil price, initiated in summer 2014,</w:t>
            </w:r>
            <w:r>
              <w:rPr>
                <w:lang w:val="en-GB"/>
              </w:rPr>
              <w:t xml:space="preserve"> </w:t>
            </w:r>
            <w:r w:rsidRPr="006E6976">
              <w:rPr>
                <w:lang w:val="en-GB"/>
              </w:rPr>
              <w:t>affected all European Union countries. The harmonised index of consumer price</w:t>
            </w:r>
            <w:r>
              <w:rPr>
                <w:lang w:val="en-GB"/>
              </w:rPr>
              <w:t>s lowered only in Greece in 2013</w:t>
            </w:r>
            <w:r w:rsidRPr="006E6976">
              <w:rPr>
                <w:lang w:val="en-GB"/>
              </w:rPr>
              <w:t>. Already six Union countries faced deflation in 2014</w:t>
            </w:r>
            <w:r>
              <w:rPr>
                <w:lang w:val="en-GB"/>
              </w:rPr>
              <w:t>, however,</w:t>
            </w:r>
            <w:r w:rsidRPr="006E6976">
              <w:rPr>
                <w:lang w:val="en-GB"/>
              </w:rPr>
              <w:t xml:space="preserve"> and even eleven in the last year. In addition it is interesting, that the deflation was apparent especially in the less developed countries of the EU. Only Finland among the above average developed economie</w:t>
            </w:r>
            <w:r>
              <w:rPr>
                <w:lang w:val="en-GB"/>
              </w:rPr>
              <w:t>s based on GDP per capita in PPS</w:t>
            </w:r>
            <w:r w:rsidRPr="006E6976">
              <w:rPr>
                <w:lang w:val="en-GB"/>
              </w:rPr>
              <w:t xml:space="preserve"> faced deflation (-0.</w:t>
            </w:r>
            <w:r>
              <w:rPr>
                <w:lang w:val="en-GB"/>
              </w:rPr>
              <w:t>2</w:t>
            </w:r>
            <w:r w:rsidRPr="006E6976">
              <w:rPr>
                <w:lang w:val="en-GB"/>
              </w:rPr>
              <w:t xml:space="preserve">%). The prices moved despite ongoing quantitative </w:t>
            </w:r>
            <w:r>
              <w:rPr>
                <w:lang w:val="en-GB"/>
              </w:rPr>
              <w:t>easing</w:t>
            </w:r>
            <w:r w:rsidRPr="006E6976">
              <w:rPr>
                <w:lang w:val="en-GB"/>
              </w:rPr>
              <w:t xml:space="preserve"> from a mild growth into stagnation in the euro area, the same occurred in the whole </w:t>
            </w:r>
            <w:r>
              <w:rPr>
                <w:lang w:val="en-GB"/>
              </w:rPr>
              <w:t>EU</w:t>
            </w:r>
            <w:r w:rsidRPr="006E6976">
              <w:rPr>
                <w:lang w:val="en-GB"/>
              </w:rPr>
              <w:t xml:space="preserve">. </w:t>
            </w:r>
          </w:p>
          <w:p w:rsidR="006E4832" w:rsidRPr="006E6976" w:rsidRDefault="006E4832" w:rsidP="00FA0110">
            <w:pPr>
              <w:pStyle w:val="Textpoznpodarou"/>
              <w:jc w:val="both"/>
              <w:rPr>
                <w:spacing w:val="-2"/>
                <w:sz w:val="18"/>
                <w:szCs w:val="18"/>
                <w:lang w:val="en-GB"/>
              </w:rPr>
            </w:pPr>
          </w:p>
        </w:tc>
      </w:tr>
      <w:tr w:rsidR="006E4832" w:rsidRPr="007D44C3" w:rsidTr="00FA0110">
        <w:tc>
          <w:tcPr>
            <w:tcW w:w="1054" w:type="pct"/>
          </w:tcPr>
          <w:p w:rsidR="006E4832" w:rsidRPr="00446E39" w:rsidRDefault="006E4832" w:rsidP="00FA0110">
            <w:pPr>
              <w:spacing w:line="240" w:lineRule="auto"/>
              <w:rPr>
                <w:sz w:val="16"/>
                <w:szCs w:val="16"/>
                <w:lang w:val="en-GB"/>
              </w:rPr>
            </w:pPr>
            <w:r w:rsidRPr="00446E39">
              <w:rPr>
                <w:sz w:val="16"/>
                <w:szCs w:val="16"/>
                <w:lang w:val="en-GB"/>
              </w:rPr>
              <w:t xml:space="preserve">Industrial producer prices </w:t>
            </w:r>
            <w:proofErr w:type="gramStart"/>
            <w:r w:rsidRPr="00446E39">
              <w:rPr>
                <w:sz w:val="16"/>
                <w:szCs w:val="16"/>
                <w:lang w:val="en-GB"/>
              </w:rPr>
              <w:t>fell</w:t>
            </w:r>
            <w:proofErr w:type="gramEnd"/>
            <w:r w:rsidRPr="00446E39">
              <w:rPr>
                <w:sz w:val="16"/>
                <w:szCs w:val="16"/>
                <w:lang w:val="en-GB"/>
              </w:rPr>
              <w:t xml:space="preserve"> the fastest in history. They decreased by 3.</w:t>
            </w:r>
            <w:r>
              <w:rPr>
                <w:sz w:val="16"/>
                <w:szCs w:val="16"/>
                <w:lang w:val="en-GB"/>
              </w:rPr>
              <w:t>2</w:t>
            </w:r>
            <w:r w:rsidRPr="00446E39">
              <w:rPr>
                <w:sz w:val="16"/>
                <w:szCs w:val="16"/>
                <w:lang w:val="en-GB"/>
              </w:rPr>
              <w:t>%, …</w:t>
            </w:r>
          </w:p>
        </w:tc>
        <w:tc>
          <w:tcPr>
            <w:tcW w:w="143" w:type="pct"/>
          </w:tcPr>
          <w:p w:rsidR="006E4832" w:rsidRPr="00446E39" w:rsidRDefault="006E4832" w:rsidP="00FA0110">
            <w:pPr>
              <w:pStyle w:val="Textpoznpodarou"/>
              <w:jc w:val="both"/>
              <w:rPr>
                <w:lang w:val="en-GB"/>
              </w:rPr>
            </w:pPr>
          </w:p>
        </w:tc>
        <w:tc>
          <w:tcPr>
            <w:tcW w:w="3803" w:type="pct"/>
          </w:tcPr>
          <w:p w:rsidR="006E4832" w:rsidRPr="00446E39" w:rsidRDefault="006E4832" w:rsidP="00FA0110">
            <w:pPr>
              <w:pStyle w:val="Textpoznpodarou"/>
              <w:jc w:val="both"/>
              <w:rPr>
                <w:lang w:val="en-GB"/>
              </w:rPr>
            </w:pPr>
            <w:r w:rsidRPr="00446E39">
              <w:rPr>
                <w:lang w:val="en-GB"/>
              </w:rPr>
              <w:t>The industrial producer prices fell by 3.</w:t>
            </w:r>
            <w:r>
              <w:rPr>
                <w:lang w:val="en-GB"/>
              </w:rPr>
              <w:t>2</w:t>
            </w:r>
            <w:r w:rsidRPr="00446E39">
              <w:rPr>
                <w:lang w:val="en-GB"/>
              </w:rPr>
              <w:t xml:space="preserve">% in 2015, the fastest in the history of the Czech Republic. The prices were falling faster in Q3 and </w:t>
            </w:r>
            <w:r>
              <w:rPr>
                <w:lang w:val="en-GB"/>
              </w:rPr>
              <w:t>Q</w:t>
            </w:r>
            <w:r w:rsidRPr="00446E39">
              <w:rPr>
                <w:lang w:val="en-GB"/>
              </w:rPr>
              <w:t>4 with respect to the renewed slump of the prices of oil starting in the half of the year. The prices fell by 3.</w:t>
            </w:r>
            <w:r>
              <w:rPr>
                <w:lang w:val="en-GB"/>
              </w:rPr>
              <w:t>3</w:t>
            </w:r>
            <w:r w:rsidRPr="00446E39">
              <w:rPr>
                <w:lang w:val="en-GB"/>
              </w:rPr>
              <w:t>% and 2.</w:t>
            </w:r>
            <w:r>
              <w:rPr>
                <w:lang w:val="en-GB"/>
              </w:rPr>
              <w:t>3</w:t>
            </w:r>
            <w:r w:rsidRPr="00446E39">
              <w:rPr>
                <w:lang w:val="en-GB"/>
              </w:rPr>
              <w:t xml:space="preserve">% in the year-on-year comparison in Q1 and </w:t>
            </w:r>
            <w:r>
              <w:rPr>
                <w:lang w:val="en-GB"/>
              </w:rPr>
              <w:t>Q</w:t>
            </w:r>
            <w:r w:rsidRPr="00446E39">
              <w:rPr>
                <w:lang w:val="en-GB"/>
              </w:rPr>
              <w:t>2, however already by 3.</w:t>
            </w:r>
            <w:r>
              <w:rPr>
                <w:lang w:val="en-GB"/>
              </w:rPr>
              <w:t>6</w:t>
            </w:r>
            <w:r w:rsidRPr="00446E39">
              <w:rPr>
                <w:lang w:val="en-GB"/>
              </w:rPr>
              <w:t>% and 3.</w:t>
            </w:r>
            <w:r>
              <w:rPr>
                <w:lang w:val="en-GB"/>
              </w:rPr>
              <w:t>5%</w:t>
            </w:r>
            <w:r w:rsidRPr="00446E39">
              <w:rPr>
                <w:lang w:val="en-GB"/>
              </w:rPr>
              <w:t xml:space="preserve"> in Q3 and </w:t>
            </w:r>
            <w:r>
              <w:rPr>
                <w:lang w:val="en-GB"/>
              </w:rPr>
              <w:t>Q</w:t>
            </w:r>
            <w:r w:rsidRPr="00446E39">
              <w:rPr>
                <w:lang w:val="en-GB"/>
              </w:rPr>
              <w:t>4. The development of industrial producer prices was also similar in the EU. The fall of prices deepened during the year 2015</w:t>
            </w:r>
            <w:r>
              <w:rPr>
                <w:lang w:val="en-GB"/>
              </w:rPr>
              <w:t xml:space="preserve"> </w:t>
            </w:r>
            <w:r w:rsidRPr="00446E39">
              <w:rPr>
                <w:lang w:val="en-GB"/>
              </w:rPr>
              <w:t xml:space="preserve">in all </w:t>
            </w:r>
            <w:r w:rsidRPr="00735A88">
              <w:rPr>
                <w:spacing w:val="-4"/>
                <w:lang w:val="en-GB"/>
              </w:rPr>
              <w:t>member countries apart from Belgium, Poland, United Kingdom, Ireland and Hungary</w:t>
            </w:r>
            <w:r w:rsidRPr="00446E39">
              <w:rPr>
                <w:lang w:val="en-GB"/>
              </w:rPr>
              <w:t xml:space="preserve">. </w:t>
            </w:r>
          </w:p>
          <w:p w:rsidR="006E4832" w:rsidRPr="00446E39" w:rsidRDefault="006E4832" w:rsidP="00FA0110">
            <w:pPr>
              <w:pStyle w:val="Textpoznpodarou"/>
              <w:jc w:val="both"/>
              <w:rPr>
                <w:sz w:val="18"/>
                <w:szCs w:val="18"/>
                <w:lang w:val="en-GB"/>
              </w:rPr>
            </w:pPr>
          </w:p>
        </w:tc>
      </w:tr>
      <w:tr w:rsidR="006E4832" w:rsidRPr="007D44C3" w:rsidTr="00FA0110">
        <w:tc>
          <w:tcPr>
            <w:tcW w:w="1054" w:type="pct"/>
          </w:tcPr>
          <w:p w:rsidR="006E4832" w:rsidRPr="008E6073" w:rsidRDefault="006E4832" w:rsidP="00FA0110">
            <w:pPr>
              <w:spacing w:line="240" w:lineRule="auto"/>
              <w:rPr>
                <w:sz w:val="16"/>
                <w:szCs w:val="16"/>
                <w:lang w:val="en-GB"/>
              </w:rPr>
            </w:pPr>
            <w:r w:rsidRPr="008E6073">
              <w:rPr>
                <w:sz w:val="16"/>
                <w:szCs w:val="16"/>
                <w:lang w:val="en-GB"/>
              </w:rPr>
              <w:t xml:space="preserve">… </w:t>
            </w:r>
            <w:r>
              <w:rPr>
                <w:sz w:val="16"/>
                <w:szCs w:val="16"/>
                <w:lang w:val="en-GB"/>
              </w:rPr>
              <w:t>even by 3.9</w:t>
            </w:r>
            <w:r w:rsidRPr="008E6073">
              <w:rPr>
                <w:sz w:val="16"/>
                <w:szCs w:val="16"/>
                <w:lang w:val="en-GB"/>
              </w:rPr>
              <w:t xml:space="preserve">% in manufacturing itself </w:t>
            </w:r>
          </w:p>
        </w:tc>
        <w:tc>
          <w:tcPr>
            <w:tcW w:w="143" w:type="pct"/>
          </w:tcPr>
          <w:p w:rsidR="006E4832" w:rsidRPr="008E6073" w:rsidRDefault="006E4832" w:rsidP="00FA0110">
            <w:pPr>
              <w:pStyle w:val="Textpoznpodarou"/>
              <w:jc w:val="both"/>
              <w:rPr>
                <w:lang w:val="en-GB"/>
              </w:rPr>
            </w:pPr>
          </w:p>
        </w:tc>
        <w:tc>
          <w:tcPr>
            <w:tcW w:w="3803" w:type="pct"/>
          </w:tcPr>
          <w:p w:rsidR="006E4832" w:rsidRPr="00AA0F37" w:rsidRDefault="006E4832" w:rsidP="00AA0F37">
            <w:pPr>
              <w:pStyle w:val="Textpoznpodarou"/>
              <w:jc w:val="both"/>
              <w:rPr>
                <w:sz w:val="18"/>
                <w:szCs w:val="18"/>
                <w:lang w:val="en-GB"/>
              </w:rPr>
            </w:pPr>
            <w:r w:rsidRPr="004A217A">
              <w:rPr>
                <w:lang w:val="en-GB"/>
              </w:rPr>
              <w:t>The prices fell by 3.</w:t>
            </w:r>
            <w:r>
              <w:rPr>
                <w:lang w:val="en-GB"/>
              </w:rPr>
              <w:t>9</w:t>
            </w:r>
            <w:r w:rsidRPr="004A217A">
              <w:rPr>
                <w:lang w:val="en-GB"/>
              </w:rPr>
              <w:t xml:space="preserve">% in manufacturing in the last </w:t>
            </w:r>
            <w:proofErr w:type="gramStart"/>
            <w:r w:rsidRPr="004A217A">
              <w:rPr>
                <w:lang w:val="en-GB"/>
              </w:rPr>
              <w:t>year, that</w:t>
            </w:r>
            <w:proofErr w:type="gramEnd"/>
            <w:r w:rsidRPr="004A217A">
              <w:rPr>
                <w:lang w:val="en-GB"/>
              </w:rPr>
              <w:t xml:space="preserve"> is faster than in the industry as a whole. The deflation was the strongest in case of producers of </w:t>
            </w:r>
            <w:r>
              <w:rPr>
                <w:lang w:val="en-GB"/>
              </w:rPr>
              <w:t xml:space="preserve">coke and refined petroleum products </w:t>
            </w:r>
            <w:r w:rsidRPr="004A217A">
              <w:rPr>
                <w:lang w:val="en-GB"/>
              </w:rPr>
              <w:t xml:space="preserve">and producers of chemicals and chemical products. However, </w:t>
            </w:r>
            <w:proofErr w:type="gramStart"/>
            <w:r w:rsidRPr="004A217A">
              <w:rPr>
                <w:lang w:val="en-GB"/>
              </w:rPr>
              <w:t>neither mining and</w:t>
            </w:r>
            <w:proofErr w:type="gramEnd"/>
            <w:r w:rsidRPr="004A217A">
              <w:rPr>
                <w:lang w:val="en-GB"/>
              </w:rPr>
              <w:t xml:space="preserve"> quarrying (-0.</w:t>
            </w:r>
            <w:r>
              <w:rPr>
                <w:lang w:val="en-GB"/>
              </w:rPr>
              <w:t>6</w:t>
            </w:r>
            <w:r w:rsidRPr="004A217A">
              <w:rPr>
                <w:lang w:val="en-GB"/>
              </w:rPr>
              <w:t xml:space="preserve">%), where the prices fell already for the fourth time in the last year, nor </w:t>
            </w:r>
            <w:proofErr w:type="spellStart"/>
            <w:r w:rsidRPr="004A217A">
              <w:rPr>
                <w:lang w:val="en-GB"/>
              </w:rPr>
              <w:t>energetics</w:t>
            </w:r>
            <w:proofErr w:type="spellEnd"/>
            <w:r w:rsidRPr="004A217A">
              <w:rPr>
                <w:lang w:val="en-GB"/>
              </w:rPr>
              <w:t xml:space="preserve"> </w:t>
            </w:r>
            <w:r>
              <w:rPr>
                <w:lang w:val="en-GB"/>
              </w:rPr>
              <w:t>(-0.8</w:t>
            </w:r>
            <w:r w:rsidRPr="004A217A">
              <w:rPr>
                <w:lang w:val="en-GB"/>
              </w:rPr>
              <w:t>%), contributed positively to the development of industrial producer prices either.</w:t>
            </w:r>
          </w:p>
        </w:tc>
      </w:tr>
      <w:tr w:rsidR="006E4832" w:rsidRPr="007D44C3" w:rsidTr="00FA0110">
        <w:tc>
          <w:tcPr>
            <w:tcW w:w="1054" w:type="pct"/>
          </w:tcPr>
          <w:p w:rsidR="006E4832" w:rsidRPr="004A217A" w:rsidRDefault="006E4832" w:rsidP="00FA0110">
            <w:pPr>
              <w:spacing w:line="240" w:lineRule="auto"/>
              <w:rPr>
                <w:sz w:val="16"/>
                <w:szCs w:val="16"/>
                <w:lang w:val="en-GB"/>
              </w:rPr>
            </w:pPr>
            <w:r w:rsidRPr="004A217A">
              <w:rPr>
                <w:sz w:val="16"/>
                <w:szCs w:val="16"/>
                <w:lang w:val="en-GB"/>
              </w:rPr>
              <w:lastRenderedPageBreak/>
              <w:t xml:space="preserve">Good harvest the cause of the fall of prices of the </w:t>
            </w:r>
            <w:r>
              <w:rPr>
                <w:sz w:val="16"/>
                <w:szCs w:val="16"/>
                <w:lang w:val="en-GB"/>
              </w:rPr>
              <w:t>crop</w:t>
            </w:r>
            <w:r w:rsidRPr="004A217A">
              <w:rPr>
                <w:sz w:val="16"/>
                <w:szCs w:val="16"/>
                <w:lang w:val="en-GB"/>
              </w:rPr>
              <w:t xml:space="preserve"> pro</w:t>
            </w:r>
            <w:r>
              <w:rPr>
                <w:sz w:val="16"/>
                <w:szCs w:val="16"/>
                <w:lang w:val="en-GB"/>
              </w:rPr>
              <w:t>ducts</w:t>
            </w:r>
            <w:r w:rsidRPr="004A217A">
              <w:rPr>
                <w:sz w:val="16"/>
                <w:szCs w:val="16"/>
                <w:lang w:val="en-GB"/>
              </w:rPr>
              <w:t xml:space="preserve">, restriction on imports to Russia and cancelling of milk quotas the cause of lower prices of </w:t>
            </w:r>
            <w:r>
              <w:rPr>
                <w:sz w:val="16"/>
                <w:szCs w:val="16"/>
                <w:lang w:val="en-GB"/>
              </w:rPr>
              <w:t>animals and animal products</w:t>
            </w:r>
          </w:p>
          <w:p w:rsidR="006E4832" w:rsidRPr="004A217A" w:rsidRDefault="006E4832" w:rsidP="00FA0110">
            <w:pPr>
              <w:spacing w:line="240" w:lineRule="auto"/>
              <w:rPr>
                <w:sz w:val="16"/>
                <w:szCs w:val="16"/>
                <w:lang w:val="en-GB"/>
              </w:rPr>
            </w:pPr>
          </w:p>
        </w:tc>
        <w:tc>
          <w:tcPr>
            <w:tcW w:w="143" w:type="pct"/>
          </w:tcPr>
          <w:p w:rsidR="006E4832" w:rsidRPr="004A217A" w:rsidRDefault="006E4832" w:rsidP="00FA0110">
            <w:pPr>
              <w:pStyle w:val="Textpoznpodarou"/>
              <w:jc w:val="both"/>
              <w:rPr>
                <w:lang w:val="en-GB"/>
              </w:rPr>
            </w:pPr>
          </w:p>
        </w:tc>
        <w:tc>
          <w:tcPr>
            <w:tcW w:w="3803" w:type="pct"/>
          </w:tcPr>
          <w:p w:rsidR="006E4832" w:rsidRPr="004A217A" w:rsidRDefault="006E4832" w:rsidP="00FA0110">
            <w:pPr>
              <w:pStyle w:val="Textpoznpodarou"/>
              <w:jc w:val="both"/>
              <w:rPr>
                <w:lang w:val="en-GB"/>
              </w:rPr>
            </w:pPr>
            <w:r w:rsidRPr="004A217A">
              <w:rPr>
                <w:lang w:val="en-GB"/>
              </w:rPr>
              <w:t>Prices of agric</w:t>
            </w:r>
            <w:r>
              <w:rPr>
                <w:lang w:val="en-GB"/>
              </w:rPr>
              <w:t>ultural producers (incl. fish</w:t>
            </w:r>
            <w:r w:rsidRPr="004A217A">
              <w:rPr>
                <w:lang w:val="en-GB"/>
              </w:rPr>
              <w:t xml:space="preserve">) declined by </w:t>
            </w:r>
            <w:r>
              <w:rPr>
                <w:lang w:val="en-GB"/>
              </w:rPr>
              <w:t>6</w:t>
            </w:r>
            <w:r w:rsidRPr="004A217A">
              <w:rPr>
                <w:lang w:val="en-GB"/>
              </w:rPr>
              <w:t>% in th</w:t>
            </w:r>
            <w:r>
              <w:rPr>
                <w:lang w:val="en-GB"/>
              </w:rPr>
              <w:t>e last year and thus followed</w:t>
            </w:r>
            <w:r w:rsidRPr="004A217A">
              <w:rPr>
                <w:lang w:val="en-GB"/>
              </w:rPr>
              <w:t xml:space="preserve"> the development </w:t>
            </w:r>
            <w:r>
              <w:rPr>
                <w:lang w:val="en-GB"/>
              </w:rPr>
              <w:t>of</w:t>
            </w:r>
            <w:r w:rsidRPr="004A217A">
              <w:rPr>
                <w:lang w:val="en-GB"/>
              </w:rPr>
              <w:t xml:space="preserve"> 2014, when they decreased by 3.</w:t>
            </w:r>
            <w:r>
              <w:rPr>
                <w:lang w:val="en-GB"/>
              </w:rPr>
              <w:t>7</w:t>
            </w:r>
            <w:r w:rsidRPr="004A217A">
              <w:rPr>
                <w:lang w:val="en-GB"/>
              </w:rPr>
              <w:t xml:space="preserve">%. Nevertheless, the causes of this development changed. The prices of the </w:t>
            </w:r>
            <w:r>
              <w:rPr>
                <w:lang w:val="en-GB"/>
              </w:rPr>
              <w:t>crop products</w:t>
            </w:r>
            <w:r w:rsidRPr="004A217A">
              <w:rPr>
                <w:lang w:val="en-GB"/>
              </w:rPr>
              <w:t xml:space="preserve"> fell – thanks to a </w:t>
            </w:r>
            <w:r>
              <w:rPr>
                <w:lang w:val="en-GB"/>
              </w:rPr>
              <w:t xml:space="preserve">very </w:t>
            </w:r>
            <w:r w:rsidRPr="004A217A">
              <w:rPr>
                <w:lang w:val="en-GB"/>
              </w:rPr>
              <w:t>good harvest – by 10.</w:t>
            </w:r>
            <w:r>
              <w:rPr>
                <w:lang w:val="en-GB"/>
              </w:rPr>
              <w:t>3</w:t>
            </w:r>
            <w:r w:rsidRPr="004A217A">
              <w:rPr>
                <w:lang w:val="en-GB"/>
              </w:rPr>
              <w:t>% in 2014. On the contrary, the animal</w:t>
            </w:r>
            <w:r>
              <w:rPr>
                <w:lang w:val="en-GB"/>
              </w:rPr>
              <w:t>s and animal products</w:t>
            </w:r>
            <w:r w:rsidRPr="004A217A">
              <w:rPr>
                <w:lang w:val="en-GB"/>
              </w:rPr>
              <w:t xml:space="preserve"> became slightly more expensive (+4.</w:t>
            </w:r>
            <w:r>
              <w:rPr>
                <w:lang w:val="en-GB"/>
              </w:rPr>
              <w:t>9</w:t>
            </w:r>
            <w:r w:rsidRPr="004A217A">
              <w:rPr>
                <w:lang w:val="en-GB"/>
              </w:rPr>
              <w:t xml:space="preserve">%). The harvest of agricultural plants was also good (especially for </w:t>
            </w:r>
            <w:r>
              <w:rPr>
                <w:lang w:val="en-GB"/>
              </w:rPr>
              <w:t>cereals</w:t>
            </w:r>
            <w:r w:rsidRPr="004A217A">
              <w:rPr>
                <w:lang w:val="en-GB"/>
              </w:rPr>
              <w:t xml:space="preserve">) in 2015, the prices of </w:t>
            </w:r>
            <w:r>
              <w:rPr>
                <w:lang w:val="en-GB"/>
              </w:rPr>
              <w:t>crop products</w:t>
            </w:r>
            <w:r w:rsidRPr="004A217A">
              <w:rPr>
                <w:lang w:val="en-GB"/>
              </w:rPr>
              <w:t xml:space="preserve"> however fell already only by 2.</w:t>
            </w:r>
            <w:r>
              <w:rPr>
                <w:lang w:val="en-GB"/>
              </w:rPr>
              <w:t>2</w:t>
            </w:r>
            <w:r w:rsidRPr="004A217A">
              <w:rPr>
                <w:lang w:val="en-GB"/>
              </w:rPr>
              <w:t xml:space="preserve">%. </w:t>
            </w:r>
            <w:r>
              <w:rPr>
                <w:lang w:val="en-GB"/>
              </w:rPr>
              <w:t xml:space="preserve">The purchase </w:t>
            </w:r>
            <w:r w:rsidRPr="004A217A">
              <w:rPr>
                <w:lang w:val="en-GB"/>
              </w:rPr>
              <w:t>prices of the animal</w:t>
            </w:r>
            <w:r>
              <w:rPr>
                <w:lang w:val="en-GB"/>
              </w:rPr>
              <w:t>s and animal products</w:t>
            </w:r>
            <w:r w:rsidRPr="004A217A">
              <w:rPr>
                <w:lang w:val="en-GB"/>
              </w:rPr>
              <w:t xml:space="preserve"> nevertheless slumped by 10.</w:t>
            </w:r>
            <w:r>
              <w:rPr>
                <w:lang w:val="en-GB"/>
              </w:rPr>
              <w:t>5</w:t>
            </w:r>
            <w:r w:rsidRPr="004A217A">
              <w:rPr>
                <w:lang w:val="en-GB"/>
              </w:rPr>
              <w:t>%.</w:t>
            </w:r>
            <w:r>
              <w:rPr>
                <w:lang w:val="en-GB"/>
              </w:rPr>
              <w:t xml:space="preserve"> </w:t>
            </w:r>
            <w:r w:rsidRPr="004A217A">
              <w:rPr>
                <w:lang w:val="en-GB"/>
              </w:rPr>
              <w:t>It wa</w:t>
            </w:r>
            <w:r>
              <w:rPr>
                <w:lang w:val="en-GB"/>
              </w:rPr>
              <w:t>s</w:t>
            </w:r>
            <w:r w:rsidRPr="004A217A">
              <w:rPr>
                <w:lang w:val="en-GB"/>
              </w:rPr>
              <w:t xml:space="preserve"> connected for once to the ban on imports of agricultural produc</w:t>
            </w:r>
            <w:r>
              <w:rPr>
                <w:lang w:val="en-GB"/>
              </w:rPr>
              <w:t>ts</w:t>
            </w:r>
            <w:r w:rsidRPr="004A217A">
              <w:rPr>
                <w:lang w:val="en-GB"/>
              </w:rPr>
              <w:t xml:space="preserve"> and food into the Rus</w:t>
            </w:r>
            <w:r>
              <w:rPr>
                <w:lang w:val="en-GB"/>
              </w:rPr>
              <w:t>sian federation, for second to</w:t>
            </w:r>
            <w:r w:rsidRPr="004A217A">
              <w:rPr>
                <w:lang w:val="en-GB"/>
              </w:rPr>
              <w:t xml:space="preserve"> the cancelling of the mil</w:t>
            </w:r>
            <w:r>
              <w:rPr>
                <w:lang w:val="en-GB"/>
              </w:rPr>
              <w:t>k</w:t>
            </w:r>
            <w:r w:rsidRPr="004A217A">
              <w:rPr>
                <w:lang w:val="en-GB"/>
              </w:rPr>
              <w:t xml:space="preserve"> quotas, which became effective at the beginning of April. Prices of </w:t>
            </w:r>
            <w:r>
              <w:rPr>
                <w:lang w:val="en-GB"/>
              </w:rPr>
              <w:t>pigs for slaughter decreased by 12</w:t>
            </w:r>
            <w:r w:rsidRPr="004A217A">
              <w:rPr>
                <w:lang w:val="en-GB"/>
              </w:rPr>
              <w:t>% in the year-on-year comparison, mil</w:t>
            </w:r>
            <w:r>
              <w:rPr>
                <w:lang w:val="en-GB"/>
              </w:rPr>
              <w:t>k</w:t>
            </w:r>
            <w:r w:rsidRPr="004A217A">
              <w:rPr>
                <w:lang w:val="en-GB"/>
              </w:rPr>
              <w:t xml:space="preserve"> wa</w:t>
            </w:r>
            <w:r>
              <w:rPr>
                <w:lang w:val="en-GB"/>
              </w:rPr>
              <w:t>s</w:t>
            </w:r>
            <w:r w:rsidRPr="004A217A">
              <w:rPr>
                <w:lang w:val="en-GB"/>
              </w:rPr>
              <w:t xml:space="preserve"> purchased from the </w:t>
            </w:r>
            <w:proofErr w:type="spellStart"/>
            <w:r w:rsidRPr="004A217A">
              <w:rPr>
                <w:lang w:val="en-GB"/>
              </w:rPr>
              <w:t>agriculturers</w:t>
            </w:r>
            <w:proofErr w:type="spellEnd"/>
            <w:r w:rsidRPr="004A217A">
              <w:rPr>
                <w:lang w:val="en-GB"/>
              </w:rPr>
              <w:t xml:space="preserve"> for 17.</w:t>
            </w:r>
            <w:r>
              <w:rPr>
                <w:lang w:val="en-GB"/>
              </w:rPr>
              <w:t>2</w:t>
            </w:r>
            <w:r w:rsidRPr="004A217A">
              <w:rPr>
                <w:lang w:val="en-GB"/>
              </w:rPr>
              <w:t>% less than a year ago.</w:t>
            </w:r>
          </w:p>
          <w:p w:rsidR="006E4832" w:rsidRPr="00AA0F37" w:rsidRDefault="006E4832" w:rsidP="00FA0110">
            <w:pPr>
              <w:pStyle w:val="Textpoznpodarou"/>
              <w:jc w:val="both"/>
              <w:rPr>
                <w:spacing w:val="-2"/>
                <w:sz w:val="18"/>
                <w:szCs w:val="18"/>
                <w:lang w:val="en-GB"/>
              </w:rPr>
            </w:pPr>
          </w:p>
        </w:tc>
      </w:tr>
      <w:tr w:rsidR="006E4832" w:rsidRPr="007D44C3" w:rsidTr="00FA0110">
        <w:tc>
          <w:tcPr>
            <w:tcW w:w="1054" w:type="pct"/>
          </w:tcPr>
          <w:p w:rsidR="006E4832" w:rsidRPr="006E7D88" w:rsidRDefault="006E4832" w:rsidP="00FA0110">
            <w:pPr>
              <w:spacing w:line="240" w:lineRule="auto"/>
              <w:rPr>
                <w:sz w:val="16"/>
                <w:szCs w:val="16"/>
                <w:lang w:val="en-GB"/>
              </w:rPr>
            </w:pPr>
            <w:r w:rsidRPr="006E7D88">
              <w:rPr>
                <w:sz w:val="16"/>
                <w:szCs w:val="16"/>
                <w:lang w:val="en-GB"/>
              </w:rPr>
              <w:t>Prices of</w:t>
            </w:r>
            <w:r>
              <w:rPr>
                <w:sz w:val="16"/>
                <w:szCs w:val="16"/>
                <w:lang w:val="en-GB"/>
              </w:rPr>
              <w:t xml:space="preserve"> construction work rose by 1.2</w:t>
            </w:r>
            <w:r w:rsidRPr="006E7D88">
              <w:rPr>
                <w:sz w:val="16"/>
                <w:szCs w:val="16"/>
                <w:lang w:val="en-GB"/>
              </w:rPr>
              <w:t xml:space="preserve">% in the last year </w:t>
            </w:r>
          </w:p>
        </w:tc>
        <w:tc>
          <w:tcPr>
            <w:tcW w:w="143" w:type="pct"/>
          </w:tcPr>
          <w:p w:rsidR="006E4832" w:rsidRPr="006E7D88" w:rsidRDefault="006E4832" w:rsidP="00FA0110">
            <w:pPr>
              <w:pStyle w:val="Textpoznpodarou"/>
              <w:jc w:val="both"/>
              <w:rPr>
                <w:lang w:val="en-GB"/>
              </w:rPr>
            </w:pPr>
          </w:p>
        </w:tc>
        <w:tc>
          <w:tcPr>
            <w:tcW w:w="3803" w:type="pct"/>
          </w:tcPr>
          <w:p w:rsidR="006E4832" w:rsidRPr="006E7D88" w:rsidRDefault="006E4832" w:rsidP="00FA0110">
            <w:pPr>
              <w:pStyle w:val="Textpoznpodarou"/>
              <w:jc w:val="both"/>
              <w:rPr>
                <w:lang w:val="en-GB"/>
              </w:rPr>
            </w:pPr>
            <w:r>
              <w:rPr>
                <w:lang w:val="en-GB"/>
              </w:rPr>
              <w:t>Construction was</w:t>
            </w:r>
            <w:r w:rsidRPr="006E7D88">
              <w:rPr>
                <w:lang w:val="en-GB"/>
              </w:rPr>
              <w:t xml:space="preserve"> considerably affected by the finalisation of drawing of resources from the EU fund</w:t>
            </w:r>
            <w:r>
              <w:rPr>
                <w:lang w:val="en-GB"/>
              </w:rPr>
              <w:t>s</w:t>
            </w:r>
            <w:r w:rsidRPr="006E7D88">
              <w:rPr>
                <w:lang w:val="en-GB"/>
              </w:rPr>
              <w:t xml:space="preserve"> in the last year. 41.4 </w:t>
            </w:r>
            <w:r>
              <w:rPr>
                <w:lang w:val="en-GB"/>
              </w:rPr>
              <w:t xml:space="preserve">CZK </w:t>
            </w:r>
            <w:proofErr w:type="spellStart"/>
            <w:r w:rsidRPr="006E7D88">
              <w:rPr>
                <w:lang w:val="en-GB"/>
              </w:rPr>
              <w:t>bn</w:t>
            </w:r>
            <w:proofErr w:type="spellEnd"/>
            <w:r w:rsidRPr="006E7D88">
              <w:rPr>
                <w:lang w:val="en-GB"/>
              </w:rPr>
              <w:t xml:space="preserve">, by 27.9 </w:t>
            </w:r>
            <w:proofErr w:type="spellStart"/>
            <w:r w:rsidRPr="006E7D88">
              <w:rPr>
                <w:lang w:val="en-GB"/>
              </w:rPr>
              <w:t>bn</w:t>
            </w:r>
            <w:proofErr w:type="spellEnd"/>
            <w:r w:rsidRPr="006E7D88">
              <w:rPr>
                <w:lang w:val="en-GB"/>
              </w:rPr>
              <w:t xml:space="preserve"> more than in 2014, reached the construction companies only via the </w:t>
            </w:r>
            <w:r>
              <w:rPr>
                <w:lang w:val="en-GB"/>
              </w:rPr>
              <w:t>Operational P</w:t>
            </w:r>
            <w:r w:rsidRPr="006E7D88">
              <w:rPr>
                <w:lang w:val="en-GB"/>
              </w:rPr>
              <w:t xml:space="preserve">rogramme </w:t>
            </w:r>
            <w:r>
              <w:rPr>
                <w:lang w:val="en-GB"/>
              </w:rPr>
              <w:t>Transport</w:t>
            </w:r>
            <w:r w:rsidRPr="006E7D88">
              <w:rPr>
                <w:lang w:val="en-GB"/>
              </w:rPr>
              <w:t xml:space="preserve"> itself. Narrowly focused demand of the public sector, especially for the infrastructure structures, limited number of companies capable to satisfy this demand and upcoming deadline, </w:t>
            </w:r>
            <w:r>
              <w:rPr>
                <w:lang w:val="en-GB"/>
              </w:rPr>
              <w:t>to which the</w:t>
            </w:r>
            <w:r w:rsidRPr="006E7D88">
              <w:rPr>
                <w:lang w:val="en-GB"/>
              </w:rPr>
              <w:t xml:space="preserve"> funds from the programme period 2007</w:t>
            </w:r>
            <w:r w:rsidRPr="00CF2816">
              <w:rPr>
                <w:lang w:val="en-GB"/>
              </w:rPr>
              <w:t>–</w:t>
            </w:r>
            <w:r>
              <w:rPr>
                <w:lang w:val="en-GB"/>
              </w:rPr>
              <w:t xml:space="preserve">2013 </w:t>
            </w:r>
            <w:r w:rsidRPr="006E7D88">
              <w:rPr>
                <w:lang w:val="en-GB"/>
              </w:rPr>
              <w:t xml:space="preserve">could have been drawn </w:t>
            </w:r>
            <w:r w:rsidRPr="00CF2816">
              <w:rPr>
                <w:lang w:val="en-GB"/>
              </w:rPr>
              <w:t>–</w:t>
            </w:r>
            <w:r w:rsidRPr="006E7D88">
              <w:rPr>
                <w:lang w:val="en-GB"/>
              </w:rPr>
              <w:t xml:space="preserve"> this was a combination, which resulted in the growth of construction work prices</w:t>
            </w:r>
            <w:r>
              <w:rPr>
                <w:lang w:val="en-GB"/>
              </w:rPr>
              <w:t xml:space="preserve"> by</w:t>
            </w:r>
            <w:r w:rsidRPr="006E7D88">
              <w:rPr>
                <w:lang w:val="en-GB"/>
              </w:rPr>
              <w:t xml:space="preserve"> 1.</w:t>
            </w:r>
            <w:r>
              <w:rPr>
                <w:lang w:val="en-GB"/>
              </w:rPr>
              <w:t>2</w:t>
            </w:r>
            <w:r w:rsidRPr="006E7D88">
              <w:rPr>
                <w:lang w:val="en-GB"/>
              </w:rPr>
              <w:t xml:space="preserve">%. It presented the fastest growth of prices in the last six years. </w:t>
            </w:r>
          </w:p>
          <w:p w:rsidR="006E4832" w:rsidRPr="00AA0F37" w:rsidRDefault="006E4832" w:rsidP="00FA0110">
            <w:pPr>
              <w:pStyle w:val="Textpoznpodarou"/>
              <w:jc w:val="both"/>
              <w:rPr>
                <w:spacing w:val="-2"/>
                <w:sz w:val="18"/>
                <w:szCs w:val="18"/>
                <w:lang w:val="en-GB"/>
              </w:rPr>
            </w:pPr>
          </w:p>
        </w:tc>
      </w:tr>
      <w:tr w:rsidR="006E4832" w:rsidRPr="007D44C3" w:rsidTr="00FA0110">
        <w:tc>
          <w:tcPr>
            <w:tcW w:w="1054" w:type="pct"/>
          </w:tcPr>
          <w:p w:rsidR="006E4832" w:rsidRPr="00B048B5" w:rsidRDefault="006E4832" w:rsidP="00FA0110">
            <w:pPr>
              <w:spacing w:line="240" w:lineRule="auto"/>
              <w:rPr>
                <w:sz w:val="16"/>
                <w:szCs w:val="16"/>
                <w:lang w:val="en-GB"/>
              </w:rPr>
            </w:pPr>
            <w:r w:rsidRPr="00B048B5">
              <w:rPr>
                <w:sz w:val="16"/>
                <w:szCs w:val="16"/>
                <w:lang w:val="en-GB"/>
              </w:rPr>
              <w:t xml:space="preserve">Drop of the prices of oil lowered the costs for the transporters and they </w:t>
            </w:r>
            <w:r>
              <w:rPr>
                <w:sz w:val="16"/>
                <w:szCs w:val="16"/>
                <w:lang w:val="en-GB"/>
              </w:rPr>
              <w:t>went down</w:t>
            </w:r>
            <w:r w:rsidRPr="00B048B5">
              <w:rPr>
                <w:sz w:val="16"/>
                <w:szCs w:val="16"/>
                <w:lang w:val="en-GB"/>
              </w:rPr>
              <w:t xml:space="preserve"> by 1.4%</w:t>
            </w:r>
          </w:p>
        </w:tc>
        <w:tc>
          <w:tcPr>
            <w:tcW w:w="143" w:type="pct"/>
          </w:tcPr>
          <w:p w:rsidR="006E4832" w:rsidRPr="00B048B5" w:rsidRDefault="006E4832" w:rsidP="00FA0110">
            <w:pPr>
              <w:pStyle w:val="Textpoznpodarou"/>
              <w:jc w:val="both"/>
              <w:rPr>
                <w:lang w:val="en-GB"/>
              </w:rPr>
            </w:pPr>
          </w:p>
        </w:tc>
        <w:tc>
          <w:tcPr>
            <w:tcW w:w="3803" w:type="pct"/>
          </w:tcPr>
          <w:p w:rsidR="006E4832" w:rsidRDefault="006E4832" w:rsidP="00FA0110">
            <w:pPr>
              <w:pStyle w:val="Textpoznpodarou"/>
              <w:jc w:val="both"/>
              <w:rPr>
                <w:lang w:val="en-GB"/>
              </w:rPr>
            </w:pPr>
            <w:r w:rsidRPr="00B048B5">
              <w:rPr>
                <w:lang w:val="en-GB"/>
              </w:rPr>
              <w:t xml:space="preserve">Prices of the market services did not change in the last year, however the development in individual quarters </w:t>
            </w:r>
            <w:proofErr w:type="gramStart"/>
            <w:r w:rsidRPr="00B048B5">
              <w:rPr>
                <w:lang w:val="en-GB"/>
              </w:rPr>
              <w:t>suggested,</w:t>
            </w:r>
            <w:proofErr w:type="gramEnd"/>
            <w:r w:rsidRPr="00B048B5">
              <w:rPr>
                <w:lang w:val="en-GB"/>
              </w:rPr>
              <w:t xml:space="preserve"> that also thi</w:t>
            </w:r>
            <w:r>
              <w:rPr>
                <w:lang w:val="en-GB"/>
              </w:rPr>
              <w:t>s</w:t>
            </w:r>
            <w:r w:rsidRPr="00B048B5">
              <w:rPr>
                <w:lang w:val="en-GB"/>
              </w:rPr>
              <w:t xml:space="preserve"> segment</w:t>
            </w:r>
            <w:r>
              <w:rPr>
                <w:lang w:val="en-GB"/>
              </w:rPr>
              <w:t xml:space="preserve"> of economy</w:t>
            </w:r>
            <w:r w:rsidRPr="00B048B5">
              <w:rPr>
                <w:lang w:val="en-GB"/>
              </w:rPr>
              <w:t xml:space="preserve"> gradual</w:t>
            </w:r>
            <w:r>
              <w:rPr>
                <w:lang w:val="en-GB"/>
              </w:rPr>
              <w:t>l</w:t>
            </w:r>
            <w:r w:rsidRPr="00B048B5">
              <w:rPr>
                <w:lang w:val="en-GB"/>
              </w:rPr>
              <w:t>y des</w:t>
            </w:r>
            <w:r>
              <w:rPr>
                <w:lang w:val="en-GB"/>
              </w:rPr>
              <w:t>c</w:t>
            </w:r>
            <w:r w:rsidRPr="00B048B5">
              <w:rPr>
                <w:lang w:val="en-GB"/>
              </w:rPr>
              <w:t>ends into th</w:t>
            </w:r>
            <w:r>
              <w:rPr>
                <w:lang w:val="en-GB"/>
              </w:rPr>
              <w:t>e</w:t>
            </w:r>
            <w:r w:rsidRPr="00B048B5">
              <w:rPr>
                <w:lang w:val="en-GB"/>
              </w:rPr>
              <w:t xml:space="preserve"> deflation. The prices of market services were higher by 0.</w:t>
            </w:r>
            <w:r>
              <w:rPr>
                <w:lang w:val="en-GB"/>
              </w:rPr>
              <w:t>3</w:t>
            </w:r>
            <w:r w:rsidRPr="00B048B5">
              <w:rPr>
                <w:lang w:val="en-GB"/>
              </w:rPr>
              <w:t>% and 0.</w:t>
            </w:r>
            <w:r>
              <w:rPr>
                <w:lang w:val="en-GB"/>
              </w:rPr>
              <w:t>2%</w:t>
            </w:r>
            <w:r w:rsidRPr="00B048B5">
              <w:rPr>
                <w:lang w:val="en-GB"/>
              </w:rPr>
              <w:t xml:space="preserve"> in the year-on-year comparison in Q1 and </w:t>
            </w:r>
            <w:r>
              <w:rPr>
                <w:lang w:val="en-GB"/>
              </w:rPr>
              <w:t>Q</w:t>
            </w:r>
            <w:r w:rsidRPr="00B048B5">
              <w:rPr>
                <w:lang w:val="en-GB"/>
              </w:rPr>
              <w:t>2 2015, however they were already falling (-0.</w:t>
            </w:r>
            <w:r>
              <w:rPr>
                <w:lang w:val="en-GB"/>
              </w:rPr>
              <w:t>2</w:t>
            </w:r>
            <w:r w:rsidRPr="00B048B5">
              <w:rPr>
                <w:lang w:val="en-GB"/>
              </w:rPr>
              <w:t>%, -0.</w:t>
            </w:r>
            <w:r>
              <w:rPr>
                <w:lang w:val="en-GB"/>
              </w:rPr>
              <w:t>1</w:t>
            </w:r>
            <w:r w:rsidRPr="00B048B5">
              <w:rPr>
                <w:lang w:val="en-GB"/>
              </w:rPr>
              <w:t>%) in Q3 and Q4.</w:t>
            </w:r>
            <w:r>
              <w:rPr>
                <w:lang w:val="en-GB"/>
              </w:rPr>
              <w:t xml:space="preserve"> While the high growth of prices</w:t>
            </w:r>
            <w:r w:rsidRPr="00B048B5">
              <w:rPr>
                <w:lang w:val="en-GB"/>
              </w:rPr>
              <w:t xml:space="preserve"> of postal and courier services (+6.4%) and financial services (+3%) put some inflationary pressures in the last year, the prices fell by 1.</w:t>
            </w:r>
            <w:r>
              <w:rPr>
                <w:lang w:val="en-GB"/>
              </w:rPr>
              <w:t>4</w:t>
            </w:r>
            <w:r w:rsidRPr="00B048B5">
              <w:rPr>
                <w:lang w:val="en-GB"/>
              </w:rPr>
              <w:t xml:space="preserve">% in the weight significant land </w:t>
            </w:r>
            <w:r>
              <w:rPr>
                <w:lang w:val="en-GB"/>
              </w:rPr>
              <w:t>transport services and transport services via pipelines</w:t>
            </w:r>
            <w:r w:rsidRPr="00B048B5">
              <w:rPr>
                <w:lang w:val="en-GB"/>
              </w:rPr>
              <w:t>. The turn in the de</w:t>
            </w:r>
            <w:r>
              <w:rPr>
                <w:lang w:val="en-GB"/>
              </w:rPr>
              <w:t>velopment of prices of employment services</w:t>
            </w:r>
            <w:r w:rsidRPr="00B048B5">
              <w:rPr>
                <w:lang w:val="en-GB"/>
              </w:rPr>
              <w:t>, after two year</w:t>
            </w:r>
            <w:r>
              <w:rPr>
                <w:lang w:val="en-GB"/>
              </w:rPr>
              <w:t>s</w:t>
            </w:r>
            <w:r w:rsidRPr="00B048B5">
              <w:rPr>
                <w:lang w:val="en-GB"/>
              </w:rPr>
              <w:t xml:space="preserve"> lasting growth, also contributed negatively to the price development. They fel</w:t>
            </w:r>
            <w:r>
              <w:rPr>
                <w:lang w:val="en-GB"/>
              </w:rPr>
              <w:t>l</w:t>
            </w:r>
            <w:r w:rsidRPr="00B048B5">
              <w:rPr>
                <w:lang w:val="en-GB"/>
              </w:rPr>
              <w:t xml:space="preserve"> by </w:t>
            </w:r>
            <w:r w:rsidRPr="00B048B5">
              <w:rPr>
                <w:spacing w:val="-4"/>
                <w:lang w:val="en-GB"/>
              </w:rPr>
              <w:t>7.5</w:t>
            </w:r>
            <w:r w:rsidRPr="00B048B5">
              <w:rPr>
                <w:lang w:val="en-GB"/>
              </w:rPr>
              <w:t>%.</w:t>
            </w:r>
          </w:p>
          <w:p w:rsidR="00FA0110" w:rsidRPr="00AA0F37" w:rsidRDefault="00FA0110" w:rsidP="00FA0110">
            <w:pPr>
              <w:pStyle w:val="Textpoznpodarou"/>
              <w:jc w:val="both"/>
              <w:rPr>
                <w:spacing w:val="-2"/>
                <w:sz w:val="18"/>
                <w:szCs w:val="18"/>
                <w:lang w:val="en-GB"/>
              </w:rPr>
            </w:pPr>
          </w:p>
        </w:tc>
      </w:tr>
      <w:tr w:rsidR="006E4832" w:rsidRPr="007D44C3" w:rsidTr="00FA0110">
        <w:tc>
          <w:tcPr>
            <w:tcW w:w="1054" w:type="pct"/>
          </w:tcPr>
          <w:p w:rsidR="006E4832" w:rsidRPr="00DB5669" w:rsidRDefault="006E4832" w:rsidP="00FA0110">
            <w:pPr>
              <w:spacing w:line="240" w:lineRule="auto"/>
              <w:rPr>
                <w:sz w:val="16"/>
                <w:szCs w:val="16"/>
                <w:lang w:val="en-GB"/>
              </w:rPr>
            </w:pPr>
            <w:r w:rsidRPr="00DB5669">
              <w:rPr>
                <w:sz w:val="16"/>
                <w:szCs w:val="16"/>
                <w:lang w:val="en-GB"/>
              </w:rPr>
              <w:t xml:space="preserve">Prices of </w:t>
            </w:r>
            <w:r>
              <w:rPr>
                <w:sz w:val="16"/>
                <w:szCs w:val="16"/>
                <w:lang w:val="en-GB"/>
              </w:rPr>
              <w:t>imported goods decreased by 1.9</w:t>
            </w:r>
            <w:r w:rsidRPr="00DB5669">
              <w:rPr>
                <w:sz w:val="16"/>
                <w:szCs w:val="16"/>
                <w:lang w:val="en-GB"/>
              </w:rPr>
              <w:t>%</w:t>
            </w:r>
            <w:r>
              <w:rPr>
                <w:sz w:val="16"/>
                <w:szCs w:val="16"/>
                <w:lang w:val="en-GB"/>
              </w:rPr>
              <w:t xml:space="preserve"> in 2015</w:t>
            </w:r>
            <w:r w:rsidRPr="00DB5669">
              <w:rPr>
                <w:sz w:val="16"/>
                <w:szCs w:val="16"/>
                <w:lang w:val="en-GB"/>
              </w:rPr>
              <w:t xml:space="preserve"> and fell already for the fifth time in the last ten years</w:t>
            </w:r>
          </w:p>
          <w:p w:rsidR="006E4832" w:rsidRPr="00DB5669" w:rsidRDefault="006E4832" w:rsidP="00FA0110">
            <w:pPr>
              <w:spacing w:line="240" w:lineRule="auto"/>
              <w:rPr>
                <w:sz w:val="16"/>
                <w:szCs w:val="16"/>
                <w:lang w:val="en-GB"/>
              </w:rPr>
            </w:pPr>
          </w:p>
        </w:tc>
        <w:tc>
          <w:tcPr>
            <w:tcW w:w="143" w:type="pct"/>
          </w:tcPr>
          <w:p w:rsidR="006E4832" w:rsidRPr="00DB5669" w:rsidRDefault="006E4832" w:rsidP="00FA0110">
            <w:pPr>
              <w:pStyle w:val="Textpoznpodarou"/>
              <w:jc w:val="both"/>
              <w:rPr>
                <w:lang w:val="en-GB"/>
              </w:rPr>
            </w:pPr>
          </w:p>
        </w:tc>
        <w:tc>
          <w:tcPr>
            <w:tcW w:w="3803" w:type="pct"/>
          </w:tcPr>
          <w:p w:rsidR="006E4832" w:rsidRPr="008C509E" w:rsidRDefault="006E4832" w:rsidP="00FA0110">
            <w:pPr>
              <w:pStyle w:val="Textpoznpodarou"/>
              <w:jc w:val="both"/>
              <w:rPr>
                <w:lang w:val="en-GB"/>
              </w:rPr>
            </w:pPr>
            <w:r w:rsidRPr="008C509E">
              <w:rPr>
                <w:lang w:val="en-GB"/>
              </w:rPr>
              <w:t xml:space="preserve">Import of goods became cheaper by 1.9% in 2015, despite the crown foreign exchange development. The crown did strengthen mildly against the euro (by 0.9%), which worked in the direction of decrease of prices, however it weakened against the US dollar by extraordinary 18.5%. The fall of import prices was the consequence of the lower price of oil and decreasing prices in manufacturing in the euro area. Prices of mineral fuels decreased by nearly one quarter (-23.8%), </w:t>
            </w:r>
            <w:r w:rsidRPr="008C509E">
              <w:rPr>
                <w:spacing w:val="4"/>
                <w:lang w:val="en-GB"/>
              </w:rPr>
              <w:t>crude materials by 9.2% and chemicals by 3.1%. The beverages and tobacco</w:t>
            </w:r>
            <w:r w:rsidRPr="008C509E">
              <w:rPr>
                <w:lang w:val="en-GB"/>
              </w:rPr>
              <w:t xml:space="preserve"> (-0.7%) and manufactured goods (-0.4%) were also imported for lower prices into the CR than in 2014. It was the fall of the import prices that was the primary source of deflation in industry (and “leaked” also into the consumer prices). The dynamics in individual quarters also suggests this, since it was worse in the second half of the year, similarly to the industrial producer prices. The prices of imported goods into the CR decreased year-on-year by 1.5% in Q1 2015 and </w:t>
            </w:r>
            <w:r w:rsidRPr="00AA0F37">
              <w:rPr>
                <w:spacing w:val="-2"/>
                <w:lang w:val="en-GB"/>
              </w:rPr>
              <w:t>stagnated in Q2. However, they decreased by 2.6% in Q3 and even by 3.8% in Q4.</w:t>
            </w:r>
          </w:p>
          <w:p w:rsidR="006E4832" w:rsidRPr="00AA0F37" w:rsidRDefault="006E4832" w:rsidP="00FA0110">
            <w:pPr>
              <w:pStyle w:val="Textpoznpodarou"/>
              <w:jc w:val="both"/>
              <w:rPr>
                <w:spacing w:val="-2"/>
                <w:sz w:val="18"/>
                <w:szCs w:val="18"/>
                <w:lang w:val="en-GB"/>
              </w:rPr>
            </w:pPr>
          </w:p>
        </w:tc>
      </w:tr>
      <w:tr w:rsidR="006E4832" w:rsidRPr="007D44C3" w:rsidTr="00FA0110">
        <w:tc>
          <w:tcPr>
            <w:tcW w:w="1054" w:type="pct"/>
          </w:tcPr>
          <w:p w:rsidR="006E4832" w:rsidRPr="004B6EC5" w:rsidRDefault="006E4832" w:rsidP="00FA0110">
            <w:pPr>
              <w:spacing w:line="240" w:lineRule="auto"/>
              <w:rPr>
                <w:sz w:val="16"/>
                <w:szCs w:val="16"/>
                <w:lang w:val="en-GB"/>
              </w:rPr>
            </w:pPr>
            <w:r w:rsidRPr="004B6EC5">
              <w:rPr>
                <w:sz w:val="16"/>
                <w:szCs w:val="16"/>
                <w:lang w:val="en-GB"/>
              </w:rPr>
              <w:t>The price level lowered also on the side of exports, however slightly slower compared to imports …</w:t>
            </w:r>
          </w:p>
        </w:tc>
        <w:tc>
          <w:tcPr>
            <w:tcW w:w="143" w:type="pct"/>
          </w:tcPr>
          <w:p w:rsidR="006E4832" w:rsidRPr="004B6EC5" w:rsidRDefault="006E4832" w:rsidP="00FA0110">
            <w:pPr>
              <w:pStyle w:val="Textpoznpodarou"/>
              <w:jc w:val="both"/>
              <w:rPr>
                <w:lang w:val="en-GB"/>
              </w:rPr>
            </w:pPr>
          </w:p>
        </w:tc>
        <w:tc>
          <w:tcPr>
            <w:tcW w:w="3803" w:type="pct"/>
          </w:tcPr>
          <w:p w:rsidR="006E4832" w:rsidRDefault="006E4832" w:rsidP="00FA0110">
            <w:pPr>
              <w:pStyle w:val="Textpoznpodarou"/>
              <w:jc w:val="both"/>
              <w:rPr>
                <w:lang w:val="en-GB"/>
              </w:rPr>
            </w:pPr>
            <w:r w:rsidRPr="004B6EC5">
              <w:rPr>
                <w:lang w:val="en-GB"/>
              </w:rPr>
              <w:t>The prices of exports of go</w:t>
            </w:r>
            <w:r>
              <w:rPr>
                <w:lang w:val="en-GB"/>
              </w:rPr>
              <w:t>o</w:t>
            </w:r>
            <w:r w:rsidRPr="004B6EC5">
              <w:rPr>
                <w:lang w:val="en-GB"/>
              </w:rPr>
              <w:t>ds fell by 1.</w:t>
            </w:r>
            <w:r>
              <w:rPr>
                <w:lang w:val="en-GB"/>
              </w:rPr>
              <w:t>7</w:t>
            </w:r>
            <w:r w:rsidRPr="004B6EC5">
              <w:rPr>
                <w:lang w:val="en-GB"/>
              </w:rPr>
              <w:t>% in the la</w:t>
            </w:r>
            <w:r>
              <w:rPr>
                <w:lang w:val="en-GB"/>
              </w:rPr>
              <w:t>s</w:t>
            </w:r>
            <w:r w:rsidRPr="004B6EC5">
              <w:rPr>
                <w:lang w:val="en-GB"/>
              </w:rPr>
              <w:t xml:space="preserve">t year. </w:t>
            </w:r>
            <w:r w:rsidRPr="00647505">
              <w:rPr>
                <w:lang w:val="en-GB"/>
              </w:rPr>
              <w:t xml:space="preserve">All SITC </w:t>
            </w:r>
            <w:r>
              <w:rPr>
                <w:lang w:val="en-GB"/>
              </w:rPr>
              <w:t xml:space="preserve">sections </w:t>
            </w:r>
            <w:r w:rsidRPr="00647505">
              <w:rPr>
                <w:lang w:val="en-GB"/>
              </w:rPr>
              <w:t>were exported abroad for lower prices except for beverages and tobacco (+3.</w:t>
            </w:r>
            <w:r>
              <w:rPr>
                <w:lang w:val="en-GB"/>
              </w:rPr>
              <w:t>1</w:t>
            </w:r>
            <w:r w:rsidRPr="00647505">
              <w:rPr>
                <w:lang w:val="en-GB"/>
              </w:rPr>
              <w:t>%)</w:t>
            </w:r>
            <w:r>
              <w:rPr>
                <w:lang w:val="en-GB"/>
              </w:rPr>
              <w:t>, which hold low</w:t>
            </w:r>
            <w:r w:rsidRPr="00647505">
              <w:rPr>
                <w:lang w:val="en-GB"/>
              </w:rPr>
              <w:t xml:space="preserve"> weight in the total. Prices of machinery and transport </w:t>
            </w:r>
            <w:r>
              <w:rPr>
                <w:lang w:val="en-GB"/>
              </w:rPr>
              <w:t>equipment</w:t>
            </w:r>
            <w:r w:rsidRPr="00647505">
              <w:rPr>
                <w:lang w:val="en-GB"/>
              </w:rPr>
              <w:t xml:space="preserve"> decreased </w:t>
            </w:r>
            <w:r>
              <w:rPr>
                <w:lang w:val="en-GB"/>
              </w:rPr>
              <w:t xml:space="preserve">by </w:t>
            </w:r>
            <w:r w:rsidRPr="00647505">
              <w:rPr>
                <w:lang w:val="en-GB"/>
              </w:rPr>
              <w:t>0.</w:t>
            </w:r>
            <w:r>
              <w:rPr>
                <w:lang w:val="en-GB"/>
              </w:rPr>
              <w:t>4</w:t>
            </w:r>
            <w:r w:rsidRPr="00647505">
              <w:rPr>
                <w:lang w:val="en-GB"/>
              </w:rPr>
              <w:t xml:space="preserve">%, </w:t>
            </w:r>
            <w:r>
              <w:rPr>
                <w:lang w:val="en-GB"/>
              </w:rPr>
              <w:t>manufactured goods</w:t>
            </w:r>
            <w:r w:rsidRPr="00647505">
              <w:rPr>
                <w:lang w:val="en-GB"/>
              </w:rPr>
              <w:t xml:space="preserve"> were cheaper by 1.</w:t>
            </w:r>
            <w:r>
              <w:rPr>
                <w:lang w:val="en-GB"/>
              </w:rPr>
              <w:t>6</w:t>
            </w:r>
            <w:r w:rsidRPr="00647505">
              <w:rPr>
                <w:lang w:val="en-GB"/>
              </w:rPr>
              <w:t xml:space="preserve">% and </w:t>
            </w:r>
            <w:r>
              <w:rPr>
                <w:lang w:val="en-GB"/>
              </w:rPr>
              <w:t>miscellaneous manufactured articles</w:t>
            </w:r>
            <w:r w:rsidRPr="00647505">
              <w:rPr>
                <w:lang w:val="en-GB"/>
              </w:rPr>
              <w:t xml:space="preserve"> by 0.</w:t>
            </w:r>
            <w:r>
              <w:rPr>
                <w:lang w:val="en-GB"/>
              </w:rPr>
              <w:t>3</w:t>
            </w:r>
            <w:r w:rsidRPr="00647505">
              <w:rPr>
                <w:lang w:val="en-GB"/>
              </w:rPr>
              <w:t xml:space="preserve">%. </w:t>
            </w:r>
            <w:r>
              <w:rPr>
                <w:lang w:val="en-GB"/>
              </w:rPr>
              <w:t>The drop of</w:t>
            </w:r>
            <w:r w:rsidRPr="00647505">
              <w:rPr>
                <w:lang w:val="en-GB"/>
              </w:rPr>
              <w:t xml:space="preserve"> prices of mineral fuels was</w:t>
            </w:r>
            <w:r w:rsidRPr="004B6EC5">
              <w:rPr>
                <w:lang w:val="en-GB"/>
              </w:rPr>
              <w:t xml:space="preserve"> deep (-12.</w:t>
            </w:r>
            <w:r>
              <w:rPr>
                <w:lang w:val="en-GB"/>
              </w:rPr>
              <w:t>6</w:t>
            </w:r>
            <w:r w:rsidRPr="004B6EC5">
              <w:rPr>
                <w:lang w:val="en-GB"/>
              </w:rPr>
              <w:t xml:space="preserve">%), however not as much as on the import side. It is logical, as the </w:t>
            </w:r>
            <w:r>
              <w:rPr>
                <w:lang w:val="en-GB"/>
              </w:rPr>
              <w:t xml:space="preserve">weight </w:t>
            </w:r>
            <w:r w:rsidRPr="004B6EC5">
              <w:rPr>
                <w:lang w:val="en-GB"/>
              </w:rPr>
              <w:t>of the trade with oil and oil pro</w:t>
            </w:r>
            <w:r>
              <w:rPr>
                <w:lang w:val="en-GB"/>
              </w:rPr>
              <w:t>ducts has</w:t>
            </w:r>
            <w:r w:rsidRPr="004B6EC5">
              <w:rPr>
                <w:lang w:val="en-GB"/>
              </w:rPr>
              <w:t xml:space="preserve"> a lower share on exports than </w:t>
            </w:r>
            <w:r w:rsidRPr="008C509E">
              <w:rPr>
                <w:spacing w:val="-4"/>
                <w:lang w:val="en-GB"/>
              </w:rPr>
              <w:t>on imports and thus the fall of prices of this commodity affected more the import</w:t>
            </w:r>
            <w:r w:rsidRPr="004B6EC5">
              <w:rPr>
                <w:lang w:val="en-GB"/>
              </w:rPr>
              <w:t xml:space="preserve"> side.</w:t>
            </w:r>
          </w:p>
          <w:p w:rsidR="00AA0F37" w:rsidRPr="004B6EC5" w:rsidRDefault="00AA0F37" w:rsidP="00FA0110">
            <w:pPr>
              <w:pStyle w:val="Textpoznpodarou"/>
              <w:jc w:val="both"/>
              <w:rPr>
                <w:lang w:val="en-GB"/>
              </w:rPr>
            </w:pPr>
          </w:p>
        </w:tc>
      </w:tr>
      <w:tr w:rsidR="006E4832" w:rsidRPr="007D44C3" w:rsidTr="00FA0110">
        <w:tc>
          <w:tcPr>
            <w:tcW w:w="1054" w:type="pct"/>
          </w:tcPr>
          <w:p w:rsidR="006E4832" w:rsidRPr="00F01A31" w:rsidRDefault="006E4832" w:rsidP="00FA0110">
            <w:pPr>
              <w:spacing w:line="240" w:lineRule="auto"/>
              <w:rPr>
                <w:sz w:val="16"/>
                <w:szCs w:val="16"/>
                <w:lang w:val="en-GB"/>
              </w:rPr>
            </w:pPr>
            <w:r w:rsidRPr="00F01A31">
              <w:rPr>
                <w:sz w:val="16"/>
                <w:szCs w:val="16"/>
                <w:lang w:val="en-GB"/>
              </w:rPr>
              <w:t>… and terms of trade remained positive for a third year in a row</w:t>
            </w:r>
          </w:p>
          <w:p w:rsidR="006E4832" w:rsidRPr="00F01A31" w:rsidRDefault="006E4832" w:rsidP="00FA0110">
            <w:pPr>
              <w:spacing w:line="240" w:lineRule="auto"/>
              <w:rPr>
                <w:sz w:val="16"/>
                <w:szCs w:val="16"/>
                <w:lang w:val="en-GB"/>
              </w:rPr>
            </w:pPr>
          </w:p>
        </w:tc>
        <w:tc>
          <w:tcPr>
            <w:tcW w:w="143" w:type="pct"/>
          </w:tcPr>
          <w:p w:rsidR="006E4832" w:rsidRPr="00F01A31" w:rsidRDefault="006E4832" w:rsidP="00FA0110">
            <w:pPr>
              <w:pStyle w:val="Textpoznpodarou"/>
              <w:jc w:val="both"/>
              <w:rPr>
                <w:lang w:val="en-GB"/>
              </w:rPr>
            </w:pPr>
          </w:p>
        </w:tc>
        <w:tc>
          <w:tcPr>
            <w:tcW w:w="3803" w:type="pct"/>
          </w:tcPr>
          <w:p w:rsidR="006E4832" w:rsidRPr="00F01A31" w:rsidRDefault="006E4832" w:rsidP="00FA0110">
            <w:pPr>
              <w:pStyle w:val="Textpoznpodarou"/>
              <w:jc w:val="both"/>
              <w:rPr>
                <w:lang w:val="en-GB"/>
              </w:rPr>
            </w:pPr>
            <w:r w:rsidRPr="00F01A31">
              <w:rPr>
                <w:lang w:val="en-GB"/>
              </w:rPr>
              <w:t>Terms of trade in the foreign trade with goods remained positive. The size of additional profits of the Czech economy flo</w:t>
            </w:r>
            <w:r>
              <w:rPr>
                <w:lang w:val="en-GB"/>
              </w:rPr>
              <w:t>w</w:t>
            </w:r>
            <w:r w:rsidRPr="00F01A31">
              <w:rPr>
                <w:lang w:val="en-GB"/>
              </w:rPr>
              <w:t xml:space="preserve">ing from the favourable development of prices however considerably shrank compared to years 2013 and 2014, since </w:t>
            </w:r>
            <w:r w:rsidRPr="00F01A31">
              <w:rPr>
                <w:lang w:val="en-GB"/>
              </w:rPr>
              <w:lastRenderedPageBreak/>
              <w:t>the value of terms of trade fell from 101.</w:t>
            </w:r>
            <w:r>
              <w:rPr>
                <w:lang w:val="en-GB"/>
              </w:rPr>
              <w:t>4</w:t>
            </w:r>
            <w:r w:rsidRPr="00F01A31">
              <w:rPr>
                <w:lang w:val="en-GB"/>
              </w:rPr>
              <w:t>% and 101.</w:t>
            </w:r>
            <w:r>
              <w:rPr>
                <w:lang w:val="en-GB"/>
              </w:rPr>
              <w:t>6</w:t>
            </w:r>
            <w:r w:rsidRPr="00F01A31">
              <w:rPr>
                <w:lang w:val="en-GB"/>
              </w:rPr>
              <w:t>% to mere 100.</w:t>
            </w:r>
            <w:r>
              <w:rPr>
                <w:lang w:val="en-GB"/>
              </w:rPr>
              <w:t>2</w:t>
            </w:r>
            <w:r w:rsidRPr="00F01A31">
              <w:rPr>
                <w:lang w:val="en-GB"/>
              </w:rPr>
              <w:t xml:space="preserve">%. Given the individual SITC </w:t>
            </w:r>
            <w:r>
              <w:rPr>
                <w:lang w:val="en-GB"/>
              </w:rPr>
              <w:t>sections</w:t>
            </w:r>
            <w:r w:rsidRPr="00F01A31">
              <w:rPr>
                <w:lang w:val="en-GB"/>
              </w:rPr>
              <w:t>, the terms of trade were hi</w:t>
            </w:r>
            <w:r>
              <w:rPr>
                <w:lang w:val="en-GB"/>
              </w:rPr>
              <w:t>ghly positive for the mineral fue</w:t>
            </w:r>
            <w:r w:rsidRPr="00F01A31">
              <w:rPr>
                <w:lang w:val="en-GB"/>
              </w:rPr>
              <w:t>ls (114.</w:t>
            </w:r>
            <w:r>
              <w:rPr>
                <w:lang w:val="en-GB"/>
              </w:rPr>
              <w:t>7</w:t>
            </w:r>
            <w:r w:rsidRPr="00F01A31">
              <w:rPr>
                <w:lang w:val="en-GB"/>
              </w:rPr>
              <w:t>%) in the la</w:t>
            </w:r>
            <w:r>
              <w:rPr>
                <w:lang w:val="en-GB"/>
              </w:rPr>
              <w:t>s</w:t>
            </w:r>
            <w:r w:rsidRPr="00F01A31">
              <w:rPr>
                <w:lang w:val="en-GB"/>
              </w:rPr>
              <w:t xml:space="preserve">t year, further however only in case of beverages and tobacco </w:t>
            </w:r>
            <w:r w:rsidRPr="00F01A31">
              <w:rPr>
                <w:spacing w:val="-2"/>
                <w:lang w:val="en-GB"/>
              </w:rPr>
              <w:t>(103.</w:t>
            </w:r>
            <w:r>
              <w:rPr>
                <w:spacing w:val="-2"/>
                <w:lang w:val="en-GB"/>
              </w:rPr>
              <w:t>8</w:t>
            </w:r>
            <w:r w:rsidRPr="00F01A31">
              <w:rPr>
                <w:spacing w:val="-2"/>
                <w:lang w:val="en-GB"/>
              </w:rPr>
              <w:t xml:space="preserve">%) and </w:t>
            </w:r>
            <w:r>
              <w:rPr>
                <w:spacing w:val="-2"/>
                <w:lang w:val="en-GB"/>
              </w:rPr>
              <w:t>crude materials</w:t>
            </w:r>
            <w:r w:rsidRPr="00F01A31">
              <w:rPr>
                <w:spacing w:val="-2"/>
                <w:lang w:val="en-GB"/>
              </w:rPr>
              <w:t xml:space="preserve"> (101.5</w:t>
            </w:r>
            <w:r w:rsidRPr="00F01A31">
              <w:rPr>
                <w:lang w:val="en-GB"/>
              </w:rPr>
              <w:t>%).</w:t>
            </w:r>
          </w:p>
        </w:tc>
      </w:tr>
    </w:tbl>
    <w:p w:rsidR="00977343" w:rsidRPr="00FA0110" w:rsidRDefault="00977343" w:rsidP="007B6A6B">
      <w:pPr>
        <w:pStyle w:val="Textpoznpodarou"/>
        <w:rPr>
          <w:color w:val="000000"/>
          <w:sz w:val="16"/>
          <w:szCs w:val="16"/>
          <w:lang w:val="en-GB"/>
        </w:rPr>
      </w:pPr>
    </w:p>
    <w:tbl>
      <w:tblPr>
        <w:tblW w:w="5000" w:type="pct"/>
        <w:tblLook w:val="04A0"/>
      </w:tblPr>
      <w:tblGrid>
        <w:gridCol w:w="820"/>
        <w:gridCol w:w="4107"/>
        <w:gridCol w:w="1136"/>
        <w:gridCol w:w="3791"/>
      </w:tblGrid>
      <w:tr w:rsidR="006E4832" w:rsidRPr="005819C0" w:rsidTr="00FA0110">
        <w:tc>
          <w:tcPr>
            <w:tcW w:w="415" w:type="pct"/>
          </w:tcPr>
          <w:p w:rsidR="006E4832" w:rsidRPr="005819C0" w:rsidRDefault="006E4832" w:rsidP="00FA0110">
            <w:pPr>
              <w:pStyle w:val="Textpoznpodarou"/>
            </w:pPr>
            <w:r>
              <w:t xml:space="preserve">Chart </w:t>
            </w:r>
            <w:r w:rsidRPr="005819C0">
              <w:t>11</w:t>
            </w:r>
          </w:p>
        </w:tc>
        <w:tc>
          <w:tcPr>
            <w:tcW w:w="2085" w:type="pct"/>
          </w:tcPr>
          <w:p w:rsidR="006E4832" w:rsidRPr="005819C0" w:rsidRDefault="006E4832" w:rsidP="00FA0110">
            <w:pPr>
              <w:pStyle w:val="Textpoznpodarou"/>
            </w:pPr>
            <w:r>
              <w:rPr>
                <w:b/>
                <w:lang w:val="en-GB"/>
              </w:rPr>
              <w:t>C</w:t>
            </w:r>
            <w:r w:rsidRPr="005E0476">
              <w:rPr>
                <w:b/>
                <w:lang w:val="en-GB"/>
              </w:rPr>
              <w:t xml:space="preserve">onsumer prices for individual types of households </w:t>
            </w:r>
            <w:r w:rsidRPr="005819C0">
              <w:t xml:space="preserve">(y/y </w:t>
            </w:r>
            <w:r>
              <w:t>in</w:t>
            </w:r>
            <w:r w:rsidRPr="005819C0">
              <w:t xml:space="preserve"> %)</w:t>
            </w:r>
          </w:p>
        </w:tc>
        <w:tc>
          <w:tcPr>
            <w:tcW w:w="576" w:type="pct"/>
          </w:tcPr>
          <w:p w:rsidR="006E4832" w:rsidRPr="005819C0" w:rsidRDefault="006E4832" w:rsidP="00FA0110">
            <w:pPr>
              <w:pStyle w:val="Textpoznpodarou"/>
            </w:pPr>
            <w:r>
              <w:t xml:space="preserve">Chart </w:t>
            </w:r>
            <w:r w:rsidRPr="005819C0">
              <w:t>12</w:t>
            </w:r>
          </w:p>
        </w:tc>
        <w:tc>
          <w:tcPr>
            <w:tcW w:w="1924" w:type="pct"/>
          </w:tcPr>
          <w:p w:rsidR="006E4832" w:rsidRPr="005819C0" w:rsidRDefault="006E4832" w:rsidP="00FA0110">
            <w:pPr>
              <w:pStyle w:val="Textpoznpodarou"/>
            </w:pPr>
            <w:r>
              <w:rPr>
                <w:b/>
                <w:lang w:val="en-GB"/>
              </w:rPr>
              <w:t>P</w:t>
            </w:r>
            <w:r w:rsidRPr="005E0476">
              <w:rPr>
                <w:b/>
                <w:lang w:val="en-GB"/>
              </w:rPr>
              <w:t>rices in selected CPI</w:t>
            </w:r>
            <w:r w:rsidRPr="005E0476">
              <w:rPr>
                <w:lang w:val="en-GB"/>
              </w:rPr>
              <w:t xml:space="preserve"> </w:t>
            </w:r>
            <w:r w:rsidRPr="005E0476">
              <w:rPr>
                <w:b/>
                <w:lang w:val="en-GB"/>
              </w:rPr>
              <w:t>divisions</w:t>
            </w:r>
            <w:r w:rsidRPr="005E0476">
              <w:rPr>
                <w:lang w:val="en-GB"/>
              </w:rPr>
              <w:t xml:space="preserve"> </w:t>
            </w:r>
            <w:r w:rsidRPr="005819C0">
              <w:t>(y/y </w:t>
            </w:r>
            <w:r>
              <w:t>in</w:t>
            </w:r>
            <w:r w:rsidRPr="005819C0">
              <w:t xml:space="preserve"> %)</w:t>
            </w:r>
          </w:p>
        </w:tc>
      </w:tr>
      <w:tr w:rsidR="006E4832" w:rsidRPr="005819C0" w:rsidTr="00FA0110">
        <w:tc>
          <w:tcPr>
            <w:tcW w:w="2500" w:type="pct"/>
            <w:gridSpan w:val="2"/>
          </w:tcPr>
          <w:p w:rsidR="006E4832" w:rsidRPr="005819C0" w:rsidRDefault="006E4832" w:rsidP="00FA0110">
            <w:pPr>
              <w:pStyle w:val="Textpoznpodarou"/>
              <w:jc w:val="both"/>
            </w:pPr>
            <w:r w:rsidRPr="00680B3B">
              <w:rPr>
                <w:noProof/>
              </w:rPr>
              <w:drawing>
                <wp:inline distT="0" distB="0" distL="0" distR="0">
                  <wp:extent cx="3005455" cy="2371725"/>
                  <wp:effectExtent l="19050" t="0" r="4445" b="0"/>
                  <wp:docPr id="4"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3005455" cy="2371725"/>
                          </a:xfrm>
                          <a:prstGeom prst="rect">
                            <a:avLst/>
                          </a:prstGeom>
                          <a:noFill/>
                        </pic:spPr>
                      </pic:pic>
                    </a:graphicData>
                  </a:graphic>
                </wp:inline>
              </w:drawing>
            </w:r>
          </w:p>
        </w:tc>
        <w:tc>
          <w:tcPr>
            <w:tcW w:w="2500" w:type="pct"/>
            <w:gridSpan w:val="2"/>
          </w:tcPr>
          <w:p w:rsidR="006E4832" w:rsidRPr="005819C0" w:rsidRDefault="006E4832" w:rsidP="00FA0110">
            <w:pPr>
              <w:pStyle w:val="Textpoznpodarou"/>
              <w:jc w:val="both"/>
            </w:pPr>
            <w:r w:rsidRPr="00680B3B">
              <w:rPr>
                <w:noProof/>
              </w:rPr>
              <w:drawing>
                <wp:inline distT="0" distB="0" distL="0" distR="0">
                  <wp:extent cx="3005455" cy="2371725"/>
                  <wp:effectExtent l="19050" t="0" r="4445" b="0"/>
                  <wp:docPr id="5"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3005455" cy="2371725"/>
                          </a:xfrm>
                          <a:prstGeom prst="rect">
                            <a:avLst/>
                          </a:prstGeom>
                          <a:noFill/>
                        </pic:spPr>
                      </pic:pic>
                    </a:graphicData>
                  </a:graphic>
                </wp:inline>
              </w:drawing>
            </w:r>
          </w:p>
        </w:tc>
      </w:tr>
      <w:tr w:rsidR="006E4832" w:rsidRPr="005819C0" w:rsidTr="00FA0110">
        <w:tc>
          <w:tcPr>
            <w:tcW w:w="5000" w:type="pct"/>
            <w:gridSpan w:val="4"/>
          </w:tcPr>
          <w:p w:rsidR="006E4832" w:rsidRPr="005819C0" w:rsidRDefault="006E4832" w:rsidP="00FA0110">
            <w:pPr>
              <w:pStyle w:val="Textpoznpodarou"/>
              <w:jc w:val="right"/>
              <w:rPr>
                <w:noProof/>
              </w:rPr>
            </w:pPr>
            <w:proofErr w:type="spellStart"/>
            <w:r>
              <w:rPr>
                <w:sz w:val="18"/>
                <w:szCs w:val="18"/>
              </w:rPr>
              <w:t>Source</w:t>
            </w:r>
            <w:proofErr w:type="spellEnd"/>
            <w:r w:rsidRPr="005819C0">
              <w:rPr>
                <w:sz w:val="18"/>
                <w:szCs w:val="18"/>
              </w:rPr>
              <w:t xml:space="preserve">: </w:t>
            </w:r>
            <w:r>
              <w:rPr>
                <w:sz w:val="18"/>
                <w:szCs w:val="18"/>
              </w:rPr>
              <w:t>CZSO</w:t>
            </w:r>
          </w:p>
        </w:tc>
      </w:tr>
    </w:tbl>
    <w:p w:rsidR="00977343" w:rsidRPr="00FA0110" w:rsidRDefault="00977343" w:rsidP="007B6A6B">
      <w:pPr>
        <w:pStyle w:val="Textpoznpodarou"/>
        <w:rPr>
          <w:color w:val="000000"/>
          <w:sz w:val="16"/>
          <w:szCs w:val="16"/>
          <w:lang w:val="en-GB"/>
        </w:rPr>
      </w:pPr>
    </w:p>
    <w:tbl>
      <w:tblPr>
        <w:tblW w:w="5000" w:type="pct"/>
        <w:tblLook w:val="04A0"/>
      </w:tblPr>
      <w:tblGrid>
        <w:gridCol w:w="1107"/>
        <w:gridCol w:w="3820"/>
        <w:gridCol w:w="715"/>
        <w:gridCol w:w="4212"/>
      </w:tblGrid>
      <w:tr w:rsidR="006E4832" w:rsidRPr="005819C0" w:rsidTr="006E4832">
        <w:tc>
          <w:tcPr>
            <w:tcW w:w="561" w:type="pct"/>
          </w:tcPr>
          <w:p w:rsidR="006E4832" w:rsidRPr="00C024DA" w:rsidRDefault="006E4832" w:rsidP="00FA0110">
            <w:pPr>
              <w:pStyle w:val="Textpoznpodarou"/>
              <w:rPr>
                <w:lang w:eastAsia="en-US"/>
              </w:rPr>
            </w:pPr>
            <w:r>
              <w:rPr>
                <w:lang w:eastAsia="en-US"/>
              </w:rPr>
              <w:t xml:space="preserve">Chart </w:t>
            </w:r>
            <w:r w:rsidRPr="00C024DA">
              <w:rPr>
                <w:lang w:eastAsia="en-US"/>
              </w:rPr>
              <w:t>13</w:t>
            </w:r>
          </w:p>
        </w:tc>
        <w:tc>
          <w:tcPr>
            <w:tcW w:w="1939" w:type="pct"/>
          </w:tcPr>
          <w:p w:rsidR="006E4832" w:rsidRPr="00C024DA" w:rsidRDefault="006E4832" w:rsidP="00FA0110">
            <w:pPr>
              <w:pStyle w:val="Textpoznpodarou"/>
              <w:rPr>
                <w:lang w:eastAsia="en-US"/>
              </w:rPr>
            </w:pPr>
            <w:proofErr w:type="spellStart"/>
            <w:r w:rsidRPr="00960769">
              <w:rPr>
                <w:b/>
                <w:lang w:eastAsia="en-US"/>
              </w:rPr>
              <w:t>Defl</w:t>
            </w:r>
            <w:r>
              <w:rPr>
                <w:b/>
                <w:lang w:eastAsia="en-US"/>
              </w:rPr>
              <w:t>ators</w:t>
            </w:r>
            <w:proofErr w:type="spellEnd"/>
            <w:r>
              <w:rPr>
                <w:b/>
                <w:lang w:eastAsia="en-US"/>
              </w:rPr>
              <w:t xml:space="preserve"> </w:t>
            </w:r>
            <w:r w:rsidRPr="00C024DA">
              <w:rPr>
                <w:lang w:eastAsia="en-US"/>
              </w:rPr>
              <w:t>(</w:t>
            </w:r>
            <w:r>
              <w:rPr>
                <w:lang w:eastAsia="en-US"/>
              </w:rPr>
              <w:t>not</w:t>
            </w:r>
            <w:r w:rsidRPr="005E0476">
              <w:rPr>
                <w:lang w:val="en-GB" w:eastAsia="en-US"/>
              </w:rPr>
              <w:t xml:space="preserve"> adjusted for seasonal and calendar effects</w:t>
            </w:r>
            <w:r>
              <w:rPr>
                <w:lang w:val="en-GB" w:eastAsia="en-US"/>
              </w:rPr>
              <w:t>,</w:t>
            </w:r>
            <w:r w:rsidRPr="00C024DA">
              <w:rPr>
                <w:lang w:eastAsia="en-US"/>
              </w:rPr>
              <w:t xml:space="preserve"> y/y </w:t>
            </w:r>
            <w:r>
              <w:rPr>
                <w:lang w:eastAsia="en-US"/>
              </w:rPr>
              <w:t>in</w:t>
            </w:r>
            <w:r w:rsidRPr="00C024DA">
              <w:rPr>
                <w:lang w:eastAsia="en-US"/>
              </w:rPr>
              <w:t xml:space="preserve"> %)</w:t>
            </w:r>
          </w:p>
        </w:tc>
        <w:tc>
          <w:tcPr>
            <w:tcW w:w="362" w:type="pct"/>
          </w:tcPr>
          <w:p w:rsidR="006E4832" w:rsidRPr="005819C0" w:rsidRDefault="006E4832" w:rsidP="00FA0110">
            <w:pPr>
              <w:pStyle w:val="Textpoznpodarou"/>
              <w:rPr>
                <w:lang w:eastAsia="en-US"/>
              </w:rPr>
            </w:pPr>
            <w:r>
              <w:rPr>
                <w:lang w:eastAsia="en-US"/>
              </w:rPr>
              <w:t xml:space="preserve">Chart </w:t>
            </w:r>
            <w:r w:rsidRPr="005819C0">
              <w:rPr>
                <w:lang w:eastAsia="en-US"/>
              </w:rPr>
              <w:t>14</w:t>
            </w:r>
          </w:p>
        </w:tc>
        <w:tc>
          <w:tcPr>
            <w:tcW w:w="2138" w:type="pct"/>
          </w:tcPr>
          <w:p w:rsidR="006E4832" w:rsidRPr="005819C0" w:rsidRDefault="006E4832" w:rsidP="00FA0110">
            <w:pPr>
              <w:pStyle w:val="Textpoznpodarou"/>
              <w:rPr>
                <w:lang w:eastAsia="en-US"/>
              </w:rPr>
            </w:pPr>
            <w:r w:rsidRPr="005E0476">
              <w:rPr>
                <w:b/>
                <w:lang w:val="en-GB" w:eastAsia="en-US"/>
              </w:rPr>
              <w:t>Producer prices</w:t>
            </w:r>
            <w:r w:rsidRPr="005E0476">
              <w:rPr>
                <w:lang w:val="en-GB" w:eastAsia="en-US"/>
              </w:rPr>
              <w:t xml:space="preserve"> </w:t>
            </w:r>
            <w:r w:rsidRPr="005819C0">
              <w:rPr>
                <w:lang w:eastAsia="en-US"/>
              </w:rPr>
              <w:t xml:space="preserve">(y/y </w:t>
            </w:r>
            <w:r>
              <w:rPr>
                <w:lang w:eastAsia="en-US"/>
              </w:rPr>
              <w:t>in</w:t>
            </w:r>
            <w:r w:rsidRPr="005819C0">
              <w:rPr>
                <w:lang w:eastAsia="en-US"/>
              </w:rPr>
              <w:t xml:space="preserve"> %, </w:t>
            </w:r>
            <w:r w:rsidRPr="005E0476">
              <w:rPr>
                <w:color w:val="000000" w:themeColor="text1"/>
                <w:lang w:val="en-GB" w:eastAsia="en-US"/>
              </w:rPr>
              <w:t>prices</w:t>
            </w:r>
            <w:r>
              <w:rPr>
                <w:color w:val="000000" w:themeColor="text1"/>
                <w:lang w:val="en-GB" w:eastAsia="en-US"/>
              </w:rPr>
              <w:t xml:space="preserve"> in the agriculture</w:t>
            </w:r>
            <w:r w:rsidRPr="005E0476">
              <w:rPr>
                <w:color w:val="000000" w:themeColor="text1"/>
                <w:lang w:val="en-GB" w:eastAsia="en-US"/>
              </w:rPr>
              <w:t xml:space="preserve"> on the right axis, other on left axis</w:t>
            </w:r>
            <w:r w:rsidRPr="005819C0">
              <w:rPr>
                <w:lang w:eastAsia="en-US"/>
              </w:rPr>
              <w:t>)</w:t>
            </w:r>
          </w:p>
        </w:tc>
      </w:tr>
      <w:tr w:rsidR="006E4832" w:rsidRPr="005819C0" w:rsidTr="006E4832">
        <w:tc>
          <w:tcPr>
            <w:tcW w:w="2500" w:type="pct"/>
            <w:gridSpan w:val="2"/>
          </w:tcPr>
          <w:p w:rsidR="006E4832" w:rsidRPr="005819C0" w:rsidRDefault="006E4832" w:rsidP="00FA0110">
            <w:pPr>
              <w:pStyle w:val="Textpoznpodarou"/>
              <w:jc w:val="both"/>
              <w:rPr>
                <w:lang w:eastAsia="en-US"/>
              </w:rPr>
            </w:pPr>
            <w:r w:rsidRPr="00680B3B">
              <w:rPr>
                <w:noProof/>
              </w:rPr>
              <w:drawing>
                <wp:inline distT="0" distB="0" distL="0" distR="0">
                  <wp:extent cx="3005455" cy="2371725"/>
                  <wp:effectExtent l="19050" t="0" r="4445" b="0"/>
                  <wp:docPr id="6"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3005455" cy="2371725"/>
                          </a:xfrm>
                          <a:prstGeom prst="rect">
                            <a:avLst/>
                          </a:prstGeom>
                          <a:noFill/>
                        </pic:spPr>
                      </pic:pic>
                    </a:graphicData>
                  </a:graphic>
                </wp:inline>
              </w:drawing>
            </w:r>
          </w:p>
        </w:tc>
        <w:tc>
          <w:tcPr>
            <w:tcW w:w="2500" w:type="pct"/>
            <w:gridSpan w:val="2"/>
          </w:tcPr>
          <w:p w:rsidR="006E4832" w:rsidRPr="005819C0" w:rsidRDefault="006E4832" w:rsidP="00FA0110">
            <w:pPr>
              <w:pStyle w:val="Textpoznpodarou"/>
              <w:jc w:val="both"/>
              <w:rPr>
                <w:lang w:eastAsia="en-US"/>
              </w:rPr>
            </w:pPr>
            <w:r w:rsidRPr="00680B3B">
              <w:rPr>
                <w:noProof/>
              </w:rPr>
              <w:drawing>
                <wp:inline distT="0" distB="0" distL="0" distR="0">
                  <wp:extent cx="3005455" cy="2371725"/>
                  <wp:effectExtent l="19050" t="0" r="4445" b="0"/>
                  <wp:docPr id="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3005455" cy="2371725"/>
                          </a:xfrm>
                          <a:prstGeom prst="rect">
                            <a:avLst/>
                          </a:prstGeom>
                          <a:noFill/>
                        </pic:spPr>
                      </pic:pic>
                    </a:graphicData>
                  </a:graphic>
                </wp:inline>
              </w:drawing>
            </w:r>
          </w:p>
        </w:tc>
      </w:tr>
      <w:tr w:rsidR="006E4832" w:rsidRPr="005819C0" w:rsidTr="00FA0110">
        <w:tc>
          <w:tcPr>
            <w:tcW w:w="5000" w:type="pct"/>
            <w:gridSpan w:val="4"/>
          </w:tcPr>
          <w:p w:rsidR="006E4832" w:rsidRPr="00960769" w:rsidRDefault="006E4832" w:rsidP="00FA0110">
            <w:pPr>
              <w:pStyle w:val="Textpoznpodarou"/>
              <w:jc w:val="right"/>
              <w:rPr>
                <w:sz w:val="18"/>
                <w:szCs w:val="18"/>
                <w:lang w:eastAsia="en-US"/>
              </w:rPr>
            </w:pPr>
            <w:proofErr w:type="spellStart"/>
            <w:r>
              <w:rPr>
                <w:sz w:val="18"/>
                <w:szCs w:val="18"/>
                <w:lang w:eastAsia="en-US"/>
              </w:rPr>
              <w:t>Source</w:t>
            </w:r>
            <w:proofErr w:type="spellEnd"/>
            <w:r w:rsidRPr="00960769">
              <w:rPr>
                <w:sz w:val="18"/>
                <w:szCs w:val="18"/>
                <w:lang w:eastAsia="en-US"/>
              </w:rPr>
              <w:t xml:space="preserve">: </w:t>
            </w:r>
            <w:r>
              <w:rPr>
                <w:sz w:val="18"/>
                <w:szCs w:val="18"/>
                <w:lang w:eastAsia="en-US"/>
              </w:rPr>
              <w:t>CZSO</w:t>
            </w:r>
          </w:p>
        </w:tc>
      </w:tr>
    </w:tbl>
    <w:p w:rsidR="00977343" w:rsidRPr="00FA0110" w:rsidRDefault="00977343" w:rsidP="007B6A6B">
      <w:pPr>
        <w:pStyle w:val="Textpoznpodarou"/>
        <w:rPr>
          <w:color w:val="000000"/>
          <w:sz w:val="14"/>
          <w:szCs w:val="14"/>
          <w:lang w:val="en-GB"/>
        </w:rPr>
      </w:pPr>
    </w:p>
    <w:p w:rsidR="00977343" w:rsidRPr="00FA0110" w:rsidRDefault="00977343" w:rsidP="007B6A6B">
      <w:pPr>
        <w:pStyle w:val="Textpoznpodarou"/>
        <w:rPr>
          <w:color w:val="000000"/>
          <w:sz w:val="14"/>
          <w:szCs w:val="14"/>
          <w:lang w:val="en-GB"/>
        </w:rPr>
      </w:pPr>
    </w:p>
    <w:p w:rsidR="007D4281" w:rsidRPr="000732DB" w:rsidRDefault="00451DCC" w:rsidP="006D142E">
      <w:pPr>
        <w:pStyle w:val="Nadpis1"/>
        <w:numPr>
          <w:ilvl w:val="0"/>
          <w:numId w:val="3"/>
        </w:numPr>
        <w:jc w:val="both"/>
      </w:pPr>
      <w:bookmarkStart w:id="7" w:name="_Toc449604561"/>
      <w:r>
        <w:t>Labour Market</w:t>
      </w:r>
      <w:bookmarkEnd w:id="7"/>
    </w:p>
    <w:tbl>
      <w:tblPr>
        <w:tblW w:w="5000" w:type="pct"/>
        <w:tblCellMar>
          <w:left w:w="28" w:type="dxa"/>
          <w:right w:w="28" w:type="dxa"/>
        </w:tblCellMar>
        <w:tblLook w:val="04A0"/>
      </w:tblPr>
      <w:tblGrid>
        <w:gridCol w:w="2044"/>
        <w:gridCol w:w="275"/>
        <w:gridCol w:w="7375"/>
      </w:tblGrid>
      <w:tr w:rsidR="00FA0110" w:rsidTr="00FA0110">
        <w:tc>
          <w:tcPr>
            <w:tcW w:w="1054" w:type="pct"/>
          </w:tcPr>
          <w:p w:rsidR="00FA0110" w:rsidRPr="00F01A31" w:rsidRDefault="00FA0110" w:rsidP="00FA0110">
            <w:pPr>
              <w:spacing w:line="240" w:lineRule="auto"/>
              <w:rPr>
                <w:sz w:val="16"/>
                <w:szCs w:val="16"/>
                <w:lang w:val="en-GB"/>
              </w:rPr>
            </w:pPr>
            <w:r w:rsidRPr="00F01A31">
              <w:rPr>
                <w:color w:val="0D0D0D" w:themeColor="text1" w:themeTint="F2"/>
                <w:sz w:val="16"/>
                <w:szCs w:val="16"/>
                <w:lang w:val="en-GB"/>
              </w:rPr>
              <w:t>The renewal of confidence in the economy and persisting inflow of orders in key branches led to the fastest g</w:t>
            </w:r>
            <w:r>
              <w:rPr>
                <w:color w:val="0D0D0D" w:themeColor="text1" w:themeTint="F2"/>
                <w:sz w:val="16"/>
                <w:szCs w:val="16"/>
                <w:lang w:val="en-GB"/>
              </w:rPr>
              <w:t>rowth of the number of workers</w:t>
            </w:r>
            <w:r w:rsidRPr="00F01A31">
              <w:rPr>
                <w:color w:val="0D0D0D" w:themeColor="text1" w:themeTint="F2"/>
                <w:sz w:val="16"/>
                <w:szCs w:val="16"/>
                <w:lang w:val="en-GB"/>
              </w:rPr>
              <w:t xml:space="preserve"> after 2008 during the year 2015 </w:t>
            </w:r>
          </w:p>
        </w:tc>
        <w:tc>
          <w:tcPr>
            <w:tcW w:w="142" w:type="pct"/>
          </w:tcPr>
          <w:p w:rsidR="00FA0110" w:rsidRPr="00F01A31" w:rsidRDefault="00FA0110" w:rsidP="00FA0110">
            <w:pPr>
              <w:pStyle w:val="Textpoznpodarou"/>
              <w:jc w:val="both"/>
              <w:rPr>
                <w:lang w:val="en-GB"/>
              </w:rPr>
            </w:pPr>
          </w:p>
        </w:tc>
        <w:tc>
          <w:tcPr>
            <w:tcW w:w="3804" w:type="pct"/>
          </w:tcPr>
          <w:p w:rsidR="00FA0110" w:rsidRDefault="00FA0110" w:rsidP="00FA0110">
            <w:pPr>
              <w:pStyle w:val="Textpoznpodarou"/>
              <w:jc w:val="both"/>
              <w:rPr>
                <w:spacing w:val="-4"/>
                <w:lang w:val="en-GB"/>
              </w:rPr>
            </w:pPr>
            <w:r w:rsidRPr="00F01A31">
              <w:rPr>
                <w:spacing w:val="-4"/>
                <w:lang w:val="en-GB"/>
              </w:rPr>
              <w:t xml:space="preserve">Brisk </w:t>
            </w:r>
            <w:r w:rsidRPr="00F01A31">
              <w:rPr>
                <w:lang w:val="en-GB"/>
              </w:rPr>
              <w:t>growth of the economy was reflected in the strengthening pace of t</w:t>
            </w:r>
            <w:r>
              <w:rPr>
                <w:lang w:val="en-GB"/>
              </w:rPr>
              <w:t>h</w:t>
            </w:r>
            <w:r w:rsidRPr="00F01A31">
              <w:rPr>
                <w:lang w:val="en-GB"/>
              </w:rPr>
              <w:t>e total employment</w:t>
            </w:r>
            <w:r w:rsidRPr="00F01A31">
              <w:rPr>
                <w:rStyle w:val="Znakapoznpodarou"/>
                <w:spacing w:val="-4"/>
                <w:lang w:val="en-GB"/>
              </w:rPr>
              <w:footnoteReference w:id="18"/>
            </w:r>
            <w:r w:rsidRPr="00F01A31">
              <w:rPr>
                <w:lang w:val="en-GB"/>
              </w:rPr>
              <w:t xml:space="preserve">. This was </w:t>
            </w:r>
            <w:r w:rsidRPr="00F01A31">
              <w:rPr>
                <w:spacing w:val="-4"/>
                <w:lang w:val="en-GB"/>
              </w:rPr>
              <w:t>1.</w:t>
            </w:r>
            <w:r>
              <w:rPr>
                <w:spacing w:val="-4"/>
                <w:lang w:val="en-GB"/>
              </w:rPr>
              <w:t>2</w:t>
            </w:r>
            <w:r w:rsidRPr="00F01A31">
              <w:rPr>
                <w:spacing w:val="-4"/>
                <w:lang w:val="en-GB"/>
              </w:rPr>
              <w:t xml:space="preserve">% </w:t>
            </w:r>
            <w:r w:rsidRPr="00F01A31">
              <w:rPr>
                <w:lang w:val="en-GB"/>
              </w:rPr>
              <w:t xml:space="preserve">above the level of the previous year in 2015. High year-on-year additions to employment were recorded in all quarters. There were </w:t>
            </w:r>
            <w:r w:rsidRPr="00F01A31">
              <w:rPr>
                <w:spacing w:val="-4"/>
                <w:lang w:val="en-GB"/>
              </w:rPr>
              <w:t xml:space="preserve">5.2 </w:t>
            </w:r>
            <w:r w:rsidRPr="00F01A31">
              <w:rPr>
                <w:lang w:val="en-GB"/>
              </w:rPr>
              <w:t>mil persons in the position of employed at the end of the year, which was together with year 2008 the most in the history of the independent CR</w:t>
            </w:r>
            <w:r>
              <w:rPr>
                <w:lang w:val="en-GB"/>
              </w:rPr>
              <w:t>. T</w:t>
            </w:r>
            <w:r w:rsidRPr="00F01A31">
              <w:rPr>
                <w:lang w:val="en-GB"/>
              </w:rPr>
              <w:t>he demographic factors also have an effect on the employment in the longer term horizon apart from the effect of the business cycle, mainly the increasing age of retiring and higher participation –</w:t>
            </w:r>
            <w:r w:rsidRPr="00F01A31">
              <w:rPr>
                <w:spacing w:val="-4"/>
                <w:lang w:val="en-GB"/>
              </w:rPr>
              <w:t xml:space="preserve"> especially of </w:t>
            </w:r>
            <w:r w:rsidRPr="008D3C87">
              <w:rPr>
                <w:spacing w:val="-4"/>
                <w:lang w:val="en-GB"/>
              </w:rPr>
              <w:t xml:space="preserve">women </w:t>
            </w:r>
            <w:r w:rsidRPr="008D3C87">
              <w:rPr>
                <w:lang w:val="en-GB"/>
              </w:rPr>
              <w:t>–</w:t>
            </w:r>
            <w:r w:rsidRPr="008D3C87">
              <w:rPr>
                <w:spacing w:val="-4"/>
                <w:lang w:val="en-GB"/>
              </w:rPr>
              <w:t xml:space="preserve"> in the tertiary education.</w:t>
            </w:r>
          </w:p>
          <w:p w:rsidR="00AA0F37" w:rsidRPr="00AA0F37" w:rsidRDefault="00AA0F37" w:rsidP="00FA0110">
            <w:pPr>
              <w:pStyle w:val="Textpoznpodarou"/>
              <w:jc w:val="both"/>
              <w:rPr>
                <w:sz w:val="16"/>
                <w:szCs w:val="16"/>
                <w:lang w:val="en-GB"/>
              </w:rPr>
            </w:pPr>
          </w:p>
        </w:tc>
      </w:tr>
      <w:tr w:rsidR="00FA0110" w:rsidTr="00FA0110">
        <w:tc>
          <w:tcPr>
            <w:tcW w:w="1054" w:type="pct"/>
          </w:tcPr>
          <w:p w:rsidR="00FA0110" w:rsidRPr="008D3C87" w:rsidRDefault="00FA0110" w:rsidP="00FA0110">
            <w:pPr>
              <w:spacing w:line="240" w:lineRule="auto"/>
              <w:rPr>
                <w:color w:val="0D0D0D" w:themeColor="text1" w:themeTint="F2"/>
                <w:sz w:val="16"/>
                <w:szCs w:val="16"/>
                <w:lang w:val="en-GB"/>
              </w:rPr>
            </w:pPr>
            <w:r w:rsidRPr="008D3C87">
              <w:rPr>
                <w:color w:val="0D0D0D" w:themeColor="text1" w:themeTint="F2"/>
                <w:sz w:val="16"/>
                <w:szCs w:val="16"/>
                <w:lang w:val="en-GB"/>
              </w:rPr>
              <w:t xml:space="preserve">While manufacturing was creating positions to a </w:t>
            </w:r>
            <w:r w:rsidRPr="008D3C87">
              <w:rPr>
                <w:color w:val="0D0D0D" w:themeColor="text1" w:themeTint="F2"/>
                <w:sz w:val="16"/>
                <w:szCs w:val="16"/>
                <w:lang w:val="en-GB"/>
              </w:rPr>
              <w:lastRenderedPageBreak/>
              <w:t>higher extent in 2014, the majority of other branches mainly in services also contributed m</w:t>
            </w:r>
            <w:r>
              <w:rPr>
                <w:color w:val="0D0D0D" w:themeColor="text1" w:themeTint="F2"/>
                <w:sz w:val="16"/>
                <w:szCs w:val="16"/>
                <w:lang w:val="en-GB"/>
              </w:rPr>
              <w:t>o</w:t>
            </w:r>
            <w:r w:rsidRPr="008D3C87">
              <w:rPr>
                <w:color w:val="0D0D0D" w:themeColor="text1" w:themeTint="F2"/>
                <w:sz w:val="16"/>
                <w:szCs w:val="16"/>
                <w:lang w:val="en-GB"/>
              </w:rPr>
              <w:t>re the year later</w:t>
            </w:r>
          </w:p>
          <w:p w:rsidR="00FA0110" w:rsidRPr="009720D9" w:rsidRDefault="00FA0110" w:rsidP="00FA0110">
            <w:pPr>
              <w:spacing w:line="240" w:lineRule="auto"/>
              <w:rPr>
                <w:rFonts w:cs="Arial"/>
                <w:bCs/>
                <w:iCs/>
                <w:color w:val="0D0D0D" w:themeColor="text1" w:themeTint="F2"/>
                <w:szCs w:val="20"/>
              </w:rPr>
            </w:pPr>
          </w:p>
        </w:tc>
        <w:tc>
          <w:tcPr>
            <w:tcW w:w="142" w:type="pct"/>
          </w:tcPr>
          <w:p w:rsidR="00FA0110" w:rsidRPr="009720D9" w:rsidRDefault="00FA0110" w:rsidP="00FA0110">
            <w:pPr>
              <w:pStyle w:val="Textpoznpodarou"/>
              <w:jc w:val="both"/>
              <w:rPr>
                <w:color w:val="0D0D0D" w:themeColor="text1" w:themeTint="F2"/>
              </w:rPr>
            </w:pPr>
          </w:p>
        </w:tc>
        <w:tc>
          <w:tcPr>
            <w:tcW w:w="3804" w:type="pct"/>
          </w:tcPr>
          <w:p w:rsidR="00FA0110" w:rsidRPr="008D3C87" w:rsidRDefault="00FA0110" w:rsidP="00FA0110">
            <w:pPr>
              <w:pStyle w:val="Textpoznpodarou"/>
              <w:jc w:val="both"/>
              <w:rPr>
                <w:color w:val="0D0D0D" w:themeColor="text1" w:themeTint="F2"/>
                <w:spacing w:val="-4"/>
                <w:lang w:val="en-GB"/>
              </w:rPr>
            </w:pPr>
            <w:r w:rsidRPr="008D3C87">
              <w:rPr>
                <w:lang w:val="en-GB"/>
              </w:rPr>
              <w:t>While the addition to employment occurred mostly in manufacturing in 2014, services also started to generate job positions to a greater extent a year later. I</w:t>
            </w:r>
            <w:r>
              <w:rPr>
                <w:lang w:val="en-GB"/>
              </w:rPr>
              <w:t xml:space="preserve">t </w:t>
            </w:r>
            <w:r>
              <w:rPr>
                <w:lang w:val="en-GB"/>
              </w:rPr>
              <w:lastRenderedPageBreak/>
              <w:t>was mainly the branch</w:t>
            </w:r>
            <w:r w:rsidRPr="008D3C87">
              <w:rPr>
                <w:lang w:val="en-GB"/>
              </w:rPr>
              <w:t xml:space="preserve"> </w:t>
            </w:r>
            <w:r>
              <w:rPr>
                <w:lang w:val="en-GB"/>
              </w:rPr>
              <w:t>(</w:t>
            </w:r>
            <w:r w:rsidRPr="008D3C87">
              <w:rPr>
                <w:lang w:val="en-GB"/>
              </w:rPr>
              <w:t>significant by weight</w:t>
            </w:r>
            <w:r>
              <w:rPr>
                <w:lang w:val="en-GB"/>
              </w:rPr>
              <w:t>)</w:t>
            </w:r>
            <w:r w:rsidRPr="008D3C87">
              <w:rPr>
                <w:lang w:val="en-GB"/>
              </w:rPr>
              <w:t xml:space="preserve"> including trade, transportation, accommodation and food service activities, where 20 thousand more persons found </w:t>
            </w:r>
            <w:r>
              <w:rPr>
                <w:lang w:val="en-GB"/>
              </w:rPr>
              <w:t>employment</w:t>
            </w:r>
            <w:r w:rsidRPr="008D3C87">
              <w:rPr>
                <w:lang w:val="en-GB"/>
              </w:rPr>
              <w:t xml:space="preserve"> year-on-year (25 thousand p</w:t>
            </w:r>
            <w:r>
              <w:rPr>
                <w:lang w:val="en-GB"/>
              </w:rPr>
              <w:t>ersons in comparison in manufacturing</w:t>
            </w:r>
            <w:r w:rsidRPr="008D3C87">
              <w:rPr>
                <w:lang w:val="en-GB"/>
              </w:rPr>
              <w:t xml:space="preserve">). However, it is important to take into account, that especially the larger companies cover the short term demand fluctuations by hiring agency workers. The still high growth of the number of workers in professional, scientific, technical and administrative activities (by </w:t>
            </w:r>
            <w:r w:rsidRPr="008D3C87">
              <w:rPr>
                <w:color w:val="0D0D0D" w:themeColor="text1" w:themeTint="F2"/>
                <w:spacing w:val="-4"/>
                <w:lang w:val="en-GB"/>
              </w:rPr>
              <w:t>3.</w:t>
            </w:r>
            <w:r>
              <w:rPr>
                <w:color w:val="0D0D0D" w:themeColor="text1" w:themeTint="F2"/>
                <w:spacing w:val="-4"/>
                <w:lang w:val="en-GB"/>
              </w:rPr>
              <w:t>9</w:t>
            </w:r>
            <w:r w:rsidRPr="008D3C87">
              <w:rPr>
                <w:color w:val="0D0D0D" w:themeColor="text1" w:themeTint="F2"/>
                <w:spacing w:val="-4"/>
                <w:lang w:val="en-GB"/>
              </w:rPr>
              <w:t>% in 2015)</w:t>
            </w:r>
            <w:r>
              <w:rPr>
                <w:color w:val="0D0D0D" w:themeColor="text1" w:themeTint="F2"/>
                <w:spacing w:val="-4"/>
                <w:lang w:val="en-GB"/>
              </w:rPr>
              <w:t xml:space="preserve"> </w:t>
            </w:r>
            <w:r w:rsidRPr="00496D92">
              <w:rPr>
                <w:color w:val="0D0D0D" w:themeColor="text1" w:themeTint="F2"/>
                <w:spacing w:val="-4"/>
                <w:lang w:val="en-GB"/>
              </w:rPr>
              <w:t xml:space="preserve">indirectly </w:t>
            </w:r>
            <w:proofErr w:type="gramStart"/>
            <w:r w:rsidRPr="00496D92">
              <w:rPr>
                <w:color w:val="0D0D0D" w:themeColor="text1" w:themeTint="F2"/>
                <w:spacing w:val="-4"/>
                <w:lang w:val="en-GB"/>
              </w:rPr>
              <w:t>suggests,</w:t>
            </w:r>
            <w:proofErr w:type="gramEnd"/>
            <w:r w:rsidRPr="00496D92">
              <w:rPr>
                <w:color w:val="0D0D0D" w:themeColor="text1" w:themeTint="F2"/>
                <w:spacing w:val="-4"/>
                <w:lang w:val="en-GB"/>
              </w:rPr>
              <w:t xml:space="preserve"> that their role is still significant currently</w:t>
            </w:r>
            <w:r>
              <w:rPr>
                <w:rStyle w:val="Znakapoznpodarou"/>
                <w:color w:val="0D0D0D" w:themeColor="text1" w:themeTint="F2"/>
                <w:spacing w:val="-4"/>
                <w:lang w:val="en-GB"/>
              </w:rPr>
              <w:footnoteReference w:id="19"/>
            </w:r>
            <w:r w:rsidRPr="00496D92">
              <w:rPr>
                <w:color w:val="0D0D0D" w:themeColor="text1" w:themeTint="F2"/>
                <w:spacing w:val="-4"/>
                <w:lang w:val="en-GB"/>
              </w:rPr>
              <w:t xml:space="preserve">. </w:t>
            </w:r>
          </w:p>
          <w:p w:rsidR="00FA0110" w:rsidRPr="00906D0C" w:rsidRDefault="00FA0110" w:rsidP="00FA0110">
            <w:pPr>
              <w:pStyle w:val="Textpoznpodarou"/>
              <w:jc w:val="both"/>
              <w:rPr>
                <w:rFonts w:cs="Arial"/>
                <w:color w:val="0D0D0D" w:themeColor="text1" w:themeTint="F2"/>
                <w:spacing w:val="-4"/>
              </w:rPr>
            </w:pPr>
          </w:p>
        </w:tc>
      </w:tr>
      <w:tr w:rsidR="00FA0110" w:rsidTr="00FA0110">
        <w:tc>
          <w:tcPr>
            <w:tcW w:w="1054" w:type="pct"/>
          </w:tcPr>
          <w:p w:rsidR="00FA0110" w:rsidRPr="00A523DF" w:rsidRDefault="00FA0110" w:rsidP="00FA0110">
            <w:pPr>
              <w:spacing w:line="240" w:lineRule="auto"/>
              <w:rPr>
                <w:rFonts w:cs="Arial"/>
                <w:bCs/>
                <w:iCs/>
                <w:color w:val="0D0D0D" w:themeColor="text1" w:themeTint="F2"/>
                <w:spacing w:val="-2"/>
                <w:sz w:val="16"/>
                <w:szCs w:val="16"/>
                <w:lang w:val="en-GB"/>
              </w:rPr>
            </w:pPr>
            <w:r w:rsidRPr="00A523DF">
              <w:rPr>
                <w:rFonts w:cs="Arial"/>
                <w:bCs/>
                <w:iCs/>
                <w:color w:val="0D0D0D" w:themeColor="text1" w:themeTint="F2"/>
                <w:spacing w:val="-2"/>
                <w:sz w:val="16"/>
                <w:szCs w:val="16"/>
                <w:lang w:val="en-GB"/>
              </w:rPr>
              <w:lastRenderedPageBreak/>
              <w:t xml:space="preserve">Prolonged fall of employment in the mining industry continued, more intensive utilisation of the current workforce in the form of overtime work assisted in covering the higher demand in construction </w:t>
            </w:r>
          </w:p>
        </w:tc>
        <w:tc>
          <w:tcPr>
            <w:tcW w:w="142" w:type="pct"/>
          </w:tcPr>
          <w:p w:rsidR="00FA0110" w:rsidRPr="00A523DF" w:rsidRDefault="00FA0110" w:rsidP="00FA0110">
            <w:pPr>
              <w:pStyle w:val="Textpoznpodarou"/>
              <w:jc w:val="both"/>
              <w:rPr>
                <w:color w:val="0D0D0D" w:themeColor="text1" w:themeTint="F2"/>
                <w:lang w:val="en-GB"/>
              </w:rPr>
            </w:pPr>
          </w:p>
        </w:tc>
        <w:tc>
          <w:tcPr>
            <w:tcW w:w="3804" w:type="pct"/>
          </w:tcPr>
          <w:p w:rsidR="00FA0110" w:rsidRPr="00A523DF" w:rsidRDefault="00FA0110" w:rsidP="00FA0110">
            <w:pPr>
              <w:pStyle w:val="Textpoznpodarou"/>
              <w:jc w:val="both"/>
              <w:rPr>
                <w:rFonts w:cs="Arial"/>
                <w:color w:val="0D0D0D" w:themeColor="text1" w:themeTint="F2"/>
                <w:spacing w:val="-4"/>
                <w:lang w:val="en-GB"/>
              </w:rPr>
            </w:pPr>
            <w:r w:rsidRPr="00A523DF">
              <w:rPr>
                <w:rFonts w:cs="Arial"/>
                <w:color w:val="0D0D0D" w:themeColor="text1" w:themeTint="F2"/>
                <w:spacing w:val="-4"/>
                <w:lang w:val="en-GB"/>
              </w:rPr>
              <w:t>Despite the overal</w:t>
            </w:r>
            <w:r>
              <w:rPr>
                <w:rFonts w:cs="Arial"/>
                <w:color w:val="0D0D0D" w:themeColor="text1" w:themeTint="F2"/>
                <w:spacing w:val="-4"/>
                <w:lang w:val="en-GB"/>
              </w:rPr>
              <w:t>l f</w:t>
            </w:r>
            <w:r w:rsidRPr="00A523DF">
              <w:rPr>
                <w:rFonts w:cs="Arial"/>
                <w:color w:val="0D0D0D" w:themeColor="text1" w:themeTint="F2"/>
                <w:spacing w:val="-4"/>
                <w:lang w:val="en-GB"/>
              </w:rPr>
              <w:t>avourable tendencies, branches still existed also in 2015, which were losing the job positions. It was especially construction, where the deep</w:t>
            </w:r>
            <w:r>
              <w:rPr>
                <w:rFonts w:cs="Arial"/>
                <w:color w:val="0D0D0D" w:themeColor="text1" w:themeTint="F2"/>
                <w:spacing w:val="-4"/>
                <w:lang w:val="en-GB"/>
              </w:rPr>
              <w:t xml:space="preserve"> d</w:t>
            </w:r>
            <w:r w:rsidRPr="00A523DF">
              <w:rPr>
                <w:rFonts w:cs="Arial"/>
                <w:color w:val="0D0D0D" w:themeColor="text1" w:themeTint="F2"/>
                <w:spacing w:val="-4"/>
                <w:lang w:val="en-GB"/>
              </w:rPr>
              <w:t>ecreases of employment persisted already the fifth year in a row (lastly by 2.</w:t>
            </w:r>
            <w:r>
              <w:rPr>
                <w:rFonts w:cs="Arial"/>
                <w:color w:val="0D0D0D" w:themeColor="text1" w:themeTint="F2"/>
                <w:spacing w:val="-4"/>
                <w:lang w:val="en-GB"/>
              </w:rPr>
              <w:t>4</w:t>
            </w:r>
            <w:r w:rsidRPr="00A523DF">
              <w:rPr>
                <w:rFonts w:cs="Arial"/>
                <w:color w:val="0D0D0D" w:themeColor="text1" w:themeTint="F2"/>
                <w:spacing w:val="-4"/>
                <w:lang w:val="en-GB"/>
              </w:rPr>
              <w:t>%). Non-manufacturing industrial branches also face difficulties (-0.</w:t>
            </w:r>
            <w:r>
              <w:rPr>
                <w:rFonts w:cs="Arial"/>
                <w:color w:val="0D0D0D" w:themeColor="text1" w:themeTint="F2"/>
                <w:spacing w:val="-4"/>
                <w:lang w:val="en-GB"/>
              </w:rPr>
              <w:t>8</w:t>
            </w:r>
            <w:r w:rsidRPr="00A523DF">
              <w:rPr>
                <w:rFonts w:cs="Arial"/>
                <w:color w:val="0D0D0D" w:themeColor="text1" w:themeTint="F2"/>
                <w:spacing w:val="-4"/>
                <w:lang w:val="en-GB"/>
              </w:rPr>
              <w:t xml:space="preserve">%), mainly the long-time declining mining activities. Employment was falling two years in a row also in the </w:t>
            </w:r>
            <w:r>
              <w:rPr>
                <w:rFonts w:cs="Arial"/>
                <w:color w:val="0D0D0D" w:themeColor="text1" w:themeTint="F2"/>
                <w:spacing w:val="-4"/>
                <w:lang w:val="en-GB"/>
              </w:rPr>
              <w:t>f</w:t>
            </w:r>
            <w:r w:rsidRPr="00A523DF">
              <w:rPr>
                <w:rFonts w:cs="Arial"/>
                <w:color w:val="0D0D0D" w:themeColor="text1" w:themeTint="F2"/>
                <w:spacing w:val="-4"/>
                <w:lang w:val="en-GB"/>
              </w:rPr>
              <w:t>inan</w:t>
            </w:r>
            <w:r>
              <w:rPr>
                <w:rFonts w:cs="Arial"/>
                <w:color w:val="0D0D0D" w:themeColor="text1" w:themeTint="F2"/>
                <w:spacing w:val="-4"/>
                <w:lang w:val="en-GB"/>
              </w:rPr>
              <w:t>cial and insurance activities (</w:t>
            </w:r>
            <w:r w:rsidRPr="00A523DF">
              <w:rPr>
                <w:rFonts w:cs="Arial"/>
                <w:color w:val="0D0D0D" w:themeColor="text1" w:themeTint="F2"/>
                <w:spacing w:val="-4"/>
                <w:lang w:val="en-GB"/>
              </w:rPr>
              <w:t>saving measures were most likely motivated by the effort to ke</w:t>
            </w:r>
            <w:r>
              <w:rPr>
                <w:rFonts w:cs="Arial"/>
                <w:color w:val="0D0D0D" w:themeColor="text1" w:themeTint="F2"/>
                <w:spacing w:val="-4"/>
                <w:lang w:val="en-GB"/>
              </w:rPr>
              <w:t>e</w:t>
            </w:r>
            <w:r w:rsidRPr="00A523DF">
              <w:rPr>
                <w:rFonts w:cs="Arial"/>
                <w:color w:val="0D0D0D" w:themeColor="text1" w:themeTint="F2"/>
                <w:spacing w:val="-4"/>
                <w:lang w:val="en-GB"/>
              </w:rPr>
              <w:t>p the high profitability in a ver</w:t>
            </w:r>
            <w:r>
              <w:rPr>
                <w:rFonts w:cs="Arial"/>
                <w:color w:val="0D0D0D" w:themeColor="text1" w:themeTint="F2"/>
                <w:spacing w:val="-4"/>
                <w:lang w:val="en-GB"/>
              </w:rPr>
              <w:t>y</w:t>
            </w:r>
            <w:r w:rsidRPr="00A523DF">
              <w:rPr>
                <w:rFonts w:cs="Arial"/>
                <w:color w:val="0D0D0D" w:themeColor="text1" w:themeTint="F2"/>
                <w:spacing w:val="-4"/>
                <w:lang w:val="en-GB"/>
              </w:rPr>
              <w:t xml:space="preserve"> competitive environment here</w:t>
            </w:r>
            <w:r>
              <w:rPr>
                <w:rFonts w:cs="Arial"/>
                <w:color w:val="0D0D0D" w:themeColor="text1" w:themeTint="F2"/>
                <w:spacing w:val="-4"/>
                <w:lang w:val="en-GB"/>
              </w:rPr>
              <w:t>)</w:t>
            </w:r>
            <w:r w:rsidRPr="00A523DF">
              <w:rPr>
                <w:rFonts w:cs="Arial"/>
                <w:color w:val="0D0D0D" w:themeColor="text1" w:themeTint="F2"/>
                <w:spacing w:val="-4"/>
                <w:lang w:val="en-GB"/>
              </w:rPr>
              <w:t xml:space="preserve">.  </w:t>
            </w:r>
          </w:p>
          <w:p w:rsidR="00FA0110" w:rsidRPr="00906D0C" w:rsidRDefault="00FA0110" w:rsidP="00FA0110">
            <w:pPr>
              <w:pStyle w:val="Textpoznpodarou"/>
              <w:jc w:val="both"/>
              <w:rPr>
                <w:rFonts w:cs="Arial"/>
                <w:color w:val="0D0D0D" w:themeColor="text1" w:themeTint="F2"/>
                <w:spacing w:val="-4"/>
                <w:lang w:val="en-GB"/>
              </w:rPr>
            </w:pPr>
          </w:p>
        </w:tc>
      </w:tr>
      <w:tr w:rsidR="00FA0110" w:rsidTr="00FA0110">
        <w:tc>
          <w:tcPr>
            <w:tcW w:w="1054" w:type="pct"/>
          </w:tcPr>
          <w:p w:rsidR="00FA0110" w:rsidRPr="00BB1A6B" w:rsidRDefault="00FA0110" w:rsidP="00FA0110">
            <w:pPr>
              <w:spacing w:line="240" w:lineRule="auto"/>
              <w:rPr>
                <w:rFonts w:cs="Arial"/>
                <w:bCs/>
                <w:iCs/>
                <w:color w:val="0D0D0D" w:themeColor="text1" w:themeTint="F2"/>
                <w:spacing w:val="-2"/>
                <w:sz w:val="6"/>
                <w:szCs w:val="6"/>
                <w:lang w:val="en-GB"/>
              </w:rPr>
            </w:pPr>
            <w:r>
              <w:rPr>
                <w:spacing w:val="-2"/>
                <w:sz w:val="16"/>
                <w:szCs w:val="16"/>
                <w:lang w:val="en-GB"/>
              </w:rPr>
              <w:t>Shifts in structure of employment -</w:t>
            </w:r>
            <w:r w:rsidRPr="00BB1A6B">
              <w:rPr>
                <w:spacing w:val="-2"/>
                <w:sz w:val="16"/>
                <w:szCs w:val="16"/>
                <w:lang w:val="en-GB"/>
              </w:rPr>
              <w:t xml:space="preserve"> to the benefit of employees. Their numbers grow, the self-employed </w:t>
            </w:r>
            <w:r>
              <w:rPr>
                <w:spacing w:val="-2"/>
                <w:sz w:val="16"/>
                <w:szCs w:val="16"/>
                <w:lang w:val="en-GB"/>
              </w:rPr>
              <w:t>are</w:t>
            </w:r>
            <w:r w:rsidRPr="00BB1A6B">
              <w:rPr>
                <w:spacing w:val="-2"/>
                <w:sz w:val="16"/>
                <w:szCs w:val="16"/>
                <w:lang w:val="en-GB"/>
              </w:rPr>
              <w:t xml:space="preserve"> on the decrease </w:t>
            </w:r>
          </w:p>
        </w:tc>
        <w:tc>
          <w:tcPr>
            <w:tcW w:w="142" w:type="pct"/>
          </w:tcPr>
          <w:p w:rsidR="00FA0110" w:rsidRPr="00BB1A6B" w:rsidRDefault="00FA0110" w:rsidP="00FA0110">
            <w:pPr>
              <w:pStyle w:val="Textpoznpodarou"/>
              <w:jc w:val="both"/>
              <w:rPr>
                <w:color w:val="0D0D0D" w:themeColor="text1" w:themeTint="F2"/>
                <w:lang w:val="en-GB"/>
              </w:rPr>
            </w:pPr>
          </w:p>
        </w:tc>
        <w:tc>
          <w:tcPr>
            <w:tcW w:w="3804" w:type="pct"/>
          </w:tcPr>
          <w:p w:rsidR="00FA0110" w:rsidRPr="00BB1A6B" w:rsidRDefault="00FA0110" w:rsidP="00FA0110">
            <w:pPr>
              <w:pStyle w:val="Textpoznpodarou"/>
              <w:jc w:val="both"/>
              <w:rPr>
                <w:spacing w:val="-4"/>
                <w:lang w:val="en-GB"/>
              </w:rPr>
            </w:pPr>
            <w:r w:rsidRPr="00BB1A6B">
              <w:rPr>
                <w:spacing w:val="-4"/>
                <w:lang w:val="en-GB"/>
              </w:rPr>
              <w:t>The structure of</w:t>
            </w:r>
            <w:r>
              <w:rPr>
                <w:spacing w:val="-4"/>
                <w:lang w:val="en-GB"/>
              </w:rPr>
              <w:t xml:space="preserve"> workforce</w:t>
            </w:r>
            <w:r w:rsidRPr="00BB1A6B">
              <w:rPr>
                <w:spacing w:val="-4"/>
                <w:lang w:val="en-GB"/>
              </w:rPr>
              <w:t xml:space="preserve"> from the point of </w:t>
            </w:r>
            <w:r>
              <w:rPr>
                <w:spacing w:val="-4"/>
                <w:lang w:val="en-GB"/>
              </w:rPr>
              <w:t>status in</w:t>
            </w:r>
            <w:r w:rsidRPr="00BB1A6B">
              <w:rPr>
                <w:spacing w:val="-4"/>
                <w:lang w:val="en-GB"/>
              </w:rPr>
              <w:t xml:space="preserve"> employment also changes. T</w:t>
            </w:r>
            <w:r>
              <w:rPr>
                <w:spacing w:val="-4"/>
                <w:lang w:val="en-GB"/>
              </w:rPr>
              <w:t>he numbers of self-employed</w:t>
            </w:r>
            <w:r w:rsidRPr="00BB1A6B">
              <w:rPr>
                <w:spacing w:val="-4"/>
                <w:lang w:val="en-GB"/>
              </w:rPr>
              <w:t xml:space="preserve"> </w:t>
            </w:r>
            <w:r>
              <w:rPr>
                <w:spacing w:val="-4"/>
                <w:lang w:val="en-GB"/>
              </w:rPr>
              <w:t xml:space="preserve">have </w:t>
            </w:r>
            <w:r w:rsidRPr="00BB1A6B">
              <w:rPr>
                <w:spacing w:val="-4"/>
                <w:lang w:val="en-GB"/>
              </w:rPr>
              <w:t>decline</w:t>
            </w:r>
            <w:r>
              <w:rPr>
                <w:spacing w:val="-4"/>
                <w:lang w:val="en-GB"/>
              </w:rPr>
              <w:t>d since Q3 2014</w:t>
            </w:r>
            <w:r w:rsidRPr="00BB1A6B">
              <w:rPr>
                <w:spacing w:val="-4"/>
                <w:lang w:val="en-GB"/>
              </w:rPr>
              <w:t xml:space="preserve">, accompanied by a simultaneous </w:t>
            </w:r>
            <w:r>
              <w:rPr>
                <w:spacing w:val="-4"/>
                <w:lang w:val="en-GB"/>
              </w:rPr>
              <w:t xml:space="preserve">year-on-year </w:t>
            </w:r>
            <w:r w:rsidRPr="00BB1A6B">
              <w:rPr>
                <w:spacing w:val="-4"/>
                <w:lang w:val="en-GB"/>
              </w:rPr>
              <w:t xml:space="preserve">growth in the employee category. This discrepancy </w:t>
            </w:r>
            <w:r>
              <w:rPr>
                <w:spacing w:val="-4"/>
                <w:lang w:val="en-GB"/>
              </w:rPr>
              <w:t>f</w:t>
            </w:r>
            <w:r w:rsidRPr="00BB1A6B">
              <w:rPr>
                <w:spacing w:val="-4"/>
                <w:lang w:val="en-GB"/>
              </w:rPr>
              <w:t xml:space="preserve">urther strengthened during the year 2015 and was well apparent in construction, manufacturing or in specialised services (information and communication </w:t>
            </w:r>
            <w:proofErr w:type="spellStart"/>
            <w:r w:rsidRPr="00BB1A6B">
              <w:rPr>
                <w:spacing w:val="-4"/>
                <w:lang w:val="en-GB"/>
              </w:rPr>
              <w:t>altern</w:t>
            </w:r>
            <w:proofErr w:type="spellEnd"/>
            <w:r w:rsidRPr="00BB1A6B">
              <w:rPr>
                <w:spacing w:val="-4"/>
                <w:lang w:val="en-GB"/>
              </w:rPr>
              <w:t>. the professional, scientific, technical and administrative activities</w:t>
            </w:r>
            <w:r w:rsidRPr="00BB1A6B">
              <w:rPr>
                <w:color w:val="0D0D0D" w:themeColor="text1" w:themeTint="F2"/>
                <w:spacing w:val="-4"/>
                <w:lang w:val="en-GB"/>
              </w:rPr>
              <w:t>). The transfer of part of the self-employed persons into the employee position is characteristic for the Czech labour market in times of business cycle p</w:t>
            </w:r>
            <w:r>
              <w:rPr>
                <w:color w:val="0D0D0D" w:themeColor="text1" w:themeTint="F2"/>
                <w:spacing w:val="-4"/>
                <w:lang w:val="en-GB"/>
              </w:rPr>
              <w:t>e</w:t>
            </w:r>
            <w:r w:rsidRPr="00BB1A6B">
              <w:rPr>
                <w:color w:val="0D0D0D" w:themeColor="text1" w:themeTint="F2"/>
                <w:spacing w:val="-4"/>
                <w:lang w:val="en-GB"/>
              </w:rPr>
              <w:t xml:space="preserve">ak, when </w:t>
            </w:r>
            <w:r>
              <w:rPr>
                <w:color w:val="0D0D0D" w:themeColor="text1" w:themeTint="F2"/>
                <w:spacing w:val="-4"/>
                <w:lang w:val="en-GB"/>
              </w:rPr>
              <w:t>the businesses pull workers among</w:t>
            </w:r>
            <w:r w:rsidRPr="00BB1A6B">
              <w:rPr>
                <w:color w:val="0D0D0D" w:themeColor="text1" w:themeTint="F2"/>
                <w:spacing w:val="-4"/>
                <w:lang w:val="en-GB"/>
              </w:rPr>
              <w:t xml:space="preserve"> the</w:t>
            </w:r>
            <w:r>
              <w:rPr>
                <w:color w:val="0D0D0D" w:themeColor="text1" w:themeTint="F2"/>
                <w:spacing w:val="-4"/>
                <w:lang w:val="en-GB"/>
              </w:rPr>
              <w:t>ir</w:t>
            </w:r>
            <w:r w:rsidRPr="00BB1A6B">
              <w:rPr>
                <w:color w:val="0D0D0D" w:themeColor="text1" w:themeTint="F2"/>
                <w:spacing w:val="-4"/>
                <w:lang w:val="en-GB"/>
              </w:rPr>
              <w:t xml:space="preserve"> </w:t>
            </w:r>
            <w:r>
              <w:rPr>
                <w:color w:val="0D0D0D" w:themeColor="text1" w:themeTint="F2"/>
                <w:spacing w:val="-4"/>
                <w:lang w:val="en-GB"/>
              </w:rPr>
              <w:t>primary employees, which they used within the “</w:t>
            </w:r>
            <w:proofErr w:type="spellStart"/>
            <w:r w:rsidRPr="00BB1A6B">
              <w:rPr>
                <w:color w:val="0D0D0D" w:themeColor="text1" w:themeTint="F2"/>
                <w:spacing w:val="-4"/>
                <w:lang w:val="en-GB"/>
              </w:rPr>
              <w:t>švarc</w:t>
            </w:r>
            <w:proofErr w:type="spellEnd"/>
            <w:r w:rsidRPr="00BB1A6B">
              <w:rPr>
                <w:color w:val="0D0D0D" w:themeColor="text1" w:themeTint="F2"/>
                <w:spacing w:val="-4"/>
                <w:lang w:val="en-GB"/>
              </w:rPr>
              <w:t>-syst</w:t>
            </w:r>
            <w:r>
              <w:rPr>
                <w:color w:val="0D0D0D" w:themeColor="text1" w:themeTint="F2"/>
                <w:spacing w:val="-4"/>
                <w:lang w:val="en-GB"/>
              </w:rPr>
              <w:t>em” in “</w:t>
            </w:r>
            <w:r w:rsidRPr="00BB1A6B">
              <w:rPr>
                <w:color w:val="0D0D0D" w:themeColor="text1" w:themeTint="F2"/>
                <w:spacing w:val="-4"/>
                <w:lang w:val="en-GB"/>
              </w:rPr>
              <w:t>worse times</w:t>
            </w:r>
            <w:r>
              <w:rPr>
                <w:color w:val="0D0D0D" w:themeColor="text1" w:themeTint="F2"/>
                <w:spacing w:val="-4"/>
                <w:lang w:val="en-GB"/>
              </w:rPr>
              <w:t>”</w:t>
            </w:r>
            <w:r w:rsidRPr="00BB1A6B">
              <w:rPr>
                <w:color w:val="0D0D0D" w:themeColor="text1" w:themeTint="F2"/>
                <w:spacing w:val="-4"/>
                <w:lang w:val="en-GB"/>
              </w:rPr>
              <w:t>. Employers represent an important category from the view of the job creation potential. More de</w:t>
            </w:r>
            <w:r>
              <w:rPr>
                <w:color w:val="0D0D0D" w:themeColor="text1" w:themeTint="F2"/>
                <w:spacing w:val="-4"/>
                <w:lang w:val="en-GB"/>
              </w:rPr>
              <w:t>tailed data from the LFSS indicate</w:t>
            </w:r>
            <w:r w:rsidRPr="00BB1A6B">
              <w:rPr>
                <w:color w:val="0D0D0D" w:themeColor="text1" w:themeTint="F2"/>
                <w:spacing w:val="-4"/>
                <w:lang w:val="en-GB"/>
              </w:rPr>
              <w:t xml:space="preserve"> that the numbe</w:t>
            </w:r>
            <w:r>
              <w:rPr>
                <w:color w:val="0D0D0D" w:themeColor="text1" w:themeTint="F2"/>
                <w:spacing w:val="-4"/>
                <w:lang w:val="en-GB"/>
              </w:rPr>
              <w:t>r</w:t>
            </w:r>
            <w:r w:rsidRPr="00BB1A6B">
              <w:rPr>
                <w:color w:val="0D0D0D" w:themeColor="text1" w:themeTint="F2"/>
                <w:spacing w:val="-4"/>
                <w:lang w:val="en-GB"/>
              </w:rPr>
              <w:t xml:space="preserve"> of entrepreneurs with emp</w:t>
            </w:r>
            <w:r>
              <w:rPr>
                <w:color w:val="0D0D0D" w:themeColor="text1" w:themeTint="F2"/>
                <w:spacing w:val="-4"/>
                <w:lang w:val="en-GB"/>
              </w:rPr>
              <w:t xml:space="preserve">loyees grew continuously since </w:t>
            </w:r>
            <w:r w:rsidRPr="00BB1A6B">
              <w:rPr>
                <w:color w:val="0D0D0D" w:themeColor="text1" w:themeTint="F2"/>
                <w:spacing w:val="-4"/>
                <w:lang w:val="en-GB"/>
              </w:rPr>
              <w:t xml:space="preserve">Q3 2013 year-on-year (excluding the end of year 2015). </w:t>
            </w:r>
          </w:p>
          <w:p w:rsidR="00FA0110" w:rsidRPr="00906D0C" w:rsidRDefault="00FA0110" w:rsidP="00FA0110">
            <w:pPr>
              <w:pStyle w:val="Textpoznpodarou"/>
              <w:jc w:val="both"/>
              <w:rPr>
                <w:lang w:val="en-GB"/>
              </w:rPr>
            </w:pPr>
          </w:p>
        </w:tc>
      </w:tr>
      <w:tr w:rsidR="00FA0110" w:rsidTr="00FA0110">
        <w:tc>
          <w:tcPr>
            <w:tcW w:w="1054" w:type="pct"/>
          </w:tcPr>
          <w:p w:rsidR="00FA0110" w:rsidRPr="003D37E2" w:rsidRDefault="00FA0110" w:rsidP="00FA0110">
            <w:pPr>
              <w:spacing w:line="240" w:lineRule="auto"/>
              <w:rPr>
                <w:rFonts w:cs="Arial"/>
                <w:bCs/>
                <w:iCs/>
                <w:color w:val="0D0D0D" w:themeColor="text1" w:themeTint="F2"/>
                <w:sz w:val="16"/>
                <w:szCs w:val="16"/>
                <w:lang w:val="en-GB"/>
              </w:rPr>
            </w:pPr>
            <w:r w:rsidRPr="003D37E2">
              <w:rPr>
                <w:rFonts w:cs="Arial"/>
                <w:bCs/>
                <w:iCs/>
                <w:color w:val="0D0D0D" w:themeColor="text1" w:themeTint="F2"/>
                <w:sz w:val="16"/>
                <w:szCs w:val="16"/>
                <w:lang w:val="en-GB"/>
              </w:rPr>
              <w:t xml:space="preserve">Labour productivity already grew second year in a row and it reached the highest rate of growth in the last five years in 2015 </w:t>
            </w:r>
          </w:p>
          <w:p w:rsidR="00FA0110" w:rsidRPr="00740848" w:rsidRDefault="00FA0110" w:rsidP="00FA0110">
            <w:pPr>
              <w:spacing w:line="240" w:lineRule="auto"/>
              <w:rPr>
                <w:rFonts w:cs="Arial"/>
                <w:bCs/>
                <w:iCs/>
                <w:color w:val="0D0D0D" w:themeColor="text1" w:themeTint="F2"/>
                <w:sz w:val="8"/>
                <w:szCs w:val="8"/>
                <w:lang w:val="en-GB"/>
              </w:rPr>
            </w:pPr>
          </w:p>
          <w:p w:rsidR="00FA0110" w:rsidRPr="003D37E2" w:rsidRDefault="00FA0110" w:rsidP="00FA0110">
            <w:pPr>
              <w:spacing w:line="240" w:lineRule="auto"/>
              <w:rPr>
                <w:rFonts w:cs="Arial"/>
                <w:bCs/>
                <w:iCs/>
                <w:color w:val="0D0D0D" w:themeColor="text1" w:themeTint="F2"/>
                <w:spacing w:val="-2"/>
                <w:sz w:val="16"/>
                <w:szCs w:val="16"/>
                <w:lang w:val="en-GB"/>
              </w:rPr>
            </w:pPr>
            <w:r w:rsidRPr="003D37E2">
              <w:rPr>
                <w:rFonts w:cs="Arial"/>
                <w:bCs/>
                <w:iCs/>
                <w:color w:val="0D0D0D" w:themeColor="text1" w:themeTint="F2"/>
                <w:spacing w:val="-2"/>
                <w:sz w:val="16"/>
                <w:szCs w:val="16"/>
                <w:lang w:val="en-GB"/>
              </w:rPr>
              <w:t xml:space="preserve">It was falling only in the primary sector and in the branch trade, transportation, accommodation and food service activities </w:t>
            </w:r>
          </w:p>
        </w:tc>
        <w:tc>
          <w:tcPr>
            <w:tcW w:w="142" w:type="pct"/>
          </w:tcPr>
          <w:p w:rsidR="00FA0110" w:rsidRPr="003D37E2" w:rsidRDefault="00FA0110" w:rsidP="00FA0110">
            <w:pPr>
              <w:pStyle w:val="Textpoznpodarou"/>
              <w:jc w:val="both"/>
              <w:rPr>
                <w:color w:val="0D0D0D" w:themeColor="text1" w:themeTint="F2"/>
                <w:lang w:val="en-GB"/>
              </w:rPr>
            </w:pPr>
          </w:p>
        </w:tc>
        <w:tc>
          <w:tcPr>
            <w:tcW w:w="3804" w:type="pct"/>
          </w:tcPr>
          <w:p w:rsidR="00FA0110" w:rsidRPr="003D37E2" w:rsidRDefault="00FA0110" w:rsidP="00FA0110">
            <w:pPr>
              <w:pStyle w:val="Textpoznpodarou"/>
              <w:jc w:val="both"/>
              <w:rPr>
                <w:lang w:val="en-GB"/>
              </w:rPr>
            </w:pPr>
            <w:r w:rsidRPr="003D37E2">
              <w:rPr>
                <w:lang w:val="en-GB"/>
              </w:rPr>
              <w:t xml:space="preserve">The growth of the labour productivity was another positive feature in the last two years. It increased by nearly </w:t>
            </w:r>
            <w:r>
              <w:rPr>
                <w:lang w:val="en-GB"/>
              </w:rPr>
              <w:t>2</w:t>
            </w:r>
            <w:r w:rsidRPr="003D37E2">
              <w:rPr>
                <w:lang w:val="en-GB"/>
              </w:rPr>
              <w:t>% in 2015, when the 3.8% real growth of the gross value added was achieved with the simultaneous 1.8% year-on-year growth of the hours worked. The productivity growth could have been even higher, if</w:t>
            </w:r>
            <w:r>
              <w:rPr>
                <w:lang w:val="en-GB"/>
              </w:rPr>
              <w:t xml:space="preserve"> </w:t>
            </w:r>
            <w:r w:rsidRPr="003D37E2">
              <w:rPr>
                <w:lang w:val="en-GB"/>
              </w:rPr>
              <w:t xml:space="preserve">it was not for the considerable increase of the hours worked in Q4 (especially in manufacturing, trade and </w:t>
            </w:r>
            <w:r>
              <w:rPr>
                <w:lang w:val="en-GB"/>
              </w:rPr>
              <w:t>t</w:t>
            </w:r>
            <w:r w:rsidRPr="003D37E2">
              <w:rPr>
                <w:lang w:val="en-GB"/>
              </w:rPr>
              <w:t>ransportation). Information an</w:t>
            </w:r>
            <w:r>
              <w:rPr>
                <w:lang w:val="en-GB"/>
              </w:rPr>
              <w:t>d</w:t>
            </w:r>
            <w:r w:rsidRPr="003D37E2">
              <w:rPr>
                <w:lang w:val="en-GB"/>
              </w:rPr>
              <w:t xml:space="preserve"> </w:t>
            </w:r>
            <w:r>
              <w:rPr>
                <w:lang w:val="en-GB"/>
              </w:rPr>
              <w:t>co</w:t>
            </w:r>
            <w:r w:rsidRPr="003D37E2">
              <w:rPr>
                <w:lang w:val="en-GB"/>
              </w:rPr>
              <w:t>mmunication</w:t>
            </w:r>
            <w:r>
              <w:rPr>
                <w:lang w:val="en-GB"/>
              </w:rPr>
              <w:t>, construction as well as f</w:t>
            </w:r>
            <w:r w:rsidRPr="009B146D">
              <w:rPr>
                <w:lang w:val="en-GB"/>
              </w:rPr>
              <w:t>inancial and insurance activities</w:t>
            </w:r>
            <w:r>
              <w:rPr>
                <w:lang w:val="en-GB"/>
              </w:rPr>
              <w:t xml:space="preserve"> </w:t>
            </w:r>
            <w:r w:rsidRPr="003D37E2">
              <w:rPr>
                <w:lang w:val="en-GB"/>
              </w:rPr>
              <w:t>achieved more than 5% productivity growth in 2015.</w:t>
            </w:r>
          </w:p>
          <w:p w:rsidR="00FA0110" w:rsidRPr="00906D0C" w:rsidRDefault="00FA0110" w:rsidP="00FA0110">
            <w:pPr>
              <w:pStyle w:val="Textpoznpodarou"/>
              <w:jc w:val="both"/>
              <w:rPr>
                <w:rFonts w:cs="Arial"/>
                <w:color w:val="0D0D0D" w:themeColor="text1" w:themeTint="F2"/>
                <w:spacing w:val="-2"/>
                <w:lang w:val="en-GB"/>
              </w:rPr>
            </w:pPr>
          </w:p>
        </w:tc>
      </w:tr>
      <w:tr w:rsidR="00FA0110" w:rsidTr="00FA0110">
        <w:tc>
          <w:tcPr>
            <w:tcW w:w="1054" w:type="pct"/>
          </w:tcPr>
          <w:p w:rsidR="00FA0110" w:rsidRDefault="00FA0110" w:rsidP="00FA0110">
            <w:pPr>
              <w:spacing w:line="240" w:lineRule="auto"/>
              <w:rPr>
                <w:rFonts w:cs="Arial"/>
                <w:bCs/>
                <w:iCs/>
                <w:color w:val="0D0D0D" w:themeColor="text1" w:themeTint="F2"/>
                <w:spacing w:val="-4"/>
                <w:sz w:val="16"/>
                <w:szCs w:val="16"/>
                <w:lang w:val="en-GB"/>
              </w:rPr>
            </w:pPr>
            <w:r w:rsidRPr="008E3867">
              <w:rPr>
                <w:rFonts w:cs="Arial"/>
                <w:bCs/>
                <w:iCs/>
                <w:color w:val="0D0D0D" w:themeColor="text1" w:themeTint="F2"/>
                <w:spacing w:val="-4"/>
                <w:sz w:val="16"/>
                <w:szCs w:val="16"/>
                <w:lang w:val="en-GB"/>
              </w:rPr>
              <w:t xml:space="preserve">Number of vacancies </w:t>
            </w:r>
            <w:r>
              <w:rPr>
                <w:rFonts w:cs="Arial"/>
                <w:bCs/>
                <w:iCs/>
                <w:color w:val="0D0D0D" w:themeColor="text1" w:themeTint="F2"/>
                <w:spacing w:val="-4"/>
                <w:sz w:val="16"/>
                <w:szCs w:val="16"/>
                <w:lang w:val="en-GB"/>
              </w:rPr>
              <w:t>(</w:t>
            </w:r>
            <w:r w:rsidRPr="008E3867">
              <w:rPr>
                <w:rFonts w:cs="Arial"/>
                <w:bCs/>
                <w:iCs/>
                <w:color w:val="0D0D0D" w:themeColor="text1" w:themeTint="F2"/>
                <w:spacing w:val="-4"/>
                <w:sz w:val="16"/>
                <w:szCs w:val="16"/>
                <w:lang w:val="en-GB"/>
              </w:rPr>
              <w:t xml:space="preserve">offered </w:t>
            </w:r>
            <w:r>
              <w:rPr>
                <w:rFonts w:cs="Arial"/>
                <w:bCs/>
                <w:iCs/>
                <w:color w:val="0D0D0D" w:themeColor="text1" w:themeTint="F2"/>
                <w:spacing w:val="-4"/>
                <w:sz w:val="16"/>
                <w:szCs w:val="16"/>
                <w:lang w:val="en-GB"/>
              </w:rPr>
              <w:t xml:space="preserve"> by employment offices) </w:t>
            </w:r>
            <w:r w:rsidRPr="008E3867">
              <w:rPr>
                <w:rFonts w:cs="Arial"/>
                <w:bCs/>
                <w:iCs/>
                <w:color w:val="0D0D0D" w:themeColor="text1" w:themeTint="F2"/>
                <w:spacing w:val="-4"/>
                <w:sz w:val="16"/>
                <w:szCs w:val="16"/>
                <w:lang w:val="en-GB"/>
              </w:rPr>
              <w:t xml:space="preserve">grows already two years, </w:t>
            </w:r>
          </w:p>
          <w:p w:rsidR="00FA0110" w:rsidRPr="008E3867" w:rsidRDefault="00FA0110" w:rsidP="00FA0110">
            <w:pPr>
              <w:spacing w:line="240" w:lineRule="auto"/>
              <w:rPr>
                <w:rFonts w:cs="Arial"/>
                <w:bCs/>
                <w:iCs/>
                <w:color w:val="0D0D0D" w:themeColor="text1" w:themeTint="F2"/>
                <w:spacing w:val="-4"/>
                <w:sz w:val="16"/>
                <w:szCs w:val="16"/>
                <w:lang w:val="en-GB"/>
              </w:rPr>
            </w:pPr>
            <w:r>
              <w:rPr>
                <w:rFonts w:cs="Arial"/>
                <w:bCs/>
                <w:iCs/>
                <w:color w:val="0D0D0D" w:themeColor="text1" w:themeTint="F2"/>
                <w:spacing w:val="-4"/>
                <w:sz w:val="16"/>
                <w:szCs w:val="16"/>
                <w:lang w:val="en-GB"/>
              </w:rPr>
              <w:t xml:space="preserve">they reached the highest level </w:t>
            </w:r>
            <w:r w:rsidRPr="008E3867">
              <w:rPr>
                <w:rFonts w:cs="Arial"/>
                <w:bCs/>
                <w:iCs/>
                <w:color w:val="0D0D0D" w:themeColor="text1" w:themeTint="F2"/>
                <w:spacing w:val="-4"/>
                <w:sz w:val="16"/>
                <w:szCs w:val="16"/>
                <w:lang w:val="en-GB"/>
              </w:rPr>
              <w:t xml:space="preserve">since November </w:t>
            </w:r>
            <w:r>
              <w:rPr>
                <w:rFonts w:cs="Arial"/>
                <w:bCs/>
                <w:iCs/>
                <w:color w:val="0D0D0D" w:themeColor="text1" w:themeTint="F2"/>
                <w:spacing w:val="-4"/>
                <w:sz w:val="16"/>
                <w:szCs w:val="16"/>
                <w:lang w:val="en-GB"/>
              </w:rPr>
              <w:t>2008</w:t>
            </w:r>
            <w:r w:rsidRPr="008E3867">
              <w:rPr>
                <w:rFonts w:cs="Arial"/>
                <w:bCs/>
                <w:iCs/>
                <w:color w:val="0D0D0D" w:themeColor="text1" w:themeTint="F2"/>
                <w:spacing w:val="-4"/>
                <w:sz w:val="16"/>
                <w:szCs w:val="16"/>
                <w:lang w:val="en-GB"/>
              </w:rPr>
              <w:t xml:space="preserve"> in December 2015</w:t>
            </w:r>
          </w:p>
        </w:tc>
        <w:tc>
          <w:tcPr>
            <w:tcW w:w="142" w:type="pct"/>
          </w:tcPr>
          <w:p w:rsidR="00FA0110" w:rsidRPr="008E3867" w:rsidRDefault="00FA0110" w:rsidP="00FA0110">
            <w:pPr>
              <w:pStyle w:val="Textpoznpodarou"/>
              <w:jc w:val="both"/>
              <w:rPr>
                <w:color w:val="0D0D0D" w:themeColor="text1" w:themeTint="F2"/>
                <w:lang w:val="en-GB"/>
              </w:rPr>
            </w:pPr>
          </w:p>
        </w:tc>
        <w:tc>
          <w:tcPr>
            <w:tcW w:w="3804" w:type="pct"/>
          </w:tcPr>
          <w:p w:rsidR="00FA0110" w:rsidRPr="008E3867" w:rsidRDefault="00FA0110" w:rsidP="00FA0110">
            <w:pPr>
              <w:pStyle w:val="Textpoznpodarou"/>
              <w:jc w:val="both"/>
              <w:rPr>
                <w:lang w:val="en-GB"/>
              </w:rPr>
            </w:pPr>
            <w:r w:rsidRPr="008E3867">
              <w:rPr>
                <w:lang w:val="en-GB"/>
              </w:rPr>
              <w:t>The intensity of creation of vacancies accelerated. While the job offices offered 59 thousand vacancies towards the end of 201</w:t>
            </w:r>
            <w:r>
              <w:rPr>
                <w:lang w:val="en-GB"/>
              </w:rPr>
              <w:t>4</w:t>
            </w:r>
            <w:r w:rsidRPr="008E3867">
              <w:rPr>
                <w:lang w:val="en-GB"/>
              </w:rPr>
              <w:t xml:space="preserve"> (mere 35 thousand a year before), it was al</w:t>
            </w:r>
            <w:r>
              <w:rPr>
                <w:lang w:val="en-GB"/>
              </w:rPr>
              <w:t>r</w:t>
            </w:r>
            <w:r w:rsidRPr="008E3867">
              <w:rPr>
                <w:lang w:val="en-GB"/>
              </w:rPr>
              <w:t>eady 103 thousand vacancies twelve months later. The significant territorial as well as education</w:t>
            </w:r>
            <w:r>
              <w:rPr>
                <w:lang w:val="en-GB"/>
              </w:rPr>
              <w:t>al</w:t>
            </w:r>
            <w:r w:rsidRPr="008E3867">
              <w:rPr>
                <w:lang w:val="en-GB"/>
              </w:rPr>
              <w:t xml:space="preserve"> (resp. qualification</w:t>
            </w:r>
            <w:r>
              <w:rPr>
                <w:lang w:val="en-GB"/>
              </w:rPr>
              <w:t xml:space="preserve">) mismatch between the offered </w:t>
            </w:r>
            <w:r w:rsidRPr="008E3867">
              <w:rPr>
                <w:lang w:val="en-GB"/>
              </w:rPr>
              <w:t>vacancies and registered job applicants persisted. It</w:t>
            </w:r>
            <w:r>
              <w:rPr>
                <w:lang w:val="en-GB"/>
              </w:rPr>
              <w:t xml:space="preserve"> </w:t>
            </w:r>
            <w:r w:rsidRPr="008E3867">
              <w:rPr>
                <w:lang w:val="en-GB"/>
              </w:rPr>
              <w:t xml:space="preserve">is valid for already two years, that the highest chance of employment </w:t>
            </w:r>
            <w:r>
              <w:rPr>
                <w:lang w:val="en-GB"/>
              </w:rPr>
              <w:t>belongs to</w:t>
            </w:r>
            <w:r w:rsidRPr="008E3867">
              <w:rPr>
                <w:lang w:val="en-GB"/>
              </w:rPr>
              <w:t xml:space="preserve"> applicants in the group of </w:t>
            </w:r>
            <w:r>
              <w:rPr>
                <w:lang w:val="en-GB"/>
              </w:rPr>
              <w:t>“plant and machine operators</w:t>
            </w:r>
            <w:r w:rsidRPr="008E3867">
              <w:rPr>
                <w:lang w:val="en-GB"/>
              </w:rPr>
              <w:t>,</w:t>
            </w:r>
            <w:r>
              <w:rPr>
                <w:lang w:val="en-GB"/>
              </w:rPr>
              <w:t xml:space="preserve"> assemblers”</w:t>
            </w:r>
            <w:r w:rsidRPr="008E3867">
              <w:rPr>
                <w:lang w:val="en-GB"/>
              </w:rPr>
              <w:t>, where</w:t>
            </w:r>
            <w:r>
              <w:rPr>
                <w:lang w:val="en-GB"/>
              </w:rPr>
              <w:t xml:space="preserve"> there were only two applicants per </w:t>
            </w:r>
            <w:r w:rsidRPr="008E3867">
              <w:rPr>
                <w:lang w:val="en-GB"/>
              </w:rPr>
              <w:t xml:space="preserve">vacancy towards the end of the year (the </w:t>
            </w:r>
            <w:r>
              <w:rPr>
                <w:lang w:val="en-GB"/>
              </w:rPr>
              <w:t>n</w:t>
            </w:r>
            <w:r w:rsidRPr="008E3867">
              <w:rPr>
                <w:lang w:val="en-GB"/>
              </w:rPr>
              <w:t>umbers o</w:t>
            </w:r>
            <w:r>
              <w:rPr>
                <w:lang w:val="en-GB"/>
              </w:rPr>
              <w:t xml:space="preserve">f applicants and vacancies almost </w:t>
            </w:r>
            <w:proofErr w:type="spellStart"/>
            <w:r>
              <w:rPr>
                <w:lang w:val="en-GB"/>
              </w:rPr>
              <w:t>equaled</w:t>
            </w:r>
            <w:proofErr w:type="spellEnd"/>
            <w:r>
              <w:rPr>
                <w:lang w:val="en-GB"/>
              </w:rPr>
              <w:t xml:space="preserve"> in the </w:t>
            </w:r>
            <w:proofErr w:type="spellStart"/>
            <w:r>
              <w:rPr>
                <w:lang w:val="en-GB"/>
              </w:rPr>
              <w:t>Plzeňský</w:t>
            </w:r>
            <w:proofErr w:type="spellEnd"/>
            <w:r>
              <w:rPr>
                <w:lang w:val="en-GB"/>
              </w:rPr>
              <w:t xml:space="preserve">, </w:t>
            </w:r>
            <w:proofErr w:type="spellStart"/>
            <w:r>
              <w:rPr>
                <w:lang w:val="en-GB"/>
              </w:rPr>
              <w:t>Pardubický</w:t>
            </w:r>
            <w:proofErr w:type="spellEnd"/>
            <w:r w:rsidRPr="008E3867">
              <w:rPr>
                <w:lang w:val="en-GB"/>
              </w:rPr>
              <w:t xml:space="preserve"> and </w:t>
            </w:r>
            <w:proofErr w:type="spellStart"/>
            <w:r w:rsidRPr="008E3867">
              <w:rPr>
                <w:lang w:val="en-GB"/>
              </w:rPr>
              <w:t>Libere</w:t>
            </w:r>
            <w:r>
              <w:rPr>
                <w:lang w:val="en-GB"/>
              </w:rPr>
              <w:t>cký</w:t>
            </w:r>
            <w:proofErr w:type="spellEnd"/>
            <w:r>
              <w:rPr>
                <w:lang w:val="en-GB"/>
              </w:rPr>
              <w:t xml:space="preserve"> region</w:t>
            </w:r>
            <w:r w:rsidRPr="008E3867">
              <w:rPr>
                <w:lang w:val="en-GB"/>
              </w:rPr>
              <w:t xml:space="preserve">). </w:t>
            </w:r>
            <w:r>
              <w:rPr>
                <w:lang w:val="en-GB"/>
              </w:rPr>
              <w:t xml:space="preserve">Craft and related trade workers </w:t>
            </w:r>
            <w:r w:rsidRPr="008E3867">
              <w:rPr>
                <w:lang w:val="en-GB"/>
              </w:rPr>
              <w:t>(2.9) were in a very s</w:t>
            </w:r>
            <w:r>
              <w:rPr>
                <w:lang w:val="en-GB"/>
              </w:rPr>
              <w:t>imilar situation, the professionals</w:t>
            </w:r>
            <w:r w:rsidRPr="008E3867">
              <w:rPr>
                <w:lang w:val="en-GB"/>
              </w:rPr>
              <w:t xml:space="preserve"> </w:t>
            </w:r>
            <w:r>
              <w:rPr>
                <w:lang w:val="en-GB"/>
              </w:rPr>
              <w:t xml:space="preserve">as well as </w:t>
            </w:r>
            <w:r w:rsidRPr="008E3867">
              <w:rPr>
                <w:lang w:val="en-GB"/>
              </w:rPr>
              <w:t xml:space="preserve">technical and specialised workers followed with a little distance. On the contrary, already seven applicants aspired for one vacancy for </w:t>
            </w:r>
            <w:r>
              <w:rPr>
                <w:lang w:val="en-GB"/>
              </w:rPr>
              <w:t xml:space="preserve">unskilled </w:t>
            </w:r>
            <w:r w:rsidRPr="008E3867">
              <w:rPr>
                <w:lang w:val="en-GB"/>
              </w:rPr>
              <w:t>workers</w:t>
            </w:r>
            <w:r>
              <w:rPr>
                <w:lang w:val="en-GB"/>
              </w:rPr>
              <w:t xml:space="preserve"> i.e. elementary occupations</w:t>
            </w:r>
            <w:r w:rsidRPr="008E3867">
              <w:rPr>
                <w:lang w:val="en-GB"/>
              </w:rPr>
              <w:t xml:space="preserve"> (whi</w:t>
            </w:r>
            <w:r>
              <w:rPr>
                <w:lang w:val="en-GB"/>
              </w:rPr>
              <w:t>ch</w:t>
            </w:r>
            <w:r w:rsidRPr="008E3867">
              <w:rPr>
                <w:lang w:val="en-GB"/>
              </w:rPr>
              <w:t xml:space="preserve"> constituted </w:t>
            </w:r>
            <w:r>
              <w:rPr>
                <w:lang w:val="en-GB"/>
              </w:rPr>
              <w:t xml:space="preserve">40% of applicants. in the </w:t>
            </w:r>
            <w:proofErr w:type="spellStart"/>
            <w:r>
              <w:rPr>
                <w:lang w:val="en-GB"/>
              </w:rPr>
              <w:t>Karlovarský</w:t>
            </w:r>
            <w:proofErr w:type="spellEnd"/>
            <w:r>
              <w:rPr>
                <w:lang w:val="en-GB"/>
              </w:rPr>
              <w:t xml:space="preserve"> region</w:t>
            </w:r>
            <w:r w:rsidRPr="008E3867">
              <w:rPr>
                <w:lang w:val="en-GB"/>
              </w:rPr>
              <w:t xml:space="preserve">) and already nearly eleven applicants for the </w:t>
            </w:r>
            <w:r>
              <w:rPr>
                <w:lang w:val="en-GB"/>
              </w:rPr>
              <w:t xml:space="preserve">clerical and support workers </w:t>
            </w:r>
            <w:r w:rsidRPr="008E3867">
              <w:rPr>
                <w:lang w:val="en-GB"/>
              </w:rPr>
              <w:t>(22 persons then in the Central Bohemian region).</w:t>
            </w:r>
          </w:p>
          <w:p w:rsidR="00FA0110" w:rsidRPr="00176709" w:rsidRDefault="00FA0110" w:rsidP="00FA0110">
            <w:pPr>
              <w:pStyle w:val="Textpoznpodarou"/>
              <w:jc w:val="both"/>
              <w:rPr>
                <w:rFonts w:cs="Arial"/>
                <w:color w:val="0D0D0D" w:themeColor="text1" w:themeTint="F2"/>
                <w:spacing w:val="-2"/>
                <w:sz w:val="18"/>
                <w:szCs w:val="18"/>
                <w:lang w:val="en-GB"/>
              </w:rPr>
            </w:pPr>
          </w:p>
        </w:tc>
      </w:tr>
      <w:tr w:rsidR="00FA0110" w:rsidRPr="003A21DC" w:rsidTr="00FA0110">
        <w:tc>
          <w:tcPr>
            <w:tcW w:w="1054" w:type="pct"/>
          </w:tcPr>
          <w:p w:rsidR="00FA0110" w:rsidRPr="00F34B26" w:rsidRDefault="00FA0110" w:rsidP="00FA0110">
            <w:pPr>
              <w:spacing w:line="240" w:lineRule="auto"/>
              <w:rPr>
                <w:rFonts w:cs="Arial"/>
                <w:bCs/>
                <w:iCs/>
                <w:color w:val="0D0D0D" w:themeColor="text1" w:themeTint="F2"/>
                <w:spacing w:val="-4"/>
                <w:sz w:val="16"/>
                <w:szCs w:val="16"/>
                <w:lang w:val="en-GB"/>
              </w:rPr>
            </w:pPr>
            <w:r w:rsidRPr="00F34B26">
              <w:rPr>
                <w:rFonts w:cs="Arial"/>
                <w:bCs/>
                <w:iCs/>
                <w:color w:val="0D0D0D" w:themeColor="text1" w:themeTint="F2"/>
                <w:spacing w:val="-4"/>
                <w:sz w:val="16"/>
                <w:szCs w:val="16"/>
                <w:lang w:val="en-GB"/>
              </w:rPr>
              <w:t xml:space="preserve">General unemployment rate dropped to the lowest level since November 2008 </w:t>
            </w:r>
          </w:p>
        </w:tc>
        <w:tc>
          <w:tcPr>
            <w:tcW w:w="142" w:type="pct"/>
          </w:tcPr>
          <w:p w:rsidR="00FA0110" w:rsidRPr="00F34B26" w:rsidRDefault="00FA0110" w:rsidP="00FA0110">
            <w:pPr>
              <w:pStyle w:val="Textpoznpodarou"/>
              <w:jc w:val="both"/>
              <w:rPr>
                <w:color w:val="0D0D0D" w:themeColor="text1" w:themeTint="F2"/>
                <w:lang w:val="en-GB"/>
              </w:rPr>
            </w:pPr>
          </w:p>
        </w:tc>
        <w:tc>
          <w:tcPr>
            <w:tcW w:w="3804" w:type="pct"/>
          </w:tcPr>
          <w:p w:rsidR="00FA0110" w:rsidRPr="00F34B26" w:rsidRDefault="00FA0110" w:rsidP="00FA0110">
            <w:pPr>
              <w:pStyle w:val="Textpoznpodarou"/>
              <w:jc w:val="both"/>
              <w:rPr>
                <w:rFonts w:cs="Arial"/>
                <w:color w:val="0D0D0D" w:themeColor="text1" w:themeTint="F2"/>
                <w:spacing w:val="-2"/>
                <w:lang w:val="en-GB"/>
              </w:rPr>
            </w:pPr>
            <w:r w:rsidRPr="00F34B26">
              <w:rPr>
                <w:rFonts w:cs="Arial"/>
                <w:color w:val="0D0D0D" w:themeColor="text1" w:themeTint="F2"/>
                <w:spacing w:val="-2"/>
                <w:lang w:val="en-GB"/>
              </w:rPr>
              <w:t>General unemployment rate</w:t>
            </w:r>
            <w:r w:rsidRPr="00F34B26">
              <w:rPr>
                <w:rStyle w:val="Znakapoznpodarou"/>
                <w:color w:val="0D0D0D" w:themeColor="text1" w:themeTint="F2"/>
                <w:spacing w:val="-2"/>
                <w:lang w:val="en-GB"/>
              </w:rPr>
              <w:footnoteReference w:id="20"/>
            </w:r>
            <w:r w:rsidRPr="00F34B26">
              <w:rPr>
                <w:rFonts w:cs="Arial"/>
                <w:color w:val="0D0D0D" w:themeColor="text1" w:themeTint="F2"/>
                <w:spacing w:val="-2"/>
                <w:lang w:val="en-GB"/>
              </w:rPr>
              <w:t xml:space="preserve"> was decreasing throug</w:t>
            </w:r>
            <w:r>
              <w:rPr>
                <w:rFonts w:cs="Arial"/>
                <w:color w:val="0D0D0D" w:themeColor="text1" w:themeTint="F2"/>
                <w:spacing w:val="-2"/>
                <w:lang w:val="en-GB"/>
              </w:rPr>
              <w:t xml:space="preserve">hout the whole year. It hit the </w:t>
            </w:r>
            <w:r w:rsidRPr="00F34B26">
              <w:rPr>
                <w:rFonts w:cs="Arial"/>
                <w:color w:val="0D0D0D" w:themeColor="text1" w:themeTint="F2"/>
                <w:spacing w:val="-2"/>
                <w:lang w:val="en-GB"/>
              </w:rPr>
              <w:t>5% boundary during summer and ended on</w:t>
            </w:r>
            <w:r>
              <w:rPr>
                <w:rFonts w:cs="Arial"/>
                <w:color w:val="0D0D0D" w:themeColor="text1" w:themeTint="F2"/>
                <w:spacing w:val="-2"/>
                <w:lang w:val="en-GB"/>
              </w:rPr>
              <w:t xml:space="preserve"> </w:t>
            </w:r>
            <w:r w:rsidRPr="00F34B26">
              <w:rPr>
                <w:rFonts w:cs="Arial"/>
                <w:color w:val="0D0D0D" w:themeColor="text1" w:themeTint="F2"/>
                <w:spacing w:val="-2"/>
                <w:lang w:val="en-GB"/>
              </w:rPr>
              <w:t>the lowest level (4.</w:t>
            </w:r>
            <w:r>
              <w:rPr>
                <w:rFonts w:cs="Arial"/>
                <w:color w:val="0D0D0D" w:themeColor="text1" w:themeTint="F2"/>
                <w:spacing w:val="-2"/>
                <w:lang w:val="en-GB"/>
              </w:rPr>
              <w:t>6</w:t>
            </w:r>
            <w:r w:rsidRPr="00F34B26">
              <w:rPr>
                <w:rFonts w:cs="Arial"/>
                <w:color w:val="0D0D0D" w:themeColor="text1" w:themeTint="F2"/>
                <w:spacing w:val="-2"/>
                <w:lang w:val="en-GB"/>
              </w:rPr>
              <w:t xml:space="preserve">%) since November </w:t>
            </w:r>
            <w:r w:rsidRPr="00F34B26">
              <w:rPr>
                <w:rFonts w:cs="Arial"/>
                <w:color w:val="0D0D0D" w:themeColor="text1" w:themeTint="F2"/>
                <w:spacing w:val="-2"/>
                <w:lang w:val="en-GB"/>
              </w:rPr>
              <w:lastRenderedPageBreak/>
              <w:t>2008 in December 2015. It decreased by 1.3 p.p., against the beginning of the year, regardless of the gender. The favourable development in industry helped to push down to lowest levels the unemployment of males (3.</w:t>
            </w:r>
            <w:r>
              <w:rPr>
                <w:rFonts w:cs="Arial"/>
                <w:color w:val="0D0D0D" w:themeColor="text1" w:themeTint="F2"/>
                <w:spacing w:val="-2"/>
                <w:lang w:val="en-GB"/>
              </w:rPr>
              <w:t>8</w:t>
            </w:r>
            <w:r w:rsidRPr="00F34B26">
              <w:rPr>
                <w:rFonts w:cs="Arial"/>
                <w:color w:val="0D0D0D" w:themeColor="text1" w:themeTint="F2"/>
                <w:spacing w:val="-2"/>
                <w:lang w:val="en-GB"/>
              </w:rPr>
              <w:t>%), similarly to the populated group of persons with s</w:t>
            </w:r>
            <w:r>
              <w:rPr>
                <w:rFonts w:cs="Arial"/>
                <w:color w:val="0D0D0D" w:themeColor="text1" w:themeTint="F2"/>
                <w:spacing w:val="-2"/>
                <w:lang w:val="en-GB"/>
              </w:rPr>
              <w:t>econdary education without the school leaving certificate,</w:t>
            </w:r>
            <w:r w:rsidRPr="00F34B26">
              <w:rPr>
                <w:rFonts w:cs="Arial"/>
                <w:color w:val="0D0D0D" w:themeColor="text1" w:themeTint="F2"/>
                <w:spacing w:val="-2"/>
                <w:lang w:val="en-GB"/>
              </w:rPr>
              <w:t xml:space="preserve"> incl. </w:t>
            </w:r>
            <w:r>
              <w:rPr>
                <w:rFonts w:cs="Arial"/>
                <w:color w:val="0D0D0D" w:themeColor="text1" w:themeTint="F2"/>
                <w:spacing w:val="-2"/>
                <w:lang w:val="en-GB"/>
              </w:rPr>
              <w:t xml:space="preserve">apprentices </w:t>
            </w:r>
            <w:r w:rsidRPr="00F34B26">
              <w:rPr>
                <w:rFonts w:cs="Arial"/>
                <w:color w:val="0D0D0D" w:themeColor="text1" w:themeTint="F2"/>
                <w:spacing w:val="-2"/>
                <w:lang w:val="en-GB"/>
              </w:rPr>
              <w:t>(4.</w:t>
            </w:r>
            <w:r>
              <w:rPr>
                <w:rFonts w:cs="Arial"/>
                <w:color w:val="0D0D0D" w:themeColor="text1" w:themeTint="F2"/>
                <w:spacing w:val="-2"/>
                <w:lang w:val="en-GB"/>
              </w:rPr>
              <w:t>6</w:t>
            </w:r>
            <w:r w:rsidRPr="00F34B26">
              <w:rPr>
                <w:rFonts w:cs="Arial"/>
                <w:color w:val="0D0D0D" w:themeColor="text1" w:themeTint="F2"/>
                <w:spacing w:val="-2"/>
                <w:lang w:val="en-GB"/>
              </w:rPr>
              <w:t xml:space="preserve">%). On the other hand, a high unemployment persists in the group of persons with </w:t>
            </w:r>
            <w:r>
              <w:rPr>
                <w:rFonts w:cs="Arial"/>
                <w:color w:val="0D0D0D" w:themeColor="text1" w:themeTint="F2"/>
                <w:spacing w:val="-2"/>
                <w:lang w:val="en-GB"/>
              </w:rPr>
              <w:t xml:space="preserve">primary education </w:t>
            </w:r>
            <w:r w:rsidRPr="00F34B26">
              <w:rPr>
                <w:rFonts w:cs="Arial"/>
                <w:color w:val="0D0D0D" w:themeColor="text1" w:themeTint="F2"/>
                <w:spacing w:val="-2"/>
                <w:lang w:val="en-GB"/>
              </w:rPr>
              <w:t>(22.</w:t>
            </w:r>
            <w:r>
              <w:rPr>
                <w:rFonts w:cs="Arial"/>
                <w:color w:val="0D0D0D" w:themeColor="text1" w:themeTint="F2"/>
                <w:spacing w:val="-2"/>
                <w:lang w:val="en-GB"/>
              </w:rPr>
              <w:t>8</w:t>
            </w:r>
            <w:r w:rsidRPr="00F34B26">
              <w:rPr>
                <w:rFonts w:cs="Arial"/>
                <w:color w:val="0D0D0D" w:themeColor="text1" w:themeTint="F2"/>
                <w:spacing w:val="-2"/>
                <w:lang w:val="en-GB"/>
              </w:rPr>
              <w:t>%), as well as the high share of long-term unemployed among all job applicants (48.5%).</w:t>
            </w:r>
          </w:p>
          <w:p w:rsidR="00FA0110" w:rsidRPr="00906D0C" w:rsidRDefault="00FA0110" w:rsidP="00FA0110">
            <w:pPr>
              <w:pStyle w:val="Textpoznpodarou"/>
              <w:jc w:val="both"/>
              <w:rPr>
                <w:rFonts w:cs="Arial"/>
                <w:color w:val="0D0D0D" w:themeColor="text1" w:themeTint="F2"/>
                <w:spacing w:val="-2"/>
                <w:lang w:val="en-GB"/>
              </w:rPr>
            </w:pPr>
          </w:p>
        </w:tc>
      </w:tr>
      <w:tr w:rsidR="00FA0110" w:rsidTr="00FA0110">
        <w:tc>
          <w:tcPr>
            <w:tcW w:w="1054" w:type="pct"/>
          </w:tcPr>
          <w:p w:rsidR="00FA0110" w:rsidRPr="00F34B26" w:rsidRDefault="00FA0110" w:rsidP="00FA0110">
            <w:pPr>
              <w:spacing w:line="240" w:lineRule="auto"/>
              <w:rPr>
                <w:rFonts w:cs="Arial"/>
                <w:bCs/>
                <w:iCs/>
                <w:color w:val="0D0D0D" w:themeColor="text1" w:themeTint="F2"/>
                <w:spacing w:val="-4"/>
                <w:sz w:val="16"/>
                <w:szCs w:val="16"/>
                <w:lang w:val="en-GB"/>
              </w:rPr>
            </w:pPr>
            <w:r w:rsidRPr="00F34B26">
              <w:rPr>
                <w:rFonts w:cs="Arial"/>
                <w:bCs/>
                <w:iCs/>
                <w:color w:val="0D0D0D" w:themeColor="text1" w:themeTint="F2"/>
                <w:spacing w:val="-4"/>
                <w:sz w:val="16"/>
                <w:szCs w:val="16"/>
                <w:lang w:val="en-GB"/>
              </w:rPr>
              <w:lastRenderedPageBreak/>
              <w:t xml:space="preserve">The CR was together with Germany among the countries with the lowest unemployment rate within the whole EU </w:t>
            </w:r>
          </w:p>
        </w:tc>
        <w:tc>
          <w:tcPr>
            <w:tcW w:w="142" w:type="pct"/>
          </w:tcPr>
          <w:p w:rsidR="00FA0110" w:rsidRPr="00F34B26" w:rsidRDefault="00FA0110" w:rsidP="00FA0110">
            <w:pPr>
              <w:pStyle w:val="Textpoznpodarou"/>
              <w:jc w:val="both"/>
              <w:rPr>
                <w:color w:val="0D0D0D" w:themeColor="text1" w:themeTint="F2"/>
                <w:lang w:val="en-GB"/>
              </w:rPr>
            </w:pPr>
          </w:p>
        </w:tc>
        <w:tc>
          <w:tcPr>
            <w:tcW w:w="3804" w:type="pct"/>
          </w:tcPr>
          <w:p w:rsidR="00FA0110" w:rsidRPr="00F34B26" w:rsidRDefault="00FA0110" w:rsidP="00FA0110">
            <w:pPr>
              <w:pStyle w:val="Textpoznpodarou"/>
              <w:jc w:val="both"/>
              <w:rPr>
                <w:rFonts w:cs="Arial"/>
                <w:color w:val="0D0D0D" w:themeColor="text1" w:themeTint="F2"/>
                <w:spacing w:val="-2"/>
                <w:lang w:val="en-GB"/>
              </w:rPr>
            </w:pPr>
            <w:r w:rsidRPr="00F34B26">
              <w:rPr>
                <w:rFonts w:cs="Arial"/>
                <w:color w:val="0D0D0D" w:themeColor="text1" w:themeTint="F2"/>
                <w:spacing w:val="-2"/>
                <w:lang w:val="en-GB"/>
              </w:rPr>
              <w:t>The proportion of unemployed persons on the total labour force keeps falling also in</w:t>
            </w:r>
            <w:r>
              <w:rPr>
                <w:rFonts w:cs="Arial"/>
                <w:color w:val="0D0D0D" w:themeColor="text1" w:themeTint="F2"/>
                <w:spacing w:val="-2"/>
                <w:lang w:val="en-GB"/>
              </w:rPr>
              <w:t xml:space="preserve"> </w:t>
            </w:r>
            <w:r w:rsidRPr="00F34B26">
              <w:rPr>
                <w:rFonts w:cs="Arial"/>
                <w:color w:val="0D0D0D" w:themeColor="text1" w:themeTint="F2"/>
                <w:spacing w:val="-2"/>
                <w:lang w:val="en-GB"/>
              </w:rPr>
              <w:t>th</w:t>
            </w:r>
            <w:r>
              <w:rPr>
                <w:rFonts w:cs="Arial"/>
                <w:color w:val="0D0D0D" w:themeColor="text1" w:themeTint="F2"/>
                <w:spacing w:val="-2"/>
                <w:lang w:val="en-GB"/>
              </w:rPr>
              <w:t>e</w:t>
            </w:r>
            <w:r w:rsidRPr="00F34B26">
              <w:rPr>
                <w:rFonts w:cs="Arial"/>
                <w:color w:val="0D0D0D" w:themeColor="text1" w:themeTint="F2"/>
                <w:spacing w:val="-2"/>
                <w:lang w:val="en-GB"/>
              </w:rPr>
              <w:t xml:space="preserve"> EU (faster among</w:t>
            </w:r>
            <w:r>
              <w:rPr>
                <w:rFonts w:cs="Arial"/>
                <w:color w:val="0D0D0D" w:themeColor="text1" w:themeTint="F2"/>
                <w:spacing w:val="-2"/>
                <w:lang w:val="en-GB"/>
              </w:rPr>
              <w:t>”</w:t>
            </w:r>
            <w:r w:rsidRPr="00F34B26">
              <w:rPr>
                <w:rFonts w:cs="Arial"/>
                <w:color w:val="0D0D0D" w:themeColor="text1" w:themeTint="F2"/>
                <w:spacing w:val="-2"/>
                <w:lang w:val="en-GB"/>
              </w:rPr>
              <w:t xml:space="preserve"> the younger</w:t>
            </w:r>
            <w:r>
              <w:rPr>
                <w:rFonts w:cs="Arial"/>
                <w:color w:val="0D0D0D" w:themeColor="text1" w:themeTint="F2"/>
                <w:spacing w:val="-2"/>
                <w:lang w:val="en-GB"/>
              </w:rPr>
              <w:t>”</w:t>
            </w:r>
            <w:r w:rsidRPr="00F34B26">
              <w:rPr>
                <w:rFonts w:cs="Arial"/>
                <w:color w:val="0D0D0D" w:themeColor="text1" w:themeTint="F2"/>
                <w:spacing w:val="-2"/>
                <w:lang w:val="en-GB"/>
              </w:rPr>
              <w:t xml:space="preserve"> member states), still it </w:t>
            </w:r>
            <w:r>
              <w:rPr>
                <w:rFonts w:cs="Arial"/>
                <w:color w:val="0D0D0D" w:themeColor="text1" w:themeTint="F2"/>
                <w:spacing w:val="-2"/>
                <w:lang w:val="en-GB"/>
              </w:rPr>
              <w:t>remains high (on the level of 9</w:t>
            </w:r>
            <w:r w:rsidRPr="00F34B26">
              <w:rPr>
                <w:rFonts w:cs="Arial"/>
                <w:color w:val="0D0D0D" w:themeColor="text1" w:themeTint="F2"/>
                <w:spacing w:val="-2"/>
                <w:lang w:val="en-GB"/>
              </w:rPr>
              <w:t xml:space="preserve">% in Q4 2015). </w:t>
            </w:r>
            <w:r>
              <w:rPr>
                <w:rFonts w:cs="Arial"/>
                <w:color w:val="0D0D0D" w:themeColor="text1" w:themeTint="F2"/>
                <w:spacing w:val="-2"/>
                <w:lang w:val="en-GB"/>
              </w:rPr>
              <w:t>T</w:t>
            </w:r>
            <w:r w:rsidRPr="00F34B26">
              <w:rPr>
                <w:rFonts w:cs="Arial"/>
                <w:color w:val="0D0D0D" w:themeColor="text1" w:themeTint="F2"/>
                <w:spacing w:val="-2"/>
                <w:lang w:val="en-GB"/>
              </w:rPr>
              <w:t>he CR was together with Germany among the countries with</w:t>
            </w:r>
            <w:r>
              <w:rPr>
                <w:rFonts w:cs="Arial"/>
                <w:color w:val="0D0D0D" w:themeColor="text1" w:themeTint="F2"/>
                <w:spacing w:val="-2"/>
                <w:lang w:val="en-GB"/>
              </w:rPr>
              <w:t xml:space="preserve"> </w:t>
            </w:r>
            <w:r w:rsidRPr="00F34B26">
              <w:rPr>
                <w:rFonts w:cs="Arial"/>
                <w:color w:val="0D0D0D" w:themeColor="text1" w:themeTint="F2"/>
                <w:spacing w:val="-2"/>
                <w:lang w:val="en-GB"/>
              </w:rPr>
              <w:t xml:space="preserve">the lowest unemployment rate at the end of 2015. The situation was less favourable for </w:t>
            </w:r>
            <w:r>
              <w:rPr>
                <w:rFonts w:cs="Arial"/>
                <w:color w:val="0D0D0D" w:themeColor="text1" w:themeTint="F2"/>
                <w:spacing w:val="-2"/>
                <w:lang w:val="en-GB"/>
              </w:rPr>
              <w:t>f</w:t>
            </w:r>
            <w:r w:rsidRPr="00F34B26">
              <w:rPr>
                <w:rFonts w:cs="Arial"/>
                <w:color w:val="0D0D0D" w:themeColor="text1" w:themeTint="F2"/>
                <w:spacing w:val="-2"/>
                <w:lang w:val="en-GB"/>
              </w:rPr>
              <w:t xml:space="preserve">emales, where already four countries achieved better results (Germany, Austria, Great Britain and Malta), </w:t>
            </w:r>
            <w:proofErr w:type="gramStart"/>
            <w:r w:rsidRPr="00F34B26">
              <w:rPr>
                <w:rFonts w:cs="Arial"/>
                <w:color w:val="0D0D0D" w:themeColor="text1" w:themeTint="F2"/>
                <w:spacing w:val="-2"/>
                <w:lang w:val="en-GB"/>
              </w:rPr>
              <w:t>even</w:t>
            </w:r>
            <w:proofErr w:type="gramEnd"/>
            <w:r w:rsidRPr="00F34B26">
              <w:rPr>
                <w:rFonts w:cs="Arial"/>
                <w:color w:val="0D0D0D" w:themeColor="text1" w:themeTint="F2"/>
                <w:spacing w:val="-2"/>
                <w:lang w:val="en-GB"/>
              </w:rPr>
              <w:t xml:space="preserve"> nine countries in case of t</w:t>
            </w:r>
            <w:r>
              <w:rPr>
                <w:rFonts w:cs="Arial"/>
                <w:color w:val="0D0D0D" w:themeColor="text1" w:themeTint="F2"/>
                <w:spacing w:val="-2"/>
                <w:lang w:val="en-GB"/>
              </w:rPr>
              <w:t>he long-term unemployment rate (with duration of unemployment over 12 months).</w:t>
            </w:r>
          </w:p>
          <w:p w:rsidR="00FA0110" w:rsidRPr="00906D0C" w:rsidRDefault="00FA0110" w:rsidP="00FA0110">
            <w:pPr>
              <w:pStyle w:val="Textpoznpodarou"/>
              <w:jc w:val="both"/>
              <w:rPr>
                <w:rFonts w:cs="Arial"/>
                <w:color w:val="0D0D0D" w:themeColor="text1" w:themeTint="F2"/>
                <w:spacing w:val="-2"/>
                <w:lang w:val="en-GB"/>
              </w:rPr>
            </w:pPr>
          </w:p>
        </w:tc>
      </w:tr>
      <w:tr w:rsidR="00FA0110" w:rsidTr="00FA0110">
        <w:tc>
          <w:tcPr>
            <w:tcW w:w="1054" w:type="pct"/>
          </w:tcPr>
          <w:p w:rsidR="00FA0110" w:rsidRPr="00F67202" w:rsidRDefault="00FA0110" w:rsidP="00FA0110">
            <w:pPr>
              <w:spacing w:line="240" w:lineRule="auto"/>
              <w:rPr>
                <w:rFonts w:cs="Arial"/>
                <w:bCs/>
                <w:iCs/>
                <w:color w:val="0D0D0D" w:themeColor="text1" w:themeTint="F2"/>
                <w:spacing w:val="-4"/>
                <w:sz w:val="16"/>
                <w:szCs w:val="16"/>
                <w:lang w:val="en-GB"/>
              </w:rPr>
            </w:pPr>
            <w:r w:rsidRPr="00F67202">
              <w:rPr>
                <w:rFonts w:cs="Arial"/>
                <w:bCs/>
                <w:iCs/>
                <w:color w:val="0D0D0D" w:themeColor="text1" w:themeTint="F2"/>
                <w:spacing w:val="-4"/>
                <w:sz w:val="16"/>
                <w:szCs w:val="16"/>
                <w:lang w:val="en-GB"/>
              </w:rPr>
              <w:t>Marked acceleration of the rate of growth of wages year-on-year during 2015</w:t>
            </w: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6"/>
                <w:szCs w:val="16"/>
                <w:lang w:val="en-GB"/>
              </w:rPr>
            </w:pPr>
          </w:p>
          <w:p w:rsidR="00FA0110" w:rsidRPr="00F67202" w:rsidRDefault="00FA0110" w:rsidP="00FA0110">
            <w:pPr>
              <w:spacing w:line="240" w:lineRule="auto"/>
              <w:rPr>
                <w:rFonts w:cs="Arial"/>
                <w:bCs/>
                <w:iCs/>
                <w:color w:val="0D0D0D" w:themeColor="text1" w:themeTint="F2"/>
                <w:spacing w:val="-4"/>
                <w:sz w:val="14"/>
                <w:szCs w:val="14"/>
                <w:lang w:val="en-GB"/>
              </w:rPr>
            </w:pPr>
            <w:r>
              <w:rPr>
                <w:rFonts w:cs="Arial"/>
                <w:bCs/>
                <w:iCs/>
                <w:color w:val="0D0D0D" w:themeColor="text1" w:themeTint="F2"/>
                <w:spacing w:val="-4"/>
                <w:sz w:val="16"/>
                <w:szCs w:val="16"/>
                <w:lang w:val="en-GB"/>
              </w:rPr>
              <w:t xml:space="preserve">Raise of the minimum wage contributed to the halt of further wage differentiation deepening </w:t>
            </w:r>
          </w:p>
        </w:tc>
        <w:tc>
          <w:tcPr>
            <w:tcW w:w="142" w:type="pct"/>
          </w:tcPr>
          <w:p w:rsidR="00FA0110" w:rsidRPr="00F67202" w:rsidRDefault="00FA0110" w:rsidP="00FA0110">
            <w:pPr>
              <w:pStyle w:val="Textpoznpodarou"/>
              <w:jc w:val="both"/>
              <w:rPr>
                <w:color w:val="0D0D0D" w:themeColor="text1" w:themeTint="F2"/>
                <w:lang w:val="en-GB"/>
              </w:rPr>
            </w:pPr>
          </w:p>
        </w:tc>
        <w:tc>
          <w:tcPr>
            <w:tcW w:w="3804" w:type="pct"/>
          </w:tcPr>
          <w:p w:rsidR="00FA0110" w:rsidRPr="00F67202" w:rsidRDefault="00FA0110" w:rsidP="00FA0110">
            <w:pPr>
              <w:pStyle w:val="Textpoznpodarou"/>
              <w:jc w:val="both"/>
              <w:rPr>
                <w:rFonts w:cs="Arial"/>
                <w:color w:val="0D0D0D" w:themeColor="text1" w:themeTint="F2"/>
                <w:lang w:val="en-GB"/>
              </w:rPr>
            </w:pPr>
            <w:r w:rsidRPr="00F67202">
              <w:rPr>
                <w:rFonts w:cs="Arial"/>
                <w:color w:val="0D0D0D" w:themeColor="text1" w:themeTint="F2"/>
                <w:lang w:val="en-GB"/>
              </w:rPr>
              <w:t xml:space="preserve">The rising demand for labour force was gradually reflected in </w:t>
            </w:r>
            <w:r>
              <w:rPr>
                <w:rFonts w:cs="Arial"/>
                <w:color w:val="0D0D0D" w:themeColor="text1" w:themeTint="F2"/>
                <w:lang w:val="en-GB"/>
              </w:rPr>
              <w:t xml:space="preserve">wages </w:t>
            </w:r>
            <w:r w:rsidRPr="00F67202">
              <w:rPr>
                <w:rFonts w:cs="Arial"/>
                <w:color w:val="0D0D0D" w:themeColor="text1" w:themeTint="F2"/>
                <w:lang w:val="en-GB"/>
              </w:rPr>
              <w:t xml:space="preserve">as well. The rate of growth of wages </w:t>
            </w:r>
            <w:r>
              <w:rPr>
                <w:rFonts w:cs="Arial"/>
                <w:color w:val="0D0D0D" w:themeColor="text1" w:themeTint="F2"/>
                <w:lang w:val="en-GB"/>
              </w:rPr>
              <w:t>(</w:t>
            </w:r>
            <w:r w:rsidRPr="003657C9">
              <w:rPr>
                <w:rFonts w:cs="Arial"/>
                <w:color w:val="0D0D0D" w:themeColor="text1" w:themeTint="F2"/>
                <w:lang w:val="en-GB"/>
              </w:rPr>
              <w:t>per full-time equivalent employee</w:t>
            </w:r>
            <w:r>
              <w:rPr>
                <w:rFonts w:cs="Arial"/>
                <w:color w:val="0D0D0D" w:themeColor="text1" w:themeTint="F2"/>
                <w:lang w:val="en-GB"/>
              </w:rPr>
              <w:t xml:space="preserve">) </w:t>
            </w:r>
            <w:r w:rsidRPr="00F67202">
              <w:rPr>
                <w:rFonts w:cs="Arial"/>
                <w:color w:val="0D0D0D" w:themeColor="text1" w:themeTint="F2"/>
                <w:lang w:val="en-GB"/>
              </w:rPr>
              <w:t>was</w:t>
            </w:r>
            <w:r>
              <w:rPr>
                <w:rFonts w:cs="Arial"/>
                <w:color w:val="0D0D0D" w:themeColor="text1" w:themeTint="F2"/>
                <w:lang w:val="en-GB"/>
              </w:rPr>
              <w:t xml:space="preserve"> the highest in the last seven </w:t>
            </w:r>
            <w:r w:rsidRPr="00F67202">
              <w:rPr>
                <w:rFonts w:cs="Arial"/>
                <w:color w:val="0D0D0D" w:themeColor="text1" w:themeTint="F2"/>
                <w:lang w:val="en-GB"/>
              </w:rPr>
              <w:t>years in 2015 and accelerated during the year (from 2.</w:t>
            </w:r>
            <w:r>
              <w:rPr>
                <w:rFonts w:cs="Arial"/>
                <w:color w:val="0D0D0D" w:themeColor="text1" w:themeTint="F2"/>
                <w:lang w:val="en-GB"/>
              </w:rPr>
              <w:t>3</w:t>
            </w:r>
            <w:r w:rsidRPr="00F67202">
              <w:rPr>
                <w:rFonts w:cs="Arial"/>
                <w:color w:val="0D0D0D" w:themeColor="text1" w:themeTint="F2"/>
                <w:lang w:val="en-GB"/>
              </w:rPr>
              <w:t>% in Q1 to nearly 4% at the end</w:t>
            </w:r>
            <w:r>
              <w:rPr>
                <w:rFonts w:cs="Arial"/>
                <w:color w:val="0D0D0D" w:themeColor="text1" w:themeTint="F2"/>
                <w:lang w:val="en-GB"/>
              </w:rPr>
              <w:t xml:space="preserve"> </w:t>
            </w:r>
            <w:r w:rsidRPr="00F67202">
              <w:rPr>
                <w:rFonts w:cs="Arial"/>
                <w:color w:val="0D0D0D" w:themeColor="text1" w:themeTint="F2"/>
                <w:lang w:val="en-GB"/>
              </w:rPr>
              <w:t xml:space="preserve">of the year). </w:t>
            </w:r>
            <w:r>
              <w:rPr>
                <w:rFonts w:cs="Arial"/>
                <w:color w:val="0D0D0D" w:themeColor="text1" w:themeTint="F2"/>
                <w:lang w:val="en-GB"/>
              </w:rPr>
              <w:t>T</w:t>
            </w:r>
            <w:r w:rsidRPr="00F67202">
              <w:rPr>
                <w:rFonts w:cs="Arial"/>
                <w:color w:val="0D0D0D" w:themeColor="text1" w:themeTint="F2"/>
                <w:lang w:val="en-GB"/>
              </w:rPr>
              <w:t xml:space="preserve">he wages were growing relatively faster in the business sphere </w:t>
            </w:r>
            <w:r>
              <w:rPr>
                <w:rFonts w:cs="Arial"/>
                <w:color w:val="0D0D0D" w:themeColor="text1" w:themeTint="F2"/>
                <w:lang w:val="en-GB"/>
              </w:rPr>
              <w:t>th</w:t>
            </w:r>
            <w:r w:rsidRPr="00F67202">
              <w:rPr>
                <w:rFonts w:cs="Arial"/>
                <w:color w:val="0D0D0D" w:themeColor="text1" w:themeTint="F2"/>
                <w:lang w:val="en-GB"/>
              </w:rPr>
              <w:t xml:space="preserve">an in the non-business sphere in the second half of the year. The higher growth </w:t>
            </w:r>
            <w:r>
              <w:rPr>
                <w:rFonts w:cs="Arial"/>
                <w:color w:val="0D0D0D" w:themeColor="text1" w:themeTint="F2"/>
                <w:lang w:val="en-GB"/>
              </w:rPr>
              <w:t>of</w:t>
            </w:r>
            <w:r w:rsidRPr="00F67202">
              <w:rPr>
                <w:rFonts w:cs="Arial"/>
                <w:color w:val="0D0D0D" w:themeColor="text1" w:themeTint="F2"/>
                <w:lang w:val="en-GB"/>
              </w:rPr>
              <w:t xml:space="preserve"> wages in the dominant </w:t>
            </w:r>
            <w:r>
              <w:rPr>
                <w:rFonts w:cs="Arial"/>
                <w:color w:val="0D0D0D" w:themeColor="text1" w:themeTint="F2"/>
                <w:lang w:val="en-GB"/>
              </w:rPr>
              <w:t>(</w:t>
            </w:r>
            <w:r w:rsidRPr="00F67202">
              <w:rPr>
                <w:rFonts w:cs="Arial"/>
                <w:color w:val="0D0D0D" w:themeColor="text1" w:themeTint="F2"/>
                <w:lang w:val="en-GB"/>
              </w:rPr>
              <w:t>by weigh</w:t>
            </w:r>
            <w:r>
              <w:rPr>
                <w:rFonts w:cs="Arial"/>
                <w:color w:val="0D0D0D" w:themeColor="text1" w:themeTint="F2"/>
                <w:lang w:val="en-GB"/>
              </w:rPr>
              <w:t xml:space="preserve">t) business sphere was among </w:t>
            </w:r>
            <w:r w:rsidRPr="00F67202">
              <w:rPr>
                <w:rFonts w:cs="Arial"/>
                <w:color w:val="0D0D0D" w:themeColor="text1" w:themeTint="F2"/>
                <w:lang w:val="en-GB"/>
              </w:rPr>
              <w:t>other things also enabled by</w:t>
            </w:r>
            <w:r>
              <w:rPr>
                <w:rFonts w:cs="Arial"/>
                <w:color w:val="0D0D0D" w:themeColor="text1" w:themeTint="F2"/>
                <w:lang w:val="en-GB"/>
              </w:rPr>
              <w:t xml:space="preserve"> the growth of profitability of</w:t>
            </w:r>
            <w:r w:rsidRPr="00F67202">
              <w:rPr>
                <w:rFonts w:cs="Arial"/>
                <w:color w:val="0D0D0D" w:themeColor="text1" w:themeTint="F2"/>
                <w:lang w:val="en-GB"/>
              </w:rPr>
              <w:t xml:space="preserve"> businesses, especially those under foreign control. The development in the non-business sphere also presented</w:t>
            </w:r>
            <w:r>
              <w:rPr>
                <w:rFonts w:cs="Arial"/>
                <w:color w:val="0D0D0D" w:themeColor="text1" w:themeTint="F2"/>
                <w:lang w:val="en-GB"/>
              </w:rPr>
              <w:t xml:space="preserve"> </w:t>
            </w:r>
            <w:r w:rsidRPr="00F67202">
              <w:rPr>
                <w:rFonts w:cs="Arial"/>
                <w:color w:val="0D0D0D" w:themeColor="text1" w:themeTint="F2"/>
                <w:lang w:val="en-GB"/>
              </w:rPr>
              <w:t>a significant impulse, with the growth of the wage tariffs at the end of 2014. The employees in accommodation, restaurants and food service activities (6.</w:t>
            </w:r>
            <w:r>
              <w:rPr>
                <w:rFonts w:cs="Arial"/>
                <w:color w:val="0D0D0D" w:themeColor="text1" w:themeTint="F2"/>
                <w:lang w:val="en-GB"/>
              </w:rPr>
              <w:t>6</w:t>
            </w:r>
            <w:r w:rsidRPr="00F67202">
              <w:rPr>
                <w:rFonts w:cs="Arial"/>
                <w:color w:val="0D0D0D" w:themeColor="text1" w:themeTint="F2"/>
                <w:lang w:val="en-GB"/>
              </w:rPr>
              <w:t>%) experienced the</w:t>
            </w:r>
            <w:r>
              <w:rPr>
                <w:rFonts w:cs="Arial"/>
                <w:color w:val="0D0D0D" w:themeColor="text1" w:themeTint="F2"/>
                <w:lang w:val="en-GB"/>
              </w:rPr>
              <w:t xml:space="preserve"> </w:t>
            </w:r>
            <w:r w:rsidRPr="00F67202">
              <w:rPr>
                <w:rFonts w:cs="Arial"/>
                <w:color w:val="0D0D0D" w:themeColor="text1" w:themeTint="F2"/>
                <w:lang w:val="en-GB"/>
              </w:rPr>
              <w:t xml:space="preserve">biggest relative improvement in </w:t>
            </w:r>
            <w:proofErr w:type="gramStart"/>
            <w:r w:rsidRPr="00F67202">
              <w:rPr>
                <w:rFonts w:cs="Arial"/>
                <w:color w:val="0D0D0D" w:themeColor="text1" w:themeTint="F2"/>
                <w:lang w:val="en-GB"/>
              </w:rPr>
              <w:t>2015,</w:t>
            </w:r>
            <w:proofErr w:type="gramEnd"/>
            <w:r w:rsidRPr="00F67202">
              <w:rPr>
                <w:rFonts w:cs="Arial"/>
                <w:color w:val="0D0D0D" w:themeColor="text1" w:themeTint="F2"/>
                <w:lang w:val="en-GB"/>
              </w:rPr>
              <w:t xml:space="preserve"> however</w:t>
            </w:r>
            <w:r>
              <w:rPr>
                <w:rFonts w:cs="Arial"/>
                <w:color w:val="0D0D0D" w:themeColor="text1" w:themeTint="F2"/>
                <w:lang w:val="en-GB"/>
              </w:rPr>
              <w:t xml:space="preserve"> it is a branch with a long-term</w:t>
            </w:r>
            <w:r w:rsidRPr="00F67202">
              <w:rPr>
                <w:rFonts w:cs="Arial"/>
                <w:color w:val="0D0D0D" w:themeColor="text1" w:themeTint="F2"/>
                <w:lang w:val="en-GB"/>
              </w:rPr>
              <w:t xml:space="preserve"> low wage level. The wages in manufacturing grew </w:t>
            </w:r>
            <w:r>
              <w:rPr>
                <w:rFonts w:cs="Arial"/>
                <w:color w:val="0D0D0D" w:themeColor="text1" w:themeTint="F2"/>
                <w:lang w:val="en-GB"/>
              </w:rPr>
              <w:t xml:space="preserve">at the same speed </w:t>
            </w:r>
            <w:r w:rsidRPr="00F67202">
              <w:rPr>
                <w:rFonts w:cs="Arial"/>
                <w:color w:val="0D0D0D" w:themeColor="text1" w:themeTint="F2"/>
                <w:lang w:val="en-GB"/>
              </w:rPr>
              <w:t>as on the</w:t>
            </w:r>
            <w:r>
              <w:rPr>
                <w:rFonts w:cs="Arial"/>
                <w:color w:val="0D0D0D" w:themeColor="text1" w:themeTint="F2"/>
                <w:lang w:val="en-GB"/>
              </w:rPr>
              <w:t xml:space="preserve"> level of the whole</w:t>
            </w:r>
            <w:r w:rsidRPr="00F67202">
              <w:rPr>
                <w:rFonts w:cs="Arial"/>
                <w:color w:val="0D0D0D" w:themeColor="text1" w:themeTint="F2"/>
                <w:lang w:val="en-GB"/>
              </w:rPr>
              <w:t xml:space="preserve"> </w:t>
            </w:r>
            <w:proofErr w:type="gramStart"/>
            <w:r w:rsidRPr="00F67202">
              <w:rPr>
                <w:rFonts w:cs="Arial"/>
                <w:color w:val="0D0D0D" w:themeColor="text1" w:themeTint="F2"/>
                <w:lang w:val="en-GB"/>
              </w:rPr>
              <w:t>economy,</w:t>
            </w:r>
            <w:proofErr w:type="gramEnd"/>
            <w:r w:rsidRPr="00F67202">
              <w:rPr>
                <w:rFonts w:cs="Arial"/>
                <w:color w:val="0D0D0D" w:themeColor="text1" w:themeTint="F2"/>
                <w:lang w:val="en-GB"/>
              </w:rPr>
              <w:t xml:space="preserve"> however the employment grew significantly here. The growth was much more modest in the branches with</w:t>
            </w:r>
            <w:r>
              <w:rPr>
                <w:rFonts w:cs="Arial"/>
                <w:color w:val="0D0D0D" w:themeColor="text1" w:themeTint="F2"/>
                <w:lang w:val="en-GB"/>
              </w:rPr>
              <w:t xml:space="preserve"> </w:t>
            </w:r>
            <w:r w:rsidRPr="00F67202">
              <w:rPr>
                <w:rFonts w:cs="Arial"/>
                <w:color w:val="0D0D0D" w:themeColor="text1" w:themeTint="F2"/>
                <w:lang w:val="en-GB"/>
              </w:rPr>
              <w:t xml:space="preserve">the highest wage level (information and communication, financial and </w:t>
            </w:r>
            <w:r>
              <w:rPr>
                <w:rFonts w:cs="Arial"/>
                <w:color w:val="0D0D0D" w:themeColor="text1" w:themeTint="F2"/>
                <w:lang w:val="en-GB"/>
              </w:rPr>
              <w:t>insurance activities, energy industry</w:t>
            </w:r>
            <w:r w:rsidRPr="00F67202">
              <w:rPr>
                <w:rFonts w:cs="Arial"/>
                <w:color w:val="0D0D0D" w:themeColor="text1" w:themeTint="F2"/>
                <w:lang w:val="en-GB"/>
              </w:rPr>
              <w:t>)</w:t>
            </w:r>
            <w:r>
              <w:rPr>
                <w:rFonts w:cs="Arial"/>
                <w:color w:val="0D0D0D" w:themeColor="text1" w:themeTint="F2"/>
                <w:lang w:val="en-GB"/>
              </w:rPr>
              <w:t>.</w:t>
            </w:r>
            <w:r w:rsidRPr="00F67202">
              <w:rPr>
                <w:rFonts w:cs="Arial"/>
                <w:color w:val="0D0D0D" w:themeColor="text1" w:themeTint="F2"/>
                <w:lang w:val="en-GB"/>
              </w:rPr>
              <w:t xml:space="preserve"> The important fact </w:t>
            </w:r>
            <w:proofErr w:type="gramStart"/>
            <w:r w:rsidRPr="00F67202">
              <w:rPr>
                <w:rFonts w:cs="Arial"/>
                <w:color w:val="0D0D0D" w:themeColor="text1" w:themeTint="F2"/>
                <w:lang w:val="en-GB"/>
              </w:rPr>
              <w:t>was,</w:t>
            </w:r>
            <w:proofErr w:type="gramEnd"/>
            <w:r w:rsidRPr="00F67202">
              <w:rPr>
                <w:rFonts w:cs="Arial"/>
                <w:color w:val="0D0D0D" w:themeColor="text1" w:themeTint="F2"/>
                <w:lang w:val="en-GB"/>
              </w:rPr>
              <w:t xml:space="preserve"> that the wage med</w:t>
            </w:r>
            <w:r>
              <w:rPr>
                <w:rFonts w:cs="Arial"/>
                <w:color w:val="0D0D0D" w:themeColor="text1" w:themeTint="F2"/>
                <w:lang w:val="en-GB"/>
              </w:rPr>
              <w:t>ian (5.4%)</w:t>
            </w:r>
            <w:r w:rsidRPr="00F67202">
              <w:rPr>
                <w:rFonts w:cs="Arial"/>
                <w:color w:val="0D0D0D" w:themeColor="text1" w:themeTint="F2"/>
                <w:lang w:val="en-GB"/>
              </w:rPr>
              <w:t xml:space="preserve"> grew by much faster rate than the average wage (3.9%) in Q4. The growth of the wage differentiation thus halted. The increase of the minimum wage level</w:t>
            </w:r>
            <w:r>
              <w:rPr>
                <w:rFonts w:cs="Arial"/>
                <w:color w:val="0D0D0D" w:themeColor="text1" w:themeTint="F2"/>
                <w:lang w:val="en-GB"/>
              </w:rPr>
              <w:t xml:space="preserve"> also most likely contributed. </w:t>
            </w:r>
          </w:p>
          <w:p w:rsidR="00FA0110" w:rsidRPr="00906D0C" w:rsidRDefault="00FA0110" w:rsidP="00FA0110">
            <w:pPr>
              <w:pStyle w:val="Textpoznpodarou"/>
              <w:jc w:val="both"/>
              <w:rPr>
                <w:rFonts w:cs="Arial"/>
                <w:color w:val="0D0D0D" w:themeColor="text1" w:themeTint="F2"/>
                <w:spacing w:val="-2"/>
                <w:lang w:val="en-GB"/>
              </w:rPr>
            </w:pPr>
          </w:p>
        </w:tc>
      </w:tr>
      <w:tr w:rsidR="00FA0110" w:rsidTr="00FA0110">
        <w:tc>
          <w:tcPr>
            <w:tcW w:w="1054" w:type="pct"/>
          </w:tcPr>
          <w:p w:rsidR="00FA0110" w:rsidRPr="00F4678D" w:rsidRDefault="00FA0110" w:rsidP="00FA0110">
            <w:pPr>
              <w:spacing w:line="240" w:lineRule="auto"/>
              <w:rPr>
                <w:sz w:val="16"/>
                <w:szCs w:val="16"/>
                <w:lang w:val="en-GB"/>
              </w:rPr>
            </w:pPr>
            <w:r>
              <w:rPr>
                <w:sz w:val="16"/>
                <w:szCs w:val="16"/>
                <w:lang w:val="en-GB"/>
              </w:rPr>
              <w:t>Low inflationary conditions assist</w:t>
            </w:r>
            <w:r w:rsidRPr="00F4678D">
              <w:rPr>
                <w:sz w:val="16"/>
                <w:szCs w:val="16"/>
                <w:lang w:val="en-GB"/>
              </w:rPr>
              <w:t xml:space="preserve"> the growth of the purchasing power of employees </w:t>
            </w:r>
          </w:p>
        </w:tc>
        <w:tc>
          <w:tcPr>
            <w:tcW w:w="142" w:type="pct"/>
          </w:tcPr>
          <w:p w:rsidR="00FA0110" w:rsidRPr="00F4678D" w:rsidRDefault="00FA0110" w:rsidP="00FA0110">
            <w:pPr>
              <w:pStyle w:val="Textpoznpodarou"/>
              <w:jc w:val="both"/>
              <w:rPr>
                <w:lang w:val="en-GB"/>
              </w:rPr>
            </w:pPr>
          </w:p>
        </w:tc>
        <w:tc>
          <w:tcPr>
            <w:tcW w:w="3804" w:type="pct"/>
          </w:tcPr>
          <w:p w:rsidR="00FA0110" w:rsidRPr="00F4678D" w:rsidRDefault="00FA0110" w:rsidP="00FA0110">
            <w:pPr>
              <w:pStyle w:val="Textpoznpodarou"/>
              <w:jc w:val="both"/>
              <w:rPr>
                <w:lang w:val="en-GB"/>
              </w:rPr>
            </w:pPr>
            <w:r w:rsidRPr="00F4678D">
              <w:rPr>
                <w:spacing w:val="-2"/>
                <w:lang w:val="en-GB"/>
              </w:rPr>
              <w:t>Low rate of inflation an</w:t>
            </w:r>
            <w:r>
              <w:rPr>
                <w:spacing w:val="-2"/>
                <w:lang w:val="en-GB"/>
              </w:rPr>
              <w:t>d</w:t>
            </w:r>
            <w:r w:rsidRPr="00F4678D">
              <w:rPr>
                <w:spacing w:val="-2"/>
                <w:lang w:val="en-GB"/>
              </w:rPr>
              <w:t xml:space="preserve"> accelerating growth of the average wage were beneficially reflected in</w:t>
            </w:r>
            <w:r>
              <w:rPr>
                <w:spacing w:val="-2"/>
                <w:lang w:val="en-GB"/>
              </w:rPr>
              <w:t xml:space="preserve"> </w:t>
            </w:r>
            <w:r w:rsidRPr="00F4678D">
              <w:rPr>
                <w:spacing w:val="-2"/>
                <w:lang w:val="en-GB"/>
              </w:rPr>
              <w:t>th</w:t>
            </w:r>
            <w:r>
              <w:rPr>
                <w:spacing w:val="-2"/>
                <w:lang w:val="en-GB"/>
              </w:rPr>
              <w:t>e</w:t>
            </w:r>
            <w:r w:rsidRPr="00F4678D">
              <w:rPr>
                <w:spacing w:val="-2"/>
                <w:lang w:val="en-GB"/>
              </w:rPr>
              <w:t xml:space="preserve"> development of the purchasing power of employees. While the average wage was raised by </w:t>
            </w:r>
            <w:r w:rsidRPr="00F4678D">
              <w:rPr>
                <w:lang w:val="en-GB"/>
              </w:rPr>
              <w:t>2.</w:t>
            </w:r>
            <w:r>
              <w:rPr>
                <w:lang w:val="en-GB"/>
              </w:rPr>
              <w:t>2</w:t>
            </w:r>
            <w:r w:rsidRPr="00F4678D">
              <w:rPr>
                <w:lang w:val="en-GB"/>
              </w:rPr>
              <w:t>% in real expression in Q1 2015, it grew already by 3.</w:t>
            </w:r>
            <w:r>
              <w:rPr>
                <w:lang w:val="en-GB"/>
              </w:rPr>
              <w:t>8</w:t>
            </w:r>
            <w:r w:rsidRPr="00F4678D">
              <w:rPr>
                <w:lang w:val="en-GB"/>
              </w:rPr>
              <w:t>% at the end of the year. It represented the highest increase since the</w:t>
            </w:r>
            <w:r>
              <w:rPr>
                <w:lang w:val="en-GB"/>
              </w:rPr>
              <w:t xml:space="preserve"> </w:t>
            </w:r>
            <w:r w:rsidRPr="00F4678D">
              <w:rPr>
                <w:lang w:val="en-GB"/>
              </w:rPr>
              <w:t>end of year 2009.</w:t>
            </w:r>
          </w:p>
        </w:tc>
      </w:tr>
    </w:tbl>
    <w:p w:rsidR="00906D0C" w:rsidRDefault="00906D0C" w:rsidP="001D1A17">
      <w:pPr>
        <w:pStyle w:val="Zhlav"/>
        <w:jc w:val="both"/>
        <w:rPr>
          <w:rFonts w:ascii="Arial" w:hAnsi="Arial" w:cs="Arial"/>
          <w:sz w:val="20"/>
          <w:szCs w:val="20"/>
          <w:lang w:val="en-GB"/>
        </w:rPr>
      </w:pPr>
    </w:p>
    <w:tbl>
      <w:tblPr>
        <w:tblW w:w="5152" w:type="pct"/>
        <w:tblCellMar>
          <w:left w:w="28" w:type="dxa"/>
          <w:right w:w="28" w:type="dxa"/>
        </w:tblCellMar>
        <w:tblLook w:val="04A0"/>
      </w:tblPr>
      <w:tblGrid>
        <w:gridCol w:w="595"/>
        <w:gridCol w:w="4472"/>
        <w:gridCol w:w="627"/>
        <w:gridCol w:w="4301"/>
      </w:tblGrid>
      <w:tr w:rsidR="00FA0110" w:rsidTr="00FA0110">
        <w:tc>
          <w:tcPr>
            <w:tcW w:w="298" w:type="pct"/>
          </w:tcPr>
          <w:p w:rsidR="00FA0110" w:rsidRPr="007E77FB" w:rsidRDefault="00FA0110" w:rsidP="00FA0110">
            <w:pPr>
              <w:pStyle w:val="Textpoznpodarou"/>
              <w:rPr>
                <w:lang w:eastAsia="en-US"/>
              </w:rPr>
            </w:pPr>
            <w:r>
              <w:rPr>
                <w:lang w:eastAsia="en-US"/>
              </w:rPr>
              <w:t xml:space="preserve">Chart </w:t>
            </w:r>
            <w:r w:rsidRPr="007E77FB">
              <w:rPr>
                <w:lang w:eastAsia="en-US"/>
              </w:rPr>
              <w:t>15</w:t>
            </w:r>
          </w:p>
        </w:tc>
        <w:tc>
          <w:tcPr>
            <w:tcW w:w="2240" w:type="pct"/>
          </w:tcPr>
          <w:p w:rsidR="00FA0110" w:rsidRPr="007E77FB" w:rsidRDefault="00FA0110" w:rsidP="00FA0110">
            <w:pPr>
              <w:pStyle w:val="Textpoznpodarou"/>
              <w:rPr>
                <w:lang w:eastAsia="en-US"/>
              </w:rPr>
            </w:pPr>
            <w:r w:rsidRPr="005E0476">
              <w:rPr>
                <w:b/>
                <w:lang w:val="en-GB" w:eastAsia="en-US"/>
              </w:rPr>
              <w:t xml:space="preserve">Number of employed persons and employees </w:t>
            </w:r>
            <w:r w:rsidRPr="00570772">
              <w:rPr>
                <w:spacing w:val="-2"/>
                <w:lang w:eastAsia="en-US"/>
              </w:rPr>
              <w:t>(</w:t>
            </w:r>
            <w:r w:rsidRPr="00570772">
              <w:rPr>
                <w:spacing w:val="-2"/>
                <w:lang w:val="en-GB" w:eastAsia="en-US"/>
              </w:rPr>
              <w:t>nat. accounts data, seasonally adjusted, y/y in %)</w:t>
            </w:r>
          </w:p>
        </w:tc>
        <w:tc>
          <w:tcPr>
            <w:tcW w:w="313" w:type="pct"/>
          </w:tcPr>
          <w:p w:rsidR="00FA0110" w:rsidRPr="007E77FB" w:rsidRDefault="00FA0110" w:rsidP="00FA0110">
            <w:pPr>
              <w:pStyle w:val="Textpoznpodarou"/>
              <w:rPr>
                <w:lang w:eastAsia="en-US"/>
              </w:rPr>
            </w:pPr>
            <w:r>
              <w:rPr>
                <w:lang w:eastAsia="en-US"/>
              </w:rPr>
              <w:t xml:space="preserve">Chart </w:t>
            </w:r>
            <w:r w:rsidRPr="007E77FB">
              <w:rPr>
                <w:lang w:eastAsia="en-US"/>
              </w:rPr>
              <w:t>16</w:t>
            </w:r>
          </w:p>
        </w:tc>
        <w:tc>
          <w:tcPr>
            <w:tcW w:w="2148" w:type="pct"/>
          </w:tcPr>
          <w:p w:rsidR="00FA0110" w:rsidRPr="00886A8F" w:rsidRDefault="00FA0110" w:rsidP="00FA0110">
            <w:pPr>
              <w:pStyle w:val="Textpoznpodarou"/>
              <w:rPr>
                <w:spacing w:val="-2"/>
                <w:lang w:eastAsia="en-US"/>
              </w:rPr>
            </w:pPr>
            <w:r w:rsidRPr="005E0476">
              <w:rPr>
                <w:b/>
                <w:spacing w:val="-2"/>
                <w:lang w:val="en-GB" w:eastAsia="en-US"/>
              </w:rPr>
              <w:t xml:space="preserve">Average gross nominal and real wage </w:t>
            </w:r>
            <w:r w:rsidRPr="005E0476">
              <w:rPr>
                <w:spacing w:val="-2"/>
                <w:lang w:val="en-GB" w:eastAsia="en-US"/>
              </w:rPr>
              <w:t>(</w:t>
            </w:r>
            <w:r>
              <w:rPr>
                <w:spacing w:val="-2"/>
                <w:lang w:val="en-GB" w:eastAsia="en-US"/>
              </w:rPr>
              <w:t xml:space="preserve">per </w:t>
            </w:r>
            <w:r w:rsidRPr="005E0476">
              <w:rPr>
                <w:spacing w:val="-2"/>
                <w:lang w:val="en-GB" w:eastAsia="en-US"/>
              </w:rPr>
              <w:t>recalculated numbers of employees, y/y in %)</w:t>
            </w:r>
          </w:p>
        </w:tc>
      </w:tr>
      <w:tr w:rsidR="00FA0110" w:rsidTr="00FA0110">
        <w:tc>
          <w:tcPr>
            <w:tcW w:w="2539" w:type="pct"/>
            <w:gridSpan w:val="2"/>
          </w:tcPr>
          <w:p w:rsidR="00FA0110" w:rsidRDefault="00FA0110" w:rsidP="00FA0110">
            <w:pPr>
              <w:pStyle w:val="Textpoznpodarou"/>
              <w:jc w:val="both"/>
            </w:pPr>
            <w:r>
              <w:rPr>
                <w:noProof/>
              </w:rPr>
              <w:drawing>
                <wp:inline distT="0" distB="0" distL="0" distR="0">
                  <wp:extent cx="3161471" cy="2385391"/>
                  <wp:effectExtent l="19050" t="0" r="829" b="0"/>
                  <wp:docPr id="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3164840" cy="2387933"/>
                          </a:xfrm>
                          <a:prstGeom prst="rect">
                            <a:avLst/>
                          </a:prstGeom>
                          <a:noFill/>
                          <a:ln w="9525">
                            <a:noFill/>
                            <a:miter lim="800000"/>
                            <a:headEnd/>
                            <a:tailEnd/>
                          </a:ln>
                        </pic:spPr>
                      </pic:pic>
                    </a:graphicData>
                  </a:graphic>
                </wp:inline>
              </w:drawing>
            </w:r>
          </w:p>
        </w:tc>
        <w:tc>
          <w:tcPr>
            <w:tcW w:w="2461" w:type="pct"/>
            <w:gridSpan w:val="2"/>
          </w:tcPr>
          <w:p w:rsidR="00FA0110" w:rsidRDefault="00FA0110" w:rsidP="00FA0110">
            <w:pPr>
              <w:pStyle w:val="Textpoznpodarou"/>
              <w:jc w:val="both"/>
            </w:pPr>
            <w:r>
              <w:rPr>
                <w:noProof/>
              </w:rPr>
              <w:drawing>
                <wp:inline distT="0" distB="0" distL="0" distR="0">
                  <wp:extent cx="3074007" cy="2385391"/>
                  <wp:effectExtent l="19050" t="0" r="0" b="0"/>
                  <wp:docPr id="1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3077344" cy="2387980"/>
                          </a:xfrm>
                          <a:prstGeom prst="rect">
                            <a:avLst/>
                          </a:prstGeom>
                          <a:noFill/>
                          <a:ln w="9525">
                            <a:noFill/>
                            <a:miter lim="800000"/>
                            <a:headEnd/>
                            <a:tailEnd/>
                          </a:ln>
                        </pic:spPr>
                      </pic:pic>
                    </a:graphicData>
                  </a:graphic>
                </wp:inline>
              </w:drawing>
            </w:r>
          </w:p>
        </w:tc>
      </w:tr>
      <w:tr w:rsidR="00FA0110" w:rsidTr="00FA0110">
        <w:tc>
          <w:tcPr>
            <w:tcW w:w="5000" w:type="pct"/>
            <w:gridSpan w:val="4"/>
          </w:tcPr>
          <w:p w:rsidR="00FA0110" w:rsidRPr="004C5813" w:rsidRDefault="00FA0110" w:rsidP="00FA0110">
            <w:pPr>
              <w:autoSpaceDE w:val="0"/>
              <w:autoSpaceDN w:val="0"/>
              <w:adjustRightInd w:val="0"/>
              <w:spacing w:line="240" w:lineRule="auto"/>
              <w:jc w:val="right"/>
              <w:rPr>
                <w:rFonts w:cs="Arial"/>
                <w:color w:val="000000" w:themeColor="text1"/>
                <w:spacing w:val="-2"/>
                <w:sz w:val="18"/>
                <w:szCs w:val="18"/>
              </w:rPr>
            </w:pPr>
            <w:proofErr w:type="spellStart"/>
            <w:r>
              <w:rPr>
                <w:sz w:val="18"/>
                <w:szCs w:val="18"/>
                <w:lang w:eastAsia="en-US"/>
              </w:rPr>
              <w:t>Source</w:t>
            </w:r>
            <w:proofErr w:type="spellEnd"/>
            <w:r w:rsidRPr="00886A8F">
              <w:rPr>
                <w:sz w:val="18"/>
                <w:szCs w:val="18"/>
                <w:lang w:eastAsia="en-US"/>
              </w:rPr>
              <w:t xml:space="preserve">: </w:t>
            </w:r>
            <w:r>
              <w:rPr>
                <w:sz w:val="18"/>
                <w:szCs w:val="18"/>
                <w:lang w:eastAsia="en-US"/>
              </w:rPr>
              <w:t>CZSO</w:t>
            </w:r>
          </w:p>
        </w:tc>
      </w:tr>
    </w:tbl>
    <w:p w:rsidR="00576A3E" w:rsidRDefault="00451DCC" w:rsidP="006D142E">
      <w:pPr>
        <w:pStyle w:val="Nadpis1"/>
        <w:numPr>
          <w:ilvl w:val="0"/>
          <w:numId w:val="3"/>
        </w:numPr>
        <w:jc w:val="both"/>
      </w:pPr>
      <w:bookmarkStart w:id="8" w:name="_Toc449604562"/>
      <w:proofErr w:type="spellStart"/>
      <w:r>
        <w:lastRenderedPageBreak/>
        <w:t>Monetary</w:t>
      </w:r>
      <w:proofErr w:type="spellEnd"/>
      <w:r>
        <w:t xml:space="preserve"> </w:t>
      </w:r>
      <w:proofErr w:type="spellStart"/>
      <w:r>
        <w:t>Conditions</w:t>
      </w:r>
      <w:bookmarkEnd w:id="8"/>
      <w:proofErr w:type="spellEnd"/>
    </w:p>
    <w:tbl>
      <w:tblPr>
        <w:tblW w:w="5000" w:type="pct"/>
        <w:tblLayout w:type="fixed"/>
        <w:tblLook w:val="00A0"/>
      </w:tblPr>
      <w:tblGrid>
        <w:gridCol w:w="2077"/>
        <w:gridCol w:w="282"/>
        <w:gridCol w:w="7495"/>
      </w:tblGrid>
      <w:tr w:rsidR="006E4832" w:rsidRPr="00831EC2" w:rsidTr="00FA0110">
        <w:tc>
          <w:tcPr>
            <w:tcW w:w="1054" w:type="pct"/>
          </w:tcPr>
          <w:p w:rsidR="006E4832" w:rsidRPr="00C05C71" w:rsidRDefault="006E4832" w:rsidP="00FA0110">
            <w:pPr>
              <w:spacing w:line="240" w:lineRule="auto"/>
              <w:rPr>
                <w:sz w:val="16"/>
                <w:szCs w:val="16"/>
                <w:lang w:val="en-GB"/>
              </w:rPr>
            </w:pPr>
            <w:r>
              <w:rPr>
                <w:sz w:val="16"/>
                <w:szCs w:val="16"/>
                <w:lang w:val="en-GB"/>
              </w:rPr>
              <w:t>Key</w:t>
            </w:r>
            <w:r w:rsidRPr="00C05C71">
              <w:rPr>
                <w:sz w:val="16"/>
                <w:szCs w:val="16"/>
                <w:lang w:val="en-GB"/>
              </w:rPr>
              <w:t xml:space="preserve"> interest rates still close to zero, </w:t>
            </w:r>
            <w:r>
              <w:rPr>
                <w:sz w:val="16"/>
                <w:szCs w:val="16"/>
                <w:lang w:val="en-GB"/>
              </w:rPr>
              <w:t xml:space="preserve">crown foreign </w:t>
            </w:r>
            <w:r w:rsidRPr="00C05C71">
              <w:rPr>
                <w:sz w:val="16"/>
                <w:szCs w:val="16"/>
                <w:lang w:val="en-GB"/>
              </w:rPr>
              <w:t>exchange still kept above the level of 27 cr</w:t>
            </w:r>
            <w:r>
              <w:rPr>
                <w:sz w:val="16"/>
                <w:szCs w:val="16"/>
                <w:lang w:val="en-GB"/>
              </w:rPr>
              <w:t>ow</w:t>
            </w:r>
            <w:r w:rsidRPr="00C05C71">
              <w:rPr>
                <w:sz w:val="16"/>
                <w:szCs w:val="16"/>
                <w:lang w:val="en-GB"/>
              </w:rPr>
              <w:t xml:space="preserve">ns per euro </w:t>
            </w:r>
          </w:p>
        </w:tc>
        <w:tc>
          <w:tcPr>
            <w:tcW w:w="143" w:type="pct"/>
          </w:tcPr>
          <w:p w:rsidR="006E4832" w:rsidRPr="00C05C71" w:rsidRDefault="006E4832" w:rsidP="00FA0110">
            <w:pPr>
              <w:pStyle w:val="Textpoznpodarou"/>
              <w:jc w:val="both"/>
              <w:rPr>
                <w:lang w:val="en-GB"/>
              </w:rPr>
            </w:pPr>
          </w:p>
        </w:tc>
        <w:tc>
          <w:tcPr>
            <w:tcW w:w="3803" w:type="pct"/>
          </w:tcPr>
          <w:p w:rsidR="006E4832" w:rsidRPr="00C05C71" w:rsidRDefault="006E4832" w:rsidP="00FA0110">
            <w:pPr>
              <w:pStyle w:val="Textpoznpodarou"/>
              <w:jc w:val="both"/>
              <w:rPr>
                <w:lang w:val="en-GB"/>
              </w:rPr>
            </w:pPr>
            <w:r>
              <w:rPr>
                <w:lang w:val="en-GB"/>
              </w:rPr>
              <w:t>Monetary</w:t>
            </w:r>
            <w:r w:rsidRPr="00C05C71">
              <w:rPr>
                <w:lang w:val="en-GB"/>
              </w:rPr>
              <w:t xml:space="preserve"> conditions remained </w:t>
            </w:r>
            <w:r>
              <w:rPr>
                <w:lang w:val="en-GB"/>
              </w:rPr>
              <w:t>easy</w:t>
            </w:r>
            <w:r w:rsidRPr="00C05C71">
              <w:rPr>
                <w:lang w:val="en-GB"/>
              </w:rPr>
              <w:t xml:space="preserve"> throughout the whole year 2015 and thus worked in the direction of growth of both the</w:t>
            </w:r>
            <w:r>
              <w:rPr>
                <w:lang w:val="en-GB"/>
              </w:rPr>
              <w:t xml:space="preserve"> </w:t>
            </w:r>
            <w:r w:rsidRPr="00C05C71">
              <w:rPr>
                <w:lang w:val="en-GB"/>
              </w:rPr>
              <w:t xml:space="preserve">performance of the Czech economy and the price level. </w:t>
            </w:r>
            <w:r>
              <w:rPr>
                <w:lang w:val="en-GB"/>
              </w:rPr>
              <w:t>Key</w:t>
            </w:r>
            <w:r w:rsidRPr="00C05C71">
              <w:rPr>
                <w:lang w:val="en-GB"/>
              </w:rPr>
              <w:t xml:space="preserve"> interest rates are practically zero since the end of year </w:t>
            </w:r>
            <w:proofErr w:type="gramStart"/>
            <w:r w:rsidRPr="00C05C71">
              <w:rPr>
                <w:lang w:val="en-GB"/>
              </w:rPr>
              <w:t>2012,</w:t>
            </w:r>
            <w:proofErr w:type="gramEnd"/>
            <w:r w:rsidRPr="00C05C71">
              <w:rPr>
                <w:lang w:val="en-GB"/>
              </w:rPr>
              <w:t xml:space="preserve"> the </w:t>
            </w:r>
            <w:r>
              <w:rPr>
                <w:lang w:val="en-GB"/>
              </w:rPr>
              <w:t xml:space="preserve">crown foreign </w:t>
            </w:r>
            <w:r w:rsidRPr="00C05C71">
              <w:rPr>
                <w:lang w:val="en-GB"/>
              </w:rPr>
              <w:t xml:space="preserve">exchange is kept above the level of 27 crowns per euro since November 2013. A weaker economic growth of the euro area against the USA together with the quantitative </w:t>
            </w:r>
            <w:r>
              <w:rPr>
                <w:lang w:val="en-GB"/>
              </w:rPr>
              <w:t>easing</w:t>
            </w:r>
            <w:r w:rsidRPr="00C05C71">
              <w:rPr>
                <w:lang w:val="en-GB"/>
              </w:rPr>
              <w:t xml:space="preserve"> of the ECB created pressure on the depreciation of euro against the US dollar. It depreciated significa</w:t>
            </w:r>
            <w:r>
              <w:rPr>
                <w:lang w:val="en-GB"/>
              </w:rPr>
              <w:t>ntly</w:t>
            </w:r>
            <w:r w:rsidRPr="00C05C71">
              <w:rPr>
                <w:lang w:val="en-GB"/>
              </w:rPr>
              <w:t xml:space="preserve">, however the Czech crown also lost with it. </w:t>
            </w:r>
            <w:r>
              <w:rPr>
                <w:lang w:val="en-GB"/>
              </w:rPr>
              <w:t xml:space="preserve">While it appreciated by </w:t>
            </w:r>
            <w:r w:rsidRPr="00C05C71">
              <w:rPr>
                <w:lang w:val="en-GB"/>
              </w:rPr>
              <w:t>0</w:t>
            </w:r>
            <w:r>
              <w:rPr>
                <w:lang w:val="en-GB"/>
              </w:rPr>
              <w:t>.9</w:t>
            </w:r>
            <w:r w:rsidRPr="00C05C71">
              <w:rPr>
                <w:lang w:val="en-GB"/>
              </w:rPr>
              <w:t>%</w:t>
            </w:r>
            <w:r>
              <w:rPr>
                <w:lang w:val="en-GB"/>
              </w:rPr>
              <w:t xml:space="preserve"> against the euro, it lost </w:t>
            </w:r>
            <w:r w:rsidRPr="00C05C71">
              <w:rPr>
                <w:lang w:val="en-GB"/>
              </w:rPr>
              <w:t>18</w:t>
            </w:r>
            <w:r>
              <w:rPr>
                <w:lang w:val="en-GB"/>
              </w:rPr>
              <w:t>.5</w:t>
            </w:r>
            <w:r w:rsidRPr="00C05C71">
              <w:rPr>
                <w:lang w:val="en-GB"/>
              </w:rPr>
              <w:t>%</w:t>
            </w:r>
            <w:r>
              <w:rPr>
                <w:lang w:val="en-GB"/>
              </w:rPr>
              <w:t xml:space="preserve"> of its value against the dollar. The money supply expressed by the monetary aggregate M2 increased by </w:t>
            </w:r>
            <w:r w:rsidRPr="00C05C71">
              <w:rPr>
                <w:lang w:val="en-GB"/>
              </w:rPr>
              <w:t>6</w:t>
            </w:r>
            <w:r>
              <w:rPr>
                <w:lang w:val="en-GB"/>
              </w:rPr>
              <w:t>.9</w:t>
            </w:r>
            <w:r w:rsidRPr="00C05C71">
              <w:rPr>
                <w:lang w:val="en-GB"/>
              </w:rPr>
              <w:t>%</w:t>
            </w:r>
            <w:r>
              <w:rPr>
                <w:lang w:val="en-GB"/>
              </w:rPr>
              <w:t xml:space="preserve"> year-on-year in December 2015. Even though it mildly slowed down, it grew faster than would correspond to the average for the whole year and also faster than in each month of years </w:t>
            </w:r>
            <w:r w:rsidRPr="00C05C71">
              <w:rPr>
                <w:lang w:val="en-GB"/>
              </w:rPr>
              <w:t>2010</w:t>
            </w:r>
            <w:r w:rsidRPr="00F57DB4">
              <w:rPr>
                <w:lang w:val="en-GB"/>
              </w:rPr>
              <w:t>–</w:t>
            </w:r>
            <w:r w:rsidRPr="00C05C71">
              <w:rPr>
                <w:lang w:val="en-GB"/>
              </w:rPr>
              <w:t>2014.</w:t>
            </w:r>
          </w:p>
          <w:p w:rsidR="006E4832" w:rsidRPr="00176709" w:rsidRDefault="006E4832" w:rsidP="00FA0110">
            <w:pPr>
              <w:pStyle w:val="Textpoznpodarou"/>
              <w:jc w:val="both"/>
              <w:rPr>
                <w:spacing w:val="-2"/>
                <w:lang w:val="en-GB"/>
              </w:rPr>
            </w:pPr>
          </w:p>
        </w:tc>
      </w:tr>
      <w:tr w:rsidR="006E4832" w:rsidRPr="00831EC2" w:rsidTr="00FA0110">
        <w:tc>
          <w:tcPr>
            <w:tcW w:w="1054" w:type="pct"/>
          </w:tcPr>
          <w:p w:rsidR="006E4832" w:rsidRPr="00C05C71" w:rsidRDefault="006E4832" w:rsidP="00FA0110">
            <w:pPr>
              <w:spacing w:line="240" w:lineRule="auto"/>
              <w:rPr>
                <w:sz w:val="16"/>
                <w:szCs w:val="16"/>
                <w:lang w:val="en-GB"/>
              </w:rPr>
            </w:pPr>
            <w:r>
              <w:rPr>
                <w:sz w:val="16"/>
                <w:szCs w:val="16"/>
                <w:lang w:val="en-GB"/>
              </w:rPr>
              <w:t xml:space="preserve">Velocity of money started to decrease in the second half of </w:t>
            </w:r>
            <w:r w:rsidRPr="00C05C71">
              <w:rPr>
                <w:sz w:val="16"/>
                <w:szCs w:val="16"/>
                <w:lang w:val="en-GB"/>
              </w:rPr>
              <w:t>2015</w:t>
            </w:r>
          </w:p>
        </w:tc>
        <w:tc>
          <w:tcPr>
            <w:tcW w:w="143" w:type="pct"/>
          </w:tcPr>
          <w:p w:rsidR="006E4832" w:rsidRPr="00C05C71" w:rsidRDefault="006E4832" w:rsidP="00FA0110">
            <w:pPr>
              <w:pStyle w:val="Textpoznpodarou"/>
              <w:jc w:val="both"/>
              <w:rPr>
                <w:lang w:val="en-GB"/>
              </w:rPr>
            </w:pPr>
          </w:p>
        </w:tc>
        <w:tc>
          <w:tcPr>
            <w:tcW w:w="3803" w:type="pct"/>
          </w:tcPr>
          <w:p w:rsidR="006E4832" w:rsidRPr="00C05C71" w:rsidRDefault="006E4832" w:rsidP="00FA0110">
            <w:pPr>
              <w:pStyle w:val="Textpoznpodarou"/>
              <w:jc w:val="both"/>
              <w:rPr>
                <w:color w:val="000000" w:themeColor="text1"/>
                <w:lang w:val="en-GB"/>
              </w:rPr>
            </w:pPr>
            <w:r>
              <w:rPr>
                <w:color w:val="000000" w:themeColor="text1"/>
                <w:spacing w:val="-2"/>
                <w:lang w:val="en-GB"/>
              </w:rPr>
              <w:t xml:space="preserve">The year-on-year dynamics of the monetary aggregate M2 is higher than the dynamics of the nominal GDP roughly since the half of year 2015. The growth of the harmonised aggregate M3 is also faster. Velocity of money is thus decreasing and the </w:t>
            </w:r>
            <w:proofErr w:type="spellStart"/>
            <w:r>
              <w:rPr>
                <w:color w:val="000000" w:themeColor="text1"/>
                <w:spacing w:val="-2"/>
                <w:lang w:val="en-GB"/>
              </w:rPr>
              <w:t>effectivity</w:t>
            </w:r>
            <w:proofErr w:type="spellEnd"/>
            <w:r>
              <w:rPr>
                <w:color w:val="000000" w:themeColor="text1"/>
                <w:spacing w:val="-2"/>
                <w:lang w:val="en-GB"/>
              </w:rPr>
              <w:t xml:space="preserve"> of easy monetary conditions is falling, the same way as in the recession years of 2012 and 2013</w:t>
            </w:r>
            <w:r w:rsidRPr="00C05C71">
              <w:rPr>
                <w:color w:val="000000" w:themeColor="text1"/>
                <w:lang w:val="en-GB"/>
              </w:rPr>
              <w:t>.</w:t>
            </w:r>
          </w:p>
          <w:p w:rsidR="006E4832" w:rsidRPr="00176709" w:rsidRDefault="006E4832" w:rsidP="00FA0110">
            <w:pPr>
              <w:pStyle w:val="Textpoznpodarou"/>
              <w:jc w:val="both"/>
              <w:rPr>
                <w:lang w:val="en-GB"/>
              </w:rPr>
            </w:pPr>
          </w:p>
        </w:tc>
      </w:tr>
      <w:tr w:rsidR="006E4832" w:rsidRPr="00831EC2" w:rsidTr="00FA0110">
        <w:tc>
          <w:tcPr>
            <w:tcW w:w="1054" w:type="pct"/>
          </w:tcPr>
          <w:p w:rsidR="006E4832" w:rsidRPr="00E75D63" w:rsidRDefault="006E4832" w:rsidP="00FA0110">
            <w:pPr>
              <w:spacing w:line="240" w:lineRule="auto"/>
              <w:rPr>
                <w:sz w:val="16"/>
                <w:szCs w:val="16"/>
                <w:lang w:val="en-GB"/>
              </w:rPr>
            </w:pPr>
            <w:r w:rsidRPr="00E75D63">
              <w:rPr>
                <w:sz w:val="16"/>
                <w:szCs w:val="16"/>
                <w:lang w:val="en-GB"/>
              </w:rPr>
              <w:t xml:space="preserve">Interest rates are low and households and businesses transform term deposits into the most liquid money, especially the </w:t>
            </w:r>
            <w:r>
              <w:rPr>
                <w:sz w:val="16"/>
                <w:szCs w:val="16"/>
                <w:lang w:val="en-GB"/>
              </w:rPr>
              <w:t>overnight</w:t>
            </w:r>
            <w:r w:rsidRPr="00E75D63">
              <w:rPr>
                <w:sz w:val="16"/>
                <w:szCs w:val="16"/>
                <w:lang w:val="en-GB"/>
              </w:rPr>
              <w:t xml:space="preserve"> deposits </w:t>
            </w:r>
          </w:p>
        </w:tc>
        <w:tc>
          <w:tcPr>
            <w:tcW w:w="143" w:type="pct"/>
          </w:tcPr>
          <w:p w:rsidR="006E4832" w:rsidRPr="00E75D63" w:rsidRDefault="006E4832" w:rsidP="00FA0110">
            <w:pPr>
              <w:pStyle w:val="Textpoznpodarou"/>
              <w:jc w:val="both"/>
              <w:rPr>
                <w:lang w:val="en-GB"/>
              </w:rPr>
            </w:pPr>
          </w:p>
        </w:tc>
        <w:tc>
          <w:tcPr>
            <w:tcW w:w="3803" w:type="pct"/>
          </w:tcPr>
          <w:p w:rsidR="006E4832" w:rsidRPr="00E75D63" w:rsidRDefault="006E4832" w:rsidP="00FA0110">
            <w:pPr>
              <w:pStyle w:val="Textpoznpodarou"/>
              <w:jc w:val="both"/>
              <w:rPr>
                <w:lang w:val="en-GB"/>
              </w:rPr>
            </w:pPr>
            <w:r w:rsidRPr="00E75D63">
              <w:rPr>
                <w:lang w:val="en-GB"/>
              </w:rPr>
              <w:t xml:space="preserve">The money </w:t>
            </w:r>
            <w:r>
              <w:rPr>
                <w:lang w:val="en-GB"/>
              </w:rPr>
              <w:t>supply</w:t>
            </w:r>
            <w:r w:rsidRPr="00E75D63">
              <w:rPr>
                <w:lang w:val="en-GB"/>
              </w:rPr>
              <w:t xml:space="preserve"> arrived at 3 668 </w:t>
            </w:r>
            <w:r>
              <w:rPr>
                <w:lang w:val="en-GB"/>
              </w:rPr>
              <w:t xml:space="preserve">CZK </w:t>
            </w:r>
            <w:proofErr w:type="spellStart"/>
            <w:r w:rsidRPr="00E75D63">
              <w:rPr>
                <w:lang w:val="en-GB"/>
              </w:rPr>
              <w:t>bn</w:t>
            </w:r>
            <w:proofErr w:type="spellEnd"/>
            <w:r>
              <w:rPr>
                <w:lang w:val="en-GB"/>
              </w:rPr>
              <w:t xml:space="preserve"> in the concept</w:t>
            </w:r>
            <w:r w:rsidRPr="00E75D63">
              <w:rPr>
                <w:lang w:val="en-GB"/>
              </w:rPr>
              <w:t xml:space="preserve"> of the monetary aggregate M2 by the end of the last year. In that, 2 952 </w:t>
            </w:r>
            <w:proofErr w:type="spellStart"/>
            <w:r w:rsidRPr="00E75D63">
              <w:rPr>
                <w:lang w:val="en-GB"/>
              </w:rPr>
              <w:t>bn</w:t>
            </w:r>
            <w:proofErr w:type="spellEnd"/>
            <w:r w:rsidRPr="00E75D63">
              <w:rPr>
                <w:lang w:val="en-GB"/>
              </w:rPr>
              <w:t xml:space="preserve"> was assigned to the most liquid money (currency</w:t>
            </w:r>
            <w:r>
              <w:rPr>
                <w:lang w:val="en-GB"/>
              </w:rPr>
              <w:t xml:space="preserve"> in circulation</w:t>
            </w:r>
            <w:r w:rsidRPr="00E75D63">
              <w:rPr>
                <w:lang w:val="en-GB"/>
              </w:rPr>
              <w:t xml:space="preserve"> and o</w:t>
            </w:r>
            <w:r>
              <w:rPr>
                <w:lang w:val="en-GB"/>
              </w:rPr>
              <w:t xml:space="preserve">vernight </w:t>
            </w:r>
            <w:r w:rsidRPr="00E75D63">
              <w:rPr>
                <w:lang w:val="en-GB"/>
              </w:rPr>
              <w:t xml:space="preserve">deposits) and 716 </w:t>
            </w:r>
            <w:proofErr w:type="spellStart"/>
            <w:r w:rsidRPr="00E75D63">
              <w:rPr>
                <w:lang w:val="en-GB"/>
              </w:rPr>
              <w:t>bn</w:t>
            </w:r>
            <w:proofErr w:type="spellEnd"/>
            <w:r w:rsidRPr="00E75D63">
              <w:rPr>
                <w:lang w:val="en-GB"/>
              </w:rPr>
              <w:t xml:space="preserve"> to quasi-money (deposits with</w:t>
            </w:r>
            <w:r>
              <w:rPr>
                <w:lang w:val="en-GB"/>
              </w:rPr>
              <w:t xml:space="preserve"> agreed </w:t>
            </w:r>
            <w:r w:rsidRPr="00E75D63">
              <w:rPr>
                <w:lang w:val="en-GB"/>
              </w:rPr>
              <w:t xml:space="preserve">maturity, </w:t>
            </w:r>
            <w:r>
              <w:rPr>
                <w:lang w:val="en-GB"/>
              </w:rPr>
              <w:t>deposits redeemable at notice, repurchase agreements</w:t>
            </w:r>
            <w:r w:rsidRPr="00B5023C">
              <w:rPr>
                <w:spacing w:val="-2"/>
                <w:lang w:val="en-GB"/>
              </w:rPr>
              <w:t xml:space="preserve">). Money </w:t>
            </w:r>
            <w:r>
              <w:rPr>
                <w:spacing w:val="-2"/>
                <w:lang w:val="en-GB"/>
              </w:rPr>
              <w:t>supply</w:t>
            </w:r>
            <w:r w:rsidRPr="00B5023C">
              <w:rPr>
                <w:spacing w:val="-2"/>
                <w:lang w:val="en-GB"/>
              </w:rPr>
              <w:t xml:space="preserve"> rose by </w:t>
            </w:r>
            <w:r w:rsidRPr="00B5023C">
              <w:rPr>
                <w:lang w:val="en-GB"/>
              </w:rPr>
              <w:t>238</w:t>
            </w:r>
            <w:r>
              <w:rPr>
                <w:lang w:val="en-GB"/>
              </w:rPr>
              <w:t xml:space="preserve"> CZK</w:t>
            </w:r>
            <w:r w:rsidRPr="00B5023C">
              <w:rPr>
                <w:lang w:val="en-GB"/>
              </w:rPr>
              <w:t xml:space="preserve"> </w:t>
            </w:r>
            <w:proofErr w:type="spellStart"/>
            <w:r w:rsidRPr="00B5023C">
              <w:rPr>
                <w:lang w:val="en-GB"/>
              </w:rPr>
              <w:t>bn</w:t>
            </w:r>
            <w:proofErr w:type="spellEnd"/>
            <w:r w:rsidRPr="00B5023C">
              <w:rPr>
                <w:lang w:val="en-GB"/>
              </w:rPr>
              <w:t xml:space="preserve"> against December 2014, however only</w:t>
            </w:r>
            <w:r w:rsidRPr="00E75D63">
              <w:rPr>
                <w:lang w:val="en-GB"/>
              </w:rPr>
              <w:t xml:space="preserve"> thanks to the increase in volume of the </w:t>
            </w:r>
            <w:r>
              <w:rPr>
                <w:lang w:val="en-GB"/>
              </w:rPr>
              <w:t>overnight</w:t>
            </w:r>
            <w:r w:rsidRPr="00E75D63">
              <w:rPr>
                <w:lang w:val="en-GB"/>
              </w:rPr>
              <w:t xml:space="preserve"> deposits (+263 </w:t>
            </w:r>
            <w:r>
              <w:rPr>
                <w:lang w:val="en-GB"/>
              </w:rPr>
              <w:t xml:space="preserve">CZK </w:t>
            </w:r>
            <w:proofErr w:type="spellStart"/>
            <w:r w:rsidRPr="00E75D63">
              <w:rPr>
                <w:lang w:val="en-GB"/>
              </w:rPr>
              <w:t>bn</w:t>
            </w:r>
            <w:proofErr w:type="spellEnd"/>
            <w:r w:rsidRPr="00E75D63">
              <w:rPr>
                <w:lang w:val="en-GB"/>
              </w:rPr>
              <w:t>) and currency</w:t>
            </w:r>
            <w:r>
              <w:rPr>
                <w:lang w:val="en-GB"/>
              </w:rPr>
              <w:t xml:space="preserve"> in circulation</w:t>
            </w:r>
            <w:r w:rsidRPr="00E75D63">
              <w:rPr>
                <w:lang w:val="en-GB"/>
              </w:rPr>
              <w:t xml:space="preserve"> (+35 </w:t>
            </w:r>
            <w:proofErr w:type="spellStart"/>
            <w:r w:rsidRPr="00E75D63">
              <w:rPr>
                <w:lang w:val="en-GB"/>
              </w:rPr>
              <w:t>bn</w:t>
            </w:r>
            <w:proofErr w:type="spellEnd"/>
            <w:r w:rsidRPr="00E75D63">
              <w:rPr>
                <w:lang w:val="en-GB"/>
              </w:rPr>
              <w:t xml:space="preserve">). The volume of quasi-money is shrinking continuously since September </w:t>
            </w:r>
            <w:proofErr w:type="gramStart"/>
            <w:r w:rsidRPr="00E75D63">
              <w:rPr>
                <w:lang w:val="en-GB"/>
              </w:rPr>
              <w:t>2012,</w:t>
            </w:r>
            <w:proofErr w:type="gramEnd"/>
            <w:r w:rsidRPr="00E75D63">
              <w:rPr>
                <w:lang w:val="en-GB"/>
              </w:rPr>
              <w:t xml:space="preserve"> it fell by 60 </w:t>
            </w:r>
            <w:proofErr w:type="spellStart"/>
            <w:r w:rsidRPr="00E75D63">
              <w:rPr>
                <w:lang w:val="en-GB"/>
              </w:rPr>
              <w:t>bn</w:t>
            </w:r>
            <w:proofErr w:type="spellEnd"/>
            <w:r w:rsidRPr="00E75D63">
              <w:rPr>
                <w:lang w:val="en-GB"/>
              </w:rPr>
              <w:t xml:space="preserve"> betwe</w:t>
            </w:r>
            <w:r>
              <w:rPr>
                <w:lang w:val="en-GB"/>
              </w:rPr>
              <w:t>e</w:t>
            </w:r>
            <w:r w:rsidRPr="00E75D63">
              <w:rPr>
                <w:lang w:val="en-GB"/>
              </w:rPr>
              <w:t>n December 2014 and 2015. It</w:t>
            </w:r>
            <w:r>
              <w:rPr>
                <w:lang w:val="en-GB"/>
              </w:rPr>
              <w:t xml:space="preserve"> </w:t>
            </w:r>
            <w:r w:rsidRPr="00E75D63">
              <w:rPr>
                <w:lang w:val="en-GB"/>
              </w:rPr>
              <w:t>is the consequence of low</w:t>
            </w:r>
            <w:r>
              <w:rPr>
                <w:lang w:val="en-GB"/>
              </w:rPr>
              <w:t xml:space="preserve"> </w:t>
            </w:r>
            <w:r w:rsidRPr="00E75D63">
              <w:rPr>
                <w:lang w:val="en-GB"/>
              </w:rPr>
              <w:t>interest rates, when the households and businesses are not motivated to hold the</w:t>
            </w:r>
            <w:r>
              <w:rPr>
                <w:lang w:val="en-GB"/>
              </w:rPr>
              <w:t>s</w:t>
            </w:r>
            <w:r w:rsidRPr="00E75D63">
              <w:rPr>
                <w:lang w:val="en-GB"/>
              </w:rPr>
              <w:t xml:space="preserve">e types of deposits and transform them in to the most liquid money, especially the </w:t>
            </w:r>
            <w:r>
              <w:rPr>
                <w:lang w:val="en-GB"/>
              </w:rPr>
              <w:t>overnight</w:t>
            </w:r>
            <w:r w:rsidRPr="00E75D63">
              <w:rPr>
                <w:lang w:val="en-GB"/>
              </w:rPr>
              <w:t xml:space="preserve"> deposits. Households negotiated deposits with</w:t>
            </w:r>
            <w:r>
              <w:rPr>
                <w:lang w:val="en-GB"/>
              </w:rPr>
              <w:t xml:space="preserve"> agreed</w:t>
            </w:r>
            <w:r w:rsidRPr="00E75D63">
              <w:rPr>
                <w:lang w:val="en-GB"/>
              </w:rPr>
              <w:t xml:space="preserve"> maturity with an interest rate of </w:t>
            </w:r>
            <w:r w:rsidRPr="00E75D63">
              <w:rPr>
                <w:spacing w:val="-2"/>
                <w:lang w:val="en-GB"/>
              </w:rPr>
              <w:t>1.</w:t>
            </w:r>
            <w:r>
              <w:rPr>
                <w:spacing w:val="-2"/>
                <w:lang w:val="en-GB"/>
              </w:rPr>
              <w:t xml:space="preserve">6% </w:t>
            </w:r>
            <w:r w:rsidRPr="00E75D63">
              <w:rPr>
                <w:spacing w:val="-2"/>
                <w:lang w:val="en-GB"/>
              </w:rPr>
              <w:t xml:space="preserve">and deposits </w:t>
            </w:r>
            <w:r>
              <w:rPr>
                <w:spacing w:val="-2"/>
                <w:lang w:val="en-GB"/>
              </w:rPr>
              <w:t>redeemable at notice</w:t>
            </w:r>
            <w:r w:rsidRPr="00E75D63">
              <w:rPr>
                <w:spacing w:val="-2"/>
                <w:lang w:val="en-GB"/>
              </w:rPr>
              <w:t xml:space="preserve"> wit</w:t>
            </w:r>
            <w:r>
              <w:rPr>
                <w:spacing w:val="-2"/>
                <w:lang w:val="en-GB"/>
              </w:rPr>
              <w:t>h</w:t>
            </w:r>
            <w:r w:rsidRPr="00E75D63">
              <w:rPr>
                <w:spacing w:val="-2"/>
                <w:lang w:val="en-GB"/>
              </w:rPr>
              <w:t xml:space="preserve"> the rate of 1.</w:t>
            </w:r>
            <w:r>
              <w:rPr>
                <w:spacing w:val="-2"/>
                <w:lang w:val="en-GB"/>
              </w:rPr>
              <w:t>37</w:t>
            </w:r>
            <w:r w:rsidRPr="00E75D63">
              <w:rPr>
                <w:spacing w:val="-2"/>
                <w:lang w:val="en-GB"/>
              </w:rPr>
              <w:t xml:space="preserve">% in December 2015. The interest rates to non-financial </w:t>
            </w:r>
            <w:proofErr w:type="spellStart"/>
            <w:r>
              <w:rPr>
                <w:spacing w:val="-2"/>
                <w:lang w:val="en-GB"/>
              </w:rPr>
              <w:t>corporations</w:t>
            </w:r>
            <w:proofErr w:type="spellEnd"/>
            <w:r w:rsidRPr="00E75D63">
              <w:rPr>
                <w:spacing w:val="-2"/>
                <w:lang w:val="en-GB"/>
              </w:rPr>
              <w:t xml:space="preserve"> amounted to 0.</w:t>
            </w:r>
            <w:r>
              <w:rPr>
                <w:spacing w:val="-2"/>
                <w:lang w:val="en-GB"/>
              </w:rPr>
              <w:t>21</w:t>
            </w:r>
            <w:r w:rsidRPr="00E75D63">
              <w:rPr>
                <w:spacing w:val="-2"/>
                <w:lang w:val="en-GB"/>
              </w:rPr>
              <w:t>% and 0.</w:t>
            </w:r>
            <w:r>
              <w:rPr>
                <w:spacing w:val="-2"/>
                <w:lang w:val="en-GB"/>
              </w:rPr>
              <w:t>78</w:t>
            </w:r>
            <w:r w:rsidRPr="00E75D63">
              <w:rPr>
                <w:spacing w:val="-2"/>
                <w:lang w:val="en-GB"/>
              </w:rPr>
              <w:t>%.</w:t>
            </w:r>
          </w:p>
          <w:p w:rsidR="006E4832" w:rsidRPr="00176709" w:rsidRDefault="006E4832" w:rsidP="00FA0110">
            <w:pPr>
              <w:pStyle w:val="Textpoznpodarou"/>
              <w:jc w:val="both"/>
              <w:rPr>
                <w:lang w:val="en-GB"/>
              </w:rPr>
            </w:pPr>
          </w:p>
        </w:tc>
      </w:tr>
      <w:tr w:rsidR="006E4832" w:rsidRPr="00831EC2" w:rsidTr="00FA0110">
        <w:tc>
          <w:tcPr>
            <w:tcW w:w="1054" w:type="pct"/>
          </w:tcPr>
          <w:p w:rsidR="006E4832" w:rsidRPr="00E75D63" w:rsidRDefault="006E4832" w:rsidP="00FA0110">
            <w:pPr>
              <w:spacing w:line="240" w:lineRule="auto"/>
              <w:rPr>
                <w:sz w:val="16"/>
                <w:szCs w:val="16"/>
                <w:lang w:val="en-GB"/>
              </w:rPr>
            </w:pPr>
            <w:r>
              <w:rPr>
                <w:sz w:val="16"/>
                <w:szCs w:val="16"/>
                <w:lang w:val="en-GB"/>
              </w:rPr>
              <w:t>Share of currency in circulation on the monetary aggregate M2 is stable in the CR. It oscillates between 12</w:t>
            </w:r>
            <w:r w:rsidRPr="00E75D63">
              <w:rPr>
                <w:sz w:val="16"/>
                <w:szCs w:val="16"/>
                <w:lang w:val="en-GB"/>
              </w:rPr>
              <w:t>%</w:t>
            </w:r>
            <w:r w:rsidRPr="00E75D63">
              <w:rPr>
                <w:b/>
                <w:sz w:val="16"/>
                <w:szCs w:val="16"/>
                <w:lang w:val="en-GB"/>
              </w:rPr>
              <w:t> </w:t>
            </w:r>
            <w:r w:rsidRPr="00E75D63">
              <w:rPr>
                <w:sz w:val="16"/>
                <w:szCs w:val="16"/>
                <w:lang w:val="en-GB"/>
              </w:rPr>
              <w:t>a</w:t>
            </w:r>
            <w:r>
              <w:rPr>
                <w:sz w:val="16"/>
                <w:szCs w:val="16"/>
                <w:lang w:val="en-GB"/>
              </w:rPr>
              <w:t>nd</w:t>
            </w:r>
            <w:r w:rsidRPr="00E75D63">
              <w:rPr>
                <w:sz w:val="16"/>
                <w:szCs w:val="16"/>
                <w:lang w:val="en-GB"/>
              </w:rPr>
              <w:t> 14%</w:t>
            </w:r>
          </w:p>
        </w:tc>
        <w:tc>
          <w:tcPr>
            <w:tcW w:w="143" w:type="pct"/>
          </w:tcPr>
          <w:p w:rsidR="006E4832" w:rsidRPr="00E75D63" w:rsidRDefault="006E4832" w:rsidP="00FA0110">
            <w:pPr>
              <w:pStyle w:val="Textpoznpodarou"/>
              <w:jc w:val="both"/>
              <w:rPr>
                <w:lang w:val="en-GB"/>
              </w:rPr>
            </w:pPr>
          </w:p>
        </w:tc>
        <w:tc>
          <w:tcPr>
            <w:tcW w:w="3803" w:type="pct"/>
          </w:tcPr>
          <w:p w:rsidR="006E4832" w:rsidRPr="00E75D63" w:rsidRDefault="006E4832" w:rsidP="00FA0110">
            <w:pPr>
              <w:pStyle w:val="Textpoznpodarou"/>
              <w:jc w:val="both"/>
              <w:rPr>
                <w:lang w:val="en-GB"/>
              </w:rPr>
            </w:pPr>
            <w:r>
              <w:rPr>
                <w:lang w:val="en-GB"/>
              </w:rPr>
              <w:t>The share of currency in circulation on the monetary aggregate M2 is stable in the CR and oscillates only negligibly in time. It moves between 12</w:t>
            </w:r>
            <w:r w:rsidRPr="00E75D63">
              <w:rPr>
                <w:lang w:val="en-GB"/>
              </w:rPr>
              <w:t>% a</w:t>
            </w:r>
            <w:r>
              <w:rPr>
                <w:lang w:val="en-GB"/>
              </w:rPr>
              <w:t>nd 14</w:t>
            </w:r>
            <w:r w:rsidRPr="00E75D63">
              <w:rPr>
                <w:lang w:val="en-GB"/>
              </w:rPr>
              <w:t>%</w:t>
            </w:r>
            <w:r>
              <w:rPr>
                <w:lang w:val="en-GB"/>
              </w:rPr>
              <w:t xml:space="preserve"> in the long-term</w:t>
            </w:r>
            <w:r w:rsidRPr="00E75D63">
              <w:rPr>
                <w:lang w:val="en-GB"/>
              </w:rPr>
              <w:t xml:space="preserve">. </w:t>
            </w:r>
            <w:r>
              <w:rPr>
                <w:lang w:val="en-GB"/>
              </w:rPr>
              <w:t xml:space="preserve">It jumped up only in the second half of year 2008, in connection with the difficulties of the banking sector of the USA, when also the Czech society started to worry about its money in banks. The volume of currency in circulation reached </w:t>
            </w:r>
            <w:r w:rsidRPr="00E75D63">
              <w:rPr>
                <w:lang w:val="en-GB"/>
              </w:rPr>
              <w:t xml:space="preserve">467 </w:t>
            </w:r>
            <w:r>
              <w:rPr>
                <w:lang w:val="en-GB"/>
              </w:rPr>
              <w:t xml:space="preserve">CZK </w:t>
            </w:r>
            <w:proofErr w:type="spellStart"/>
            <w:r w:rsidRPr="00E75D63">
              <w:rPr>
                <w:lang w:val="en-GB"/>
              </w:rPr>
              <w:t>bn</w:t>
            </w:r>
            <w:proofErr w:type="spellEnd"/>
            <w:r>
              <w:rPr>
                <w:lang w:val="en-GB"/>
              </w:rPr>
              <w:t xml:space="preserve"> in December 2015 and arrived at </w:t>
            </w:r>
            <w:r w:rsidRPr="00E75D63">
              <w:rPr>
                <w:lang w:val="en-GB"/>
              </w:rPr>
              <w:t>12</w:t>
            </w:r>
            <w:r>
              <w:rPr>
                <w:lang w:val="en-GB"/>
              </w:rPr>
              <w:t>.7</w:t>
            </w:r>
            <w:r w:rsidRPr="00E75D63">
              <w:rPr>
                <w:lang w:val="en-GB"/>
              </w:rPr>
              <w:t>%</w:t>
            </w:r>
            <w:r>
              <w:rPr>
                <w:lang w:val="en-GB"/>
              </w:rPr>
              <w:t xml:space="preserve"> relative to the aggregate M2</w:t>
            </w:r>
            <w:r w:rsidRPr="00E75D63">
              <w:rPr>
                <w:lang w:val="en-GB"/>
              </w:rPr>
              <w:t>.</w:t>
            </w:r>
          </w:p>
          <w:p w:rsidR="006E4832" w:rsidRPr="00176709" w:rsidRDefault="006E4832" w:rsidP="00FA0110">
            <w:pPr>
              <w:pStyle w:val="Textpoznpodarou"/>
              <w:jc w:val="both"/>
              <w:rPr>
                <w:lang w:val="en-GB"/>
              </w:rPr>
            </w:pPr>
          </w:p>
        </w:tc>
      </w:tr>
      <w:tr w:rsidR="006E4832" w:rsidRPr="00831EC2" w:rsidTr="00FA0110">
        <w:tc>
          <w:tcPr>
            <w:tcW w:w="1054" w:type="pct"/>
          </w:tcPr>
          <w:p w:rsidR="006E4832" w:rsidRPr="00DC0A15" w:rsidRDefault="006E4832" w:rsidP="00FA0110">
            <w:pPr>
              <w:spacing w:line="240" w:lineRule="auto"/>
              <w:rPr>
                <w:color w:val="000000" w:themeColor="text1"/>
                <w:sz w:val="16"/>
                <w:szCs w:val="16"/>
                <w:lang w:val="en-GB"/>
              </w:rPr>
            </w:pPr>
            <w:r w:rsidRPr="00DC0A15">
              <w:rPr>
                <w:color w:val="000000" w:themeColor="text1"/>
                <w:sz w:val="16"/>
                <w:szCs w:val="16"/>
                <w:lang w:val="en-GB"/>
              </w:rPr>
              <w:t>Total deposits of busines</w:t>
            </w:r>
            <w:r>
              <w:rPr>
                <w:color w:val="000000" w:themeColor="text1"/>
                <w:sz w:val="16"/>
                <w:szCs w:val="16"/>
                <w:lang w:val="en-GB"/>
              </w:rPr>
              <w:t>ses grew always by more than 10</w:t>
            </w:r>
            <w:r w:rsidRPr="00DC0A15">
              <w:rPr>
                <w:color w:val="000000" w:themeColor="text1"/>
                <w:sz w:val="16"/>
                <w:szCs w:val="16"/>
                <w:lang w:val="en-GB"/>
              </w:rPr>
              <w:t>% year-on-year during H2 2015. Businesses increased mainly the o</w:t>
            </w:r>
            <w:r>
              <w:rPr>
                <w:color w:val="000000" w:themeColor="text1"/>
                <w:sz w:val="16"/>
                <w:szCs w:val="16"/>
                <w:lang w:val="en-GB"/>
              </w:rPr>
              <w:t>vernight</w:t>
            </w:r>
            <w:r w:rsidRPr="00DC0A15">
              <w:rPr>
                <w:color w:val="000000" w:themeColor="text1"/>
                <w:sz w:val="16"/>
                <w:szCs w:val="16"/>
                <w:lang w:val="en-GB"/>
              </w:rPr>
              <w:t xml:space="preserve"> deposits </w:t>
            </w:r>
          </w:p>
        </w:tc>
        <w:tc>
          <w:tcPr>
            <w:tcW w:w="143" w:type="pct"/>
          </w:tcPr>
          <w:p w:rsidR="006E4832" w:rsidRPr="00DC0A15" w:rsidRDefault="006E4832" w:rsidP="00FA0110">
            <w:pPr>
              <w:pStyle w:val="Textpoznpodarou"/>
              <w:jc w:val="both"/>
              <w:rPr>
                <w:color w:val="000000" w:themeColor="text1"/>
                <w:lang w:val="en-GB"/>
              </w:rPr>
            </w:pPr>
          </w:p>
        </w:tc>
        <w:tc>
          <w:tcPr>
            <w:tcW w:w="3803" w:type="pct"/>
          </w:tcPr>
          <w:p w:rsidR="006E4832" w:rsidRPr="00DC0A15" w:rsidRDefault="006E4832" w:rsidP="00FA0110">
            <w:pPr>
              <w:pStyle w:val="Textpoznpodarou"/>
              <w:jc w:val="both"/>
              <w:rPr>
                <w:color w:val="000000" w:themeColor="text1"/>
                <w:lang w:val="en-GB"/>
              </w:rPr>
            </w:pPr>
            <w:r w:rsidRPr="00DC0A15">
              <w:rPr>
                <w:lang w:val="en-GB"/>
              </w:rPr>
              <w:t xml:space="preserve">Total volume of household deposits was higher by </w:t>
            </w:r>
            <w:r w:rsidRPr="00DC0A15">
              <w:rPr>
                <w:color w:val="000000" w:themeColor="text1"/>
                <w:lang w:val="en-GB"/>
              </w:rPr>
              <w:t>5.</w:t>
            </w:r>
            <w:r>
              <w:rPr>
                <w:color w:val="000000" w:themeColor="text1"/>
                <w:spacing w:val="-2"/>
                <w:lang w:val="en-GB"/>
              </w:rPr>
              <w:t>7</w:t>
            </w:r>
            <w:r w:rsidRPr="00DC0A15">
              <w:rPr>
                <w:color w:val="000000" w:themeColor="text1"/>
                <w:spacing w:val="-2"/>
                <w:lang w:val="en-GB"/>
              </w:rPr>
              <w:t xml:space="preserve">% </w:t>
            </w:r>
            <w:r w:rsidRPr="00DC0A15">
              <w:rPr>
                <w:lang w:val="en-GB"/>
              </w:rPr>
              <w:t xml:space="preserve">year-on-year at the end of the last year, even by </w:t>
            </w:r>
            <w:r w:rsidRPr="00DC0A15">
              <w:rPr>
                <w:color w:val="000000" w:themeColor="text1"/>
                <w:spacing w:val="-2"/>
                <w:lang w:val="en-GB"/>
              </w:rPr>
              <w:t>10.</w:t>
            </w:r>
            <w:r>
              <w:rPr>
                <w:color w:val="000000" w:themeColor="text1"/>
                <w:spacing w:val="-2"/>
                <w:lang w:val="en-GB"/>
              </w:rPr>
              <w:t>3</w:t>
            </w:r>
            <w:r w:rsidRPr="00DC0A15">
              <w:rPr>
                <w:color w:val="000000" w:themeColor="text1"/>
                <w:spacing w:val="-2"/>
                <w:lang w:val="en-GB"/>
              </w:rPr>
              <w:t>% in case of businesses. The rate of growth of</w:t>
            </w:r>
            <w:r>
              <w:rPr>
                <w:color w:val="000000" w:themeColor="text1"/>
                <w:spacing w:val="-2"/>
                <w:lang w:val="en-GB"/>
              </w:rPr>
              <w:t xml:space="preserve"> </w:t>
            </w:r>
            <w:r w:rsidRPr="00DC0A15">
              <w:rPr>
                <w:color w:val="000000" w:themeColor="text1"/>
                <w:spacing w:val="-2"/>
                <w:lang w:val="en-GB"/>
              </w:rPr>
              <w:t xml:space="preserve">household deposits gradually rises, for businesses it exceeded </w:t>
            </w:r>
            <w:r w:rsidRPr="00DC0A15">
              <w:rPr>
                <w:color w:val="000000" w:themeColor="text1"/>
                <w:lang w:val="en-GB"/>
              </w:rPr>
              <w:t xml:space="preserve">10% level throughout the whole H2. Businesses strengthened mainly the overnight deposits significant by </w:t>
            </w:r>
            <w:proofErr w:type="gramStart"/>
            <w:r w:rsidRPr="00DC0A15">
              <w:rPr>
                <w:color w:val="000000" w:themeColor="text1"/>
                <w:lang w:val="en-GB"/>
              </w:rPr>
              <w:t>volume,</w:t>
            </w:r>
            <w:proofErr w:type="gramEnd"/>
            <w:r w:rsidRPr="00DC0A15">
              <w:rPr>
                <w:color w:val="000000" w:themeColor="text1"/>
                <w:lang w:val="en-GB"/>
              </w:rPr>
              <w:t xml:space="preserve"> they </w:t>
            </w:r>
            <w:r>
              <w:rPr>
                <w:color w:val="000000" w:themeColor="text1"/>
                <w:lang w:val="en-GB"/>
              </w:rPr>
              <w:t xml:space="preserve">had </w:t>
            </w:r>
            <w:r w:rsidRPr="00DC0A15">
              <w:rPr>
                <w:color w:val="000000" w:themeColor="text1"/>
                <w:lang w:val="en-GB"/>
              </w:rPr>
              <w:t xml:space="preserve">952 </w:t>
            </w:r>
            <w:r>
              <w:rPr>
                <w:color w:val="000000" w:themeColor="text1"/>
                <w:lang w:val="en-GB"/>
              </w:rPr>
              <w:t xml:space="preserve">CZK </w:t>
            </w:r>
            <w:proofErr w:type="spellStart"/>
            <w:r w:rsidRPr="00DC0A15">
              <w:rPr>
                <w:color w:val="000000" w:themeColor="text1"/>
                <w:lang w:val="en-GB"/>
              </w:rPr>
              <w:t>bn</w:t>
            </w:r>
            <w:proofErr w:type="spellEnd"/>
            <w:r>
              <w:rPr>
                <w:color w:val="000000" w:themeColor="text1"/>
                <w:lang w:val="en-GB"/>
              </w:rPr>
              <w:t xml:space="preserve"> </w:t>
            </w:r>
            <w:r w:rsidRPr="00DC0A15">
              <w:rPr>
                <w:color w:val="000000" w:themeColor="text1"/>
                <w:lang w:val="en-GB"/>
              </w:rPr>
              <w:t>in them in December, by 111 </w:t>
            </w:r>
            <w:proofErr w:type="spellStart"/>
            <w:r w:rsidRPr="00DC0A15">
              <w:rPr>
                <w:color w:val="000000" w:themeColor="text1"/>
                <w:lang w:val="en-GB"/>
              </w:rPr>
              <w:t>bn</w:t>
            </w:r>
            <w:proofErr w:type="spellEnd"/>
            <w:r w:rsidRPr="00DC0A15">
              <w:rPr>
                <w:color w:val="000000" w:themeColor="text1"/>
                <w:lang w:val="en-GB"/>
              </w:rPr>
              <w:t xml:space="preserve"> more </w:t>
            </w:r>
            <w:r>
              <w:rPr>
                <w:color w:val="000000" w:themeColor="text1"/>
                <w:lang w:val="en-GB"/>
              </w:rPr>
              <w:t>than</w:t>
            </w:r>
            <w:r w:rsidRPr="00DC0A15">
              <w:rPr>
                <w:color w:val="000000" w:themeColor="text1"/>
                <w:lang w:val="en-GB"/>
              </w:rPr>
              <w:t xml:space="preserve"> a year ago. The robust increase o</w:t>
            </w:r>
            <w:r>
              <w:rPr>
                <w:color w:val="000000" w:themeColor="text1"/>
                <w:lang w:val="en-GB"/>
              </w:rPr>
              <w:t>f</w:t>
            </w:r>
            <w:r w:rsidRPr="00DC0A15">
              <w:rPr>
                <w:color w:val="000000" w:themeColor="text1"/>
                <w:lang w:val="en-GB"/>
              </w:rPr>
              <w:t xml:space="preserve"> the liquid resources of the businesses – given by high profits from own activity and growing </w:t>
            </w:r>
            <w:r>
              <w:rPr>
                <w:color w:val="000000" w:themeColor="text1"/>
                <w:lang w:val="en-GB"/>
              </w:rPr>
              <w:t>loans</w:t>
            </w:r>
            <w:r w:rsidRPr="00DC0A15">
              <w:rPr>
                <w:color w:val="000000" w:themeColor="text1"/>
                <w:lang w:val="en-GB"/>
              </w:rPr>
              <w:t xml:space="preserve"> to businesses – provides hope, that investment and volume of paid out wages will also grow in the future. They hide the potential of future growth of the economy of the Czech Republic. </w:t>
            </w:r>
          </w:p>
          <w:p w:rsidR="006E4832" w:rsidRPr="00176709" w:rsidRDefault="006E4832" w:rsidP="00FA0110">
            <w:pPr>
              <w:pStyle w:val="Textpoznpodarou"/>
              <w:jc w:val="both"/>
              <w:rPr>
                <w:color w:val="000000" w:themeColor="text1"/>
                <w:lang w:val="en-GB"/>
              </w:rPr>
            </w:pPr>
          </w:p>
        </w:tc>
      </w:tr>
      <w:tr w:rsidR="006E4832" w:rsidRPr="00831EC2" w:rsidTr="00FA0110">
        <w:tc>
          <w:tcPr>
            <w:tcW w:w="1054" w:type="pct"/>
          </w:tcPr>
          <w:p w:rsidR="006E4832" w:rsidRPr="00DC0A15" w:rsidRDefault="006E4832" w:rsidP="00FA0110">
            <w:pPr>
              <w:spacing w:line="240" w:lineRule="auto"/>
              <w:rPr>
                <w:sz w:val="16"/>
                <w:szCs w:val="16"/>
                <w:lang w:val="en-GB"/>
              </w:rPr>
            </w:pPr>
            <w:r w:rsidRPr="00DC0A15">
              <w:rPr>
                <w:sz w:val="16"/>
                <w:szCs w:val="16"/>
                <w:lang w:val="en-GB"/>
              </w:rPr>
              <w:t>Net credit to</w:t>
            </w:r>
            <w:r>
              <w:rPr>
                <w:sz w:val="16"/>
                <w:szCs w:val="16"/>
                <w:lang w:val="en-GB"/>
              </w:rPr>
              <w:t xml:space="preserve"> the</w:t>
            </w:r>
            <w:r w:rsidRPr="00DC0A15">
              <w:rPr>
                <w:sz w:val="16"/>
                <w:szCs w:val="16"/>
                <w:lang w:val="en-GB"/>
              </w:rPr>
              <w:t xml:space="preserve"> government</w:t>
            </w:r>
            <w:r>
              <w:rPr>
                <w:sz w:val="16"/>
                <w:szCs w:val="16"/>
                <w:lang w:val="en-GB"/>
              </w:rPr>
              <w:t xml:space="preserve"> sector</w:t>
            </w:r>
            <w:r w:rsidRPr="00DC0A15">
              <w:rPr>
                <w:sz w:val="16"/>
                <w:szCs w:val="16"/>
                <w:lang w:val="en-GB"/>
              </w:rPr>
              <w:t xml:space="preserve"> (incl. securities) fell by one fifth year-on-year in December 2015</w:t>
            </w:r>
          </w:p>
        </w:tc>
        <w:tc>
          <w:tcPr>
            <w:tcW w:w="143" w:type="pct"/>
          </w:tcPr>
          <w:p w:rsidR="006E4832" w:rsidRPr="00DC0A15" w:rsidRDefault="006E4832" w:rsidP="00FA0110">
            <w:pPr>
              <w:pStyle w:val="Textpoznpodarou"/>
              <w:jc w:val="both"/>
              <w:rPr>
                <w:lang w:val="en-GB"/>
              </w:rPr>
            </w:pPr>
          </w:p>
        </w:tc>
        <w:tc>
          <w:tcPr>
            <w:tcW w:w="3803" w:type="pct"/>
          </w:tcPr>
          <w:p w:rsidR="006E4832" w:rsidRPr="00906D0C" w:rsidRDefault="006E4832" w:rsidP="00FA0110">
            <w:pPr>
              <w:pStyle w:val="Textpoznpodarou"/>
              <w:jc w:val="both"/>
              <w:rPr>
                <w:spacing w:val="-2"/>
                <w:lang w:val="en-GB"/>
              </w:rPr>
            </w:pPr>
            <w:r w:rsidRPr="00906D0C">
              <w:rPr>
                <w:spacing w:val="-2"/>
                <w:lang w:val="en-GB"/>
              </w:rPr>
              <w:t xml:space="preserve">Loans to households and businesses increase faster than the total domestic credit. It occurs since August 2015. The difference in year-on-year rates was already marked in December. While the volume of loans to households and businesses increased by 6.5% year-on-year, the volume of domestic credit was higher only by 1.8% against the end of year 2014. It was caused by the notable drop of the net credit to the government sector (incl. securities), by one fifth year-on-year (-21.1%). This development was most likely associated for once with the fact, that the </w:t>
            </w:r>
            <w:r w:rsidRPr="00906D0C">
              <w:rPr>
                <w:spacing w:val="-2"/>
                <w:lang w:val="en-GB"/>
              </w:rPr>
              <w:lastRenderedPageBreak/>
              <w:t xml:space="preserve">domestic banks were selling government bonds abroad, for second with the accelerated drawing from the European Union funds at the end of the year. </w:t>
            </w:r>
          </w:p>
          <w:p w:rsidR="006E4832" w:rsidRPr="00176709" w:rsidRDefault="006E4832" w:rsidP="00FA0110">
            <w:pPr>
              <w:pStyle w:val="Textpoznpodarou"/>
              <w:jc w:val="both"/>
              <w:rPr>
                <w:lang w:val="en-GB"/>
              </w:rPr>
            </w:pPr>
          </w:p>
        </w:tc>
      </w:tr>
      <w:tr w:rsidR="006E4832" w:rsidRPr="00831EC2" w:rsidTr="00FA0110">
        <w:tc>
          <w:tcPr>
            <w:tcW w:w="1054" w:type="pct"/>
          </w:tcPr>
          <w:p w:rsidR="006E4832" w:rsidRPr="00695DE9" w:rsidRDefault="006E4832" w:rsidP="00FA0110">
            <w:pPr>
              <w:spacing w:line="240" w:lineRule="auto"/>
              <w:rPr>
                <w:sz w:val="16"/>
                <w:szCs w:val="16"/>
                <w:lang w:val="en-GB"/>
              </w:rPr>
            </w:pPr>
            <w:r w:rsidRPr="00695DE9">
              <w:rPr>
                <w:sz w:val="16"/>
                <w:szCs w:val="16"/>
                <w:lang w:val="en-GB"/>
              </w:rPr>
              <w:lastRenderedPageBreak/>
              <w:t xml:space="preserve">Share of </w:t>
            </w:r>
            <w:r>
              <w:rPr>
                <w:sz w:val="16"/>
                <w:szCs w:val="16"/>
                <w:lang w:val="en-GB"/>
              </w:rPr>
              <w:t>non-performing loans</w:t>
            </w:r>
            <w:r w:rsidRPr="00695DE9">
              <w:rPr>
                <w:sz w:val="16"/>
                <w:szCs w:val="16"/>
                <w:lang w:val="en-GB"/>
              </w:rPr>
              <w:t xml:space="preserve"> in the CR does not decrease due to worsening payment morals o</w:t>
            </w:r>
            <w:r>
              <w:rPr>
                <w:sz w:val="16"/>
                <w:szCs w:val="16"/>
                <w:lang w:val="en-GB"/>
              </w:rPr>
              <w:t>f</w:t>
            </w:r>
            <w:r w:rsidRPr="00695DE9">
              <w:rPr>
                <w:sz w:val="16"/>
                <w:szCs w:val="16"/>
                <w:lang w:val="en-GB"/>
              </w:rPr>
              <w:t xml:space="preserve"> non-residents. </w:t>
            </w:r>
            <w:r>
              <w:rPr>
                <w:sz w:val="16"/>
                <w:szCs w:val="16"/>
                <w:lang w:val="en-GB"/>
              </w:rPr>
              <w:t>Loans</w:t>
            </w:r>
            <w:r w:rsidRPr="00695DE9">
              <w:rPr>
                <w:sz w:val="16"/>
                <w:szCs w:val="16"/>
                <w:lang w:val="en-GB"/>
              </w:rPr>
              <w:t xml:space="preserve"> repayment on the part of residents however improves, in December 2015 it was even the </w:t>
            </w:r>
            <w:r>
              <w:rPr>
                <w:sz w:val="16"/>
                <w:szCs w:val="16"/>
                <w:lang w:val="en-GB"/>
              </w:rPr>
              <w:t>best since the crisis</w:t>
            </w:r>
          </w:p>
        </w:tc>
        <w:tc>
          <w:tcPr>
            <w:tcW w:w="143" w:type="pct"/>
          </w:tcPr>
          <w:p w:rsidR="006E4832" w:rsidRPr="00695DE9" w:rsidRDefault="006E4832" w:rsidP="00FA0110">
            <w:pPr>
              <w:pStyle w:val="Textpoznpodarou"/>
              <w:jc w:val="both"/>
              <w:rPr>
                <w:lang w:val="en-GB"/>
              </w:rPr>
            </w:pPr>
          </w:p>
        </w:tc>
        <w:tc>
          <w:tcPr>
            <w:tcW w:w="3803" w:type="pct"/>
          </w:tcPr>
          <w:p w:rsidR="006E4832" w:rsidRPr="00695DE9" w:rsidRDefault="006E4832" w:rsidP="00FA0110">
            <w:pPr>
              <w:pStyle w:val="Textpoznpodarou"/>
              <w:jc w:val="both"/>
              <w:rPr>
                <w:lang w:val="en-GB"/>
              </w:rPr>
            </w:pPr>
            <w:r>
              <w:rPr>
                <w:lang w:val="en-GB"/>
              </w:rPr>
              <w:t xml:space="preserve">It is </w:t>
            </w:r>
            <w:proofErr w:type="gramStart"/>
            <w:r>
              <w:rPr>
                <w:lang w:val="en-GB"/>
              </w:rPr>
              <w:t>key</w:t>
            </w:r>
            <w:proofErr w:type="gramEnd"/>
            <w:r>
              <w:rPr>
                <w:lang w:val="en-GB"/>
              </w:rPr>
              <w:t xml:space="preserve"> from the view of the banking sector stability, how the share of non-performing loans is developing</w:t>
            </w:r>
            <w:r w:rsidRPr="00695DE9">
              <w:rPr>
                <w:lang w:val="en-GB"/>
              </w:rPr>
              <w:t xml:space="preserve">. </w:t>
            </w:r>
            <w:r>
              <w:rPr>
                <w:lang w:val="en-GB"/>
              </w:rPr>
              <w:t xml:space="preserve">It was the lowest in November </w:t>
            </w:r>
            <w:r w:rsidRPr="00695DE9">
              <w:rPr>
                <w:lang w:val="en-GB"/>
              </w:rPr>
              <w:t xml:space="preserve">2007, </w:t>
            </w:r>
            <w:r>
              <w:rPr>
                <w:lang w:val="en-GB"/>
              </w:rPr>
              <w:t xml:space="preserve">when it constituted </w:t>
            </w:r>
            <w:r w:rsidRPr="00695DE9">
              <w:rPr>
                <w:lang w:val="en-GB"/>
              </w:rPr>
              <w:t>2</w:t>
            </w:r>
            <w:r>
              <w:rPr>
                <w:lang w:val="en-GB"/>
              </w:rPr>
              <w:t>.61</w:t>
            </w:r>
            <w:r w:rsidRPr="00695DE9">
              <w:rPr>
                <w:lang w:val="en-GB"/>
              </w:rPr>
              <w:t>%.</w:t>
            </w:r>
            <w:r>
              <w:rPr>
                <w:lang w:val="en-GB"/>
              </w:rPr>
              <w:t xml:space="preserve"> Nevertheless, it climbed up to the level of 6% due to the worsening of economic situation in the CR in years </w:t>
            </w:r>
            <w:r w:rsidRPr="00695DE9">
              <w:rPr>
                <w:lang w:val="en-GB"/>
              </w:rPr>
              <w:t>2008 a</w:t>
            </w:r>
            <w:r>
              <w:rPr>
                <w:lang w:val="en-GB"/>
              </w:rPr>
              <w:t>nd</w:t>
            </w:r>
            <w:r w:rsidRPr="00695DE9">
              <w:rPr>
                <w:lang w:val="en-GB"/>
              </w:rPr>
              <w:t xml:space="preserve"> 2009</w:t>
            </w:r>
            <w:r>
              <w:rPr>
                <w:lang w:val="en-GB"/>
              </w:rPr>
              <w:t xml:space="preserve">, where it basically remained till today. The share of non-performing loans did not decrease even in </w:t>
            </w:r>
            <w:r w:rsidRPr="00695DE9">
              <w:rPr>
                <w:lang w:val="en-GB"/>
              </w:rPr>
              <w:t>2014 a</w:t>
            </w:r>
            <w:r>
              <w:rPr>
                <w:lang w:val="en-GB"/>
              </w:rPr>
              <w:t>nd</w:t>
            </w:r>
            <w:r w:rsidRPr="00695DE9">
              <w:rPr>
                <w:lang w:val="en-GB"/>
              </w:rPr>
              <w:t xml:space="preserve"> 2015, </w:t>
            </w:r>
            <w:r>
              <w:rPr>
                <w:lang w:val="en-GB"/>
              </w:rPr>
              <w:t xml:space="preserve">when the economy was evidently flourishing. If we however study the detailed structure more, it becomes apparent, that a high proportion of non-performing loans is caused by the non-residents, whose payment morals is continuously worsening.  On the other hand, the repayment of loans on the part of residents is improving already since the end of the year 2010. The proportion of non-performing loans for the non-residents amounted to </w:t>
            </w:r>
            <w:r w:rsidRPr="00695DE9">
              <w:rPr>
                <w:lang w:val="en-GB"/>
              </w:rPr>
              <w:t>16</w:t>
            </w:r>
            <w:r>
              <w:rPr>
                <w:lang w:val="en-GB"/>
              </w:rPr>
              <w:t>.59</w:t>
            </w:r>
            <w:r w:rsidRPr="00695DE9">
              <w:rPr>
                <w:lang w:val="en-GB"/>
              </w:rPr>
              <w:t>%</w:t>
            </w:r>
            <w:r>
              <w:rPr>
                <w:lang w:val="en-GB"/>
              </w:rPr>
              <w:t xml:space="preserve"> in December 2015</w:t>
            </w:r>
            <w:r w:rsidRPr="00695DE9">
              <w:rPr>
                <w:lang w:val="en-GB"/>
              </w:rPr>
              <w:t xml:space="preserve">. </w:t>
            </w:r>
            <w:r>
              <w:rPr>
                <w:lang w:val="en-GB"/>
              </w:rPr>
              <w:t xml:space="preserve">In case of residents, the banks had only </w:t>
            </w:r>
            <w:r w:rsidRPr="00695DE9">
              <w:rPr>
                <w:lang w:val="en-GB"/>
              </w:rPr>
              <w:t>4</w:t>
            </w:r>
            <w:r>
              <w:rPr>
                <w:lang w:val="en-GB"/>
              </w:rPr>
              <w:t>.36</w:t>
            </w:r>
            <w:r w:rsidRPr="00695DE9">
              <w:rPr>
                <w:lang w:val="en-GB"/>
              </w:rPr>
              <w:t xml:space="preserve">% </w:t>
            </w:r>
            <w:r>
              <w:rPr>
                <w:lang w:val="en-GB"/>
              </w:rPr>
              <w:t xml:space="preserve">of total exposure in default and it was the best result since crisis. Not surprisingly, the households repaid their obligations better (4.07%) than the non-financial </w:t>
            </w:r>
            <w:proofErr w:type="spellStart"/>
            <w:r>
              <w:rPr>
                <w:lang w:val="en-GB"/>
              </w:rPr>
              <w:t>corporations</w:t>
            </w:r>
            <w:proofErr w:type="spellEnd"/>
            <w:r>
              <w:rPr>
                <w:lang w:val="en-GB"/>
              </w:rPr>
              <w:t xml:space="preserve"> (5.72%). However, especially the business sphere recorded the improvement with respect to the payment morals during the year 2015 – the proportion of non-performing loans of households decreased by </w:t>
            </w:r>
            <w:r w:rsidRPr="00695DE9">
              <w:rPr>
                <w:lang w:val="en-GB"/>
              </w:rPr>
              <w:t>0</w:t>
            </w:r>
            <w:proofErr w:type="gramStart"/>
            <w:r w:rsidRPr="00695DE9">
              <w:rPr>
                <w:lang w:val="en-GB"/>
              </w:rPr>
              <w:t>,66</w:t>
            </w:r>
            <w:proofErr w:type="gramEnd"/>
            <w:r w:rsidRPr="00695DE9">
              <w:rPr>
                <w:lang w:val="en-GB"/>
              </w:rPr>
              <w:t xml:space="preserve"> p.</w:t>
            </w:r>
            <w:r>
              <w:rPr>
                <w:lang w:val="en-GB"/>
              </w:rPr>
              <w:t>p</w:t>
            </w:r>
            <w:r w:rsidRPr="00695DE9">
              <w:rPr>
                <w:lang w:val="en-GB"/>
              </w:rPr>
              <w:t>. a</w:t>
            </w:r>
            <w:r>
              <w:rPr>
                <w:lang w:val="en-GB"/>
              </w:rPr>
              <w:t xml:space="preserve">nd by 0.99 p.p. for non-financial corporations. </w:t>
            </w:r>
          </w:p>
          <w:p w:rsidR="006E4832" w:rsidRPr="00695DE9" w:rsidRDefault="006E4832" w:rsidP="00FA0110">
            <w:pPr>
              <w:pStyle w:val="Textpoznpodarou"/>
              <w:jc w:val="both"/>
              <w:rPr>
                <w:lang w:val="en-GB"/>
              </w:rPr>
            </w:pPr>
          </w:p>
        </w:tc>
      </w:tr>
      <w:tr w:rsidR="006E4832" w:rsidRPr="00831EC2" w:rsidTr="00FA0110">
        <w:tc>
          <w:tcPr>
            <w:tcW w:w="1054" w:type="pct"/>
          </w:tcPr>
          <w:p w:rsidR="006E4832" w:rsidRPr="00872D92" w:rsidRDefault="006E4832" w:rsidP="00FA0110">
            <w:pPr>
              <w:spacing w:line="240" w:lineRule="auto"/>
              <w:rPr>
                <w:sz w:val="16"/>
                <w:szCs w:val="16"/>
                <w:lang w:val="en-GB"/>
              </w:rPr>
            </w:pPr>
            <w:r w:rsidRPr="00872D92">
              <w:rPr>
                <w:sz w:val="16"/>
                <w:szCs w:val="16"/>
                <w:lang w:val="en-GB"/>
              </w:rPr>
              <w:t xml:space="preserve">Interest rates on </w:t>
            </w:r>
            <w:r>
              <w:rPr>
                <w:sz w:val="16"/>
                <w:szCs w:val="16"/>
                <w:lang w:val="en-GB"/>
              </w:rPr>
              <w:t>loans for house purchase</w:t>
            </w:r>
            <w:r w:rsidRPr="00872D92">
              <w:rPr>
                <w:sz w:val="16"/>
                <w:szCs w:val="16"/>
                <w:lang w:val="en-GB"/>
              </w:rPr>
              <w:t xml:space="preserve"> are very low and the households contract debts, …</w:t>
            </w:r>
          </w:p>
        </w:tc>
        <w:tc>
          <w:tcPr>
            <w:tcW w:w="143" w:type="pct"/>
          </w:tcPr>
          <w:p w:rsidR="006E4832" w:rsidRPr="00872D92" w:rsidRDefault="006E4832" w:rsidP="00FA0110">
            <w:pPr>
              <w:pStyle w:val="Textpoznpodarou"/>
              <w:jc w:val="both"/>
              <w:rPr>
                <w:lang w:val="en-GB"/>
              </w:rPr>
            </w:pPr>
          </w:p>
        </w:tc>
        <w:tc>
          <w:tcPr>
            <w:tcW w:w="3803" w:type="pct"/>
          </w:tcPr>
          <w:p w:rsidR="006E4832" w:rsidRPr="00872D92" w:rsidRDefault="006E4832" w:rsidP="00FA0110">
            <w:pPr>
              <w:pStyle w:val="Textpoznpodarou"/>
              <w:jc w:val="both"/>
              <w:rPr>
                <w:lang w:val="en-GB"/>
              </w:rPr>
            </w:pPr>
            <w:r w:rsidRPr="00872D92">
              <w:rPr>
                <w:lang w:val="en-GB"/>
              </w:rPr>
              <w:t>Very low interest rates</w:t>
            </w:r>
            <w:r>
              <w:rPr>
                <w:lang w:val="en-GB"/>
              </w:rPr>
              <w:t xml:space="preserve"> </w:t>
            </w:r>
            <w:r w:rsidRPr="00872D92">
              <w:rPr>
                <w:lang w:val="en-GB"/>
              </w:rPr>
              <w:t xml:space="preserve">on </w:t>
            </w:r>
            <w:r>
              <w:rPr>
                <w:lang w:val="en-GB"/>
              </w:rPr>
              <w:t>loans for house purchase</w:t>
            </w:r>
            <w:r w:rsidRPr="00872D92">
              <w:rPr>
                <w:lang w:val="en-GB"/>
              </w:rPr>
              <w:t xml:space="preserve"> – in the environment</w:t>
            </w:r>
            <w:r>
              <w:rPr>
                <w:lang w:val="en-GB"/>
              </w:rPr>
              <w:t xml:space="preserve"> </w:t>
            </w:r>
            <w:r w:rsidRPr="00872D92">
              <w:rPr>
                <w:lang w:val="en-GB"/>
              </w:rPr>
              <w:t>of growing household income</w:t>
            </w:r>
            <w:r>
              <w:rPr>
                <w:lang w:val="en-GB"/>
              </w:rPr>
              <w:t xml:space="preserve"> </w:t>
            </w:r>
            <w:r w:rsidRPr="00872D92">
              <w:rPr>
                <w:lang w:val="en-GB"/>
              </w:rPr>
              <w:t>and low unemployment rate – motivated the hou</w:t>
            </w:r>
            <w:r>
              <w:rPr>
                <w:lang w:val="en-GB"/>
              </w:rPr>
              <w:t>s</w:t>
            </w:r>
            <w:r w:rsidRPr="00872D92">
              <w:rPr>
                <w:lang w:val="en-GB"/>
              </w:rPr>
              <w:t xml:space="preserve">eholds to acquire </w:t>
            </w:r>
            <w:r>
              <w:rPr>
                <w:lang w:val="en-GB"/>
              </w:rPr>
              <w:t xml:space="preserve">their own housing resp. to secure future income by a purchase of real estate for rent. The rates were low throughout the whole year 2015, regardless of the fixation period. Nevertheless, those who negotiated the loan in June with the fixation of the interest rate over 1 and up to 5 years </w:t>
            </w:r>
            <w:r w:rsidRPr="00872D92">
              <w:rPr>
                <w:lang w:val="en-GB"/>
              </w:rPr>
              <w:t>(2</w:t>
            </w:r>
            <w:r>
              <w:rPr>
                <w:lang w:val="en-GB"/>
              </w:rPr>
              <w:t>.32</w:t>
            </w:r>
            <w:r w:rsidRPr="00872D92">
              <w:rPr>
                <w:lang w:val="en-GB"/>
              </w:rPr>
              <w:t>%</w:t>
            </w:r>
            <w:proofErr w:type="gramStart"/>
            <w:r w:rsidRPr="00872D92">
              <w:rPr>
                <w:lang w:val="en-GB"/>
              </w:rPr>
              <w:t>)</w:t>
            </w:r>
            <w:r>
              <w:rPr>
                <w:lang w:val="en-GB"/>
              </w:rPr>
              <w:t>,</w:t>
            </w:r>
            <w:proofErr w:type="gramEnd"/>
            <w:r>
              <w:rPr>
                <w:lang w:val="en-GB"/>
              </w:rPr>
              <w:t xml:space="preserve"> reached the most advantageous conditions, even historically</w:t>
            </w:r>
            <w:r w:rsidRPr="00872D92">
              <w:rPr>
                <w:lang w:val="en-GB"/>
              </w:rPr>
              <w:t>.</w:t>
            </w:r>
          </w:p>
          <w:p w:rsidR="006E4832" w:rsidRPr="00872D92" w:rsidRDefault="006E4832" w:rsidP="00FA0110">
            <w:pPr>
              <w:pStyle w:val="Textpoznpodarou"/>
              <w:jc w:val="both"/>
              <w:rPr>
                <w:lang w:val="en-GB"/>
              </w:rPr>
            </w:pPr>
          </w:p>
        </w:tc>
      </w:tr>
      <w:tr w:rsidR="006E4832" w:rsidRPr="00831EC2" w:rsidTr="00FA0110">
        <w:tc>
          <w:tcPr>
            <w:tcW w:w="1054" w:type="pct"/>
          </w:tcPr>
          <w:p w:rsidR="006E4832" w:rsidRPr="002C3B51" w:rsidRDefault="006E4832" w:rsidP="00FA0110">
            <w:pPr>
              <w:spacing w:line="240" w:lineRule="auto"/>
              <w:rPr>
                <w:sz w:val="16"/>
                <w:szCs w:val="16"/>
                <w:lang w:val="en-GB"/>
              </w:rPr>
            </w:pPr>
            <w:r w:rsidRPr="002C3B51">
              <w:rPr>
                <w:sz w:val="16"/>
                <w:szCs w:val="16"/>
                <w:lang w:val="en-GB"/>
              </w:rPr>
              <w:t xml:space="preserve">… </w:t>
            </w:r>
            <w:proofErr w:type="gramStart"/>
            <w:r>
              <w:rPr>
                <w:sz w:val="16"/>
                <w:szCs w:val="16"/>
                <w:lang w:val="en-GB"/>
              </w:rPr>
              <w:t>mortgages</w:t>
            </w:r>
            <w:proofErr w:type="gramEnd"/>
            <w:r>
              <w:rPr>
                <w:sz w:val="16"/>
                <w:szCs w:val="16"/>
                <w:lang w:val="en-GB"/>
              </w:rPr>
              <w:t xml:space="preserve"> rose by 8.8</w:t>
            </w:r>
            <w:r w:rsidRPr="002C3B51">
              <w:rPr>
                <w:sz w:val="16"/>
                <w:szCs w:val="16"/>
                <w:lang w:val="en-GB"/>
              </w:rPr>
              <w:t>% year-on-</w:t>
            </w:r>
            <w:r>
              <w:rPr>
                <w:sz w:val="16"/>
                <w:szCs w:val="16"/>
                <w:lang w:val="en-GB"/>
              </w:rPr>
              <w:t>y</w:t>
            </w:r>
            <w:r w:rsidRPr="002C3B51">
              <w:rPr>
                <w:sz w:val="16"/>
                <w:szCs w:val="16"/>
                <w:lang w:val="en-GB"/>
              </w:rPr>
              <w:t xml:space="preserve">ear in December. The interest to finance real </w:t>
            </w:r>
            <w:proofErr w:type="spellStart"/>
            <w:r w:rsidRPr="002C3B51">
              <w:rPr>
                <w:sz w:val="16"/>
                <w:szCs w:val="16"/>
                <w:lang w:val="en-GB"/>
              </w:rPr>
              <w:t>estates</w:t>
            </w:r>
            <w:proofErr w:type="spellEnd"/>
            <w:r w:rsidRPr="002C3B51">
              <w:rPr>
                <w:sz w:val="16"/>
                <w:szCs w:val="16"/>
                <w:lang w:val="en-GB"/>
              </w:rPr>
              <w:t xml:space="preserve"> via consumer credit is</w:t>
            </w:r>
            <w:r>
              <w:rPr>
                <w:sz w:val="16"/>
                <w:szCs w:val="16"/>
                <w:lang w:val="en-GB"/>
              </w:rPr>
              <w:t xml:space="preserve"> </w:t>
            </w:r>
            <w:r w:rsidRPr="002C3B51">
              <w:rPr>
                <w:sz w:val="16"/>
                <w:szCs w:val="16"/>
                <w:lang w:val="en-GB"/>
              </w:rPr>
              <w:t xml:space="preserve">also increasing </w:t>
            </w:r>
          </w:p>
        </w:tc>
        <w:tc>
          <w:tcPr>
            <w:tcW w:w="143" w:type="pct"/>
          </w:tcPr>
          <w:p w:rsidR="006E4832" w:rsidRPr="002C3B51" w:rsidRDefault="006E4832" w:rsidP="00FA0110">
            <w:pPr>
              <w:pStyle w:val="Textpoznpodarou"/>
              <w:jc w:val="both"/>
              <w:rPr>
                <w:lang w:val="en-GB"/>
              </w:rPr>
            </w:pPr>
          </w:p>
        </w:tc>
        <w:tc>
          <w:tcPr>
            <w:tcW w:w="3803" w:type="pct"/>
          </w:tcPr>
          <w:p w:rsidR="006E4832" w:rsidRPr="002C3B51" w:rsidRDefault="006E4832" w:rsidP="00FA0110">
            <w:pPr>
              <w:pStyle w:val="Textpoznpodarou"/>
              <w:jc w:val="both"/>
              <w:rPr>
                <w:lang w:val="en-GB"/>
              </w:rPr>
            </w:pPr>
            <w:r>
              <w:rPr>
                <w:lang w:val="en-GB"/>
              </w:rPr>
              <w:t xml:space="preserve">The volume of loans provided to households for the purchase of flat or house increased by 8% year-on-year at the end of 2015, the fastest since July </w:t>
            </w:r>
            <w:r w:rsidRPr="002C3B51">
              <w:rPr>
                <w:lang w:val="en-GB"/>
              </w:rPr>
              <w:t>2010.</w:t>
            </w:r>
            <w:r>
              <w:rPr>
                <w:lang w:val="en-GB"/>
              </w:rPr>
              <w:t xml:space="preserve">  </w:t>
            </w:r>
            <w:r w:rsidRPr="002C3B51">
              <w:rPr>
                <w:lang w:val="en-GB"/>
              </w:rPr>
              <w:t xml:space="preserve"> </w:t>
            </w:r>
            <w:r>
              <w:rPr>
                <w:lang w:val="en-GB"/>
              </w:rPr>
              <w:t xml:space="preserve">The most often utilised mortgage loans increased by </w:t>
            </w:r>
            <w:r w:rsidRPr="002C3B51">
              <w:rPr>
                <w:lang w:val="en-GB"/>
              </w:rPr>
              <w:t>8</w:t>
            </w:r>
            <w:r>
              <w:rPr>
                <w:lang w:val="en-GB"/>
              </w:rPr>
              <w:t>.8</w:t>
            </w:r>
            <w:r w:rsidRPr="002C3B51">
              <w:rPr>
                <w:lang w:val="en-GB"/>
              </w:rPr>
              <w:t xml:space="preserve">%, </w:t>
            </w:r>
            <w:r>
              <w:rPr>
                <w:lang w:val="en-GB"/>
              </w:rPr>
              <w:t xml:space="preserve">deviation from the standard credit from construction savings however continued </w:t>
            </w:r>
            <w:r w:rsidRPr="002C3B51">
              <w:rPr>
                <w:lang w:val="en-GB"/>
              </w:rPr>
              <w:t>(-9</w:t>
            </w:r>
            <w:r>
              <w:rPr>
                <w:lang w:val="en-GB"/>
              </w:rPr>
              <w:t>.6</w:t>
            </w:r>
            <w:r w:rsidRPr="002C3B51">
              <w:rPr>
                <w:lang w:val="en-GB"/>
              </w:rPr>
              <w:t>%) a</w:t>
            </w:r>
            <w:r>
              <w:rPr>
                <w:lang w:val="en-GB"/>
              </w:rPr>
              <w:t xml:space="preserve">nd the bridging credit were not convincing in their dynamics either </w:t>
            </w:r>
            <w:r w:rsidRPr="002C3B51">
              <w:rPr>
                <w:lang w:val="en-GB"/>
              </w:rPr>
              <w:t>(+3</w:t>
            </w:r>
            <w:r>
              <w:rPr>
                <w:lang w:val="en-GB"/>
              </w:rPr>
              <w:t>.2</w:t>
            </w:r>
            <w:r w:rsidRPr="002C3B51">
              <w:rPr>
                <w:lang w:val="en-GB"/>
              </w:rPr>
              <w:t xml:space="preserve">%). </w:t>
            </w:r>
            <w:r>
              <w:rPr>
                <w:lang w:val="en-GB"/>
              </w:rPr>
              <w:t xml:space="preserve">A higher interest of households to finance the real estate with the use of the consumer credit is apparent since Q2. </w:t>
            </w:r>
          </w:p>
          <w:p w:rsidR="006E4832" w:rsidRPr="002C3B51" w:rsidRDefault="006E4832" w:rsidP="00FA0110">
            <w:pPr>
              <w:pStyle w:val="Textpoznpodarou"/>
              <w:jc w:val="both"/>
              <w:rPr>
                <w:lang w:val="en-GB"/>
              </w:rPr>
            </w:pPr>
          </w:p>
        </w:tc>
      </w:tr>
      <w:tr w:rsidR="006E4832" w:rsidRPr="00831EC2" w:rsidTr="00FA0110">
        <w:tc>
          <w:tcPr>
            <w:tcW w:w="1054" w:type="pct"/>
          </w:tcPr>
          <w:p w:rsidR="006E4832" w:rsidRPr="004F2476" w:rsidRDefault="006E4832" w:rsidP="00FA0110">
            <w:pPr>
              <w:spacing w:line="240" w:lineRule="auto"/>
              <w:rPr>
                <w:color w:val="000000" w:themeColor="text1"/>
                <w:sz w:val="16"/>
                <w:szCs w:val="16"/>
                <w:lang w:val="en-GB"/>
              </w:rPr>
            </w:pPr>
            <w:r w:rsidRPr="004F2476">
              <w:rPr>
                <w:color w:val="000000" w:themeColor="text1"/>
                <w:sz w:val="16"/>
                <w:szCs w:val="16"/>
                <w:lang w:val="en-GB"/>
              </w:rPr>
              <w:t xml:space="preserve">Non-financial </w:t>
            </w:r>
            <w:proofErr w:type="spellStart"/>
            <w:r>
              <w:rPr>
                <w:color w:val="000000" w:themeColor="text1"/>
                <w:sz w:val="16"/>
                <w:szCs w:val="16"/>
                <w:lang w:val="en-GB"/>
              </w:rPr>
              <w:t>corporations</w:t>
            </w:r>
            <w:proofErr w:type="spellEnd"/>
            <w:r w:rsidRPr="004F2476">
              <w:rPr>
                <w:color w:val="000000" w:themeColor="text1"/>
                <w:sz w:val="16"/>
                <w:szCs w:val="16"/>
                <w:lang w:val="en-GB"/>
              </w:rPr>
              <w:t xml:space="preserve"> incur further debt, however only on longer time horizons </w:t>
            </w:r>
          </w:p>
        </w:tc>
        <w:tc>
          <w:tcPr>
            <w:tcW w:w="143" w:type="pct"/>
          </w:tcPr>
          <w:p w:rsidR="006E4832" w:rsidRPr="004F2476" w:rsidRDefault="006E4832" w:rsidP="00FA0110">
            <w:pPr>
              <w:pStyle w:val="Textpoznpodarou"/>
              <w:jc w:val="both"/>
              <w:rPr>
                <w:color w:val="000000" w:themeColor="text1"/>
                <w:lang w:val="en-GB"/>
              </w:rPr>
            </w:pPr>
          </w:p>
        </w:tc>
        <w:tc>
          <w:tcPr>
            <w:tcW w:w="3803" w:type="pct"/>
          </w:tcPr>
          <w:p w:rsidR="006E4832" w:rsidRPr="00CD4F84" w:rsidRDefault="006E4832" w:rsidP="00FA0110">
            <w:pPr>
              <w:pStyle w:val="Textpoznpodarou"/>
              <w:jc w:val="both"/>
              <w:rPr>
                <w:color w:val="000000" w:themeColor="text1"/>
                <w:lang w:val="en-GB"/>
              </w:rPr>
            </w:pPr>
            <w:r w:rsidRPr="00CD4F84">
              <w:rPr>
                <w:color w:val="000000" w:themeColor="text1"/>
                <w:lang w:val="en-GB"/>
              </w:rPr>
              <w:t xml:space="preserve">The increase of loans to non-financial </w:t>
            </w:r>
            <w:proofErr w:type="spellStart"/>
            <w:r w:rsidRPr="00CD4F84">
              <w:rPr>
                <w:color w:val="000000" w:themeColor="text1"/>
                <w:lang w:val="en-GB"/>
              </w:rPr>
              <w:t>corporations</w:t>
            </w:r>
            <w:proofErr w:type="spellEnd"/>
            <w:r w:rsidRPr="00CD4F84">
              <w:rPr>
                <w:color w:val="000000" w:themeColor="text1"/>
                <w:lang w:val="en-GB"/>
              </w:rPr>
              <w:t xml:space="preserve"> follows from the higher demand for longer-term financing. The volume of medium term loans grew at least by one tenth year-on-year in September to December, the volume of long term loans throughout the whole H2. Since these are commonly the investment loans, it can be assumed, that the high dynamics of these loans is associated with higher investment activity. However, the non-financial </w:t>
            </w:r>
            <w:proofErr w:type="spellStart"/>
            <w:r w:rsidRPr="00CD4F84">
              <w:rPr>
                <w:color w:val="000000" w:themeColor="text1"/>
                <w:lang w:val="en-GB"/>
              </w:rPr>
              <w:t>corporations</w:t>
            </w:r>
            <w:proofErr w:type="spellEnd"/>
            <w:r w:rsidRPr="00CD4F84">
              <w:rPr>
                <w:color w:val="000000" w:themeColor="text1"/>
                <w:lang w:val="en-GB"/>
              </w:rPr>
              <w:t xml:space="preserve"> likely start to prefer their own resources when financing the operational matters </w:t>
            </w:r>
            <w:r w:rsidRPr="00CD4F84">
              <w:rPr>
                <w:lang w:val="en-GB"/>
              </w:rPr>
              <w:t>–</w:t>
            </w:r>
            <w:r w:rsidRPr="00CD4F84">
              <w:rPr>
                <w:color w:val="000000" w:themeColor="text1"/>
                <w:lang w:val="en-GB"/>
              </w:rPr>
              <w:t xml:space="preserve"> the year-on-year additions to short term loans to non-financial corporations were weak for the whole year 2015, even negative at the end of the year. </w:t>
            </w:r>
          </w:p>
          <w:p w:rsidR="006E4832" w:rsidRPr="004F2476" w:rsidRDefault="006E4832" w:rsidP="00FA0110">
            <w:pPr>
              <w:pStyle w:val="Textpoznpodarou"/>
              <w:jc w:val="both"/>
              <w:rPr>
                <w:color w:val="000000" w:themeColor="text1"/>
                <w:lang w:val="en-GB"/>
              </w:rPr>
            </w:pPr>
          </w:p>
        </w:tc>
      </w:tr>
      <w:tr w:rsidR="006E4832" w:rsidRPr="00831EC2" w:rsidTr="00FA0110">
        <w:tc>
          <w:tcPr>
            <w:tcW w:w="1054" w:type="pct"/>
          </w:tcPr>
          <w:p w:rsidR="006E4832" w:rsidRPr="00DF0DE0" w:rsidRDefault="006E4832" w:rsidP="00FA0110">
            <w:pPr>
              <w:spacing w:line="240" w:lineRule="auto"/>
              <w:rPr>
                <w:color w:val="FF0000"/>
                <w:sz w:val="16"/>
                <w:szCs w:val="16"/>
                <w:lang w:val="en-GB"/>
              </w:rPr>
            </w:pPr>
            <w:r w:rsidRPr="00DF0DE0">
              <w:rPr>
                <w:sz w:val="16"/>
                <w:szCs w:val="16"/>
                <w:lang w:val="en-GB"/>
              </w:rPr>
              <w:t xml:space="preserve">Total debt of households increased by 76 </w:t>
            </w:r>
            <w:r>
              <w:rPr>
                <w:sz w:val="16"/>
                <w:szCs w:val="16"/>
                <w:lang w:val="en-GB"/>
              </w:rPr>
              <w:t xml:space="preserve">CZK </w:t>
            </w:r>
            <w:proofErr w:type="spellStart"/>
            <w:r w:rsidRPr="00DF0DE0">
              <w:rPr>
                <w:sz w:val="16"/>
                <w:szCs w:val="16"/>
                <w:lang w:val="en-GB"/>
              </w:rPr>
              <w:t>bn</w:t>
            </w:r>
            <w:proofErr w:type="spellEnd"/>
            <w:r>
              <w:rPr>
                <w:sz w:val="16"/>
                <w:szCs w:val="16"/>
                <w:lang w:val="en-GB"/>
              </w:rPr>
              <w:t xml:space="preserve"> </w:t>
            </w:r>
            <w:r w:rsidRPr="00DF0DE0">
              <w:rPr>
                <w:sz w:val="16"/>
                <w:szCs w:val="16"/>
                <w:lang w:val="en-GB"/>
              </w:rPr>
              <w:t xml:space="preserve">year-on-year to 1 391 </w:t>
            </w:r>
            <w:proofErr w:type="spellStart"/>
            <w:r w:rsidRPr="00DF0DE0">
              <w:rPr>
                <w:sz w:val="16"/>
                <w:szCs w:val="16"/>
                <w:lang w:val="en-GB"/>
              </w:rPr>
              <w:t>bn</w:t>
            </w:r>
            <w:proofErr w:type="spellEnd"/>
            <w:r>
              <w:rPr>
                <w:sz w:val="16"/>
                <w:szCs w:val="16"/>
                <w:lang w:val="en-GB"/>
              </w:rPr>
              <w:t xml:space="preserve"> at the end of the last year</w:t>
            </w:r>
            <w:r w:rsidRPr="00DF0DE0">
              <w:rPr>
                <w:sz w:val="16"/>
                <w:szCs w:val="16"/>
                <w:lang w:val="en-GB"/>
              </w:rPr>
              <w:t>. It arrived at 31.</w:t>
            </w:r>
            <w:r>
              <w:rPr>
                <w:sz w:val="16"/>
                <w:szCs w:val="16"/>
                <w:lang w:val="en-GB"/>
              </w:rPr>
              <w:t>1</w:t>
            </w:r>
            <w:r w:rsidRPr="00DF0DE0">
              <w:rPr>
                <w:sz w:val="16"/>
                <w:szCs w:val="16"/>
                <w:lang w:val="en-GB"/>
              </w:rPr>
              <w:t>% of GDP</w:t>
            </w:r>
          </w:p>
        </w:tc>
        <w:tc>
          <w:tcPr>
            <w:tcW w:w="143" w:type="pct"/>
          </w:tcPr>
          <w:p w:rsidR="006E4832" w:rsidRPr="00DF0DE0" w:rsidRDefault="006E4832" w:rsidP="00FA0110">
            <w:pPr>
              <w:pStyle w:val="Textpoznpodarou"/>
              <w:jc w:val="both"/>
              <w:rPr>
                <w:color w:val="FF0000"/>
                <w:lang w:val="en-GB"/>
              </w:rPr>
            </w:pPr>
          </w:p>
        </w:tc>
        <w:tc>
          <w:tcPr>
            <w:tcW w:w="3803" w:type="pct"/>
          </w:tcPr>
          <w:p w:rsidR="006E4832" w:rsidRPr="00DF0DE0" w:rsidRDefault="006E4832" w:rsidP="00FA0110">
            <w:pPr>
              <w:pStyle w:val="Textpoznpodarou"/>
              <w:jc w:val="both"/>
              <w:rPr>
                <w:color w:val="FF0000"/>
                <w:lang w:val="en-GB"/>
              </w:rPr>
            </w:pPr>
            <w:r>
              <w:rPr>
                <w:lang w:val="en-GB"/>
              </w:rPr>
              <w:t xml:space="preserve">Total indebtedness of the Czech households rose by </w:t>
            </w:r>
            <w:r w:rsidRPr="00DF0DE0">
              <w:rPr>
                <w:lang w:val="en-GB"/>
              </w:rPr>
              <w:t xml:space="preserve">76 </w:t>
            </w:r>
            <w:r>
              <w:rPr>
                <w:lang w:val="en-GB"/>
              </w:rPr>
              <w:t xml:space="preserve">CZK </w:t>
            </w:r>
            <w:proofErr w:type="spellStart"/>
            <w:r>
              <w:rPr>
                <w:lang w:val="en-GB"/>
              </w:rPr>
              <w:t>bn</w:t>
            </w:r>
            <w:proofErr w:type="spellEnd"/>
            <w:r>
              <w:rPr>
                <w:lang w:val="en-GB"/>
              </w:rPr>
              <w:t xml:space="preserve"> year-on-year at the end of 2015 and the households owed </w:t>
            </w:r>
            <w:r w:rsidRPr="00DF0DE0">
              <w:rPr>
                <w:lang w:val="en-GB"/>
              </w:rPr>
              <w:t xml:space="preserve">1 391 </w:t>
            </w:r>
            <w:r>
              <w:rPr>
                <w:lang w:val="en-GB"/>
              </w:rPr>
              <w:t>bn</w:t>
            </w:r>
            <w:r w:rsidRPr="00DF0DE0">
              <w:rPr>
                <w:lang w:val="en-GB"/>
              </w:rPr>
              <w:t xml:space="preserve">. </w:t>
            </w:r>
            <w:r>
              <w:rPr>
                <w:lang w:val="en-GB"/>
              </w:rPr>
              <w:t xml:space="preserve">Mainly the debts originating from the house purchase </w:t>
            </w:r>
            <w:r w:rsidRPr="00DF0DE0">
              <w:rPr>
                <w:lang w:val="en-GB"/>
              </w:rPr>
              <w:t xml:space="preserve">(978 </w:t>
            </w:r>
            <w:proofErr w:type="spellStart"/>
            <w:r>
              <w:rPr>
                <w:lang w:val="en-GB"/>
              </w:rPr>
              <w:t>bn</w:t>
            </w:r>
            <w:proofErr w:type="spellEnd"/>
            <w:r w:rsidRPr="00DF0DE0">
              <w:rPr>
                <w:lang w:val="en-GB"/>
              </w:rPr>
              <w:t>)</w:t>
            </w:r>
            <w:r>
              <w:rPr>
                <w:lang w:val="en-GB"/>
              </w:rPr>
              <w:t xml:space="preserve"> represent a burden</w:t>
            </w:r>
            <w:r w:rsidRPr="00DF0DE0">
              <w:rPr>
                <w:lang w:val="en-GB"/>
              </w:rPr>
              <w:t xml:space="preserve">. </w:t>
            </w:r>
            <w:r>
              <w:rPr>
                <w:lang w:val="en-GB"/>
              </w:rPr>
              <w:t xml:space="preserve">Households owe approximately one quarter of a trillion </w:t>
            </w:r>
            <w:r w:rsidRPr="00DF0DE0">
              <w:rPr>
                <w:lang w:val="en-GB"/>
              </w:rPr>
              <w:t xml:space="preserve">(262 </w:t>
            </w:r>
            <w:proofErr w:type="spellStart"/>
            <w:r>
              <w:rPr>
                <w:lang w:val="en-GB"/>
              </w:rPr>
              <w:t>bn</w:t>
            </w:r>
            <w:proofErr w:type="spellEnd"/>
            <w:r w:rsidRPr="00DF0DE0">
              <w:rPr>
                <w:lang w:val="en-GB"/>
              </w:rPr>
              <w:t xml:space="preserve">) </w:t>
            </w:r>
            <w:r>
              <w:rPr>
                <w:lang w:val="en-GB"/>
              </w:rPr>
              <w:t xml:space="preserve">in the form of consumer credit, </w:t>
            </w:r>
            <w:r w:rsidRPr="00DF0DE0">
              <w:rPr>
                <w:lang w:val="en-GB"/>
              </w:rPr>
              <w:t xml:space="preserve">151 </w:t>
            </w:r>
            <w:proofErr w:type="spellStart"/>
            <w:r>
              <w:rPr>
                <w:lang w:val="en-GB"/>
              </w:rPr>
              <w:t>bn</w:t>
            </w:r>
            <w:proofErr w:type="spellEnd"/>
            <w:r>
              <w:rPr>
                <w:lang w:val="en-GB"/>
              </w:rPr>
              <w:t xml:space="preserve"> belongs to the other credit</w:t>
            </w:r>
            <w:r w:rsidRPr="00DF0DE0">
              <w:rPr>
                <w:lang w:val="en-GB"/>
              </w:rPr>
              <w:t xml:space="preserve">. </w:t>
            </w:r>
            <w:r>
              <w:rPr>
                <w:lang w:val="en-GB"/>
              </w:rPr>
              <w:t xml:space="preserve">Banks and credit unions are logically the biggest creditors of </w:t>
            </w:r>
            <w:proofErr w:type="gramStart"/>
            <w:r>
              <w:rPr>
                <w:lang w:val="en-GB"/>
              </w:rPr>
              <w:t>households,</w:t>
            </w:r>
            <w:proofErr w:type="gramEnd"/>
            <w:r>
              <w:rPr>
                <w:lang w:val="en-GB"/>
              </w:rPr>
              <w:t xml:space="preserve"> they hold </w:t>
            </w:r>
            <w:r w:rsidRPr="00DF0DE0">
              <w:rPr>
                <w:lang w:val="en-GB"/>
              </w:rPr>
              <w:t>95</w:t>
            </w:r>
            <w:r>
              <w:rPr>
                <w:lang w:val="en-GB"/>
              </w:rPr>
              <w:t>.8</w:t>
            </w:r>
            <w:r w:rsidRPr="00DF0DE0">
              <w:rPr>
                <w:lang w:val="en-GB"/>
              </w:rPr>
              <w:t xml:space="preserve">% </w:t>
            </w:r>
            <w:r>
              <w:rPr>
                <w:lang w:val="en-GB"/>
              </w:rPr>
              <w:t xml:space="preserve">of the total household debt. The rest belongs to other financial institutions. The role of these institutions is zero in case of provision of loans for house purchase, the complete majority of these types of liabilities of households are held by banks and credit unions. However, the other financial institutions already cut a considerable slice from the consumer and other credit. Households owe to other financial institutions </w:t>
            </w:r>
            <w:r w:rsidRPr="00DF0DE0">
              <w:rPr>
                <w:lang w:val="en-GB"/>
              </w:rPr>
              <w:t>18</w:t>
            </w:r>
            <w:r>
              <w:rPr>
                <w:lang w:val="en-GB"/>
              </w:rPr>
              <w:t>.</w:t>
            </w:r>
            <w:r w:rsidRPr="00DF0DE0">
              <w:rPr>
                <w:lang w:val="en-GB"/>
              </w:rPr>
              <w:t>6%</w:t>
            </w:r>
            <w:r>
              <w:rPr>
                <w:lang w:val="en-GB"/>
              </w:rPr>
              <w:t xml:space="preserve"> from the consumer credit,</w:t>
            </w:r>
            <w:r w:rsidRPr="00DF0DE0">
              <w:rPr>
                <w:lang w:val="en-GB"/>
              </w:rPr>
              <w:t xml:space="preserve"> 6</w:t>
            </w:r>
            <w:r>
              <w:rPr>
                <w:lang w:val="en-GB"/>
              </w:rPr>
              <w:t>.1</w:t>
            </w:r>
            <w:r w:rsidRPr="00DF0DE0">
              <w:rPr>
                <w:lang w:val="en-GB"/>
              </w:rPr>
              <w:t>%</w:t>
            </w:r>
            <w:r>
              <w:rPr>
                <w:lang w:val="en-GB"/>
              </w:rPr>
              <w:t xml:space="preserve"> for other liabilities</w:t>
            </w:r>
            <w:r w:rsidRPr="00DF0DE0">
              <w:rPr>
                <w:lang w:val="en-GB"/>
              </w:rPr>
              <w:t>.</w:t>
            </w:r>
          </w:p>
        </w:tc>
      </w:tr>
    </w:tbl>
    <w:p w:rsidR="00977343" w:rsidRDefault="00977343" w:rsidP="00FA6293">
      <w:pPr>
        <w:rPr>
          <w:lang w:val="en-GB"/>
        </w:rPr>
      </w:pPr>
    </w:p>
    <w:tbl>
      <w:tblPr>
        <w:tblW w:w="5000" w:type="pct"/>
        <w:tblLook w:val="04A0"/>
      </w:tblPr>
      <w:tblGrid>
        <w:gridCol w:w="1118"/>
        <w:gridCol w:w="3806"/>
        <w:gridCol w:w="1142"/>
        <w:gridCol w:w="697"/>
        <w:gridCol w:w="3091"/>
      </w:tblGrid>
      <w:tr w:rsidR="006E4832" w:rsidRPr="005819C0" w:rsidTr="00176709">
        <w:tc>
          <w:tcPr>
            <w:tcW w:w="566" w:type="pct"/>
          </w:tcPr>
          <w:p w:rsidR="006E4832" w:rsidRPr="00A7541D" w:rsidRDefault="006E4832" w:rsidP="00FA0110">
            <w:pPr>
              <w:pStyle w:val="Textpoznpodarou"/>
            </w:pPr>
            <w:r>
              <w:lastRenderedPageBreak/>
              <w:t xml:space="preserve">Chart </w:t>
            </w:r>
            <w:r w:rsidRPr="00A7541D">
              <w:t>17</w:t>
            </w:r>
          </w:p>
        </w:tc>
        <w:tc>
          <w:tcPr>
            <w:tcW w:w="1932" w:type="pct"/>
          </w:tcPr>
          <w:p w:rsidR="006E4832" w:rsidRPr="00A34AD9" w:rsidRDefault="006E4832" w:rsidP="00FA0110">
            <w:pPr>
              <w:pStyle w:val="Textpoznpodarou"/>
              <w:rPr>
                <w:lang w:val="en-GB"/>
              </w:rPr>
            </w:pPr>
            <w:r w:rsidRPr="00A34AD9">
              <w:rPr>
                <w:b/>
                <w:lang w:val="en-GB"/>
              </w:rPr>
              <w:t xml:space="preserve">Monetary aggregates and gross domestic product </w:t>
            </w:r>
            <w:r w:rsidRPr="00A34AD9">
              <w:rPr>
                <w:lang w:val="en-GB"/>
              </w:rPr>
              <w:t>(y/y in %)</w:t>
            </w:r>
          </w:p>
        </w:tc>
        <w:tc>
          <w:tcPr>
            <w:tcW w:w="579" w:type="pct"/>
          </w:tcPr>
          <w:p w:rsidR="006E4832" w:rsidRPr="00F067CB" w:rsidRDefault="006E4832" w:rsidP="00FA0110">
            <w:pPr>
              <w:pStyle w:val="Textpoznpodarou"/>
            </w:pPr>
            <w:r>
              <w:t xml:space="preserve">Chart </w:t>
            </w:r>
            <w:r w:rsidRPr="00F067CB">
              <w:t>18</w:t>
            </w:r>
          </w:p>
        </w:tc>
        <w:tc>
          <w:tcPr>
            <w:tcW w:w="1922" w:type="pct"/>
            <w:gridSpan w:val="2"/>
          </w:tcPr>
          <w:p w:rsidR="006E4832" w:rsidRPr="00A34AD9" w:rsidRDefault="006E4832" w:rsidP="00FA0110">
            <w:pPr>
              <w:pStyle w:val="Textpoznpodarou"/>
              <w:rPr>
                <w:lang w:val="en-GB"/>
              </w:rPr>
            </w:pPr>
            <w:r w:rsidRPr="00A34AD9">
              <w:rPr>
                <w:b/>
                <w:lang w:val="en-GB"/>
              </w:rPr>
              <w:t xml:space="preserve">Share of </w:t>
            </w:r>
            <w:r>
              <w:rPr>
                <w:b/>
                <w:lang w:val="en-GB"/>
              </w:rPr>
              <w:t>non-performing loans</w:t>
            </w:r>
            <w:r w:rsidRPr="00A34AD9">
              <w:rPr>
                <w:b/>
                <w:lang w:val="en-GB"/>
              </w:rPr>
              <w:t xml:space="preserve"> </w:t>
            </w:r>
            <w:r w:rsidRPr="00A34AD9">
              <w:rPr>
                <w:lang w:val="en-GB"/>
              </w:rPr>
              <w:t xml:space="preserve">(in %, </w:t>
            </w:r>
            <w:r>
              <w:rPr>
                <w:lang w:val="en-GB"/>
              </w:rPr>
              <w:t>non-performing loans</w:t>
            </w:r>
            <w:r w:rsidRPr="00A34AD9">
              <w:rPr>
                <w:lang w:val="en-GB"/>
              </w:rPr>
              <w:t>/</w:t>
            </w:r>
            <w:r>
              <w:rPr>
                <w:lang w:val="en-GB"/>
              </w:rPr>
              <w:t>total loans</w:t>
            </w:r>
            <w:r w:rsidRPr="00A34AD9">
              <w:rPr>
                <w:lang w:val="en-GB"/>
              </w:rPr>
              <w:t>)</w:t>
            </w:r>
          </w:p>
        </w:tc>
      </w:tr>
      <w:tr w:rsidR="006E4832" w:rsidRPr="005819C0" w:rsidTr="00FA0110">
        <w:tc>
          <w:tcPr>
            <w:tcW w:w="2498" w:type="pct"/>
            <w:gridSpan w:val="2"/>
          </w:tcPr>
          <w:p w:rsidR="006E4832" w:rsidRPr="005819C0" w:rsidRDefault="006E4832" w:rsidP="00FA0110">
            <w:pPr>
              <w:pStyle w:val="Textpoznpodarou"/>
              <w:jc w:val="both"/>
            </w:pPr>
            <w:r w:rsidRPr="00483D8F">
              <w:rPr>
                <w:noProof/>
              </w:rPr>
              <w:drawing>
                <wp:inline distT="0" distB="0" distL="0" distR="0">
                  <wp:extent cx="3048000" cy="2371725"/>
                  <wp:effectExtent l="19050" t="0" r="0" b="0"/>
                  <wp:docPr id="9"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3048000" cy="2371725"/>
                          </a:xfrm>
                          <a:prstGeom prst="rect">
                            <a:avLst/>
                          </a:prstGeom>
                          <a:noFill/>
                        </pic:spPr>
                      </pic:pic>
                    </a:graphicData>
                  </a:graphic>
                </wp:inline>
              </w:drawing>
            </w:r>
          </w:p>
        </w:tc>
        <w:tc>
          <w:tcPr>
            <w:tcW w:w="2502" w:type="pct"/>
            <w:gridSpan w:val="3"/>
          </w:tcPr>
          <w:p w:rsidR="006E4832" w:rsidRPr="005819C0" w:rsidRDefault="006E4832" w:rsidP="00FA0110">
            <w:pPr>
              <w:pStyle w:val="Textpoznpodarou"/>
              <w:jc w:val="both"/>
            </w:pPr>
            <w:r w:rsidRPr="00483D8F">
              <w:rPr>
                <w:noProof/>
              </w:rPr>
              <w:drawing>
                <wp:inline distT="0" distB="0" distL="0" distR="0">
                  <wp:extent cx="3042285" cy="2371725"/>
                  <wp:effectExtent l="19050" t="0" r="5715" b="0"/>
                  <wp:docPr id="10"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3042285" cy="2371725"/>
                          </a:xfrm>
                          <a:prstGeom prst="rect">
                            <a:avLst/>
                          </a:prstGeom>
                          <a:noFill/>
                        </pic:spPr>
                      </pic:pic>
                    </a:graphicData>
                  </a:graphic>
                </wp:inline>
              </w:drawing>
            </w:r>
          </w:p>
        </w:tc>
      </w:tr>
      <w:tr w:rsidR="006E4832" w:rsidRPr="005819C0" w:rsidTr="00176709">
        <w:tc>
          <w:tcPr>
            <w:tcW w:w="3429" w:type="pct"/>
            <w:gridSpan w:val="4"/>
          </w:tcPr>
          <w:p w:rsidR="006E4832" w:rsidRPr="00045F79" w:rsidRDefault="006E4832" w:rsidP="00FA0110">
            <w:pPr>
              <w:pStyle w:val="Textpoznpodarou"/>
              <w:rPr>
                <w:noProof/>
                <w:sz w:val="18"/>
                <w:szCs w:val="18"/>
              </w:rPr>
            </w:pPr>
          </w:p>
        </w:tc>
        <w:tc>
          <w:tcPr>
            <w:tcW w:w="1571" w:type="pct"/>
          </w:tcPr>
          <w:p w:rsidR="006E4832" w:rsidRPr="005819C0" w:rsidRDefault="006E4832" w:rsidP="00FA0110">
            <w:pPr>
              <w:pStyle w:val="Textpoznpodarou"/>
              <w:jc w:val="right"/>
              <w:rPr>
                <w:noProof/>
              </w:rPr>
            </w:pPr>
            <w:proofErr w:type="spellStart"/>
            <w:r>
              <w:rPr>
                <w:sz w:val="18"/>
                <w:szCs w:val="18"/>
              </w:rPr>
              <w:t>Source</w:t>
            </w:r>
            <w:proofErr w:type="spellEnd"/>
            <w:r w:rsidRPr="005819C0">
              <w:rPr>
                <w:sz w:val="18"/>
                <w:szCs w:val="18"/>
              </w:rPr>
              <w:t xml:space="preserve">: </w:t>
            </w:r>
            <w:r>
              <w:rPr>
                <w:sz w:val="18"/>
                <w:szCs w:val="18"/>
              </w:rPr>
              <w:t>CZSO, CNB</w:t>
            </w:r>
          </w:p>
        </w:tc>
      </w:tr>
    </w:tbl>
    <w:p w:rsidR="00977343" w:rsidRDefault="00977343" w:rsidP="00FA6293">
      <w:pPr>
        <w:rPr>
          <w:lang w:val="en-GB"/>
        </w:rPr>
      </w:pPr>
    </w:p>
    <w:p w:rsidR="00977343" w:rsidRDefault="00977343" w:rsidP="00FA6293">
      <w:pPr>
        <w:rPr>
          <w:lang w:val="en-GB"/>
        </w:rPr>
      </w:pPr>
    </w:p>
    <w:p w:rsidR="002E435E" w:rsidRPr="001E6EB9" w:rsidRDefault="00451DCC" w:rsidP="002E435E">
      <w:pPr>
        <w:pStyle w:val="Nadpis1"/>
        <w:numPr>
          <w:ilvl w:val="0"/>
          <w:numId w:val="3"/>
        </w:numPr>
        <w:jc w:val="both"/>
        <w:rPr>
          <w:lang w:val="en-GB"/>
        </w:rPr>
      </w:pPr>
      <w:bookmarkStart w:id="9" w:name="_Toc449604563"/>
      <w:r w:rsidRPr="001E6EB9">
        <w:rPr>
          <w:lang w:val="en-GB"/>
        </w:rPr>
        <w:t>State Budget</w:t>
      </w:r>
      <w:bookmarkEnd w:id="9"/>
    </w:p>
    <w:tbl>
      <w:tblPr>
        <w:tblW w:w="5103" w:type="pct"/>
        <w:tblCellMar>
          <w:left w:w="28" w:type="dxa"/>
          <w:right w:w="28" w:type="dxa"/>
        </w:tblCellMar>
        <w:tblLook w:val="04A0"/>
      </w:tblPr>
      <w:tblGrid>
        <w:gridCol w:w="590"/>
        <w:gridCol w:w="1457"/>
        <w:gridCol w:w="274"/>
        <w:gridCol w:w="2626"/>
        <w:gridCol w:w="717"/>
        <w:gridCol w:w="4104"/>
        <w:gridCol w:w="126"/>
      </w:tblGrid>
      <w:tr w:rsidR="00906D0C" w:rsidRPr="001E6EB9" w:rsidTr="00906D0C">
        <w:trPr>
          <w:gridAfter w:val="1"/>
          <w:wAfter w:w="63" w:type="pct"/>
        </w:trPr>
        <w:tc>
          <w:tcPr>
            <w:tcW w:w="1034" w:type="pct"/>
            <w:gridSpan w:val="2"/>
          </w:tcPr>
          <w:p w:rsidR="00906D0C" w:rsidRPr="001E6EB9" w:rsidRDefault="00906D0C" w:rsidP="007124A4">
            <w:pPr>
              <w:spacing w:line="240" w:lineRule="auto"/>
              <w:rPr>
                <w:rFonts w:cs="Arial"/>
                <w:bCs/>
                <w:iCs/>
                <w:color w:val="0D0D0D" w:themeColor="text1" w:themeTint="F2"/>
                <w:spacing w:val="-2"/>
                <w:sz w:val="16"/>
                <w:szCs w:val="16"/>
                <w:lang w:val="en-GB"/>
              </w:rPr>
            </w:pPr>
            <w:r w:rsidRPr="001E6EB9">
              <w:rPr>
                <w:rFonts w:cs="Arial"/>
                <w:bCs/>
                <w:iCs/>
                <w:color w:val="0D0D0D" w:themeColor="text1" w:themeTint="F2"/>
                <w:spacing w:val="-2"/>
                <w:sz w:val="16"/>
                <w:szCs w:val="16"/>
                <w:lang w:val="en-GB"/>
              </w:rPr>
              <w:t xml:space="preserve">Strengthening economic growth supported by a record drawing of resources from the European funds catapulted the state budget to the lowest deficit after year 2008 </w:t>
            </w:r>
          </w:p>
          <w:p w:rsidR="00906D0C" w:rsidRPr="001E6EB9" w:rsidRDefault="00906D0C" w:rsidP="007124A4">
            <w:pPr>
              <w:spacing w:line="240" w:lineRule="auto"/>
              <w:rPr>
                <w:rFonts w:cs="Arial"/>
                <w:color w:val="0D0D0D" w:themeColor="text1" w:themeTint="F2"/>
                <w:spacing w:val="-4"/>
                <w:szCs w:val="20"/>
                <w:lang w:val="en-GB"/>
              </w:rPr>
            </w:pPr>
          </w:p>
        </w:tc>
        <w:tc>
          <w:tcPr>
            <w:tcW w:w="139" w:type="pct"/>
          </w:tcPr>
          <w:p w:rsidR="00906D0C" w:rsidRPr="001E6EB9" w:rsidRDefault="00906D0C" w:rsidP="007124A4">
            <w:pPr>
              <w:pStyle w:val="Textpoznpodarou"/>
              <w:jc w:val="both"/>
              <w:rPr>
                <w:color w:val="0D0D0D" w:themeColor="text1" w:themeTint="F2"/>
                <w:lang w:val="en-GB"/>
              </w:rPr>
            </w:pPr>
          </w:p>
        </w:tc>
        <w:tc>
          <w:tcPr>
            <w:tcW w:w="3763" w:type="pct"/>
            <w:gridSpan w:val="3"/>
          </w:tcPr>
          <w:p w:rsidR="00906D0C" w:rsidRPr="001E6EB9" w:rsidRDefault="00906D0C" w:rsidP="007124A4">
            <w:pPr>
              <w:pStyle w:val="Textpoznpodarou"/>
              <w:jc w:val="both"/>
              <w:rPr>
                <w:rFonts w:cs="Arial"/>
                <w:color w:val="0D0D0D" w:themeColor="text1" w:themeTint="F2"/>
                <w:lang w:val="en-GB"/>
              </w:rPr>
            </w:pPr>
            <w:r>
              <w:rPr>
                <w:rFonts w:cs="Arial"/>
                <w:color w:val="0D0D0D" w:themeColor="text1" w:themeTint="F2"/>
                <w:lang w:val="en-GB"/>
              </w:rPr>
              <w:t>T</w:t>
            </w:r>
            <w:r w:rsidRPr="001E6EB9">
              <w:rPr>
                <w:rFonts w:cs="Arial"/>
                <w:color w:val="0D0D0D" w:themeColor="text1" w:themeTint="F2"/>
                <w:lang w:val="en-GB"/>
              </w:rPr>
              <w:t>he strengthening economic growth accompanied by the intensive finalisation of drawing of funds from the EU budget</w:t>
            </w:r>
            <w:r>
              <w:rPr>
                <w:rFonts w:cs="Arial"/>
                <w:color w:val="0D0D0D" w:themeColor="text1" w:themeTint="F2"/>
                <w:lang w:val="en-GB"/>
              </w:rPr>
              <w:t xml:space="preserve"> </w:t>
            </w:r>
            <w:r w:rsidRPr="001E6EB9">
              <w:rPr>
                <w:rFonts w:cs="Arial"/>
                <w:color w:val="0D0D0D" w:themeColor="text1" w:themeTint="F2"/>
                <w:lang w:val="en-GB"/>
              </w:rPr>
              <w:t>helped to keep the trend of declinin</w:t>
            </w:r>
            <w:r>
              <w:rPr>
                <w:rFonts w:cs="Arial"/>
                <w:color w:val="0D0D0D" w:themeColor="text1" w:themeTint="F2"/>
                <w:lang w:val="en-GB"/>
              </w:rPr>
              <w:t>g</w:t>
            </w:r>
            <w:r w:rsidRPr="001E6EB9">
              <w:rPr>
                <w:rFonts w:cs="Arial"/>
                <w:color w:val="0D0D0D" w:themeColor="text1" w:themeTint="F2"/>
                <w:lang w:val="en-GB"/>
              </w:rPr>
              <w:t xml:space="preserve"> state budget (SB) defi</w:t>
            </w:r>
            <w:r>
              <w:rPr>
                <w:rFonts w:cs="Arial"/>
                <w:color w:val="0D0D0D" w:themeColor="text1" w:themeTint="F2"/>
                <w:lang w:val="en-GB"/>
              </w:rPr>
              <w:t>c</w:t>
            </w:r>
            <w:r w:rsidRPr="001E6EB9">
              <w:rPr>
                <w:rFonts w:cs="Arial"/>
                <w:color w:val="0D0D0D" w:themeColor="text1" w:themeTint="F2"/>
                <w:lang w:val="en-GB"/>
              </w:rPr>
              <w:t xml:space="preserve">its in 2015. It ended (based on cash fulfilment) in deficit of </w:t>
            </w:r>
            <w:r>
              <w:rPr>
                <w:rFonts w:cs="Arial"/>
                <w:color w:val="0D0D0D" w:themeColor="text1" w:themeTint="F2"/>
                <w:lang w:val="en-GB"/>
              </w:rPr>
              <w:t>62.8</w:t>
            </w:r>
            <w:r w:rsidRPr="001E6EB9">
              <w:rPr>
                <w:rFonts w:cs="Arial"/>
                <w:color w:val="0D0D0D" w:themeColor="text1" w:themeTint="F2"/>
                <w:lang w:val="en-GB"/>
              </w:rPr>
              <w:t xml:space="preserve"> </w:t>
            </w:r>
            <w:r>
              <w:rPr>
                <w:rFonts w:cs="Arial"/>
                <w:color w:val="0D0D0D" w:themeColor="text1" w:themeTint="F2"/>
                <w:lang w:val="en-GB"/>
              </w:rPr>
              <w:t xml:space="preserve">CZK </w:t>
            </w:r>
            <w:proofErr w:type="spellStart"/>
            <w:r w:rsidRPr="001E6EB9">
              <w:rPr>
                <w:rFonts w:cs="Arial"/>
                <w:color w:val="0D0D0D" w:themeColor="text1" w:themeTint="F2"/>
                <w:lang w:val="en-GB"/>
              </w:rPr>
              <w:t>bn</w:t>
            </w:r>
            <w:proofErr w:type="spellEnd"/>
            <w:r w:rsidRPr="001E6EB9">
              <w:rPr>
                <w:rFonts w:cs="Arial"/>
                <w:color w:val="0D0D0D" w:themeColor="text1" w:themeTint="F2"/>
                <w:lang w:val="en-GB"/>
              </w:rPr>
              <w:t>, which was the fourth best result after 2000. The actual deficit was visibly better than the budget anticipations (similarly to the previous two years). Deepening irregulariti</w:t>
            </w:r>
            <w:r>
              <w:rPr>
                <w:rFonts w:cs="Arial"/>
                <w:color w:val="0D0D0D" w:themeColor="text1" w:themeTint="F2"/>
                <w:lang w:val="en-GB"/>
              </w:rPr>
              <w:t>es</w:t>
            </w:r>
            <w:r w:rsidRPr="001E6EB9">
              <w:rPr>
                <w:rFonts w:cs="Arial"/>
                <w:color w:val="0D0D0D" w:themeColor="text1" w:themeTint="F2"/>
                <w:lang w:val="en-GB"/>
              </w:rPr>
              <w:t xml:space="preserve"> on both the revenue and outlay side caused, that the SB fell into a more notable deficits o</w:t>
            </w:r>
            <w:r>
              <w:rPr>
                <w:rFonts w:cs="Arial"/>
                <w:color w:val="0D0D0D" w:themeColor="text1" w:themeTint="F2"/>
                <w:lang w:val="en-GB"/>
              </w:rPr>
              <w:t>n</w:t>
            </w:r>
            <w:r w:rsidRPr="001E6EB9">
              <w:rPr>
                <w:rFonts w:cs="Arial"/>
                <w:color w:val="0D0D0D" w:themeColor="text1" w:themeTint="F2"/>
                <w:lang w:val="en-GB"/>
              </w:rPr>
              <w:t>ly in the last quarter of the year. The SB balance (forming the k</w:t>
            </w:r>
            <w:r>
              <w:rPr>
                <w:rFonts w:cs="Arial"/>
                <w:color w:val="0D0D0D" w:themeColor="text1" w:themeTint="F2"/>
                <w:lang w:val="en-GB"/>
              </w:rPr>
              <w:t>ey part of a deficit or</w:t>
            </w:r>
            <w:r w:rsidRPr="001E6EB9">
              <w:rPr>
                <w:rFonts w:cs="Arial"/>
                <w:color w:val="0D0D0D" w:themeColor="text1" w:themeTint="F2"/>
                <w:lang w:val="en-GB"/>
              </w:rPr>
              <w:t xml:space="preserve"> surplus of the government institution sector) amounted to </w:t>
            </w:r>
            <w:r>
              <w:rPr>
                <w:rFonts w:cs="Arial"/>
                <w:color w:val="0D0D0D" w:themeColor="text1" w:themeTint="F2"/>
                <w:lang w:val="en-GB"/>
              </w:rPr>
              <w:t>-1.4% in relation to no</w:t>
            </w:r>
            <w:r w:rsidRPr="001E6EB9">
              <w:rPr>
                <w:rFonts w:cs="Arial"/>
                <w:color w:val="0D0D0D" w:themeColor="text1" w:themeTint="F2"/>
                <w:lang w:val="en-GB"/>
              </w:rPr>
              <w:t>minal GDP in 2015 (</w:t>
            </w:r>
            <w:r>
              <w:rPr>
                <w:rFonts w:cs="Arial"/>
                <w:color w:val="0D0D0D" w:themeColor="text1" w:themeTint="F2"/>
                <w:lang w:val="en-GB"/>
              </w:rPr>
              <w:t>-1.8%</w:t>
            </w:r>
            <w:r w:rsidRPr="001E6EB9">
              <w:rPr>
                <w:rFonts w:cs="Arial"/>
                <w:color w:val="0D0D0D" w:themeColor="text1" w:themeTint="F2"/>
                <w:lang w:val="en-GB"/>
              </w:rPr>
              <w:t xml:space="preserve"> a year ago) and it belonged (togeth</w:t>
            </w:r>
            <w:r>
              <w:rPr>
                <w:rFonts w:cs="Arial"/>
                <w:color w:val="0D0D0D" w:themeColor="text1" w:themeTint="F2"/>
                <w:lang w:val="en-GB"/>
              </w:rPr>
              <w:t>e</w:t>
            </w:r>
            <w:r w:rsidRPr="001E6EB9">
              <w:rPr>
                <w:rFonts w:cs="Arial"/>
                <w:color w:val="0D0D0D" w:themeColor="text1" w:themeTint="F2"/>
                <w:lang w:val="en-GB"/>
              </w:rPr>
              <w:t>r with year 2008) to the lowest in the new millennium.</w:t>
            </w:r>
          </w:p>
          <w:p w:rsidR="00906D0C" w:rsidRPr="00176709" w:rsidRDefault="00906D0C" w:rsidP="007124A4">
            <w:pPr>
              <w:pStyle w:val="Textpoznpodarou"/>
              <w:jc w:val="both"/>
              <w:rPr>
                <w:rFonts w:cs="Arial"/>
                <w:color w:val="0D0D0D" w:themeColor="text1" w:themeTint="F2"/>
                <w:spacing w:val="-2"/>
                <w:lang w:val="en-GB"/>
              </w:rPr>
            </w:pPr>
          </w:p>
        </w:tc>
      </w:tr>
      <w:tr w:rsidR="00906D0C" w:rsidTr="00906D0C">
        <w:trPr>
          <w:gridAfter w:val="1"/>
          <w:wAfter w:w="63" w:type="pct"/>
        </w:trPr>
        <w:tc>
          <w:tcPr>
            <w:tcW w:w="1034" w:type="pct"/>
            <w:gridSpan w:val="2"/>
          </w:tcPr>
          <w:p w:rsidR="00906D0C" w:rsidRPr="00F15398" w:rsidRDefault="00906D0C" w:rsidP="007124A4">
            <w:pPr>
              <w:spacing w:line="240" w:lineRule="auto"/>
              <w:rPr>
                <w:color w:val="0D0D0D" w:themeColor="text1" w:themeTint="F2"/>
                <w:spacing w:val="-2"/>
                <w:szCs w:val="20"/>
                <w:lang w:val="en-GB"/>
              </w:rPr>
            </w:pPr>
            <w:r w:rsidRPr="00F15398">
              <w:rPr>
                <w:rFonts w:cs="Arial"/>
                <w:bCs/>
                <w:iCs/>
                <w:color w:val="0D0D0D" w:themeColor="text1" w:themeTint="F2"/>
                <w:spacing w:val="-4"/>
                <w:sz w:val="16"/>
                <w:szCs w:val="16"/>
                <w:lang w:val="en-GB"/>
              </w:rPr>
              <w:t>Even though the year-on-year dynamics of the state-wide VAT collection (+2.</w:t>
            </w:r>
            <w:r>
              <w:rPr>
                <w:rFonts w:cs="Arial"/>
                <w:bCs/>
                <w:iCs/>
                <w:color w:val="0D0D0D" w:themeColor="text1" w:themeTint="F2"/>
                <w:spacing w:val="-4"/>
                <w:sz w:val="16"/>
                <w:szCs w:val="16"/>
                <w:lang w:val="en-GB"/>
              </w:rPr>
              <w:t>8</w:t>
            </w:r>
            <w:r w:rsidRPr="00F15398">
              <w:rPr>
                <w:rFonts w:cs="Arial"/>
                <w:bCs/>
                <w:iCs/>
                <w:color w:val="0D0D0D" w:themeColor="text1" w:themeTint="F2"/>
                <w:spacing w:val="-4"/>
                <w:sz w:val="16"/>
                <w:szCs w:val="16"/>
                <w:lang w:val="en-GB"/>
              </w:rPr>
              <w:t>%) was also due to the effect of the legislative measures the lowest in the last three years, still it exceeded the budget anticipations</w:t>
            </w:r>
          </w:p>
          <w:p w:rsidR="00906D0C" w:rsidRPr="00750404" w:rsidRDefault="00906D0C" w:rsidP="007124A4">
            <w:pPr>
              <w:spacing w:line="240" w:lineRule="auto"/>
              <w:rPr>
                <w:color w:val="0D0D0D" w:themeColor="text1" w:themeTint="F2"/>
                <w:spacing w:val="-2"/>
                <w:szCs w:val="20"/>
              </w:rPr>
            </w:pPr>
          </w:p>
        </w:tc>
        <w:tc>
          <w:tcPr>
            <w:tcW w:w="139" w:type="pct"/>
          </w:tcPr>
          <w:p w:rsidR="00906D0C" w:rsidRPr="009720D9" w:rsidRDefault="00906D0C" w:rsidP="007124A4">
            <w:pPr>
              <w:pStyle w:val="Textpoznpodarou"/>
              <w:jc w:val="both"/>
              <w:rPr>
                <w:color w:val="0D0D0D" w:themeColor="text1" w:themeTint="F2"/>
              </w:rPr>
            </w:pPr>
          </w:p>
        </w:tc>
        <w:tc>
          <w:tcPr>
            <w:tcW w:w="3763" w:type="pct"/>
            <w:gridSpan w:val="3"/>
          </w:tcPr>
          <w:p w:rsidR="00906D0C" w:rsidRPr="00176709" w:rsidRDefault="00906D0C" w:rsidP="007124A4">
            <w:pPr>
              <w:pStyle w:val="Textpoznpodarou"/>
              <w:jc w:val="both"/>
              <w:rPr>
                <w:rFonts w:cs="Arial"/>
                <w:color w:val="0D0D0D" w:themeColor="text1" w:themeTint="F2"/>
                <w:lang w:val="en-GB"/>
              </w:rPr>
            </w:pPr>
            <w:r w:rsidRPr="00176709">
              <w:rPr>
                <w:lang w:val="en-GB"/>
              </w:rPr>
              <w:t xml:space="preserve">Both transfers from the EU and all tax revenues (higher by nearly 50 CZK </w:t>
            </w:r>
            <w:proofErr w:type="spellStart"/>
            <w:r w:rsidRPr="00176709">
              <w:rPr>
                <w:lang w:val="en-GB"/>
              </w:rPr>
              <w:t>bn</w:t>
            </w:r>
            <w:proofErr w:type="spellEnd"/>
            <w:r w:rsidRPr="00176709">
              <w:rPr>
                <w:lang w:val="en-GB"/>
              </w:rPr>
              <w:t xml:space="preserve">) contributed to the growth of the total SB revenues </w:t>
            </w:r>
            <w:r w:rsidRPr="00176709">
              <w:rPr>
                <w:rFonts w:cs="Arial"/>
                <w:color w:val="0D0D0D" w:themeColor="text1" w:themeTint="F2"/>
                <w:lang w:val="en-GB"/>
              </w:rPr>
              <w:t xml:space="preserve">(by 8.9% year-on-year) </w:t>
            </w:r>
            <w:r w:rsidRPr="00176709">
              <w:rPr>
                <w:lang w:val="en-GB"/>
              </w:rPr>
              <w:t>by an equal amount.</w:t>
            </w:r>
            <w:r w:rsidRPr="00176709">
              <w:rPr>
                <w:rFonts w:cs="Arial"/>
                <w:color w:val="0D0D0D" w:themeColor="text1" w:themeTint="F2"/>
                <w:lang w:val="en-GB"/>
              </w:rPr>
              <w:t xml:space="preserve"> The swift pace of the economy was to a growing extent reflected in the tax revenue collection, including the indirect taxes, whose year-on-year dynamics was blurred by an artificially raised basis at the beginning of the year.</w:t>
            </w:r>
            <w:r w:rsidRPr="00176709">
              <w:rPr>
                <w:rStyle w:val="Znakapoznpodarou"/>
                <w:rFonts w:cs="Arial"/>
                <w:color w:val="0D0D0D" w:themeColor="text1" w:themeTint="F2"/>
                <w:lang w:val="en-GB"/>
              </w:rPr>
              <w:footnoteReference w:id="21"/>
            </w:r>
            <w:r w:rsidRPr="00176709">
              <w:rPr>
                <w:rFonts w:cs="Arial"/>
                <w:color w:val="0D0D0D" w:themeColor="text1" w:themeTint="F2"/>
                <w:lang w:val="en-GB"/>
              </w:rPr>
              <w:t xml:space="preserve"> </w:t>
            </w:r>
            <w:r w:rsidRPr="00176709">
              <w:rPr>
                <w:lang w:val="en-GB"/>
              </w:rPr>
              <w:t>The collection of the weight dominant VAT increased by 2.</w:t>
            </w:r>
            <w:r w:rsidRPr="00176709">
              <w:rPr>
                <w:rFonts w:cs="Arial"/>
                <w:color w:val="0D0D0D" w:themeColor="text1" w:themeTint="F2"/>
                <w:lang w:val="en-GB"/>
              </w:rPr>
              <w:t xml:space="preserve">8% </w:t>
            </w:r>
            <w:r w:rsidRPr="00176709">
              <w:rPr>
                <w:lang w:val="en-GB"/>
              </w:rPr>
              <w:t>for the whole year 2015</w:t>
            </w:r>
            <w:r w:rsidRPr="00176709">
              <w:rPr>
                <w:rFonts w:cs="Arial"/>
                <w:color w:val="0D0D0D" w:themeColor="text1" w:themeTint="F2"/>
                <w:lang w:val="en-GB"/>
              </w:rPr>
              <w:t xml:space="preserve">. </w:t>
            </w:r>
            <w:r w:rsidRPr="00176709">
              <w:rPr>
                <w:lang w:val="en-GB"/>
              </w:rPr>
              <w:t>The effect of the strong final consumption expenditure throughout the economy was partly dampened by the introduction of the second lowered VAT rate, falling prices of fuels and also by the payment of the temporarily excessive VAT deductions.</w:t>
            </w:r>
          </w:p>
          <w:p w:rsidR="00906D0C" w:rsidRPr="00176709" w:rsidRDefault="00906D0C" w:rsidP="007124A4">
            <w:pPr>
              <w:pStyle w:val="Textpoznpodarou"/>
              <w:jc w:val="both"/>
              <w:rPr>
                <w:rFonts w:cs="Arial"/>
                <w:color w:val="0D0D0D" w:themeColor="text1" w:themeTint="F2"/>
                <w:spacing w:val="-2"/>
              </w:rPr>
            </w:pPr>
          </w:p>
        </w:tc>
      </w:tr>
      <w:tr w:rsidR="00906D0C" w:rsidTr="00906D0C">
        <w:trPr>
          <w:gridAfter w:val="1"/>
          <w:wAfter w:w="63" w:type="pct"/>
        </w:trPr>
        <w:tc>
          <w:tcPr>
            <w:tcW w:w="1034" w:type="pct"/>
            <w:gridSpan w:val="2"/>
          </w:tcPr>
          <w:p w:rsidR="00906D0C" w:rsidRPr="00E5473C" w:rsidRDefault="00906D0C" w:rsidP="007124A4">
            <w:pPr>
              <w:spacing w:line="240" w:lineRule="auto"/>
              <w:rPr>
                <w:rFonts w:cs="Arial"/>
                <w:bCs/>
                <w:iCs/>
                <w:color w:val="0D0D0D" w:themeColor="text1" w:themeTint="F2"/>
                <w:sz w:val="16"/>
                <w:szCs w:val="16"/>
                <w:lang w:val="en-GB"/>
              </w:rPr>
            </w:pPr>
            <w:r>
              <w:rPr>
                <w:rFonts w:cs="Arial"/>
                <w:bCs/>
                <w:iCs/>
                <w:color w:val="0D0D0D" w:themeColor="text1" w:themeTint="F2"/>
                <w:spacing w:val="-4"/>
                <w:sz w:val="16"/>
                <w:szCs w:val="16"/>
                <w:lang w:val="en-GB"/>
              </w:rPr>
              <w:t>T</w:t>
            </w:r>
            <w:r w:rsidRPr="00F15398">
              <w:rPr>
                <w:rFonts w:cs="Arial"/>
                <w:bCs/>
                <w:iCs/>
                <w:color w:val="0D0D0D" w:themeColor="text1" w:themeTint="F2"/>
                <w:spacing w:val="-4"/>
                <w:sz w:val="16"/>
                <w:szCs w:val="16"/>
                <w:lang w:val="en-GB"/>
              </w:rPr>
              <w:t>he year-on-year dynamics</w:t>
            </w:r>
            <w:r>
              <w:rPr>
                <w:rFonts w:cs="Arial"/>
                <w:bCs/>
                <w:iCs/>
                <w:color w:val="0D0D0D" w:themeColor="text1" w:themeTint="F2"/>
                <w:spacing w:val="-4"/>
                <w:sz w:val="16"/>
                <w:szCs w:val="16"/>
                <w:lang w:val="en-GB"/>
              </w:rPr>
              <w:t xml:space="preserve"> of</w:t>
            </w:r>
            <w:r w:rsidRPr="00E5473C">
              <w:rPr>
                <w:rFonts w:cs="Arial"/>
                <w:bCs/>
                <w:iCs/>
                <w:color w:val="0D0D0D" w:themeColor="text1" w:themeTint="F2"/>
                <w:sz w:val="16"/>
                <w:szCs w:val="16"/>
                <w:lang w:val="en-GB"/>
              </w:rPr>
              <w:t xml:space="preserve"> consumption tax collection the fastest in the last eight years, especially thanks to the growing rates of taxes on tobacco products</w:t>
            </w:r>
          </w:p>
          <w:p w:rsidR="00906D0C" w:rsidRPr="009720D9" w:rsidRDefault="00906D0C" w:rsidP="007124A4">
            <w:pPr>
              <w:spacing w:line="240" w:lineRule="auto"/>
              <w:rPr>
                <w:rFonts w:cs="Arial"/>
                <w:bCs/>
                <w:iCs/>
                <w:color w:val="0D0D0D" w:themeColor="text1" w:themeTint="F2"/>
                <w:szCs w:val="20"/>
              </w:rPr>
            </w:pPr>
          </w:p>
        </w:tc>
        <w:tc>
          <w:tcPr>
            <w:tcW w:w="139" w:type="pct"/>
          </w:tcPr>
          <w:p w:rsidR="00906D0C" w:rsidRPr="007B4FE1" w:rsidRDefault="00906D0C" w:rsidP="007124A4">
            <w:pPr>
              <w:pStyle w:val="Textpoznpodarou"/>
              <w:jc w:val="both"/>
              <w:rPr>
                <w:lang w:val="en-GB"/>
              </w:rPr>
            </w:pPr>
          </w:p>
        </w:tc>
        <w:tc>
          <w:tcPr>
            <w:tcW w:w="3763" w:type="pct"/>
            <w:gridSpan w:val="3"/>
          </w:tcPr>
          <w:p w:rsidR="00906D0C" w:rsidRPr="00176709" w:rsidRDefault="00906D0C" w:rsidP="00176709">
            <w:pPr>
              <w:pStyle w:val="Textpoznpodarou"/>
              <w:jc w:val="both"/>
              <w:rPr>
                <w:spacing w:val="-2"/>
                <w:lang w:val="en-GB"/>
              </w:rPr>
            </w:pPr>
            <w:r w:rsidRPr="00532E6C">
              <w:rPr>
                <w:spacing w:val="-2"/>
                <w:lang w:val="en-GB"/>
              </w:rPr>
              <w:t>The state-wide collection of all consumption taxes grew the fastest (+6.5%) after year 2007, thanks to the tax on the tobacco products, whose collection increased by one seventh higher year-on-year and (according to the cash fulfilment) returned to a continual course for the first time after year 2011. The collection of the dominant (by weight) tax on mineral oils strengthened by 3.3% in 2015, mainly the consumption of diesel oil expanded. Low prices of automotive fuel stimulated the demand (incl. the transit transport)</w:t>
            </w:r>
            <w:proofErr w:type="gramStart"/>
            <w:r w:rsidRPr="00532E6C">
              <w:rPr>
                <w:spacing w:val="-2"/>
                <w:lang w:val="en-GB"/>
              </w:rPr>
              <w:t>,</w:t>
            </w:r>
            <w:proofErr w:type="gramEnd"/>
            <w:r w:rsidRPr="00532E6C">
              <w:rPr>
                <w:spacing w:val="-2"/>
                <w:lang w:val="en-GB"/>
              </w:rPr>
              <w:t xml:space="preserve"> the strengthening economy was also accompanied by the growth of private as well as freight transportation. On the contrary the re-introduction of tax reliefs (so called green fuel) had a slight negative effect.</w:t>
            </w:r>
          </w:p>
        </w:tc>
      </w:tr>
      <w:tr w:rsidR="00906D0C" w:rsidTr="00906D0C">
        <w:trPr>
          <w:gridAfter w:val="1"/>
          <w:wAfter w:w="63" w:type="pct"/>
        </w:trPr>
        <w:tc>
          <w:tcPr>
            <w:tcW w:w="1034" w:type="pct"/>
            <w:gridSpan w:val="2"/>
          </w:tcPr>
          <w:p w:rsidR="00906D0C" w:rsidRPr="0026715A" w:rsidRDefault="00906D0C" w:rsidP="007124A4">
            <w:pPr>
              <w:spacing w:line="240" w:lineRule="auto"/>
              <w:rPr>
                <w:rFonts w:cs="Arial"/>
                <w:bCs/>
                <w:iCs/>
                <w:color w:val="0D0D0D" w:themeColor="text1" w:themeTint="F2"/>
                <w:spacing w:val="-4"/>
                <w:sz w:val="16"/>
                <w:szCs w:val="16"/>
                <w:lang w:val="en-GB"/>
              </w:rPr>
            </w:pPr>
            <w:r w:rsidRPr="0026715A">
              <w:rPr>
                <w:rFonts w:cs="Arial"/>
                <w:bCs/>
                <w:iCs/>
                <w:color w:val="0D0D0D" w:themeColor="text1" w:themeTint="F2"/>
                <w:sz w:val="16"/>
                <w:szCs w:val="16"/>
                <w:lang w:val="en-GB"/>
              </w:rPr>
              <w:lastRenderedPageBreak/>
              <w:t xml:space="preserve">State-wide collection of the corporate taxes grew the most since the business cycle peak in 2008 </w:t>
            </w:r>
          </w:p>
          <w:p w:rsidR="00906D0C" w:rsidRPr="0026715A" w:rsidRDefault="00906D0C" w:rsidP="007124A4">
            <w:pPr>
              <w:spacing w:line="240" w:lineRule="auto"/>
              <w:rPr>
                <w:rFonts w:cs="Arial"/>
                <w:bCs/>
                <w:iCs/>
                <w:color w:val="0D0D0D" w:themeColor="text1" w:themeTint="F2"/>
                <w:spacing w:val="-4"/>
                <w:sz w:val="16"/>
                <w:szCs w:val="16"/>
                <w:lang w:val="en-GB"/>
              </w:rPr>
            </w:pPr>
          </w:p>
          <w:p w:rsidR="00906D0C" w:rsidRPr="0026715A" w:rsidRDefault="00906D0C" w:rsidP="007124A4">
            <w:pPr>
              <w:spacing w:line="240" w:lineRule="auto"/>
              <w:rPr>
                <w:rFonts w:cs="Arial"/>
                <w:bCs/>
                <w:iCs/>
                <w:color w:val="0D0D0D" w:themeColor="text1" w:themeTint="F2"/>
                <w:spacing w:val="-4"/>
                <w:sz w:val="16"/>
                <w:szCs w:val="16"/>
                <w:lang w:val="en-GB"/>
              </w:rPr>
            </w:pPr>
          </w:p>
          <w:p w:rsidR="00906D0C" w:rsidRPr="0026715A" w:rsidRDefault="00906D0C" w:rsidP="007124A4">
            <w:pPr>
              <w:spacing w:line="240" w:lineRule="auto"/>
              <w:rPr>
                <w:rFonts w:cs="Arial"/>
                <w:bCs/>
                <w:iCs/>
                <w:color w:val="0D0D0D" w:themeColor="text1" w:themeTint="F2"/>
                <w:spacing w:val="-4"/>
                <w:sz w:val="16"/>
                <w:szCs w:val="16"/>
                <w:lang w:val="en-GB"/>
              </w:rPr>
            </w:pPr>
          </w:p>
          <w:p w:rsidR="00906D0C" w:rsidRPr="0026715A" w:rsidRDefault="00906D0C" w:rsidP="007124A4">
            <w:pPr>
              <w:spacing w:line="240" w:lineRule="auto"/>
              <w:rPr>
                <w:rFonts w:cs="Arial"/>
                <w:bCs/>
                <w:iCs/>
                <w:color w:val="0D0D0D" w:themeColor="text1" w:themeTint="F2"/>
                <w:sz w:val="16"/>
                <w:szCs w:val="16"/>
                <w:lang w:val="en-GB"/>
              </w:rPr>
            </w:pPr>
            <w:r w:rsidRPr="0026715A">
              <w:rPr>
                <w:rFonts w:cs="Arial"/>
                <w:bCs/>
                <w:iCs/>
                <w:color w:val="0D0D0D" w:themeColor="text1" w:themeTint="F2"/>
                <w:sz w:val="16"/>
                <w:szCs w:val="16"/>
                <w:lang w:val="en-GB"/>
              </w:rPr>
              <w:t>Larger collection of taxes from employees was preven</w:t>
            </w:r>
            <w:r>
              <w:rPr>
                <w:rFonts w:cs="Arial"/>
                <w:bCs/>
                <w:iCs/>
                <w:color w:val="0D0D0D" w:themeColor="text1" w:themeTint="F2"/>
                <w:sz w:val="16"/>
                <w:szCs w:val="16"/>
                <w:lang w:val="en-GB"/>
              </w:rPr>
              <w:t>ted by the widening of tax relief</w:t>
            </w:r>
            <w:r w:rsidRPr="0026715A">
              <w:rPr>
                <w:rFonts w:cs="Arial"/>
                <w:bCs/>
                <w:iCs/>
                <w:color w:val="0D0D0D" w:themeColor="text1" w:themeTint="F2"/>
                <w:sz w:val="16"/>
                <w:szCs w:val="16"/>
                <w:lang w:val="en-GB"/>
              </w:rPr>
              <w:t>s and partially also the modest wage growth especially in the first half of the year</w:t>
            </w:r>
          </w:p>
          <w:p w:rsidR="00906D0C" w:rsidRPr="0026715A" w:rsidRDefault="00906D0C" w:rsidP="007124A4">
            <w:pPr>
              <w:spacing w:line="240" w:lineRule="auto"/>
              <w:rPr>
                <w:rFonts w:cs="Arial"/>
                <w:bCs/>
                <w:iCs/>
                <w:color w:val="0D0D0D" w:themeColor="text1" w:themeTint="F2"/>
                <w:spacing w:val="-4"/>
                <w:sz w:val="16"/>
                <w:szCs w:val="16"/>
                <w:lang w:val="en-GB"/>
              </w:rPr>
            </w:pPr>
          </w:p>
          <w:p w:rsidR="00906D0C" w:rsidRPr="0026715A" w:rsidRDefault="00906D0C" w:rsidP="007124A4">
            <w:pPr>
              <w:spacing w:line="240" w:lineRule="auto"/>
              <w:rPr>
                <w:rFonts w:cs="Arial"/>
                <w:bCs/>
                <w:iCs/>
                <w:color w:val="0D0D0D" w:themeColor="text1" w:themeTint="F2"/>
                <w:szCs w:val="20"/>
                <w:lang w:val="en-GB"/>
              </w:rPr>
            </w:pPr>
          </w:p>
        </w:tc>
        <w:tc>
          <w:tcPr>
            <w:tcW w:w="139" w:type="pct"/>
          </w:tcPr>
          <w:p w:rsidR="00906D0C" w:rsidRPr="0026715A" w:rsidRDefault="00906D0C" w:rsidP="007124A4">
            <w:pPr>
              <w:pStyle w:val="Textpoznpodarou"/>
              <w:jc w:val="both"/>
              <w:rPr>
                <w:color w:val="0D0D0D" w:themeColor="text1" w:themeTint="F2"/>
                <w:lang w:val="en-GB"/>
              </w:rPr>
            </w:pPr>
          </w:p>
        </w:tc>
        <w:tc>
          <w:tcPr>
            <w:tcW w:w="3763" w:type="pct"/>
            <w:gridSpan w:val="3"/>
          </w:tcPr>
          <w:p w:rsidR="00906D0C" w:rsidRPr="00532E6C" w:rsidRDefault="00906D0C" w:rsidP="007124A4">
            <w:pPr>
              <w:pStyle w:val="Textpoznpodarou"/>
              <w:jc w:val="both"/>
              <w:rPr>
                <w:spacing w:val="-2"/>
                <w:lang w:val="en-GB"/>
              </w:rPr>
            </w:pPr>
            <w:r w:rsidRPr="00176709">
              <w:rPr>
                <w:lang w:val="en-GB"/>
              </w:rPr>
              <w:t xml:space="preserve">Rising profits of the businesses were gradually transformed into increasing growth rates of corporate tax collection (+9.7% in 2014, +11.4% a year later). On the contrary, the collection of income taxes of natural persons remained (similarly </w:t>
            </w:r>
            <w:proofErr w:type="spellStart"/>
            <w:r w:rsidRPr="00176709">
              <w:rPr>
                <w:lang w:val="en-GB"/>
              </w:rPr>
              <w:t>to</w:t>
            </w:r>
            <w:proofErr w:type="spellEnd"/>
            <w:r w:rsidRPr="00176709">
              <w:rPr>
                <w:lang w:val="en-GB"/>
              </w:rPr>
              <w:t xml:space="preserve"> years 2013 and 2014) below the level of budget anticipations, when it grew by 4% (similar rate as in 2014). The legislative measures (increase of the tax relief on second and further child, “kindergarten fee”, re-introduction the basic tax relief for working pensioners) partially subdued the positive impact of higher employment as well as gradual wage growth acceleration. Even though the state-wide collection of corporate taxes grew the fastest in last seven years in 2015 (+11,4 %), it still lagged by nearly one fifth against its pre-crisis peak (year 2008). Apart from the impacts of the recession on the tax collection (the highest in 2009, but also in years 2011 and 2013), the lowering of the tax rates also played a role. The collection of taxes from employees was already by 7.7% higher compared to its pre-crisis peak (year 2007</w:t>
            </w:r>
            <w:r w:rsidRPr="00532E6C">
              <w:rPr>
                <w:spacing w:val="-2"/>
                <w:lang w:val="en-GB"/>
              </w:rPr>
              <w:t xml:space="preserve">). </w:t>
            </w:r>
          </w:p>
          <w:p w:rsidR="00906D0C" w:rsidRPr="00176709" w:rsidRDefault="00906D0C" w:rsidP="007124A4">
            <w:pPr>
              <w:pStyle w:val="Textpoznpodarou"/>
              <w:jc w:val="both"/>
              <w:rPr>
                <w:rFonts w:cs="Arial"/>
                <w:color w:val="0D0D0D" w:themeColor="text1" w:themeTint="F2"/>
                <w:spacing w:val="-2"/>
                <w:lang w:val="en-GB"/>
              </w:rPr>
            </w:pPr>
          </w:p>
        </w:tc>
      </w:tr>
      <w:tr w:rsidR="00906D0C" w:rsidTr="00906D0C">
        <w:trPr>
          <w:gridAfter w:val="1"/>
          <w:wAfter w:w="63" w:type="pct"/>
        </w:trPr>
        <w:tc>
          <w:tcPr>
            <w:tcW w:w="1034" w:type="pct"/>
            <w:gridSpan w:val="2"/>
          </w:tcPr>
          <w:p w:rsidR="00906D0C" w:rsidRPr="006A6FB8" w:rsidRDefault="00906D0C" w:rsidP="007124A4">
            <w:pPr>
              <w:spacing w:line="240" w:lineRule="auto"/>
              <w:rPr>
                <w:rFonts w:cs="Arial"/>
                <w:bCs/>
                <w:iCs/>
                <w:color w:val="0D0D0D" w:themeColor="text1" w:themeTint="F2"/>
                <w:sz w:val="16"/>
                <w:szCs w:val="16"/>
                <w:lang w:val="en-GB"/>
              </w:rPr>
            </w:pPr>
            <w:r w:rsidRPr="006A6FB8">
              <w:rPr>
                <w:rFonts w:cs="Arial"/>
                <w:bCs/>
                <w:iCs/>
                <w:color w:val="0D0D0D" w:themeColor="text1" w:themeTint="F2"/>
                <w:sz w:val="16"/>
                <w:szCs w:val="16"/>
                <w:lang w:val="en-GB"/>
              </w:rPr>
              <w:t xml:space="preserve">More than one fifth of the CR revenues from the EU budget eventuated in the </w:t>
            </w:r>
            <w:r>
              <w:rPr>
                <w:rFonts w:cs="Arial"/>
                <w:bCs/>
                <w:iCs/>
                <w:color w:val="0D0D0D" w:themeColor="text1" w:themeTint="F2"/>
                <w:sz w:val="16"/>
                <w:szCs w:val="16"/>
                <w:lang w:val="en-GB"/>
              </w:rPr>
              <w:t xml:space="preserve">last year during the period </w:t>
            </w:r>
            <w:r w:rsidRPr="00D208E9">
              <w:rPr>
                <w:rFonts w:cs="Arial"/>
                <w:bCs/>
                <w:iCs/>
                <w:color w:val="0D0D0D" w:themeColor="text1" w:themeTint="F2"/>
                <w:sz w:val="16"/>
                <w:szCs w:val="16"/>
                <w:lang w:val="en-GB"/>
              </w:rPr>
              <w:t>2007</w:t>
            </w:r>
            <w:r w:rsidRPr="00D208E9">
              <w:rPr>
                <w:sz w:val="16"/>
                <w:szCs w:val="16"/>
                <w:lang w:val="en-GB"/>
              </w:rPr>
              <w:t>–</w:t>
            </w:r>
            <w:r w:rsidRPr="00D208E9">
              <w:rPr>
                <w:rFonts w:cs="Arial"/>
                <w:bCs/>
                <w:iCs/>
                <w:color w:val="0D0D0D" w:themeColor="text1" w:themeTint="F2"/>
                <w:sz w:val="16"/>
                <w:szCs w:val="16"/>
                <w:lang w:val="en-GB"/>
              </w:rPr>
              <w:t>2015</w:t>
            </w:r>
            <w:r w:rsidRPr="006A6FB8">
              <w:rPr>
                <w:rFonts w:cs="Arial"/>
                <w:bCs/>
                <w:iCs/>
                <w:color w:val="0D0D0D" w:themeColor="text1" w:themeTint="F2"/>
                <w:sz w:val="16"/>
                <w:szCs w:val="16"/>
                <w:lang w:val="en-GB"/>
              </w:rPr>
              <w:t xml:space="preserve"> </w:t>
            </w:r>
          </w:p>
          <w:p w:rsidR="00906D0C" w:rsidRPr="000C0310" w:rsidRDefault="00906D0C" w:rsidP="007124A4">
            <w:pPr>
              <w:spacing w:line="240" w:lineRule="auto"/>
              <w:rPr>
                <w:rFonts w:cs="Arial"/>
                <w:bCs/>
                <w:iCs/>
                <w:color w:val="0D0D0D" w:themeColor="text1" w:themeTint="F2"/>
                <w:sz w:val="6"/>
                <w:szCs w:val="6"/>
              </w:rPr>
            </w:pPr>
          </w:p>
        </w:tc>
        <w:tc>
          <w:tcPr>
            <w:tcW w:w="139" w:type="pct"/>
          </w:tcPr>
          <w:p w:rsidR="00906D0C" w:rsidRPr="009720D9" w:rsidRDefault="00906D0C" w:rsidP="007124A4">
            <w:pPr>
              <w:pStyle w:val="Textpoznpodarou"/>
              <w:jc w:val="both"/>
              <w:rPr>
                <w:color w:val="0D0D0D" w:themeColor="text1" w:themeTint="F2"/>
              </w:rPr>
            </w:pPr>
          </w:p>
        </w:tc>
        <w:tc>
          <w:tcPr>
            <w:tcW w:w="3763" w:type="pct"/>
            <w:gridSpan w:val="3"/>
          </w:tcPr>
          <w:p w:rsidR="00906D0C" w:rsidRPr="00532E6C" w:rsidRDefault="00906D0C" w:rsidP="007124A4">
            <w:pPr>
              <w:pStyle w:val="Textpoznpodarou"/>
              <w:jc w:val="both"/>
              <w:rPr>
                <w:spacing w:val="-4"/>
                <w:lang w:val="en-GB"/>
              </w:rPr>
            </w:pPr>
            <w:r w:rsidRPr="00532E6C">
              <w:rPr>
                <w:spacing w:val="-4"/>
                <w:lang w:val="en-GB"/>
              </w:rPr>
              <w:t xml:space="preserve">The expected intensive finalisation of drawing of resources from the EU budget fundamentally influenced both the revenue as well as outlay side of the budget. The CR gained in total nearly 194 CZK </w:t>
            </w:r>
            <w:proofErr w:type="spellStart"/>
            <w:r w:rsidRPr="00532E6C">
              <w:rPr>
                <w:spacing w:val="-4"/>
                <w:lang w:val="en-GB"/>
              </w:rPr>
              <w:t>bn</w:t>
            </w:r>
            <w:proofErr w:type="spellEnd"/>
            <w:r w:rsidRPr="00532E6C">
              <w:rPr>
                <w:spacing w:val="-4"/>
                <w:lang w:val="en-GB"/>
              </w:rPr>
              <w:t xml:space="preserve"> in 2015, which represented more than one fifth of the received funds for the period 2007–2015. Nearly 57% of revenues were associated with the structural funds in 2015, which also participated the most on the fastened drawing completion (they were by 53 CZK </w:t>
            </w:r>
            <w:proofErr w:type="spellStart"/>
            <w:r w:rsidRPr="00532E6C">
              <w:rPr>
                <w:spacing w:val="-4"/>
                <w:lang w:val="en-GB"/>
              </w:rPr>
              <w:t>bn</w:t>
            </w:r>
            <w:proofErr w:type="spellEnd"/>
            <w:r w:rsidRPr="00532E6C">
              <w:rPr>
                <w:spacing w:val="-4"/>
                <w:lang w:val="en-GB"/>
              </w:rPr>
              <w:t xml:space="preserve"> higher </w:t>
            </w:r>
            <w:proofErr w:type="gramStart"/>
            <w:r w:rsidRPr="00532E6C">
              <w:rPr>
                <w:spacing w:val="-4"/>
                <w:lang w:val="en-GB"/>
              </w:rPr>
              <w:t>year-on-year</w:t>
            </w:r>
            <w:proofErr w:type="gramEnd"/>
            <w:r w:rsidRPr="00532E6C">
              <w:rPr>
                <w:spacing w:val="-4"/>
                <w:lang w:val="en-GB"/>
              </w:rPr>
              <w:t xml:space="preserve">, by 23 CZK </w:t>
            </w:r>
            <w:proofErr w:type="spellStart"/>
            <w:r w:rsidRPr="00532E6C">
              <w:rPr>
                <w:spacing w:val="-4"/>
                <w:lang w:val="en-GB"/>
              </w:rPr>
              <w:t>bn</w:t>
            </w:r>
            <w:proofErr w:type="spellEnd"/>
            <w:r w:rsidRPr="00532E6C">
              <w:rPr>
                <w:spacing w:val="-4"/>
                <w:lang w:val="en-GB"/>
              </w:rPr>
              <w:t xml:space="preserve"> for the cohesion funds). After accounting for the payments into the EU budget, the net position of the CR arrived at nearly 152 CZK </w:t>
            </w:r>
            <w:proofErr w:type="spellStart"/>
            <w:r w:rsidRPr="00532E6C">
              <w:rPr>
                <w:spacing w:val="-4"/>
                <w:lang w:val="en-GB"/>
              </w:rPr>
              <w:t>bn</w:t>
            </w:r>
            <w:proofErr w:type="spellEnd"/>
            <w:r w:rsidRPr="00532E6C">
              <w:rPr>
                <w:spacing w:val="-4"/>
                <w:lang w:val="en-GB"/>
              </w:rPr>
              <w:t xml:space="preserve">, twice as much as in 2014. </w:t>
            </w:r>
          </w:p>
          <w:p w:rsidR="00906D0C" w:rsidRPr="00176709" w:rsidRDefault="00906D0C" w:rsidP="007124A4">
            <w:pPr>
              <w:pStyle w:val="Textpoznpodarou"/>
              <w:jc w:val="both"/>
              <w:rPr>
                <w:spacing w:val="-2"/>
              </w:rPr>
            </w:pPr>
          </w:p>
        </w:tc>
      </w:tr>
      <w:tr w:rsidR="00906D0C" w:rsidTr="00906D0C">
        <w:trPr>
          <w:gridAfter w:val="1"/>
          <w:wAfter w:w="63" w:type="pct"/>
        </w:trPr>
        <w:tc>
          <w:tcPr>
            <w:tcW w:w="1034" w:type="pct"/>
            <w:gridSpan w:val="2"/>
          </w:tcPr>
          <w:p w:rsidR="00906D0C" w:rsidRPr="00C80BF1" w:rsidRDefault="00906D0C" w:rsidP="007124A4">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t>Dynamics of the SB expenditure growth increased its pace to the highest level after 2006</w:t>
            </w:r>
          </w:p>
          <w:p w:rsidR="00906D0C" w:rsidRPr="00C80BF1" w:rsidRDefault="00906D0C" w:rsidP="007124A4">
            <w:pPr>
              <w:spacing w:line="240" w:lineRule="auto"/>
              <w:rPr>
                <w:rFonts w:cs="Arial"/>
                <w:bCs/>
                <w:iCs/>
                <w:color w:val="0D0D0D" w:themeColor="text1" w:themeTint="F2"/>
                <w:spacing w:val="-2"/>
                <w:sz w:val="16"/>
                <w:szCs w:val="16"/>
                <w:lang w:val="en-GB"/>
              </w:rPr>
            </w:pPr>
          </w:p>
          <w:p w:rsidR="00906D0C" w:rsidRPr="00C80BF1" w:rsidRDefault="00906D0C" w:rsidP="007124A4">
            <w:pPr>
              <w:spacing w:line="240" w:lineRule="auto"/>
              <w:rPr>
                <w:rFonts w:cs="Arial"/>
                <w:bCs/>
                <w:iCs/>
                <w:color w:val="0D0D0D" w:themeColor="text1" w:themeTint="F2"/>
                <w:spacing w:val="-2"/>
                <w:sz w:val="16"/>
                <w:szCs w:val="16"/>
                <w:lang w:val="en-GB"/>
              </w:rPr>
            </w:pPr>
          </w:p>
          <w:p w:rsidR="00906D0C" w:rsidRPr="00C80BF1" w:rsidRDefault="00906D0C" w:rsidP="007124A4">
            <w:pPr>
              <w:spacing w:line="240" w:lineRule="auto"/>
              <w:rPr>
                <w:rFonts w:cs="Arial"/>
                <w:bCs/>
                <w:iCs/>
                <w:color w:val="0D0D0D" w:themeColor="text1" w:themeTint="F2"/>
                <w:spacing w:val="-2"/>
                <w:sz w:val="16"/>
                <w:szCs w:val="16"/>
                <w:lang w:val="en-GB"/>
              </w:rPr>
            </w:pPr>
          </w:p>
          <w:p w:rsidR="00906D0C" w:rsidRPr="008112E9" w:rsidRDefault="00906D0C" w:rsidP="007124A4">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t>Nearly one seventh of the state budget outlays directed to investment</w:t>
            </w:r>
            <w:r>
              <w:rPr>
                <w:rFonts w:cs="Arial"/>
                <w:bCs/>
                <w:iCs/>
                <w:color w:val="0D0D0D" w:themeColor="text1" w:themeTint="F2"/>
                <w:spacing w:val="-2"/>
                <w:sz w:val="16"/>
                <w:szCs w:val="16"/>
                <w:lang w:val="en-GB"/>
              </w:rPr>
              <w:t xml:space="preserve"> </w:t>
            </w:r>
            <w:r w:rsidRPr="00C80BF1">
              <w:rPr>
                <w:rFonts w:cs="Arial"/>
                <w:bCs/>
                <w:iCs/>
                <w:color w:val="0D0D0D" w:themeColor="text1" w:themeTint="F2"/>
                <w:spacing w:val="-2"/>
                <w:sz w:val="16"/>
                <w:szCs w:val="16"/>
                <w:lang w:val="en-GB"/>
              </w:rPr>
              <w:t>in 2015</w:t>
            </w:r>
          </w:p>
        </w:tc>
        <w:tc>
          <w:tcPr>
            <w:tcW w:w="139" w:type="pct"/>
          </w:tcPr>
          <w:p w:rsidR="00906D0C" w:rsidRPr="009720D9" w:rsidRDefault="00906D0C" w:rsidP="007124A4">
            <w:pPr>
              <w:pStyle w:val="Textpoznpodarou"/>
              <w:jc w:val="both"/>
              <w:rPr>
                <w:color w:val="0D0D0D" w:themeColor="text1" w:themeTint="F2"/>
              </w:rPr>
            </w:pPr>
          </w:p>
        </w:tc>
        <w:tc>
          <w:tcPr>
            <w:tcW w:w="3763" w:type="pct"/>
            <w:gridSpan w:val="3"/>
          </w:tcPr>
          <w:p w:rsidR="00906D0C" w:rsidRPr="00532E6C" w:rsidRDefault="00906D0C" w:rsidP="007124A4">
            <w:pPr>
              <w:pStyle w:val="Textpoznpodarou"/>
              <w:jc w:val="both"/>
              <w:rPr>
                <w:rFonts w:cs="Arial"/>
                <w:spacing w:val="-2"/>
                <w:lang w:val="en-GB"/>
              </w:rPr>
            </w:pPr>
            <w:r w:rsidRPr="00176709">
              <w:rPr>
                <w:lang w:val="en-GB"/>
              </w:rPr>
              <w:t xml:space="preserve">Total expenditures of the SB accelerated to </w:t>
            </w:r>
            <w:r w:rsidRPr="00176709">
              <w:rPr>
                <w:rFonts w:cs="Arial"/>
                <w:color w:val="0D0D0D" w:themeColor="text1" w:themeTint="F2"/>
                <w:lang w:val="en-GB"/>
              </w:rPr>
              <w:t xml:space="preserve">7.1% </w:t>
            </w:r>
            <w:r w:rsidRPr="00176709">
              <w:rPr>
                <w:lang w:val="en-GB"/>
              </w:rPr>
              <w:t>year-on-</w:t>
            </w:r>
            <w:proofErr w:type="gramStart"/>
            <w:r w:rsidRPr="00176709">
              <w:rPr>
                <w:lang w:val="en-GB"/>
              </w:rPr>
              <w:t>year,</w:t>
            </w:r>
            <w:proofErr w:type="gramEnd"/>
            <w:r w:rsidRPr="00176709">
              <w:rPr>
                <w:lang w:val="en-GB"/>
              </w:rPr>
              <w:t xml:space="preserve"> they grew by nearly double pace compared to year 2014. Especially the investment expenditure caused it, by </w:t>
            </w:r>
            <w:r w:rsidRPr="00176709">
              <w:rPr>
                <w:rFonts w:cs="Arial"/>
                <w:color w:val="0D0D0D" w:themeColor="text1" w:themeTint="F2"/>
                <w:lang w:val="en-GB"/>
              </w:rPr>
              <w:t xml:space="preserve">58% </w:t>
            </w:r>
            <w:r w:rsidRPr="00176709">
              <w:rPr>
                <w:lang w:val="en-GB"/>
              </w:rPr>
              <w:t xml:space="preserve">higher year-on-year.  83% of SB capital outlays were direct to co-financing of common CR and EU programmes. It was especially the Transport Operational Programme </w:t>
            </w:r>
            <w:r w:rsidRPr="00176709">
              <w:rPr>
                <w:rFonts w:cs="Arial"/>
                <w:color w:val="0D0D0D" w:themeColor="text1" w:themeTint="F2"/>
                <w:lang w:val="en-GB"/>
              </w:rPr>
              <w:t>(41.4 </w:t>
            </w:r>
            <w:r w:rsidRPr="00176709">
              <w:rPr>
                <w:lang w:val="en-GB"/>
              </w:rPr>
              <w:t xml:space="preserve">CZK </w:t>
            </w:r>
            <w:proofErr w:type="spellStart"/>
            <w:r w:rsidRPr="00176709">
              <w:rPr>
                <w:lang w:val="en-GB"/>
              </w:rPr>
              <w:t>bn</w:t>
            </w:r>
            <w:proofErr w:type="spellEnd"/>
            <w:r w:rsidRPr="00176709">
              <w:rPr>
                <w:lang w:val="en-GB"/>
              </w:rPr>
              <w:t xml:space="preserve">, by </w:t>
            </w:r>
            <w:r w:rsidRPr="00176709">
              <w:rPr>
                <w:rFonts w:cs="Arial"/>
                <w:color w:val="0D0D0D" w:themeColor="text1" w:themeTint="F2"/>
                <w:lang w:val="en-GB"/>
              </w:rPr>
              <w:t xml:space="preserve">27.9 CZK </w:t>
            </w:r>
            <w:proofErr w:type="spellStart"/>
            <w:r w:rsidRPr="00176709">
              <w:rPr>
                <w:lang w:val="en-GB"/>
              </w:rPr>
              <w:t>bn</w:t>
            </w:r>
            <w:proofErr w:type="spellEnd"/>
            <w:r w:rsidRPr="00176709">
              <w:rPr>
                <w:lang w:val="en-GB"/>
              </w:rPr>
              <w:t xml:space="preserve"> more year-on-year) and further the domains of entrepreneurship, innovations, environment and also the regional operation programmes. Investment constituted a record </w:t>
            </w:r>
            <w:r w:rsidRPr="00176709">
              <w:rPr>
                <w:rFonts w:cs="Arial"/>
                <w:color w:val="0D0D0D" w:themeColor="text1" w:themeTint="F2"/>
                <w:lang w:val="en-GB"/>
              </w:rPr>
              <w:t xml:space="preserve">13.6% </w:t>
            </w:r>
            <w:r w:rsidRPr="00176709">
              <w:rPr>
                <w:lang w:val="en-GB"/>
              </w:rPr>
              <w:t xml:space="preserve">of all SB outlays, when its share oscillated only slightly above </w:t>
            </w:r>
            <w:r w:rsidRPr="00176709">
              <w:rPr>
                <w:rFonts w:cs="Arial"/>
                <w:color w:val="0D0D0D" w:themeColor="text1" w:themeTint="F2"/>
                <w:lang w:val="en-GB"/>
              </w:rPr>
              <w:t>10</w:t>
            </w:r>
            <w:r w:rsidRPr="00176709">
              <w:rPr>
                <w:rFonts w:cs="Arial"/>
                <w:lang w:val="en-GB"/>
              </w:rPr>
              <w:t xml:space="preserve">% </w:t>
            </w:r>
            <w:r w:rsidRPr="00176709">
              <w:rPr>
                <w:lang w:val="en-GB"/>
              </w:rPr>
              <w:t>in years of the business cycle peak</w:t>
            </w:r>
            <w:r w:rsidRPr="00532E6C">
              <w:rPr>
                <w:spacing w:val="-2"/>
                <w:lang w:val="en-GB"/>
              </w:rPr>
              <w:t>.</w:t>
            </w:r>
          </w:p>
          <w:p w:rsidR="00906D0C" w:rsidRPr="00176709" w:rsidRDefault="00906D0C" w:rsidP="007124A4">
            <w:pPr>
              <w:pStyle w:val="Textpoznpodarou"/>
              <w:jc w:val="both"/>
              <w:rPr>
                <w:rFonts w:cs="Arial"/>
                <w:color w:val="0D0D0D" w:themeColor="text1" w:themeTint="F2"/>
                <w:spacing w:val="-2"/>
              </w:rPr>
            </w:pPr>
          </w:p>
        </w:tc>
      </w:tr>
      <w:tr w:rsidR="00906D0C" w:rsidRPr="00CF0376" w:rsidTr="00906D0C">
        <w:trPr>
          <w:gridAfter w:val="1"/>
          <w:wAfter w:w="63" w:type="pct"/>
        </w:trPr>
        <w:tc>
          <w:tcPr>
            <w:tcW w:w="1034" w:type="pct"/>
            <w:gridSpan w:val="2"/>
          </w:tcPr>
          <w:p w:rsidR="00906D0C" w:rsidRPr="00C80BF1" w:rsidRDefault="00906D0C" w:rsidP="007124A4">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t>Pension account deficit lowered already second time in a row and achieved its best result in the last five years in 2015</w:t>
            </w:r>
          </w:p>
          <w:p w:rsidR="00906D0C" w:rsidRPr="00DE06DA" w:rsidRDefault="00906D0C" w:rsidP="007124A4">
            <w:pPr>
              <w:spacing w:line="240" w:lineRule="auto"/>
              <w:rPr>
                <w:rFonts w:cs="Arial"/>
                <w:bCs/>
                <w:iCs/>
                <w:color w:val="0D0D0D" w:themeColor="text1" w:themeTint="F2"/>
                <w:spacing w:val="-4"/>
                <w:sz w:val="16"/>
                <w:szCs w:val="16"/>
                <w:lang w:val="en-GB"/>
              </w:rPr>
            </w:pPr>
          </w:p>
          <w:p w:rsidR="00906D0C" w:rsidRPr="00DE06DA" w:rsidRDefault="00906D0C" w:rsidP="007124A4">
            <w:pPr>
              <w:spacing w:line="240" w:lineRule="auto"/>
              <w:rPr>
                <w:rFonts w:cs="Arial"/>
                <w:bCs/>
                <w:iCs/>
                <w:color w:val="0D0D0D" w:themeColor="text1" w:themeTint="F2"/>
                <w:spacing w:val="-4"/>
                <w:sz w:val="16"/>
                <w:szCs w:val="16"/>
                <w:lang w:val="en-GB"/>
              </w:rPr>
            </w:pPr>
          </w:p>
        </w:tc>
        <w:tc>
          <w:tcPr>
            <w:tcW w:w="139" w:type="pct"/>
          </w:tcPr>
          <w:p w:rsidR="00906D0C" w:rsidRPr="00DE06DA" w:rsidRDefault="00906D0C" w:rsidP="007124A4">
            <w:pPr>
              <w:pStyle w:val="Textpoznpodarou"/>
              <w:jc w:val="both"/>
              <w:rPr>
                <w:color w:val="0D0D0D" w:themeColor="text1" w:themeTint="F2"/>
                <w:lang w:val="en-GB"/>
              </w:rPr>
            </w:pPr>
          </w:p>
        </w:tc>
        <w:tc>
          <w:tcPr>
            <w:tcW w:w="3763" w:type="pct"/>
            <w:gridSpan w:val="3"/>
          </w:tcPr>
          <w:p w:rsidR="00906D0C" w:rsidRPr="00532E6C" w:rsidRDefault="00906D0C" w:rsidP="007124A4">
            <w:pPr>
              <w:pStyle w:val="Textpoznpodarou"/>
              <w:jc w:val="both"/>
              <w:rPr>
                <w:rFonts w:cs="Arial"/>
                <w:color w:val="0D0D0D" w:themeColor="text1" w:themeTint="F2"/>
                <w:spacing w:val="-2"/>
                <w:lang w:val="en-GB"/>
              </w:rPr>
            </w:pPr>
            <w:r w:rsidRPr="00532E6C">
              <w:rPr>
                <w:rFonts w:cs="Arial"/>
                <w:color w:val="0D0D0D" w:themeColor="text1" w:themeTint="F2"/>
                <w:spacing w:val="-2"/>
                <w:lang w:val="en-GB"/>
              </w:rPr>
              <w:t>T</w:t>
            </w:r>
            <w:r w:rsidRPr="00532E6C">
              <w:rPr>
                <w:spacing w:val="-2"/>
                <w:lang w:val="en-GB"/>
              </w:rPr>
              <w:t xml:space="preserve">he growing social benefits (by 10.5 CZK </w:t>
            </w:r>
            <w:proofErr w:type="spellStart"/>
            <w:r w:rsidRPr="00532E6C">
              <w:rPr>
                <w:spacing w:val="-2"/>
                <w:lang w:val="en-GB"/>
              </w:rPr>
              <w:t>bn</w:t>
            </w:r>
            <w:proofErr w:type="spellEnd"/>
            <w:r w:rsidRPr="00532E6C">
              <w:rPr>
                <w:spacing w:val="-2"/>
                <w:lang w:val="en-GB"/>
              </w:rPr>
              <w:t xml:space="preserve">) participated from one half on the higher current expenditures (by </w:t>
            </w:r>
            <w:r w:rsidRPr="00532E6C">
              <w:rPr>
                <w:rFonts w:cs="Arial"/>
                <w:color w:val="0D0D0D" w:themeColor="text1" w:themeTint="F2"/>
                <w:spacing w:val="-2"/>
                <w:lang w:val="en-GB"/>
              </w:rPr>
              <w:t xml:space="preserve">1.9%). </w:t>
            </w:r>
            <w:r w:rsidRPr="00532E6C">
              <w:rPr>
                <w:spacing w:val="-2"/>
                <w:lang w:val="en-GB"/>
              </w:rPr>
              <w:t xml:space="preserve">Nearly four fifths of social outlays were expended on pensions, whose size was influenced by a repeated transfer to a previous indexation scheme and to partly also by intergenerational exchange of the pensioners. The number of pension recipients was moderately increasing (from </w:t>
            </w:r>
            <w:r w:rsidRPr="00532E6C">
              <w:rPr>
                <w:rFonts w:cs="Arial"/>
                <w:color w:val="0D0D0D" w:themeColor="text1" w:themeTint="F2"/>
                <w:spacing w:val="-2"/>
                <w:lang w:val="en-GB"/>
              </w:rPr>
              <w:t xml:space="preserve">0.2% in 2014 to 0.4% in the following year), </w:t>
            </w:r>
            <w:r w:rsidRPr="00532E6C">
              <w:rPr>
                <w:spacing w:val="-2"/>
                <w:lang w:val="en-GB"/>
              </w:rPr>
              <w:t xml:space="preserve">exclusively due to the higher number of old-age pensioners. Even though the growth of the expenditure on pensions was the highest in the last three years (by </w:t>
            </w:r>
            <w:r w:rsidRPr="00532E6C">
              <w:rPr>
                <w:rFonts w:cs="Arial"/>
                <w:color w:val="0D0D0D" w:themeColor="text1" w:themeTint="F2"/>
                <w:spacing w:val="-2"/>
                <w:lang w:val="en-GB"/>
              </w:rPr>
              <w:t xml:space="preserve">2.4% </w:t>
            </w:r>
            <w:r w:rsidRPr="00532E6C">
              <w:rPr>
                <w:spacing w:val="-2"/>
                <w:lang w:val="en-GB"/>
              </w:rPr>
              <w:t>year-on-year</w:t>
            </w:r>
            <w:r w:rsidRPr="00532E6C">
              <w:rPr>
                <w:rFonts w:cs="Arial"/>
                <w:color w:val="0D0D0D" w:themeColor="text1" w:themeTint="F2"/>
                <w:spacing w:val="-2"/>
                <w:lang w:val="en-GB"/>
              </w:rPr>
              <w:t xml:space="preserve">) this year, </w:t>
            </w:r>
            <w:r w:rsidRPr="00532E6C">
              <w:rPr>
                <w:spacing w:val="-2"/>
                <w:lang w:val="en-GB"/>
              </w:rPr>
              <w:t xml:space="preserve">the pension account deficit (the difference between revenues and expenditure on pensions from the SB) kept declining (to 35 CZK </w:t>
            </w:r>
            <w:proofErr w:type="spellStart"/>
            <w:r w:rsidRPr="00532E6C">
              <w:rPr>
                <w:spacing w:val="-2"/>
                <w:lang w:val="en-GB"/>
              </w:rPr>
              <w:t>bn</w:t>
            </w:r>
            <w:proofErr w:type="spellEnd"/>
            <w:r w:rsidRPr="00532E6C">
              <w:rPr>
                <w:spacing w:val="-2"/>
                <w:lang w:val="en-GB"/>
              </w:rPr>
              <w:t xml:space="preserve">) thanks to the dynamic growth of the collection of the insurance (by </w:t>
            </w:r>
            <w:r w:rsidRPr="00532E6C">
              <w:rPr>
                <w:rFonts w:cs="Arial"/>
                <w:color w:val="0D0D0D" w:themeColor="text1" w:themeTint="F2"/>
                <w:spacing w:val="-2"/>
                <w:lang w:val="en-GB"/>
              </w:rPr>
              <w:t xml:space="preserve">5.2%, the highest after 2008). </w:t>
            </w:r>
          </w:p>
          <w:p w:rsidR="00906D0C" w:rsidRPr="00176709" w:rsidRDefault="00906D0C" w:rsidP="007124A4">
            <w:pPr>
              <w:pStyle w:val="Textpoznpodarou"/>
              <w:jc w:val="both"/>
              <w:rPr>
                <w:rFonts w:cs="Arial"/>
                <w:color w:val="0D0D0D" w:themeColor="text1" w:themeTint="F2"/>
                <w:spacing w:val="-2"/>
                <w:lang w:val="en-GB"/>
              </w:rPr>
            </w:pPr>
          </w:p>
        </w:tc>
      </w:tr>
      <w:tr w:rsidR="00906D0C" w:rsidRPr="003A21DC" w:rsidTr="00906D0C">
        <w:trPr>
          <w:gridAfter w:val="1"/>
          <w:wAfter w:w="63" w:type="pct"/>
        </w:trPr>
        <w:tc>
          <w:tcPr>
            <w:tcW w:w="1034" w:type="pct"/>
            <w:gridSpan w:val="2"/>
          </w:tcPr>
          <w:p w:rsidR="00906D0C" w:rsidRPr="004C6982" w:rsidRDefault="00906D0C" w:rsidP="007124A4">
            <w:pPr>
              <w:spacing w:line="240" w:lineRule="auto"/>
              <w:rPr>
                <w:rFonts w:cs="Arial"/>
                <w:bCs/>
                <w:iCs/>
                <w:color w:val="0D0D0D" w:themeColor="text1" w:themeTint="F2"/>
                <w:spacing w:val="-4"/>
                <w:sz w:val="16"/>
                <w:szCs w:val="16"/>
                <w:lang w:val="en-GB"/>
              </w:rPr>
            </w:pPr>
            <w:r w:rsidRPr="004C6982">
              <w:rPr>
                <w:rFonts w:cs="Arial"/>
                <w:bCs/>
                <w:iCs/>
                <w:color w:val="0D0D0D" w:themeColor="text1" w:themeTint="F2"/>
                <w:spacing w:val="-4"/>
                <w:sz w:val="16"/>
                <w:szCs w:val="16"/>
                <w:lang w:val="en-GB"/>
              </w:rPr>
              <w:t>Sickness benefits expenditure reac</w:t>
            </w:r>
            <w:r>
              <w:rPr>
                <w:rFonts w:cs="Arial"/>
                <w:bCs/>
                <w:iCs/>
                <w:color w:val="0D0D0D" w:themeColor="text1" w:themeTint="F2"/>
                <w:spacing w:val="-4"/>
                <w:sz w:val="16"/>
                <w:szCs w:val="16"/>
                <w:lang w:val="en-GB"/>
              </w:rPr>
              <w:t>h</w:t>
            </w:r>
            <w:r w:rsidRPr="004C6982">
              <w:rPr>
                <w:rFonts w:cs="Arial"/>
                <w:bCs/>
                <w:iCs/>
                <w:color w:val="0D0D0D" w:themeColor="text1" w:themeTint="F2"/>
                <w:spacing w:val="-4"/>
                <w:sz w:val="16"/>
                <w:szCs w:val="16"/>
                <w:lang w:val="en-GB"/>
              </w:rPr>
              <w:t>ed t</w:t>
            </w:r>
            <w:r>
              <w:rPr>
                <w:rFonts w:cs="Arial"/>
                <w:bCs/>
                <w:iCs/>
                <w:color w:val="0D0D0D" w:themeColor="text1" w:themeTint="F2"/>
                <w:spacing w:val="-4"/>
                <w:sz w:val="16"/>
                <w:szCs w:val="16"/>
                <w:lang w:val="en-GB"/>
              </w:rPr>
              <w:t>h</w:t>
            </w:r>
            <w:r w:rsidRPr="004C6982">
              <w:rPr>
                <w:rFonts w:cs="Arial"/>
                <w:bCs/>
                <w:iCs/>
                <w:color w:val="0D0D0D" w:themeColor="text1" w:themeTint="F2"/>
                <w:spacing w:val="-4"/>
                <w:sz w:val="16"/>
                <w:szCs w:val="16"/>
                <w:lang w:val="en-GB"/>
              </w:rPr>
              <w:t xml:space="preserve">e highest absolute amount after year 2009, still they were by more than 3 </w:t>
            </w:r>
            <w:r>
              <w:rPr>
                <w:rFonts w:cs="Arial"/>
                <w:bCs/>
                <w:iCs/>
                <w:color w:val="0D0D0D" w:themeColor="text1" w:themeTint="F2"/>
                <w:spacing w:val="-4"/>
                <w:sz w:val="16"/>
                <w:szCs w:val="16"/>
                <w:lang w:val="en-GB"/>
              </w:rPr>
              <w:t xml:space="preserve">CZK </w:t>
            </w:r>
            <w:proofErr w:type="spellStart"/>
            <w:r w:rsidRPr="004C6982">
              <w:rPr>
                <w:rFonts w:cs="Arial"/>
                <w:bCs/>
                <w:iCs/>
                <w:color w:val="0D0D0D" w:themeColor="text1" w:themeTint="F2"/>
                <w:spacing w:val="-4"/>
                <w:sz w:val="16"/>
                <w:szCs w:val="16"/>
                <w:lang w:val="en-GB"/>
              </w:rPr>
              <w:t>bn</w:t>
            </w:r>
            <w:proofErr w:type="spellEnd"/>
            <w:r>
              <w:rPr>
                <w:rFonts w:cs="Arial"/>
                <w:bCs/>
                <w:iCs/>
                <w:color w:val="0D0D0D" w:themeColor="text1" w:themeTint="F2"/>
                <w:spacing w:val="-4"/>
                <w:sz w:val="16"/>
                <w:szCs w:val="16"/>
                <w:lang w:val="en-GB"/>
              </w:rPr>
              <w:t xml:space="preserve"> </w:t>
            </w:r>
            <w:r w:rsidRPr="004C6982">
              <w:rPr>
                <w:rFonts w:cs="Arial"/>
                <w:bCs/>
                <w:iCs/>
                <w:color w:val="0D0D0D" w:themeColor="text1" w:themeTint="F2"/>
                <w:spacing w:val="-4"/>
                <w:sz w:val="16"/>
                <w:szCs w:val="16"/>
                <w:lang w:val="en-GB"/>
              </w:rPr>
              <w:t xml:space="preserve">lower than the volume of collected insurance </w:t>
            </w:r>
          </w:p>
          <w:p w:rsidR="00906D0C" w:rsidRPr="004C6982" w:rsidRDefault="00906D0C" w:rsidP="007124A4">
            <w:pPr>
              <w:spacing w:line="240" w:lineRule="auto"/>
              <w:rPr>
                <w:rFonts w:cs="Arial"/>
                <w:bCs/>
                <w:iCs/>
                <w:color w:val="0D0D0D" w:themeColor="text1" w:themeTint="F2"/>
                <w:spacing w:val="-4"/>
                <w:sz w:val="16"/>
                <w:szCs w:val="16"/>
                <w:lang w:val="en-GB"/>
              </w:rPr>
            </w:pPr>
          </w:p>
          <w:p w:rsidR="00906D0C" w:rsidRPr="004C6982" w:rsidRDefault="00906D0C" w:rsidP="007124A4">
            <w:pPr>
              <w:spacing w:line="240" w:lineRule="auto"/>
              <w:rPr>
                <w:rFonts w:cs="Arial"/>
                <w:bCs/>
                <w:iCs/>
                <w:color w:val="0D0D0D" w:themeColor="text1" w:themeTint="F2"/>
                <w:spacing w:val="-2"/>
                <w:sz w:val="16"/>
                <w:szCs w:val="16"/>
                <w:lang w:val="en-GB"/>
              </w:rPr>
            </w:pPr>
            <w:r w:rsidRPr="004C6982">
              <w:rPr>
                <w:rFonts w:cs="Arial"/>
                <w:bCs/>
                <w:iCs/>
                <w:color w:val="0D0D0D" w:themeColor="text1" w:themeTint="F2"/>
                <w:spacing w:val="-2"/>
                <w:sz w:val="16"/>
                <w:szCs w:val="16"/>
                <w:lang w:val="en-GB"/>
              </w:rPr>
              <w:t xml:space="preserve">State social support benefits in total stagnated year-on-year, similarly to the social care benefits </w:t>
            </w:r>
          </w:p>
          <w:p w:rsidR="00906D0C" w:rsidRDefault="00906D0C" w:rsidP="007124A4">
            <w:pPr>
              <w:spacing w:line="240" w:lineRule="auto"/>
              <w:rPr>
                <w:rFonts w:cs="Arial"/>
                <w:bCs/>
                <w:iCs/>
                <w:color w:val="0D0D0D" w:themeColor="text1" w:themeTint="F2"/>
                <w:spacing w:val="-2"/>
                <w:sz w:val="16"/>
                <w:szCs w:val="16"/>
              </w:rPr>
            </w:pPr>
          </w:p>
          <w:p w:rsidR="00906D0C" w:rsidRDefault="00906D0C" w:rsidP="007124A4">
            <w:pPr>
              <w:spacing w:line="240" w:lineRule="auto"/>
              <w:rPr>
                <w:rFonts w:cs="Arial"/>
                <w:bCs/>
                <w:iCs/>
                <w:color w:val="0D0D0D" w:themeColor="text1" w:themeTint="F2"/>
                <w:spacing w:val="-4"/>
                <w:sz w:val="16"/>
                <w:szCs w:val="16"/>
              </w:rPr>
            </w:pPr>
          </w:p>
          <w:p w:rsidR="00906D0C" w:rsidRPr="00750404" w:rsidRDefault="00906D0C" w:rsidP="007124A4">
            <w:pPr>
              <w:spacing w:line="240" w:lineRule="auto"/>
              <w:rPr>
                <w:color w:val="0D0D0D" w:themeColor="text1" w:themeTint="F2"/>
                <w:spacing w:val="-2"/>
                <w:szCs w:val="20"/>
              </w:rPr>
            </w:pPr>
          </w:p>
        </w:tc>
        <w:tc>
          <w:tcPr>
            <w:tcW w:w="139" w:type="pct"/>
          </w:tcPr>
          <w:p w:rsidR="00906D0C" w:rsidRPr="009720D9" w:rsidRDefault="00906D0C" w:rsidP="007124A4">
            <w:pPr>
              <w:pStyle w:val="Textpoznpodarou"/>
              <w:jc w:val="both"/>
              <w:rPr>
                <w:color w:val="0D0D0D" w:themeColor="text1" w:themeTint="F2"/>
              </w:rPr>
            </w:pPr>
          </w:p>
        </w:tc>
        <w:tc>
          <w:tcPr>
            <w:tcW w:w="3763" w:type="pct"/>
            <w:gridSpan w:val="3"/>
          </w:tcPr>
          <w:p w:rsidR="00906D0C" w:rsidRPr="00176709" w:rsidRDefault="00906D0C" w:rsidP="00176709">
            <w:pPr>
              <w:pStyle w:val="Textpoznpodarou"/>
              <w:jc w:val="both"/>
              <w:rPr>
                <w:rFonts w:cs="Arial"/>
                <w:color w:val="0D0D0D" w:themeColor="text1" w:themeTint="F2"/>
                <w:spacing w:val="-2"/>
              </w:rPr>
            </w:pPr>
            <w:r w:rsidRPr="00532E6C">
              <w:rPr>
                <w:rFonts w:cs="Arial"/>
                <w:color w:val="0D0D0D" w:themeColor="text1" w:themeTint="F2"/>
                <w:spacing w:val="-2"/>
                <w:lang w:val="en-GB"/>
              </w:rPr>
              <w:t>E</w:t>
            </w:r>
            <w:r w:rsidRPr="00532E6C">
              <w:rPr>
                <w:spacing w:val="-2"/>
                <w:lang w:val="en-GB"/>
              </w:rPr>
              <w:t xml:space="preserve">specially the outlays on sickness insurance (by </w:t>
            </w:r>
            <w:r w:rsidRPr="00532E6C">
              <w:rPr>
                <w:rFonts w:cs="Arial"/>
                <w:color w:val="0D0D0D" w:themeColor="text1" w:themeTint="F2"/>
                <w:spacing w:val="-2"/>
                <w:lang w:val="en-GB"/>
              </w:rPr>
              <w:t xml:space="preserve">9%) </w:t>
            </w:r>
            <w:r w:rsidRPr="00532E6C">
              <w:rPr>
                <w:spacing w:val="-2"/>
                <w:lang w:val="en-GB"/>
              </w:rPr>
              <w:t xml:space="preserve">were increasing among the social benefits (other than pensions). It was caused by the legislative measures (renewed payment of sickness benefits already from the 15th day) and also the growth of sickness rate. The weight most dominant state social support benefits in total stagnated. Only the foster care benefits (by one eight year-on-year), maternity grant and housing benefits (by </w:t>
            </w:r>
            <w:r w:rsidRPr="00532E6C">
              <w:rPr>
                <w:rFonts w:cs="Arial"/>
                <w:color w:val="0D0D0D" w:themeColor="text1" w:themeTint="F2"/>
                <w:spacing w:val="-2"/>
                <w:lang w:val="en-GB"/>
              </w:rPr>
              <w:t xml:space="preserve">3.6%) </w:t>
            </w:r>
            <w:r w:rsidRPr="00532E6C">
              <w:rPr>
                <w:spacing w:val="-2"/>
                <w:lang w:val="en-GB"/>
              </w:rPr>
              <w:t xml:space="preserve">grew within this sector. Social care benefits also stagnated, when a higher expenditure on care (based on the Social Services Act) was compensated by </w:t>
            </w:r>
            <w:r w:rsidRPr="00532E6C">
              <w:rPr>
                <w:rFonts w:cs="Arial"/>
                <w:color w:val="0D0D0D" w:themeColor="text1" w:themeTint="F2"/>
                <w:spacing w:val="-2"/>
                <w:lang w:val="en-GB"/>
              </w:rPr>
              <w:t xml:space="preserve">7% </w:t>
            </w:r>
            <w:r w:rsidRPr="00532E6C">
              <w:rPr>
                <w:spacing w:val="-2"/>
                <w:lang w:val="en-GB"/>
              </w:rPr>
              <w:t xml:space="preserve">drop of the material need benefits. The favourable situation on the labour market also led to a marked fall of the size of paid out unemployment benefits (by one tenth compared to year 2014, they fell even by </w:t>
            </w:r>
            <w:r w:rsidRPr="00532E6C">
              <w:rPr>
                <w:rFonts w:cs="Arial"/>
                <w:color w:val="0D0D0D" w:themeColor="text1" w:themeTint="F2"/>
                <w:spacing w:val="-2"/>
                <w:lang w:val="en-GB"/>
              </w:rPr>
              <w:t xml:space="preserve">45% against the year of the deepest recession). </w:t>
            </w:r>
            <w:r w:rsidRPr="00532E6C">
              <w:rPr>
                <w:spacing w:val="-2"/>
                <w:lang w:val="en-GB"/>
              </w:rPr>
              <w:t>Only one quarter of persons registered in the labour offices was receiving the unemployment benefits in December 2015 (their share slightly increased by 2.</w:t>
            </w:r>
            <w:r w:rsidRPr="00532E6C">
              <w:rPr>
                <w:rFonts w:cs="Arial"/>
                <w:color w:val="0D0D0D" w:themeColor="text1" w:themeTint="F2"/>
                <w:spacing w:val="-2"/>
                <w:lang w:val="en-GB"/>
              </w:rPr>
              <w:t xml:space="preserve">5 p.p. </w:t>
            </w:r>
            <w:r w:rsidRPr="00532E6C">
              <w:rPr>
                <w:spacing w:val="-2"/>
                <w:lang w:val="en-GB"/>
              </w:rPr>
              <w:t>year-on-year</w:t>
            </w:r>
            <w:r w:rsidRPr="00532E6C">
              <w:rPr>
                <w:rFonts w:cs="Arial"/>
                <w:color w:val="0D0D0D" w:themeColor="text1" w:themeTint="F2"/>
                <w:spacing w:val="-2"/>
                <w:lang w:val="en-GB"/>
              </w:rPr>
              <w:t xml:space="preserve">). Simultaneously, the outlays on the active policy of employment markedly strengthened (thanks to the EU funds), they were by more than one half higher for Q1 </w:t>
            </w:r>
            <w:r w:rsidRPr="00532E6C">
              <w:rPr>
                <w:spacing w:val="-2"/>
                <w:lang w:val="en-GB"/>
              </w:rPr>
              <w:t>to</w:t>
            </w:r>
            <w:r w:rsidRPr="00532E6C">
              <w:rPr>
                <w:rFonts w:cs="Arial"/>
                <w:color w:val="0D0D0D" w:themeColor="text1" w:themeTint="F2"/>
                <w:spacing w:val="-2"/>
                <w:lang w:val="en-GB"/>
              </w:rPr>
              <w:t xml:space="preserve"> Q3 2015 year-on year and they even exceeded the resources on the passive employment policy after a long time.</w:t>
            </w:r>
          </w:p>
        </w:tc>
      </w:tr>
      <w:tr w:rsidR="00906D0C" w:rsidTr="00906D0C">
        <w:trPr>
          <w:gridAfter w:val="1"/>
          <w:wAfter w:w="63" w:type="pct"/>
        </w:trPr>
        <w:tc>
          <w:tcPr>
            <w:tcW w:w="1034" w:type="pct"/>
            <w:gridSpan w:val="2"/>
          </w:tcPr>
          <w:p w:rsidR="00906D0C" w:rsidRPr="00C80BF1" w:rsidRDefault="00906D0C" w:rsidP="007124A4">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lastRenderedPageBreak/>
              <w:t>Expenditure on wages and other payments for work fastened to 7.8%, they were however only by 4% higher against the year 2009</w:t>
            </w:r>
          </w:p>
          <w:p w:rsidR="00906D0C" w:rsidRPr="00972492" w:rsidRDefault="00906D0C" w:rsidP="007124A4">
            <w:pPr>
              <w:spacing w:line="240" w:lineRule="auto"/>
              <w:rPr>
                <w:rFonts w:cs="Arial"/>
                <w:bCs/>
                <w:iCs/>
                <w:color w:val="0D0D0D" w:themeColor="text1" w:themeTint="F2"/>
                <w:szCs w:val="20"/>
                <w:lang w:val="en-GB"/>
              </w:rPr>
            </w:pPr>
            <w:r w:rsidRPr="00972492">
              <w:rPr>
                <w:rFonts w:cs="Arial"/>
                <w:bCs/>
                <w:iCs/>
                <w:color w:val="000000" w:themeColor="text1"/>
                <w:spacing w:val="-4"/>
                <w:sz w:val="16"/>
                <w:szCs w:val="16"/>
                <w:lang w:val="en-GB"/>
              </w:rPr>
              <w:t xml:space="preserve"> </w:t>
            </w:r>
            <w:r w:rsidRPr="00972492">
              <w:rPr>
                <w:rFonts w:cs="Arial"/>
                <w:bCs/>
                <w:iCs/>
                <w:color w:val="0D0D0D" w:themeColor="text1" w:themeTint="F2"/>
                <w:szCs w:val="20"/>
                <w:lang w:val="en-GB"/>
              </w:rPr>
              <w:t xml:space="preserve"> </w:t>
            </w:r>
          </w:p>
        </w:tc>
        <w:tc>
          <w:tcPr>
            <w:tcW w:w="139" w:type="pct"/>
          </w:tcPr>
          <w:p w:rsidR="00906D0C" w:rsidRPr="00972492" w:rsidRDefault="00906D0C" w:rsidP="007124A4">
            <w:pPr>
              <w:pStyle w:val="Textpoznpodarou"/>
              <w:jc w:val="both"/>
              <w:rPr>
                <w:color w:val="0D0D0D" w:themeColor="text1" w:themeTint="F2"/>
                <w:lang w:val="en-GB"/>
              </w:rPr>
            </w:pPr>
          </w:p>
        </w:tc>
        <w:tc>
          <w:tcPr>
            <w:tcW w:w="3763" w:type="pct"/>
            <w:gridSpan w:val="3"/>
          </w:tcPr>
          <w:p w:rsidR="00906D0C" w:rsidRPr="00972492" w:rsidRDefault="00906D0C" w:rsidP="007124A4">
            <w:pPr>
              <w:pStyle w:val="Textpoznpodarou"/>
              <w:jc w:val="both"/>
              <w:rPr>
                <w:rFonts w:cs="Arial"/>
                <w:color w:val="0D0D0D" w:themeColor="text1" w:themeTint="F2"/>
                <w:lang w:val="en-GB"/>
              </w:rPr>
            </w:pPr>
            <w:r w:rsidRPr="00972492">
              <w:rPr>
                <w:rFonts w:cs="Arial"/>
                <w:color w:val="0D0D0D" w:themeColor="text1" w:themeTint="F2"/>
                <w:lang w:val="en-GB"/>
              </w:rPr>
              <w:t>T</w:t>
            </w:r>
            <w:r w:rsidRPr="00972492">
              <w:rPr>
                <w:lang w:val="en-GB"/>
              </w:rPr>
              <w:t xml:space="preserve">he retreat from the former restrictive measures stood also behind the rise of the current SB expenditures. This was also reflected in the higher non-investment transfers to regional budgets (e.g. on teachers' wages or contribution to state </w:t>
            </w:r>
            <w:r>
              <w:rPr>
                <w:lang w:val="en-GB"/>
              </w:rPr>
              <w:t xml:space="preserve">administration </w:t>
            </w:r>
            <w:r w:rsidRPr="00972492">
              <w:rPr>
                <w:lang w:val="en-GB"/>
              </w:rPr>
              <w:t>in municipalities)</w:t>
            </w:r>
            <w:r>
              <w:rPr>
                <w:lang w:val="en-GB"/>
              </w:rPr>
              <w:t xml:space="preserve"> as well as </w:t>
            </w:r>
            <w:r w:rsidRPr="00972492">
              <w:rPr>
                <w:lang w:val="en-GB"/>
              </w:rPr>
              <w:t xml:space="preserve">in the growth of expenditure on wages of state employees (by </w:t>
            </w:r>
            <w:r w:rsidRPr="00972492">
              <w:rPr>
                <w:rFonts w:cs="Arial"/>
                <w:color w:val="0D0D0D" w:themeColor="text1" w:themeTint="F2"/>
                <w:lang w:val="en-GB"/>
              </w:rPr>
              <w:t>7.</w:t>
            </w:r>
            <w:r>
              <w:rPr>
                <w:rFonts w:cs="Arial"/>
                <w:color w:val="0D0D0D" w:themeColor="text1" w:themeTint="F2"/>
                <w:lang w:val="en-GB"/>
              </w:rPr>
              <w:t>8</w:t>
            </w:r>
            <w:r w:rsidRPr="00972492">
              <w:rPr>
                <w:rFonts w:cs="Arial"/>
                <w:color w:val="0D0D0D" w:themeColor="text1" w:themeTint="F2"/>
                <w:lang w:val="en-GB"/>
              </w:rPr>
              <w:t>%, partially also due to the preparation for the new</w:t>
            </w:r>
            <w:r>
              <w:rPr>
                <w:rFonts w:cs="Arial"/>
                <w:color w:val="0D0D0D" w:themeColor="text1" w:themeTint="F2"/>
                <w:lang w:val="en-GB"/>
              </w:rPr>
              <w:t xml:space="preserve"> Public Servants Act, </w:t>
            </w:r>
            <w:r w:rsidRPr="00972492">
              <w:rPr>
                <w:rFonts w:cs="Arial"/>
                <w:color w:val="0D0D0D" w:themeColor="text1" w:themeTint="F2"/>
                <w:lang w:val="en-GB"/>
              </w:rPr>
              <w:t xml:space="preserve">but also due to higher wages in defence or </w:t>
            </w:r>
            <w:r>
              <w:rPr>
                <w:rFonts w:cs="Arial"/>
                <w:color w:val="0D0D0D" w:themeColor="text1" w:themeTint="F2"/>
                <w:lang w:val="en-GB"/>
              </w:rPr>
              <w:t>the judiciary)</w:t>
            </w:r>
            <w:r w:rsidRPr="00972492">
              <w:rPr>
                <w:rFonts w:cs="Arial"/>
                <w:color w:val="0D0D0D" w:themeColor="text1" w:themeTint="F2"/>
                <w:lang w:val="en-GB"/>
              </w:rPr>
              <w:t>. Expenditure o</w:t>
            </w:r>
            <w:r>
              <w:rPr>
                <w:rFonts w:cs="Arial"/>
                <w:color w:val="0D0D0D" w:themeColor="text1" w:themeTint="F2"/>
                <w:lang w:val="en-GB"/>
              </w:rPr>
              <w:t>n</w:t>
            </w:r>
            <w:r w:rsidRPr="00972492">
              <w:rPr>
                <w:rFonts w:cs="Arial"/>
                <w:color w:val="0D0D0D" w:themeColor="text1" w:themeTint="F2"/>
                <w:lang w:val="en-GB"/>
              </w:rPr>
              <w:t xml:space="preserve"> non-investment purchases was also higher year-on-year.  </w:t>
            </w:r>
          </w:p>
          <w:p w:rsidR="00906D0C" w:rsidRPr="00176709" w:rsidRDefault="00906D0C" w:rsidP="007124A4">
            <w:pPr>
              <w:pStyle w:val="Textpoznpodarou"/>
              <w:jc w:val="both"/>
              <w:rPr>
                <w:rFonts w:cs="Arial"/>
                <w:color w:val="0D0D0D" w:themeColor="text1" w:themeTint="F2"/>
                <w:spacing w:val="-2"/>
                <w:lang w:val="en-GB"/>
              </w:rPr>
            </w:pPr>
          </w:p>
        </w:tc>
      </w:tr>
      <w:tr w:rsidR="00906D0C" w:rsidTr="00906D0C">
        <w:trPr>
          <w:gridAfter w:val="1"/>
          <w:wAfter w:w="63" w:type="pct"/>
        </w:trPr>
        <w:tc>
          <w:tcPr>
            <w:tcW w:w="1034" w:type="pct"/>
            <w:gridSpan w:val="2"/>
          </w:tcPr>
          <w:p w:rsidR="00906D0C" w:rsidRPr="001F5C50" w:rsidRDefault="00906D0C" w:rsidP="007124A4">
            <w:pPr>
              <w:spacing w:line="240" w:lineRule="auto"/>
              <w:rPr>
                <w:rFonts w:cs="Arial"/>
                <w:bCs/>
                <w:iCs/>
                <w:color w:val="000000" w:themeColor="text1"/>
                <w:szCs w:val="20"/>
                <w:lang w:val="en-GB"/>
              </w:rPr>
            </w:pPr>
            <w:r w:rsidRPr="001F5C50">
              <w:rPr>
                <w:rFonts w:cs="Arial"/>
                <w:bCs/>
                <w:iCs/>
                <w:color w:val="000000" w:themeColor="text1"/>
                <w:sz w:val="16"/>
                <w:szCs w:val="16"/>
                <w:lang w:val="en-GB"/>
              </w:rPr>
              <w:t>Expenditure on state debt were declining already second year in a row</w:t>
            </w:r>
            <w:r>
              <w:rPr>
                <w:rFonts w:cs="Arial"/>
                <w:bCs/>
                <w:iCs/>
                <w:color w:val="000000" w:themeColor="text1"/>
                <w:sz w:val="16"/>
                <w:szCs w:val="16"/>
                <w:lang w:val="en-GB"/>
              </w:rPr>
              <w:t>,</w:t>
            </w:r>
            <w:r w:rsidRPr="001F5C50">
              <w:rPr>
                <w:rFonts w:cs="Arial"/>
                <w:bCs/>
                <w:iCs/>
                <w:color w:val="000000" w:themeColor="text1"/>
                <w:sz w:val="16"/>
                <w:szCs w:val="16"/>
                <w:lang w:val="en-GB"/>
              </w:rPr>
              <w:t xml:space="preserve"> in accumulation by </w:t>
            </w:r>
            <w:r>
              <w:rPr>
                <w:rFonts w:cs="Arial"/>
                <w:bCs/>
                <w:iCs/>
                <w:color w:val="000000" w:themeColor="text1"/>
                <w:sz w:val="16"/>
                <w:szCs w:val="16"/>
                <w:lang w:val="en-GB"/>
              </w:rPr>
              <w:t>8</w:t>
            </w:r>
            <w:r w:rsidRPr="001F5C50">
              <w:rPr>
                <w:rFonts w:cs="Arial"/>
                <w:bCs/>
                <w:iCs/>
                <w:color w:val="000000" w:themeColor="text1"/>
                <w:sz w:val="16"/>
                <w:szCs w:val="16"/>
                <w:lang w:val="en-GB"/>
              </w:rPr>
              <w:t>%</w:t>
            </w:r>
          </w:p>
        </w:tc>
        <w:tc>
          <w:tcPr>
            <w:tcW w:w="139" w:type="pct"/>
          </w:tcPr>
          <w:p w:rsidR="00906D0C" w:rsidRPr="001F5C50" w:rsidRDefault="00906D0C" w:rsidP="007124A4">
            <w:pPr>
              <w:pStyle w:val="Textpoznpodarou"/>
              <w:jc w:val="both"/>
              <w:rPr>
                <w:color w:val="0D0D0D" w:themeColor="text1" w:themeTint="F2"/>
                <w:lang w:val="en-GB"/>
              </w:rPr>
            </w:pPr>
          </w:p>
        </w:tc>
        <w:tc>
          <w:tcPr>
            <w:tcW w:w="3763" w:type="pct"/>
            <w:gridSpan w:val="3"/>
          </w:tcPr>
          <w:p w:rsidR="00906D0C" w:rsidRPr="00532E6C" w:rsidRDefault="00906D0C" w:rsidP="007124A4">
            <w:pPr>
              <w:pStyle w:val="Textpoznpodarou"/>
              <w:jc w:val="both"/>
              <w:rPr>
                <w:rFonts w:cs="Arial"/>
                <w:color w:val="0D0D0D" w:themeColor="text1" w:themeTint="F2"/>
                <w:spacing w:val="-2"/>
                <w:lang w:val="en-GB"/>
              </w:rPr>
            </w:pPr>
            <w:r w:rsidRPr="00532E6C">
              <w:rPr>
                <w:rFonts w:cs="Arial"/>
                <w:color w:val="0D0D0D" w:themeColor="text1" w:themeTint="F2"/>
                <w:spacing w:val="-2"/>
                <w:lang w:val="en-GB"/>
              </w:rPr>
              <w:t>T</w:t>
            </w:r>
            <w:r w:rsidRPr="00532E6C">
              <w:rPr>
                <w:spacing w:val="-2"/>
                <w:lang w:val="en-GB"/>
              </w:rPr>
              <w:t>he SB saved on the payments to the EU budget as well as the expenditure on state debt</w:t>
            </w:r>
            <w:r w:rsidRPr="00532E6C">
              <w:rPr>
                <w:rFonts w:cs="Arial"/>
                <w:color w:val="0D0D0D" w:themeColor="text1" w:themeTint="F2"/>
                <w:spacing w:val="-2"/>
                <w:lang w:val="en-GB"/>
              </w:rPr>
              <w:t xml:space="preserve"> </w:t>
            </w:r>
            <w:r w:rsidRPr="00532E6C">
              <w:rPr>
                <w:rFonts w:cs="Arial"/>
                <w:color w:val="000000" w:themeColor="text1"/>
                <w:spacing w:val="-2"/>
                <w:lang w:val="en-GB"/>
              </w:rPr>
              <w:t xml:space="preserve">(-2.7 CZK </w:t>
            </w:r>
            <w:proofErr w:type="spellStart"/>
            <w:r w:rsidRPr="00532E6C">
              <w:rPr>
                <w:rFonts w:cs="Arial"/>
                <w:color w:val="000000" w:themeColor="text1"/>
                <w:spacing w:val="-2"/>
                <w:lang w:val="en-GB"/>
              </w:rPr>
              <w:t>bn</w:t>
            </w:r>
            <w:proofErr w:type="spellEnd"/>
            <w:r w:rsidRPr="00532E6C">
              <w:rPr>
                <w:rFonts w:cs="Arial"/>
                <w:color w:val="000000" w:themeColor="text1"/>
                <w:spacing w:val="-2"/>
                <w:lang w:val="en-GB"/>
              </w:rPr>
              <w:t>) similarly to the last year. The state managed to sell its medium term bonds on the primary market with negative interest rates by the end of summer for the first time in history.</w:t>
            </w:r>
            <w:r w:rsidRPr="00532E6C">
              <w:rPr>
                <w:rFonts w:cs="Arial"/>
                <w:color w:val="0D0D0D" w:themeColor="text1" w:themeTint="F2"/>
                <w:spacing w:val="-2"/>
                <w:lang w:val="en-GB"/>
              </w:rPr>
              <w:t xml:space="preserve"> </w:t>
            </w:r>
          </w:p>
          <w:p w:rsidR="00906D0C" w:rsidRPr="00176709" w:rsidRDefault="00906D0C" w:rsidP="007124A4">
            <w:pPr>
              <w:pStyle w:val="Textpoznpodarou"/>
              <w:jc w:val="both"/>
              <w:rPr>
                <w:rFonts w:cs="Arial"/>
                <w:color w:val="0D0D0D" w:themeColor="text1" w:themeTint="F2"/>
                <w:spacing w:val="-2"/>
                <w:lang w:val="en-GB"/>
              </w:rPr>
            </w:pPr>
          </w:p>
        </w:tc>
      </w:tr>
      <w:tr w:rsidR="00906D0C" w:rsidTr="00906D0C">
        <w:trPr>
          <w:gridAfter w:val="1"/>
          <w:wAfter w:w="63" w:type="pct"/>
        </w:trPr>
        <w:tc>
          <w:tcPr>
            <w:tcW w:w="1034" w:type="pct"/>
            <w:gridSpan w:val="2"/>
          </w:tcPr>
          <w:p w:rsidR="00906D0C" w:rsidRPr="00C80BF1" w:rsidRDefault="00906D0C" w:rsidP="007124A4">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t xml:space="preserve">Size of the state debt was stabilised in the last nine quarters </w:t>
            </w:r>
          </w:p>
          <w:p w:rsidR="00906D0C" w:rsidRPr="00C80BF1" w:rsidRDefault="00906D0C" w:rsidP="007124A4">
            <w:pPr>
              <w:spacing w:line="240" w:lineRule="auto"/>
              <w:rPr>
                <w:rFonts w:cs="Arial"/>
                <w:bCs/>
                <w:iCs/>
                <w:color w:val="0D0D0D" w:themeColor="text1" w:themeTint="F2"/>
                <w:spacing w:val="-2"/>
                <w:sz w:val="16"/>
                <w:szCs w:val="16"/>
                <w:lang w:val="en-GB"/>
              </w:rPr>
            </w:pPr>
          </w:p>
        </w:tc>
        <w:tc>
          <w:tcPr>
            <w:tcW w:w="139" w:type="pct"/>
          </w:tcPr>
          <w:p w:rsidR="00906D0C" w:rsidRPr="001F5C50" w:rsidRDefault="00906D0C" w:rsidP="007124A4">
            <w:pPr>
              <w:pStyle w:val="Textpoznpodarou"/>
              <w:jc w:val="both"/>
              <w:rPr>
                <w:color w:val="0D0D0D" w:themeColor="text1" w:themeTint="F2"/>
                <w:lang w:val="en-GB"/>
              </w:rPr>
            </w:pPr>
          </w:p>
        </w:tc>
        <w:tc>
          <w:tcPr>
            <w:tcW w:w="3763" w:type="pct"/>
            <w:gridSpan w:val="3"/>
          </w:tcPr>
          <w:p w:rsidR="00906D0C" w:rsidRPr="00532E6C" w:rsidRDefault="00906D0C" w:rsidP="007124A4">
            <w:pPr>
              <w:pStyle w:val="Textpoznpodarou"/>
              <w:jc w:val="both"/>
              <w:rPr>
                <w:rFonts w:cs="Arial"/>
                <w:color w:val="000000" w:themeColor="text1"/>
                <w:spacing w:val="-4"/>
                <w:lang w:val="en-GB"/>
              </w:rPr>
            </w:pPr>
            <w:r w:rsidRPr="00532E6C">
              <w:rPr>
                <w:rFonts w:cs="Arial"/>
                <w:color w:val="000000" w:themeColor="text1"/>
                <w:spacing w:val="-4"/>
                <w:lang w:val="en-GB"/>
              </w:rPr>
              <w:t xml:space="preserve">The stabilisation of the state debt continued. Its size reached even 1 673 CZK </w:t>
            </w:r>
            <w:proofErr w:type="spellStart"/>
            <w:r w:rsidRPr="00532E6C">
              <w:rPr>
                <w:spacing w:val="-4"/>
                <w:lang w:val="en-GB"/>
              </w:rPr>
              <w:t>bn</w:t>
            </w:r>
            <w:proofErr w:type="spellEnd"/>
            <w:r w:rsidRPr="00532E6C">
              <w:rPr>
                <w:spacing w:val="-4"/>
                <w:lang w:val="en-GB"/>
              </w:rPr>
              <w:t xml:space="preserve"> according to the MF at the end of the year 2015 and increased by </w:t>
            </w:r>
            <w:r w:rsidRPr="00532E6C">
              <w:rPr>
                <w:rFonts w:cs="Arial"/>
                <w:color w:val="000000" w:themeColor="text1"/>
                <w:spacing w:val="-4"/>
                <w:lang w:val="en-GB"/>
              </w:rPr>
              <w:t xml:space="preserve">0.6% </w:t>
            </w:r>
            <w:r w:rsidRPr="00532E6C">
              <w:rPr>
                <w:spacing w:val="-4"/>
                <w:lang w:val="en-GB"/>
              </w:rPr>
              <w:t xml:space="preserve">year-on-year (after fall in the preceding year by </w:t>
            </w:r>
            <w:r w:rsidRPr="00532E6C">
              <w:rPr>
                <w:rFonts w:cs="Arial"/>
                <w:color w:val="000000" w:themeColor="text1"/>
                <w:spacing w:val="-4"/>
                <w:lang w:val="en-GB"/>
              </w:rPr>
              <w:t xml:space="preserve">1.2%). </w:t>
            </w:r>
            <w:r w:rsidRPr="00532E6C">
              <w:rPr>
                <w:spacing w:val="-4"/>
                <w:lang w:val="en-GB"/>
              </w:rPr>
              <w:t xml:space="preserve">It happened due to the development in Q4 itself, when the total debt rose by </w:t>
            </w:r>
            <w:r w:rsidRPr="00532E6C">
              <w:rPr>
                <w:rFonts w:cs="Arial"/>
                <w:color w:val="000000" w:themeColor="text1"/>
                <w:spacing w:val="-4"/>
                <w:lang w:val="en-GB"/>
              </w:rPr>
              <w:t xml:space="preserve">10 CZK bn. </w:t>
            </w:r>
            <w:r w:rsidRPr="00532E6C">
              <w:rPr>
                <w:spacing w:val="-4"/>
                <w:lang w:val="en-GB"/>
              </w:rPr>
              <w:t xml:space="preserve">State utilised the favourable situation on the financial markets, when it borrowed with a negative yield. The external debt share on the total indebtedness was 17% at the end of 2015 (the least since the beginning of 2008). The volume of the Czech bonds kept by foreign investors increased by nearly one half during the year 2015 and amounted to 295 CZK </w:t>
            </w:r>
            <w:proofErr w:type="spellStart"/>
            <w:r w:rsidRPr="00532E6C">
              <w:rPr>
                <w:spacing w:val="-4"/>
                <w:lang w:val="en-GB"/>
              </w:rPr>
              <w:t>bn</w:t>
            </w:r>
            <w:proofErr w:type="spellEnd"/>
            <w:r w:rsidRPr="00532E6C">
              <w:rPr>
                <w:spacing w:val="-4"/>
                <w:lang w:val="en-GB"/>
              </w:rPr>
              <w:t xml:space="preserve"> at the end of Q4. </w:t>
            </w:r>
          </w:p>
          <w:p w:rsidR="00906D0C" w:rsidRPr="00176709" w:rsidRDefault="00906D0C" w:rsidP="007124A4">
            <w:pPr>
              <w:pStyle w:val="Textpoznpodarou"/>
              <w:jc w:val="both"/>
              <w:rPr>
                <w:rFonts w:cs="Arial"/>
                <w:color w:val="0D0D0D" w:themeColor="text1" w:themeTint="F2"/>
                <w:spacing w:val="-2"/>
                <w:lang w:val="en-GB"/>
              </w:rPr>
            </w:pPr>
          </w:p>
        </w:tc>
      </w:tr>
      <w:tr w:rsidR="00906D0C" w:rsidTr="00906D0C">
        <w:trPr>
          <w:gridAfter w:val="1"/>
          <w:wAfter w:w="63" w:type="pct"/>
        </w:trPr>
        <w:tc>
          <w:tcPr>
            <w:tcW w:w="1034" w:type="pct"/>
            <w:gridSpan w:val="2"/>
          </w:tcPr>
          <w:p w:rsidR="00906D0C" w:rsidRPr="003C7E11" w:rsidRDefault="00906D0C" w:rsidP="007124A4">
            <w:pPr>
              <w:spacing w:line="240" w:lineRule="auto"/>
              <w:rPr>
                <w:rFonts w:cs="Arial"/>
                <w:bCs/>
                <w:iCs/>
                <w:color w:val="000000" w:themeColor="text1"/>
                <w:sz w:val="16"/>
                <w:szCs w:val="16"/>
                <w:lang w:val="en-GB"/>
              </w:rPr>
            </w:pPr>
            <w:r w:rsidRPr="00C80BF1">
              <w:rPr>
                <w:rFonts w:cs="Arial"/>
                <w:bCs/>
                <w:iCs/>
                <w:color w:val="0D0D0D" w:themeColor="text1" w:themeTint="F2"/>
                <w:spacing w:val="-2"/>
                <w:sz w:val="16"/>
                <w:szCs w:val="16"/>
                <w:lang w:val="en-GB"/>
              </w:rPr>
              <w:t>Debt of the government institution sector relative to GDP lowered during the first three quarters of 2015, similarly to the majority of EU countries</w:t>
            </w:r>
          </w:p>
        </w:tc>
        <w:tc>
          <w:tcPr>
            <w:tcW w:w="139" w:type="pct"/>
          </w:tcPr>
          <w:p w:rsidR="00906D0C" w:rsidRPr="003C7E11" w:rsidRDefault="00906D0C" w:rsidP="007124A4">
            <w:pPr>
              <w:pStyle w:val="Textpoznpodarou"/>
              <w:jc w:val="both"/>
              <w:rPr>
                <w:color w:val="0D0D0D" w:themeColor="text1" w:themeTint="F2"/>
                <w:lang w:val="en-GB"/>
              </w:rPr>
            </w:pPr>
          </w:p>
        </w:tc>
        <w:tc>
          <w:tcPr>
            <w:tcW w:w="3763" w:type="pct"/>
            <w:gridSpan w:val="3"/>
          </w:tcPr>
          <w:p w:rsidR="00906D0C" w:rsidRDefault="00906D0C" w:rsidP="007124A4">
            <w:pPr>
              <w:pStyle w:val="Textpoznpodarou"/>
              <w:jc w:val="both"/>
              <w:rPr>
                <w:lang w:val="en-GB"/>
              </w:rPr>
            </w:pPr>
            <w:r w:rsidRPr="003C7E11">
              <w:rPr>
                <w:lang w:val="en-GB"/>
              </w:rPr>
              <w:t xml:space="preserve">The debt of the whole government institution sector (accounting for among other things also the budget of </w:t>
            </w:r>
            <w:r>
              <w:rPr>
                <w:lang w:val="en-GB"/>
              </w:rPr>
              <w:t xml:space="preserve">regions </w:t>
            </w:r>
            <w:bookmarkStart w:id="10" w:name="_GoBack"/>
            <w:bookmarkEnd w:id="10"/>
            <w:r w:rsidRPr="003C7E11">
              <w:rPr>
                <w:lang w:val="en-GB"/>
              </w:rPr>
              <w:t>or social security funds) rea</w:t>
            </w:r>
            <w:r>
              <w:rPr>
                <w:lang w:val="en-GB"/>
              </w:rPr>
              <w:t>ch</w:t>
            </w:r>
            <w:r w:rsidRPr="003C7E11">
              <w:rPr>
                <w:lang w:val="en-GB"/>
              </w:rPr>
              <w:t xml:space="preserve">ed according to the up-to-date data of the CZSO the size of 1831.3 </w:t>
            </w:r>
            <w:r>
              <w:rPr>
                <w:spacing w:val="-2"/>
                <w:lang w:val="en-GB"/>
              </w:rPr>
              <w:t xml:space="preserve">CZK </w:t>
            </w:r>
            <w:proofErr w:type="spellStart"/>
            <w:r w:rsidRPr="001F5C50">
              <w:rPr>
                <w:spacing w:val="-2"/>
                <w:lang w:val="en-GB"/>
              </w:rPr>
              <w:t>bn</w:t>
            </w:r>
            <w:proofErr w:type="spellEnd"/>
            <w:r>
              <w:rPr>
                <w:spacing w:val="-2"/>
                <w:lang w:val="en-GB"/>
              </w:rPr>
              <w:t xml:space="preserve"> </w:t>
            </w:r>
            <w:r w:rsidRPr="003C7E11">
              <w:rPr>
                <w:lang w:val="en-GB"/>
              </w:rPr>
              <w:t>at the end of Q3 2015</w:t>
            </w:r>
            <w:r w:rsidRPr="003C7E11">
              <w:rPr>
                <w:rStyle w:val="Znakapoznpodarou"/>
                <w:lang w:val="en-GB"/>
              </w:rPr>
              <w:footnoteReference w:id="22"/>
            </w:r>
            <w:r w:rsidRPr="003C7E11">
              <w:rPr>
                <w:lang w:val="en-GB"/>
              </w:rPr>
              <w:t xml:space="preserve"> and it was 41.</w:t>
            </w:r>
            <w:r>
              <w:rPr>
                <w:lang w:val="en-GB"/>
              </w:rPr>
              <w:t>4</w:t>
            </w:r>
            <w:r w:rsidRPr="003C7E11">
              <w:rPr>
                <w:lang w:val="en-GB"/>
              </w:rPr>
              <w:t>% in relation to GDP (</w:t>
            </w:r>
            <w:r>
              <w:rPr>
                <w:lang w:val="en-GB"/>
              </w:rPr>
              <w:t>42.7</w:t>
            </w:r>
            <w:r w:rsidRPr="003C7E11">
              <w:rPr>
                <w:lang w:val="en-GB"/>
              </w:rPr>
              <w:t>% then at the end of 2014). The drop of the relative level of the government institution debt is the result of both the growth of the nominal GDP and the stabilisation of the nominal level of the state debt, which comprises the dominant part of the total debt of the government institutions. The relative size of the government institution sector debt was the seventh lowest among the EU countries in the CR at the end of Q3 2015 (e.g. Denmark or Sweden also had a similar position to the CR). The relative indebtednes</w:t>
            </w:r>
            <w:r>
              <w:rPr>
                <w:lang w:val="en-GB"/>
              </w:rPr>
              <w:t>s</w:t>
            </w:r>
            <w:r w:rsidRPr="003C7E11">
              <w:rPr>
                <w:lang w:val="en-GB"/>
              </w:rPr>
              <w:t xml:space="preserve"> lowered in most EU countries since the beginning of 2015 (the most in Ireland – from 107.</w:t>
            </w:r>
            <w:r>
              <w:rPr>
                <w:lang w:val="en-GB"/>
              </w:rPr>
              <w:t>5</w:t>
            </w:r>
            <w:r w:rsidRPr="003C7E11">
              <w:rPr>
                <w:lang w:val="en-GB"/>
              </w:rPr>
              <w:t>% to 99.</w:t>
            </w:r>
            <w:r>
              <w:rPr>
                <w:lang w:val="en-GB"/>
              </w:rPr>
              <w:t>4</w:t>
            </w:r>
            <w:r w:rsidRPr="003C7E11">
              <w:rPr>
                <w:lang w:val="en-GB"/>
              </w:rPr>
              <w:t>%)</w:t>
            </w:r>
            <w:proofErr w:type="gramStart"/>
            <w:r w:rsidRPr="003C7E11">
              <w:rPr>
                <w:lang w:val="en-GB"/>
              </w:rPr>
              <w:t>,</w:t>
            </w:r>
            <w:proofErr w:type="gramEnd"/>
            <w:r w:rsidRPr="003C7E11">
              <w:rPr>
                <w:lang w:val="en-GB"/>
              </w:rPr>
              <w:t xml:space="preserve"> on the contrary it increased by more than 3 p.p. in Slovenia (</w:t>
            </w:r>
            <w:r>
              <w:rPr>
                <w:lang w:val="en-GB"/>
              </w:rPr>
              <w:t xml:space="preserve">to </w:t>
            </w:r>
            <w:r w:rsidRPr="003C7E11">
              <w:rPr>
                <w:lang w:val="en-GB"/>
              </w:rPr>
              <w:t>84.</w:t>
            </w:r>
            <w:r>
              <w:rPr>
                <w:lang w:val="en-GB"/>
              </w:rPr>
              <w:t>1</w:t>
            </w:r>
            <w:r w:rsidRPr="003C7E11">
              <w:rPr>
                <w:lang w:val="en-GB"/>
              </w:rPr>
              <w:t>%).</w:t>
            </w:r>
          </w:p>
          <w:p w:rsidR="00906D0C" w:rsidRPr="00176709" w:rsidRDefault="00906D0C" w:rsidP="007124A4">
            <w:pPr>
              <w:pStyle w:val="Textpoznpodarou"/>
              <w:jc w:val="both"/>
              <w:rPr>
                <w:rFonts w:cs="Arial"/>
                <w:color w:val="000000" w:themeColor="text1"/>
                <w:lang w:val="en-GB"/>
              </w:rPr>
            </w:pPr>
          </w:p>
        </w:tc>
      </w:tr>
      <w:tr w:rsidR="00906D0C" w:rsidTr="00906D0C">
        <w:tc>
          <w:tcPr>
            <w:tcW w:w="298" w:type="pct"/>
          </w:tcPr>
          <w:p w:rsidR="00906D0C" w:rsidRDefault="00906D0C" w:rsidP="007124A4">
            <w:pPr>
              <w:spacing w:line="240" w:lineRule="auto"/>
            </w:pPr>
            <w:r>
              <w:t>Chart 19</w:t>
            </w:r>
          </w:p>
        </w:tc>
        <w:tc>
          <w:tcPr>
            <w:tcW w:w="2202" w:type="pct"/>
            <w:gridSpan w:val="3"/>
          </w:tcPr>
          <w:p w:rsidR="00906D0C" w:rsidRPr="00866561" w:rsidRDefault="00906D0C" w:rsidP="007124A4">
            <w:pPr>
              <w:spacing w:line="240" w:lineRule="auto"/>
              <w:rPr>
                <w:rFonts w:cs="Arial"/>
                <w:b/>
                <w:bCs/>
                <w:lang w:val="en-GB"/>
              </w:rPr>
            </w:pPr>
            <w:r w:rsidRPr="00866561">
              <w:rPr>
                <w:rFonts w:cs="Arial"/>
                <w:b/>
                <w:bCs/>
                <w:lang w:val="en-GB"/>
              </w:rPr>
              <w:t xml:space="preserve">State-wide collections of tax revenues </w:t>
            </w:r>
            <w:r w:rsidRPr="00866561">
              <w:rPr>
                <w:rFonts w:cs="Arial"/>
                <w:bCs/>
                <w:lang w:val="en-GB"/>
              </w:rPr>
              <w:t xml:space="preserve">(y/y, in %) </w:t>
            </w:r>
            <w:r w:rsidRPr="00866561">
              <w:rPr>
                <w:rFonts w:cs="Arial"/>
                <w:b/>
                <w:bCs/>
                <w:lang w:val="en-GB"/>
              </w:rPr>
              <w:t xml:space="preserve">and state budget balance </w:t>
            </w:r>
            <w:r w:rsidRPr="00866561">
              <w:rPr>
                <w:rFonts w:cs="Arial"/>
                <w:bCs/>
                <w:lang w:val="en-GB"/>
              </w:rPr>
              <w:t xml:space="preserve">(in </w:t>
            </w:r>
            <w:r>
              <w:rPr>
                <w:rFonts w:cs="Arial"/>
                <w:bCs/>
                <w:lang w:val="en-GB"/>
              </w:rPr>
              <w:t xml:space="preserve">CZK </w:t>
            </w:r>
            <w:proofErr w:type="spellStart"/>
            <w:r w:rsidRPr="00866561">
              <w:rPr>
                <w:rFonts w:cs="Arial"/>
                <w:bCs/>
                <w:lang w:val="en-GB"/>
              </w:rPr>
              <w:t>bn</w:t>
            </w:r>
            <w:proofErr w:type="spellEnd"/>
            <w:r w:rsidRPr="00866561">
              <w:rPr>
                <w:rFonts w:cs="Arial"/>
                <w:bCs/>
                <w:lang w:val="en-GB"/>
              </w:rPr>
              <w:t>)</w:t>
            </w:r>
          </w:p>
        </w:tc>
        <w:tc>
          <w:tcPr>
            <w:tcW w:w="362" w:type="pct"/>
          </w:tcPr>
          <w:p w:rsidR="00906D0C" w:rsidRPr="00866561" w:rsidRDefault="00906D0C" w:rsidP="007124A4">
            <w:pPr>
              <w:spacing w:line="240" w:lineRule="auto"/>
              <w:rPr>
                <w:lang w:val="en-GB"/>
              </w:rPr>
            </w:pPr>
            <w:r w:rsidRPr="00866561">
              <w:rPr>
                <w:lang w:val="en-GB"/>
              </w:rPr>
              <w:t>Chart 20</w:t>
            </w:r>
          </w:p>
        </w:tc>
        <w:tc>
          <w:tcPr>
            <w:tcW w:w="2138" w:type="pct"/>
            <w:gridSpan w:val="2"/>
          </w:tcPr>
          <w:p w:rsidR="00906D0C" w:rsidRDefault="00906D0C" w:rsidP="007124A4">
            <w:pPr>
              <w:spacing w:line="240" w:lineRule="auto"/>
              <w:rPr>
                <w:rFonts w:cs="Arial"/>
                <w:b/>
                <w:bCs/>
                <w:lang w:val="en-GB"/>
              </w:rPr>
            </w:pPr>
            <w:r w:rsidRPr="005E0476">
              <w:rPr>
                <w:rFonts w:cs="Arial"/>
                <w:b/>
                <w:bCs/>
                <w:lang w:val="en-GB"/>
              </w:rPr>
              <w:t xml:space="preserve">Selected state budget expenditures </w:t>
            </w:r>
          </w:p>
          <w:p w:rsidR="00906D0C" w:rsidRPr="00866561" w:rsidRDefault="00906D0C" w:rsidP="007124A4">
            <w:pPr>
              <w:spacing w:line="240" w:lineRule="auto"/>
              <w:rPr>
                <w:rFonts w:cs="Arial"/>
                <w:b/>
                <w:bCs/>
                <w:spacing w:val="-2"/>
                <w:lang w:val="en-GB"/>
              </w:rPr>
            </w:pPr>
            <w:r w:rsidRPr="00866561">
              <w:rPr>
                <w:rFonts w:cs="Arial"/>
                <w:bCs/>
                <w:lang w:val="en-GB"/>
              </w:rPr>
              <w:t xml:space="preserve">(in </w:t>
            </w:r>
            <w:r>
              <w:rPr>
                <w:rFonts w:cs="Arial"/>
                <w:bCs/>
                <w:lang w:val="en-GB"/>
              </w:rPr>
              <w:t xml:space="preserve">CZK </w:t>
            </w:r>
            <w:proofErr w:type="spellStart"/>
            <w:r w:rsidRPr="00866561">
              <w:rPr>
                <w:rFonts w:cs="Arial"/>
                <w:bCs/>
                <w:lang w:val="en-GB"/>
              </w:rPr>
              <w:t>bn</w:t>
            </w:r>
            <w:proofErr w:type="spellEnd"/>
            <w:r w:rsidRPr="00866561">
              <w:rPr>
                <w:rFonts w:cs="Arial"/>
                <w:bCs/>
                <w:lang w:val="en-GB"/>
              </w:rPr>
              <w:t>)</w:t>
            </w:r>
          </w:p>
        </w:tc>
      </w:tr>
      <w:tr w:rsidR="00906D0C" w:rsidTr="00906D0C">
        <w:tc>
          <w:tcPr>
            <w:tcW w:w="2500" w:type="pct"/>
            <w:gridSpan w:val="4"/>
          </w:tcPr>
          <w:p w:rsidR="00906D0C" w:rsidRDefault="00906D0C" w:rsidP="007124A4">
            <w:pPr>
              <w:pStyle w:val="Textpoznpodarou"/>
              <w:jc w:val="both"/>
            </w:pPr>
            <w:r>
              <w:rPr>
                <w:noProof/>
              </w:rPr>
              <w:drawing>
                <wp:inline distT="0" distB="0" distL="0" distR="0">
                  <wp:extent cx="3077361" cy="2345635"/>
                  <wp:effectExtent l="19050" t="0" r="8739" b="0"/>
                  <wp:docPr id="1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a:stretch>
                            <a:fillRect/>
                          </a:stretch>
                        </pic:blipFill>
                        <pic:spPr bwMode="auto">
                          <a:xfrm>
                            <a:off x="0" y="0"/>
                            <a:ext cx="3077210" cy="2345520"/>
                          </a:xfrm>
                          <a:prstGeom prst="rect">
                            <a:avLst/>
                          </a:prstGeom>
                          <a:noFill/>
                          <a:ln w="9525">
                            <a:noFill/>
                            <a:miter lim="800000"/>
                            <a:headEnd/>
                            <a:tailEnd/>
                          </a:ln>
                        </pic:spPr>
                      </pic:pic>
                    </a:graphicData>
                  </a:graphic>
                </wp:inline>
              </w:drawing>
            </w:r>
          </w:p>
        </w:tc>
        <w:tc>
          <w:tcPr>
            <w:tcW w:w="2500" w:type="pct"/>
            <w:gridSpan w:val="3"/>
          </w:tcPr>
          <w:p w:rsidR="00906D0C" w:rsidRDefault="00906D0C" w:rsidP="007124A4">
            <w:pPr>
              <w:pStyle w:val="Textpoznpodarou"/>
              <w:jc w:val="both"/>
            </w:pPr>
            <w:r>
              <w:rPr>
                <w:noProof/>
              </w:rPr>
              <w:drawing>
                <wp:inline distT="0" distB="0" distL="0" distR="0">
                  <wp:extent cx="3077210" cy="2345690"/>
                  <wp:effectExtent l="19050" t="0" r="8890" b="0"/>
                  <wp:docPr id="2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3077210" cy="2345690"/>
                          </a:xfrm>
                          <a:prstGeom prst="rect">
                            <a:avLst/>
                          </a:prstGeom>
                          <a:noFill/>
                          <a:ln w="9525">
                            <a:noFill/>
                            <a:miter lim="800000"/>
                            <a:headEnd/>
                            <a:tailEnd/>
                          </a:ln>
                        </pic:spPr>
                      </pic:pic>
                    </a:graphicData>
                  </a:graphic>
                </wp:inline>
              </w:drawing>
            </w:r>
          </w:p>
        </w:tc>
      </w:tr>
      <w:tr w:rsidR="00906D0C" w:rsidTr="00906D0C">
        <w:tc>
          <w:tcPr>
            <w:tcW w:w="5000" w:type="pct"/>
            <w:gridSpan w:val="7"/>
          </w:tcPr>
          <w:p w:rsidR="00906D0C" w:rsidRPr="00A80F0A" w:rsidRDefault="00906D0C" w:rsidP="007124A4">
            <w:pPr>
              <w:pStyle w:val="Textpoznpodarou"/>
              <w:rPr>
                <w:sz w:val="18"/>
                <w:szCs w:val="18"/>
                <w:lang w:val="en-GB"/>
              </w:rPr>
            </w:pPr>
            <w:r w:rsidRPr="00A80F0A">
              <w:rPr>
                <w:sz w:val="18"/>
                <w:szCs w:val="18"/>
                <w:lang w:val="en-GB"/>
              </w:rPr>
              <w:t xml:space="preserve">*including the foster care benefits         </w:t>
            </w:r>
          </w:p>
          <w:p w:rsidR="00906D0C" w:rsidRPr="00A80F0A" w:rsidRDefault="00906D0C" w:rsidP="007124A4">
            <w:pPr>
              <w:pStyle w:val="Textpoznpodarou"/>
              <w:rPr>
                <w:sz w:val="18"/>
                <w:szCs w:val="18"/>
                <w:lang w:val="en-GB"/>
              </w:rPr>
            </w:pPr>
            <w:r w:rsidRPr="00A80F0A">
              <w:rPr>
                <w:sz w:val="18"/>
                <w:szCs w:val="18"/>
                <w:lang w:val="en-GB"/>
              </w:rPr>
              <w:t>**</w:t>
            </w:r>
            <w:r w:rsidRPr="00252E1B">
              <w:rPr>
                <w:rFonts w:cs="Arial"/>
                <w:sz w:val="18"/>
                <w:szCs w:val="18"/>
                <w:lang w:val="en-GB"/>
              </w:rPr>
              <w:t xml:space="preserve"> material deprivation assistance benefits, disability benefits,</w:t>
            </w:r>
            <w:r>
              <w:rPr>
                <w:rFonts w:cs="Arial"/>
                <w:sz w:val="18"/>
                <w:szCs w:val="18"/>
                <w:lang w:val="en-GB"/>
              </w:rPr>
              <w:t xml:space="preserve"> </w:t>
            </w:r>
            <w:r w:rsidRPr="00252E1B">
              <w:rPr>
                <w:rFonts w:cs="Arial"/>
                <w:sz w:val="18"/>
                <w:szCs w:val="18"/>
                <w:lang w:val="en-GB"/>
              </w:rPr>
              <w:t>contribution to care based on Act on State Social Support</w:t>
            </w:r>
          </w:p>
          <w:p w:rsidR="00906D0C" w:rsidRPr="009E6613" w:rsidRDefault="00906D0C" w:rsidP="007124A4">
            <w:pPr>
              <w:pStyle w:val="Textpoznpodarou"/>
              <w:rPr>
                <w:sz w:val="18"/>
                <w:szCs w:val="18"/>
              </w:rPr>
            </w:pPr>
            <w:r w:rsidRPr="00A80F0A">
              <w:rPr>
                <w:sz w:val="18"/>
                <w:szCs w:val="18"/>
                <w:lang w:val="en-GB"/>
              </w:rPr>
              <w:t xml:space="preserve">*** excluding interest and other Financial costs                                                                                    </w:t>
            </w:r>
            <w:proofErr w:type="spellStart"/>
            <w:r>
              <w:rPr>
                <w:sz w:val="18"/>
                <w:szCs w:val="18"/>
              </w:rPr>
              <w:t>Source</w:t>
            </w:r>
            <w:proofErr w:type="spellEnd"/>
            <w:r>
              <w:rPr>
                <w:rFonts w:cs="Arial"/>
                <w:sz w:val="18"/>
                <w:szCs w:val="18"/>
              </w:rPr>
              <w:t>: MF, MLSA</w:t>
            </w:r>
          </w:p>
        </w:tc>
      </w:tr>
    </w:tbl>
    <w:p w:rsidR="00977343" w:rsidRDefault="00977343" w:rsidP="00C2463B">
      <w:pPr>
        <w:pStyle w:val="Textpoznpodarou"/>
        <w:jc w:val="both"/>
        <w:rPr>
          <w:rFonts w:cs="Arial"/>
          <w:color w:val="000000" w:themeColor="text1"/>
          <w:spacing w:val="-2"/>
        </w:rPr>
      </w:pPr>
    </w:p>
    <w:p w:rsidR="00176709" w:rsidRDefault="00176709" w:rsidP="00C2463B">
      <w:pPr>
        <w:pStyle w:val="Textpoznpodarou"/>
        <w:jc w:val="both"/>
        <w:rPr>
          <w:rFonts w:cs="Arial"/>
          <w:color w:val="000000" w:themeColor="text1"/>
          <w:spacing w:val="-2"/>
        </w:rPr>
      </w:pPr>
    </w:p>
    <w:p w:rsidR="00176709" w:rsidRDefault="00176709" w:rsidP="00C2463B">
      <w:pPr>
        <w:pStyle w:val="Textpoznpodarou"/>
        <w:jc w:val="both"/>
        <w:rPr>
          <w:rFonts w:cs="Arial"/>
          <w:color w:val="000000" w:themeColor="text1"/>
          <w:spacing w:val="-2"/>
        </w:rPr>
      </w:pPr>
    </w:p>
    <w:tbl>
      <w:tblPr>
        <w:tblW w:w="5079" w:type="pct"/>
        <w:tblCellMar>
          <w:left w:w="28" w:type="dxa"/>
          <w:right w:w="28" w:type="dxa"/>
        </w:tblCellMar>
        <w:tblLook w:val="04A0"/>
      </w:tblPr>
      <w:tblGrid>
        <w:gridCol w:w="745"/>
        <w:gridCol w:w="4185"/>
        <w:gridCol w:w="715"/>
        <w:gridCol w:w="4202"/>
      </w:tblGrid>
      <w:tr w:rsidR="00906D0C" w:rsidRPr="00A80F0A" w:rsidTr="007124A4">
        <w:tc>
          <w:tcPr>
            <w:tcW w:w="382" w:type="pct"/>
          </w:tcPr>
          <w:p w:rsidR="00906D0C" w:rsidRDefault="00906D0C" w:rsidP="007124A4">
            <w:pPr>
              <w:spacing w:line="240" w:lineRule="auto"/>
            </w:pPr>
            <w:r>
              <w:lastRenderedPageBreak/>
              <w:t>Chart 21</w:t>
            </w:r>
          </w:p>
        </w:tc>
        <w:tc>
          <w:tcPr>
            <w:tcW w:w="2128" w:type="pct"/>
          </w:tcPr>
          <w:p w:rsidR="00906D0C" w:rsidRPr="00D90B56" w:rsidRDefault="00906D0C" w:rsidP="007124A4">
            <w:pPr>
              <w:spacing w:line="240" w:lineRule="auto"/>
              <w:rPr>
                <w:rFonts w:cs="Arial"/>
                <w:b/>
                <w:bCs/>
              </w:rPr>
            </w:pPr>
            <w:r w:rsidRPr="008F40E1">
              <w:rPr>
                <w:rFonts w:cs="Arial"/>
                <w:b/>
                <w:bCs/>
                <w:lang w:val="en-GB"/>
              </w:rPr>
              <w:t xml:space="preserve">Structure of the CR revenues from the EU budget, total net position </w:t>
            </w:r>
            <w:r w:rsidRPr="008F40E1">
              <w:rPr>
                <w:rFonts w:cs="Arial"/>
                <w:bCs/>
                <w:lang w:val="en-GB"/>
              </w:rPr>
              <w:t xml:space="preserve">(in </w:t>
            </w:r>
            <w:r>
              <w:rPr>
                <w:rFonts w:cs="Arial"/>
                <w:bCs/>
                <w:lang w:val="en-GB"/>
              </w:rPr>
              <w:t xml:space="preserve">CZK </w:t>
            </w:r>
            <w:proofErr w:type="spellStart"/>
            <w:r w:rsidRPr="008F40E1">
              <w:rPr>
                <w:rFonts w:cs="Arial"/>
                <w:bCs/>
                <w:lang w:val="en-GB"/>
              </w:rPr>
              <w:t>bn</w:t>
            </w:r>
            <w:proofErr w:type="spellEnd"/>
            <w:r w:rsidRPr="00A80F0A">
              <w:rPr>
                <w:rFonts w:cs="Arial"/>
                <w:bCs/>
                <w:lang w:val="en-GB"/>
              </w:rPr>
              <w:t>)</w:t>
            </w:r>
          </w:p>
        </w:tc>
        <w:tc>
          <w:tcPr>
            <w:tcW w:w="362" w:type="pct"/>
          </w:tcPr>
          <w:p w:rsidR="00906D0C" w:rsidRDefault="00906D0C" w:rsidP="007124A4">
            <w:pPr>
              <w:spacing w:line="240" w:lineRule="auto"/>
            </w:pPr>
            <w:r>
              <w:t>Chart 22</w:t>
            </w:r>
          </w:p>
        </w:tc>
        <w:tc>
          <w:tcPr>
            <w:tcW w:w="2129" w:type="pct"/>
          </w:tcPr>
          <w:p w:rsidR="00906D0C" w:rsidRDefault="00906D0C" w:rsidP="007124A4">
            <w:pPr>
              <w:spacing w:line="240" w:lineRule="auto"/>
              <w:rPr>
                <w:rFonts w:cs="Arial"/>
                <w:bCs/>
                <w:spacing w:val="-2"/>
                <w:lang w:val="en-GB"/>
              </w:rPr>
            </w:pPr>
            <w:r>
              <w:rPr>
                <w:rFonts w:cs="Arial"/>
                <w:b/>
                <w:bCs/>
                <w:spacing w:val="-2"/>
                <w:lang w:val="en-GB"/>
              </w:rPr>
              <w:t xml:space="preserve">Revenues and expenditures on pensions from the State budget </w:t>
            </w:r>
            <w:r w:rsidRPr="00A80F0A">
              <w:rPr>
                <w:rFonts w:cs="Arial"/>
                <w:bCs/>
                <w:spacing w:val="-2"/>
                <w:lang w:val="en-GB"/>
              </w:rPr>
              <w:t>(y/y, in %)</w:t>
            </w:r>
            <w:r>
              <w:rPr>
                <w:rFonts w:cs="Arial"/>
                <w:bCs/>
                <w:spacing w:val="-2"/>
                <w:lang w:val="en-GB"/>
              </w:rPr>
              <w:t xml:space="preserve"> </w:t>
            </w:r>
          </w:p>
          <w:p w:rsidR="00906D0C" w:rsidRPr="00A80F0A" w:rsidRDefault="00906D0C" w:rsidP="007124A4">
            <w:pPr>
              <w:spacing w:line="240" w:lineRule="auto"/>
              <w:rPr>
                <w:rFonts w:cs="Arial"/>
                <w:b/>
                <w:bCs/>
                <w:spacing w:val="-2"/>
                <w:lang w:val="en-GB"/>
              </w:rPr>
            </w:pPr>
            <w:r w:rsidRPr="00A80F0A">
              <w:rPr>
                <w:rFonts w:cs="Arial"/>
                <w:b/>
                <w:bCs/>
                <w:spacing w:val="-2"/>
                <w:lang w:val="en-GB"/>
              </w:rPr>
              <w:t>a</w:t>
            </w:r>
            <w:r>
              <w:rPr>
                <w:rFonts w:cs="Arial"/>
                <w:b/>
                <w:bCs/>
                <w:spacing w:val="-2"/>
                <w:lang w:val="en-GB"/>
              </w:rPr>
              <w:t xml:space="preserve">nd pension account balance </w:t>
            </w:r>
            <w:r w:rsidRPr="00A80F0A">
              <w:rPr>
                <w:rFonts w:cs="Arial"/>
                <w:bCs/>
                <w:spacing w:val="-2"/>
                <w:lang w:val="en-GB"/>
              </w:rPr>
              <w:t xml:space="preserve">(in </w:t>
            </w:r>
            <w:r>
              <w:rPr>
                <w:rFonts w:cs="Arial"/>
                <w:bCs/>
                <w:spacing w:val="-2"/>
                <w:lang w:val="en-GB"/>
              </w:rPr>
              <w:t xml:space="preserve">CZK </w:t>
            </w:r>
            <w:proofErr w:type="spellStart"/>
            <w:r w:rsidRPr="00A80F0A">
              <w:rPr>
                <w:rFonts w:cs="Arial"/>
                <w:bCs/>
                <w:spacing w:val="-2"/>
                <w:lang w:val="en-GB"/>
              </w:rPr>
              <w:t>bn</w:t>
            </w:r>
            <w:proofErr w:type="spellEnd"/>
            <w:r w:rsidRPr="00A80F0A">
              <w:rPr>
                <w:rFonts w:cs="Arial"/>
                <w:bCs/>
                <w:spacing w:val="-2"/>
                <w:lang w:val="en-GB"/>
              </w:rPr>
              <w:t>)</w:t>
            </w:r>
            <w:r w:rsidRPr="00A80F0A">
              <w:rPr>
                <w:rFonts w:cs="Arial"/>
                <w:bCs/>
                <w:lang w:val="en-GB"/>
              </w:rPr>
              <w:t xml:space="preserve"> </w:t>
            </w:r>
          </w:p>
        </w:tc>
      </w:tr>
      <w:tr w:rsidR="00906D0C" w:rsidTr="007124A4">
        <w:tc>
          <w:tcPr>
            <w:tcW w:w="2509" w:type="pct"/>
            <w:gridSpan w:val="2"/>
          </w:tcPr>
          <w:p w:rsidR="00906D0C" w:rsidRDefault="00906D0C" w:rsidP="007124A4">
            <w:pPr>
              <w:pStyle w:val="Textpoznpodarou"/>
              <w:jc w:val="both"/>
            </w:pPr>
            <w:r>
              <w:rPr>
                <w:noProof/>
              </w:rPr>
              <w:drawing>
                <wp:inline distT="0" distB="0" distL="0" distR="0">
                  <wp:extent cx="3045610" cy="2274073"/>
                  <wp:effectExtent l="19050" t="0" r="2390" b="0"/>
                  <wp:docPr id="1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srcRect/>
                          <a:stretch>
                            <a:fillRect/>
                          </a:stretch>
                        </pic:blipFill>
                        <pic:spPr bwMode="auto">
                          <a:xfrm>
                            <a:off x="0" y="0"/>
                            <a:ext cx="3045460" cy="2273961"/>
                          </a:xfrm>
                          <a:prstGeom prst="rect">
                            <a:avLst/>
                          </a:prstGeom>
                          <a:noFill/>
                          <a:ln w="9525">
                            <a:noFill/>
                            <a:miter lim="800000"/>
                            <a:headEnd/>
                            <a:tailEnd/>
                          </a:ln>
                        </pic:spPr>
                      </pic:pic>
                    </a:graphicData>
                  </a:graphic>
                </wp:inline>
              </w:drawing>
            </w:r>
          </w:p>
        </w:tc>
        <w:tc>
          <w:tcPr>
            <w:tcW w:w="2491" w:type="pct"/>
            <w:gridSpan w:val="2"/>
          </w:tcPr>
          <w:p w:rsidR="00906D0C" w:rsidRDefault="00906D0C" w:rsidP="007124A4">
            <w:pPr>
              <w:pStyle w:val="Textpoznpodarou"/>
              <w:jc w:val="both"/>
            </w:pPr>
            <w:r>
              <w:rPr>
                <w:noProof/>
              </w:rPr>
              <w:drawing>
                <wp:inline distT="0" distB="0" distL="0" distR="0">
                  <wp:extent cx="3065421" cy="2274073"/>
                  <wp:effectExtent l="19050" t="0" r="1629" b="0"/>
                  <wp:docPr id="3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srcRect/>
                          <a:stretch>
                            <a:fillRect/>
                          </a:stretch>
                        </pic:blipFill>
                        <pic:spPr bwMode="auto">
                          <a:xfrm>
                            <a:off x="0" y="0"/>
                            <a:ext cx="3069430" cy="2277047"/>
                          </a:xfrm>
                          <a:prstGeom prst="rect">
                            <a:avLst/>
                          </a:prstGeom>
                          <a:noFill/>
                          <a:ln w="9525">
                            <a:noFill/>
                            <a:miter lim="800000"/>
                            <a:headEnd/>
                            <a:tailEnd/>
                          </a:ln>
                        </pic:spPr>
                      </pic:pic>
                    </a:graphicData>
                  </a:graphic>
                </wp:inline>
              </w:drawing>
            </w:r>
          </w:p>
        </w:tc>
      </w:tr>
      <w:tr w:rsidR="00906D0C" w:rsidRPr="00DC7315" w:rsidTr="007124A4">
        <w:tc>
          <w:tcPr>
            <w:tcW w:w="5000" w:type="pct"/>
            <w:gridSpan w:val="4"/>
          </w:tcPr>
          <w:p w:rsidR="00906D0C" w:rsidRPr="00DC7315" w:rsidRDefault="00906D0C" w:rsidP="007124A4">
            <w:pPr>
              <w:autoSpaceDE w:val="0"/>
              <w:autoSpaceDN w:val="0"/>
              <w:adjustRightInd w:val="0"/>
              <w:spacing w:line="240" w:lineRule="auto"/>
              <w:rPr>
                <w:rFonts w:cs="Arial"/>
                <w:color w:val="000000" w:themeColor="text1"/>
                <w:spacing w:val="-2"/>
                <w:sz w:val="18"/>
                <w:szCs w:val="18"/>
                <w:lang w:val="en-GB"/>
              </w:rPr>
            </w:pPr>
            <w:r w:rsidRPr="00DC7315">
              <w:rPr>
                <w:sz w:val="18"/>
                <w:szCs w:val="18"/>
                <w:lang w:val="en-GB" w:eastAsia="ar-SA"/>
              </w:rPr>
              <w:t>*</w:t>
            </w:r>
            <w:r w:rsidRPr="00DC7315">
              <w:rPr>
                <w:rFonts w:cs="Arial"/>
                <w:color w:val="000000" w:themeColor="text1"/>
                <w:spacing w:val="-2"/>
                <w:sz w:val="18"/>
                <w:szCs w:val="18"/>
                <w:lang w:val="en-GB"/>
              </w:rPr>
              <w:t xml:space="preserve">include programmes directly governed by the Commission (Horizon 2020, </w:t>
            </w:r>
            <w:r>
              <w:rPr>
                <w:rFonts w:cs="Arial"/>
                <w:color w:val="000000" w:themeColor="text1"/>
                <w:spacing w:val="-2"/>
                <w:sz w:val="18"/>
                <w:szCs w:val="18"/>
                <w:lang w:val="en-GB"/>
              </w:rPr>
              <w:t>Tool for interconnection of Europe</w:t>
            </w:r>
            <w:r w:rsidRPr="00DC7315">
              <w:rPr>
                <w:rFonts w:cs="Arial"/>
                <w:color w:val="000000" w:themeColor="text1"/>
                <w:spacing w:val="-2"/>
                <w:sz w:val="18"/>
                <w:szCs w:val="18"/>
                <w:lang w:val="en-GB"/>
              </w:rPr>
              <w:t xml:space="preserve">, Erasmus+)     </w:t>
            </w:r>
          </w:p>
          <w:p w:rsidR="00906D0C" w:rsidRPr="00DC7315" w:rsidRDefault="00906D0C" w:rsidP="007124A4">
            <w:pPr>
              <w:autoSpaceDE w:val="0"/>
              <w:autoSpaceDN w:val="0"/>
              <w:adjustRightInd w:val="0"/>
              <w:spacing w:line="240" w:lineRule="auto"/>
              <w:jc w:val="right"/>
              <w:rPr>
                <w:rFonts w:cs="Arial"/>
                <w:color w:val="000000" w:themeColor="text1"/>
                <w:spacing w:val="-2"/>
                <w:sz w:val="18"/>
                <w:szCs w:val="18"/>
                <w:lang w:val="en-GB"/>
              </w:rPr>
            </w:pPr>
            <w:r w:rsidRPr="00DC7315">
              <w:rPr>
                <w:rFonts w:cs="Arial"/>
                <w:color w:val="000000" w:themeColor="text1"/>
                <w:spacing w:val="-2"/>
                <w:sz w:val="18"/>
                <w:szCs w:val="18"/>
                <w:lang w:val="en-GB"/>
              </w:rPr>
              <w:t>Source</w:t>
            </w:r>
            <w:r w:rsidRPr="00DC7315">
              <w:rPr>
                <w:rFonts w:cs="Arial"/>
                <w:sz w:val="18"/>
                <w:szCs w:val="18"/>
                <w:lang w:val="en-GB"/>
              </w:rPr>
              <w:t xml:space="preserve">: MF, </w:t>
            </w:r>
            <w:r>
              <w:rPr>
                <w:rFonts w:cs="Arial"/>
                <w:sz w:val="18"/>
                <w:szCs w:val="18"/>
                <w:lang w:val="en-GB"/>
              </w:rPr>
              <w:t>CSSA</w:t>
            </w:r>
          </w:p>
        </w:tc>
      </w:tr>
    </w:tbl>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06D0C" w:rsidRDefault="00906D0C" w:rsidP="00C2463B">
      <w:pPr>
        <w:pStyle w:val="Textpoznpodarou"/>
        <w:jc w:val="both"/>
        <w:rPr>
          <w:rFonts w:cs="Arial"/>
          <w:color w:val="000000" w:themeColor="text1"/>
          <w:spacing w:val="-2"/>
        </w:rPr>
      </w:pPr>
    </w:p>
    <w:p w:rsidR="00906D0C" w:rsidRDefault="00906D0C"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815F72" w:rsidRDefault="00815F72"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977343" w:rsidRDefault="00977343" w:rsidP="00C2463B">
      <w:pPr>
        <w:pStyle w:val="Textpoznpodarou"/>
        <w:jc w:val="both"/>
        <w:rPr>
          <w:rFonts w:cs="Arial"/>
          <w:color w:val="000000" w:themeColor="text1"/>
          <w:spacing w:val="-2"/>
        </w:rPr>
      </w:pPr>
    </w:p>
    <w:p w:rsidR="00815F72" w:rsidRPr="00617B14" w:rsidRDefault="00815F72" w:rsidP="00815F72">
      <w:pPr>
        <w:pStyle w:val="Textpoznpodarou"/>
        <w:jc w:val="both"/>
        <w:rPr>
          <w:rFonts w:cs="Arial"/>
          <w:color w:val="000000" w:themeColor="text1"/>
          <w:spacing w:val="-2"/>
          <w:lang w:val="en-GB"/>
        </w:rPr>
      </w:pPr>
      <w:r w:rsidRPr="00617B14">
        <w:rPr>
          <w:rFonts w:cs="Arial"/>
          <w:color w:val="000000" w:themeColor="text1"/>
          <w:spacing w:val="-2"/>
          <w:lang w:val="en-GB"/>
        </w:rPr>
        <w:t xml:space="preserve">Sources of data in the whole analysis: CZSO, </w:t>
      </w:r>
      <w:r>
        <w:rPr>
          <w:rFonts w:cs="Arial"/>
          <w:color w:val="000000" w:themeColor="text1"/>
          <w:spacing w:val="-2"/>
          <w:lang w:val="en-GB"/>
        </w:rPr>
        <w:t>Ministry of Finance (</w:t>
      </w:r>
      <w:r w:rsidRPr="00617B14">
        <w:rPr>
          <w:rFonts w:cs="Arial"/>
          <w:color w:val="000000" w:themeColor="text1"/>
          <w:spacing w:val="-2"/>
          <w:lang w:val="en-GB"/>
        </w:rPr>
        <w:t>MF CR</w:t>
      </w:r>
      <w:r>
        <w:rPr>
          <w:rFonts w:cs="Arial"/>
          <w:color w:val="000000" w:themeColor="text1"/>
          <w:spacing w:val="-2"/>
          <w:lang w:val="en-GB"/>
        </w:rPr>
        <w:t>)</w:t>
      </w:r>
      <w:r w:rsidRPr="00617B14">
        <w:rPr>
          <w:rFonts w:cs="Arial"/>
          <w:color w:val="000000" w:themeColor="text1"/>
          <w:spacing w:val="-2"/>
          <w:lang w:val="en-GB"/>
        </w:rPr>
        <w:t xml:space="preserve">, </w:t>
      </w:r>
      <w:r>
        <w:rPr>
          <w:rFonts w:cs="Arial"/>
          <w:color w:val="000000" w:themeColor="text1"/>
          <w:spacing w:val="-2"/>
          <w:lang w:val="en-GB"/>
        </w:rPr>
        <w:t>Czech National Bank (</w:t>
      </w:r>
      <w:r w:rsidRPr="00617B14">
        <w:rPr>
          <w:rFonts w:cs="Arial"/>
          <w:color w:val="000000" w:themeColor="text1"/>
          <w:spacing w:val="-2"/>
          <w:lang w:val="en-GB"/>
        </w:rPr>
        <w:t>CNB</w:t>
      </w:r>
      <w:r>
        <w:rPr>
          <w:rFonts w:cs="Arial"/>
          <w:color w:val="000000" w:themeColor="text1"/>
          <w:spacing w:val="-2"/>
          <w:lang w:val="en-GB"/>
        </w:rPr>
        <w:t>)</w:t>
      </w:r>
      <w:r w:rsidRPr="00617B14">
        <w:rPr>
          <w:rFonts w:cs="Arial"/>
          <w:color w:val="000000" w:themeColor="text1"/>
          <w:spacing w:val="-2"/>
          <w:lang w:val="en-GB"/>
        </w:rPr>
        <w:t>,</w:t>
      </w:r>
      <w:r>
        <w:rPr>
          <w:rFonts w:cs="Arial"/>
          <w:color w:val="000000" w:themeColor="text1"/>
          <w:spacing w:val="-2"/>
          <w:lang w:val="en-GB"/>
        </w:rPr>
        <w:t xml:space="preserve"> Ministry of Labour and Social Affairs (</w:t>
      </w:r>
      <w:r w:rsidRPr="00617B14">
        <w:rPr>
          <w:rFonts w:cs="Arial"/>
          <w:color w:val="000000" w:themeColor="text1"/>
          <w:spacing w:val="-2"/>
          <w:lang w:val="en-GB"/>
        </w:rPr>
        <w:t>MLSA</w:t>
      </w:r>
      <w:r>
        <w:rPr>
          <w:rFonts w:cs="Arial"/>
          <w:color w:val="000000" w:themeColor="text1"/>
          <w:spacing w:val="-2"/>
          <w:lang w:val="en-GB"/>
        </w:rPr>
        <w:t>)</w:t>
      </w:r>
      <w:r w:rsidRPr="00617B14">
        <w:rPr>
          <w:rFonts w:cs="Arial"/>
          <w:color w:val="000000" w:themeColor="text1"/>
          <w:spacing w:val="-2"/>
          <w:lang w:val="en-GB"/>
        </w:rPr>
        <w:t xml:space="preserve">, </w:t>
      </w:r>
      <w:r>
        <w:rPr>
          <w:rFonts w:cs="Arial"/>
          <w:color w:val="000000" w:themeColor="text1"/>
          <w:spacing w:val="-2"/>
          <w:lang w:val="en-GB"/>
        </w:rPr>
        <w:t>Czech Social Security Administration (</w:t>
      </w:r>
      <w:r w:rsidRPr="00617B14">
        <w:rPr>
          <w:rFonts w:cs="Arial"/>
          <w:color w:val="000000" w:themeColor="text1"/>
          <w:spacing w:val="-2"/>
          <w:lang w:val="en-GB"/>
        </w:rPr>
        <w:t>CSSA</w:t>
      </w:r>
      <w:r>
        <w:rPr>
          <w:rFonts w:cs="Arial"/>
          <w:color w:val="000000" w:themeColor="text1"/>
          <w:spacing w:val="-2"/>
          <w:lang w:val="en-GB"/>
        </w:rPr>
        <w:t>)</w:t>
      </w:r>
      <w:r w:rsidRPr="00617B14">
        <w:rPr>
          <w:rFonts w:cs="Arial"/>
          <w:color w:val="000000" w:themeColor="text1"/>
          <w:spacing w:val="-2"/>
          <w:lang w:val="en-GB"/>
        </w:rPr>
        <w:t xml:space="preserve">, </w:t>
      </w:r>
      <w:proofErr w:type="spellStart"/>
      <w:r w:rsidRPr="00617B14">
        <w:rPr>
          <w:rFonts w:cs="Arial"/>
          <w:color w:val="000000" w:themeColor="text1"/>
          <w:spacing w:val="-2"/>
          <w:lang w:val="en-GB"/>
        </w:rPr>
        <w:t>Eurostat</w:t>
      </w:r>
      <w:proofErr w:type="spellEnd"/>
      <w:r w:rsidRPr="00617B14">
        <w:rPr>
          <w:rFonts w:cs="Arial"/>
          <w:color w:val="000000" w:themeColor="text1"/>
          <w:spacing w:val="-2"/>
          <w:lang w:val="en-GB"/>
        </w:rPr>
        <w:t>, CZSO calculations.</w:t>
      </w:r>
    </w:p>
    <w:p w:rsidR="00977343" w:rsidRDefault="00815F72" w:rsidP="00C2463B">
      <w:pPr>
        <w:pStyle w:val="Textpoznpodarou"/>
        <w:jc w:val="both"/>
        <w:rPr>
          <w:rFonts w:cs="Arial"/>
          <w:color w:val="000000" w:themeColor="text1"/>
          <w:spacing w:val="-2"/>
        </w:rPr>
      </w:pPr>
      <w:r w:rsidRPr="00617B14">
        <w:rPr>
          <w:rFonts w:cs="Arial"/>
          <w:color w:val="000000" w:themeColor="text1"/>
          <w:spacing w:val="-2"/>
          <w:lang w:val="en-GB"/>
        </w:rPr>
        <w:t>Latest information provided in this report has been dated the 15</w:t>
      </w:r>
      <w:r w:rsidRPr="00617B14">
        <w:rPr>
          <w:rFonts w:cs="Arial"/>
          <w:color w:val="000000" w:themeColor="text1"/>
          <w:spacing w:val="-2"/>
          <w:vertAlign w:val="superscript"/>
          <w:lang w:val="en-GB"/>
        </w:rPr>
        <w:t>th</w:t>
      </w:r>
      <w:r w:rsidRPr="00617B14">
        <w:rPr>
          <w:rFonts w:cs="Arial"/>
          <w:color w:val="000000" w:themeColor="text1"/>
          <w:spacing w:val="-2"/>
          <w:lang w:val="en-GB"/>
        </w:rPr>
        <w:t xml:space="preserve"> March 2016.</w:t>
      </w:r>
    </w:p>
    <w:sectPr w:rsidR="00977343" w:rsidSect="00D43998">
      <w:headerReference w:type="even" r:id="rId34"/>
      <w:headerReference w:type="default" r:id="rId35"/>
      <w:footerReference w:type="even" r:id="rId36"/>
      <w:footerReference w:type="default" r:id="rId37"/>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BB3" w:rsidRDefault="00DA4BB3" w:rsidP="00E71A58">
      <w:r>
        <w:separator/>
      </w:r>
    </w:p>
  </w:endnote>
  <w:endnote w:type="continuationSeparator" w:id="0">
    <w:p w:rsidR="00DA4BB3" w:rsidRDefault="00DA4BB3"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0" w:rsidRDefault="00FA0110"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704"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1" name="obrázek 142"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2"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FA0110" w:rsidRPr="00223E00" w:rsidRDefault="00FA011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36700F"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36700F" w:rsidRPr="00223E00">
      <w:rPr>
        <w:rFonts w:ascii="Arial" w:hAnsi="Arial" w:cs="Arial"/>
        <w:sz w:val="16"/>
        <w:szCs w:val="16"/>
      </w:rPr>
      <w:fldChar w:fldCharType="separate"/>
    </w:r>
    <w:r w:rsidR="00126DD1">
      <w:rPr>
        <w:rFonts w:ascii="Arial" w:hAnsi="Arial" w:cs="Arial"/>
        <w:noProof/>
        <w:sz w:val="16"/>
        <w:szCs w:val="16"/>
      </w:rPr>
      <w:t>3</w:t>
    </w:r>
    <w:r w:rsidR="0036700F"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0" w:rsidRDefault="00FA0110"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36700F" w:rsidRPr="005A21E0">
      <w:rPr>
        <w:rFonts w:ascii="Arial" w:hAnsi="Arial" w:cs="Arial"/>
        <w:sz w:val="16"/>
        <w:szCs w:val="16"/>
      </w:rPr>
      <w:fldChar w:fldCharType="begin"/>
    </w:r>
    <w:r w:rsidRPr="005A21E0">
      <w:rPr>
        <w:rFonts w:ascii="Arial" w:hAnsi="Arial" w:cs="Arial"/>
        <w:sz w:val="16"/>
        <w:szCs w:val="16"/>
      </w:rPr>
      <w:instrText>PAGE   \* MERGEFORMAT</w:instrText>
    </w:r>
    <w:r w:rsidR="0036700F" w:rsidRPr="005A21E0">
      <w:rPr>
        <w:rFonts w:ascii="Arial" w:hAnsi="Arial" w:cs="Arial"/>
        <w:sz w:val="16"/>
        <w:szCs w:val="16"/>
      </w:rPr>
      <w:fldChar w:fldCharType="separate"/>
    </w:r>
    <w:r w:rsidR="00126DD1">
      <w:rPr>
        <w:rFonts w:ascii="Arial" w:hAnsi="Arial" w:cs="Arial"/>
        <w:noProof/>
        <w:sz w:val="16"/>
        <w:szCs w:val="16"/>
      </w:rPr>
      <w:t>8</w:t>
    </w:r>
    <w:r w:rsidR="0036700F" w:rsidRPr="005A21E0">
      <w:rPr>
        <w:rFonts w:ascii="Arial" w:hAnsi="Arial" w:cs="Arial"/>
        <w:sz w:val="16"/>
        <w:szCs w:val="16"/>
      </w:rPr>
      <w:fldChar w:fldCharType="end"/>
    </w:r>
    <w:r>
      <w:rPr>
        <w:rFonts w:ascii="Arial" w:hAnsi="Arial" w:cs="Arial"/>
        <w:sz w:val="16"/>
        <w:szCs w:val="16"/>
      </w:rPr>
      <w:tab/>
      <w:t>2016</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0" w:rsidRDefault="00FA0110"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FA0110" w:rsidRPr="00223E00" w:rsidRDefault="00FA011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36700F"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36700F" w:rsidRPr="00223E00">
      <w:rPr>
        <w:rFonts w:ascii="Arial" w:hAnsi="Arial" w:cs="Arial"/>
        <w:sz w:val="16"/>
        <w:szCs w:val="16"/>
      </w:rPr>
      <w:fldChar w:fldCharType="separate"/>
    </w:r>
    <w:r w:rsidR="00126DD1">
      <w:rPr>
        <w:rFonts w:ascii="Arial" w:hAnsi="Arial" w:cs="Arial"/>
        <w:noProof/>
        <w:sz w:val="16"/>
        <w:szCs w:val="16"/>
      </w:rPr>
      <w:t>9</w:t>
    </w:r>
    <w:r w:rsidR="0036700F"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BB3" w:rsidRDefault="00DA4BB3" w:rsidP="00E71A58">
      <w:r>
        <w:separator/>
      </w:r>
    </w:p>
  </w:footnote>
  <w:footnote w:type="continuationSeparator" w:id="0">
    <w:p w:rsidR="00DA4BB3" w:rsidRDefault="00DA4BB3" w:rsidP="00E71A58">
      <w:r>
        <w:continuationSeparator/>
      </w:r>
    </w:p>
  </w:footnote>
  <w:footnote w:id="1">
    <w:p w:rsidR="00FA0110" w:rsidRPr="000A2525" w:rsidRDefault="00FA0110" w:rsidP="006E4832">
      <w:pPr>
        <w:pStyle w:val="Textpoznpodarou"/>
        <w:jc w:val="both"/>
        <w:rPr>
          <w:sz w:val="16"/>
          <w:szCs w:val="16"/>
          <w:lang w:val="en-GB"/>
        </w:rPr>
      </w:pPr>
      <w:r w:rsidRPr="002115F5">
        <w:rPr>
          <w:rStyle w:val="Znakapoznpodarou"/>
          <w:sz w:val="16"/>
          <w:szCs w:val="16"/>
        </w:rPr>
        <w:footnoteRef/>
      </w:r>
      <w:r>
        <w:rPr>
          <w:sz w:val="16"/>
          <w:szCs w:val="16"/>
        </w:rPr>
        <w:t xml:space="preserve"> </w:t>
      </w:r>
      <w:r w:rsidRPr="000A2525">
        <w:rPr>
          <w:sz w:val="16"/>
          <w:szCs w:val="16"/>
          <w:lang w:val="en-GB"/>
        </w:rPr>
        <w:t>The data regarding GDP, gross value added and their components are expressed in real terms and adjusted for seasonal and calendar effects.</w:t>
      </w:r>
    </w:p>
  </w:footnote>
  <w:footnote w:id="2">
    <w:p w:rsidR="00FA0110" w:rsidRPr="000A2525" w:rsidRDefault="00FA0110" w:rsidP="006E4832">
      <w:pPr>
        <w:pStyle w:val="Textpoznpodarou"/>
        <w:rPr>
          <w:lang w:val="en-GB"/>
        </w:rPr>
      </w:pPr>
      <w:r w:rsidRPr="000A2525">
        <w:rPr>
          <w:rStyle w:val="Znakapoznpodarou"/>
          <w:sz w:val="16"/>
          <w:szCs w:val="16"/>
          <w:lang w:val="en-GB"/>
        </w:rPr>
        <w:footnoteRef/>
      </w:r>
      <w:r w:rsidRPr="000A2525">
        <w:rPr>
          <w:sz w:val="16"/>
          <w:szCs w:val="16"/>
          <w:lang w:val="en-GB"/>
        </w:rPr>
        <w:t xml:space="preserve"> </w:t>
      </w:r>
      <w:r>
        <w:rPr>
          <w:sz w:val="16"/>
          <w:szCs w:val="16"/>
          <w:lang w:val="en-GB"/>
        </w:rPr>
        <w:t xml:space="preserve">Contributions to </w:t>
      </w:r>
      <w:r w:rsidRPr="00AE2DA2">
        <w:rPr>
          <w:sz w:val="16"/>
          <w:szCs w:val="16"/>
          <w:lang w:val="en-GB"/>
        </w:rPr>
        <w:t xml:space="preserve">GDP </w:t>
      </w:r>
      <w:r>
        <w:rPr>
          <w:sz w:val="16"/>
          <w:szCs w:val="16"/>
          <w:lang w:val="en-GB"/>
        </w:rPr>
        <w:t>change not excluding the import</w:t>
      </w:r>
      <w:r w:rsidRPr="00AE2DA2">
        <w:rPr>
          <w:sz w:val="16"/>
          <w:szCs w:val="16"/>
          <w:lang w:val="en-GB"/>
        </w:rPr>
        <w:t xml:space="preserve"> for final use</w:t>
      </w:r>
      <w:r w:rsidRPr="000A2525">
        <w:rPr>
          <w:sz w:val="16"/>
          <w:szCs w:val="16"/>
          <w:lang w:val="en-GB"/>
        </w:rPr>
        <w:t>.</w:t>
      </w:r>
    </w:p>
  </w:footnote>
  <w:footnote w:id="3">
    <w:p w:rsidR="00FA0110" w:rsidRPr="002115F5" w:rsidRDefault="00FA0110" w:rsidP="006E4832">
      <w:pPr>
        <w:pStyle w:val="Textpoznpodarou"/>
        <w:jc w:val="both"/>
        <w:rPr>
          <w:sz w:val="16"/>
          <w:szCs w:val="16"/>
        </w:rPr>
      </w:pPr>
      <w:r w:rsidRPr="002115F5">
        <w:rPr>
          <w:rStyle w:val="Znakapoznpodarou"/>
          <w:sz w:val="16"/>
          <w:szCs w:val="16"/>
        </w:rPr>
        <w:footnoteRef/>
      </w:r>
      <w:r w:rsidRPr="002115F5">
        <w:rPr>
          <w:sz w:val="16"/>
          <w:szCs w:val="16"/>
        </w:rPr>
        <w:t xml:space="preserve"> </w:t>
      </w:r>
      <w:r w:rsidRPr="0082601B">
        <w:rPr>
          <w:sz w:val="16"/>
          <w:szCs w:val="16"/>
          <w:lang w:val="en-GB"/>
        </w:rPr>
        <w:t xml:space="preserve">Unless stated otherwise, data </w:t>
      </w:r>
      <w:r>
        <w:rPr>
          <w:sz w:val="16"/>
          <w:szCs w:val="16"/>
          <w:lang w:val="en-GB"/>
        </w:rPr>
        <w:t>r</w:t>
      </w:r>
      <w:r w:rsidRPr="0082601B">
        <w:rPr>
          <w:sz w:val="16"/>
          <w:szCs w:val="16"/>
          <w:lang w:val="en-GB"/>
        </w:rPr>
        <w:t>elated to the GDP and its components are expressed in real terms and adjusted for seasonal and calendar effects. The same is valid for the gross value added.</w:t>
      </w:r>
    </w:p>
  </w:footnote>
  <w:footnote w:id="4">
    <w:p w:rsidR="00FA0110" w:rsidRPr="002115F5" w:rsidRDefault="00FA0110" w:rsidP="006E4832">
      <w:pPr>
        <w:pStyle w:val="Textpoznpodarou"/>
        <w:jc w:val="both"/>
        <w:rPr>
          <w:sz w:val="16"/>
          <w:szCs w:val="16"/>
        </w:rPr>
      </w:pPr>
      <w:r w:rsidRPr="002115F5">
        <w:rPr>
          <w:sz w:val="16"/>
          <w:szCs w:val="16"/>
          <w:vertAlign w:val="superscript"/>
        </w:rPr>
        <w:footnoteRef/>
      </w:r>
      <w:r w:rsidRPr="002115F5">
        <w:rPr>
          <w:sz w:val="16"/>
          <w:szCs w:val="16"/>
        </w:rPr>
        <w:t xml:space="preserve"> </w:t>
      </w:r>
      <w:r w:rsidRPr="00A903FE">
        <w:rPr>
          <w:sz w:val="16"/>
          <w:szCs w:val="16"/>
          <w:lang w:val="en-GB"/>
        </w:rPr>
        <w:t>Seasonal adjustment affected the quarter-o</w:t>
      </w:r>
      <w:r>
        <w:rPr>
          <w:sz w:val="16"/>
          <w:szCs w:val="16"/>
          <w:lang w:val="en-GB"/>
        </w:rPr>
        <w:t>n-quarter rates of growth of balance</w:t>
      </w:r>
      <w:r w:rsidRPr="00A903FE">
        <w:rPr>
          <w:sz w:val="16"/>
          <w:szCs w:val="16"/>
          <w:lang w:val="en-GB"/>
        </w:rPr>
        <w:t xml:space="preserve"> </w:t>
      </w:r>
      <w:r>
        <w:rPr>
          <w:sz w:val="16"/>
          <w:szCs w:val="16"/>
          <w:lang w:val="en-GB"/>
        </w:rPr>
        <w:t>of taxes on</w:t>
      </w:r>
      <w:r w:rsidRPr="00A903FE">
        <w:rPr>
          <w:sz w:val="16"/>
          <w:szCs w:val="16"/>
          <w:lang w:val="en-GB"/>
        </w:rPr>
        <w:t xml:space="preserve"> products and subsidies on products at the beginning and at the end of the year. The quarter-on-quarter dynamics was affected favourabl</w:t>
      </w:r>
      <w:r>
        <w:rPr>
          <w:sz w:val="16"/>
          <w:szCs w:val="16"/>
          <w:lang w:val="en-GB"/>
        </w:rPr>
        <w:t>y in Q1 2015</w:t>
      </w:r>
      <w:r w:rsidRPr="00A903FE">
        <w:rPr>
          <w:sz w:val="16"/>
          <w:szCs w:val="16"/>
          <w:lang w:val="en-GB"/>
        </w:rPr>
        <w:t xml:space="preserve"> </w:t>
      </w:r>
      <w:r>
        <w:rPr>
          <w:sz w:val="16"/>
          <w:szCs w:val="16"/>
          <w:lang w:val="en-GB"/>
        </w:rPr>
        <w:t>and</w:t>
      </w:r>
      <w:r w:rsidRPr="00A903FE">
        <w:rPr>
          <w:sz w:val="16"/>
          <w:szCs w:val="16"/>
          <w:lang w:val="en-GB"/>
        </w:rPr>
        <w:t xml:space="preserve"> negatively in Q4. This was reflected in the GDP dynamics, where this balance is included. The dynamics of gross value added was not affected.</w:t>
      </w:r>
      <w:r>
        <w:rPr>
          <w:sz w:val="16"/>
          <w:szCs w:val="16"/>
        </w:rPr>
        <w:t xml:space="preserve"> </w:t>
      </w:r>
    </w:p>
  </w:footnote>
  <w:footnote w:id="5">
    <w:p w:rsidR="00FA0110" w:rsidRPr="00A903FE" w:rsidRDefault="00FA0110" w:rsidP="006E4832">
      <w:pPr>
        <w:pStyle w:val="Textpoznpodarou"/>
        <w:jc w:val="both"/>
        <w:rPr>
          <w:sz w:val="16"/>
          <w:szCs w:val="16"/>
          <w:lang w:val="en-GB"/>
        </w:rPr>
      </w:pPr>
      <w:r w:rsidRPr="00BC6D27">
        <w:rPr>
          <w:sz w:val="16"/>
          <w:szCs w:val="16"/>
          <w:vertAlign w:val="superscript"/>
        </w:rPr>
        <w:footnoteRef/>
      </w:r>
      <w:r w:rsidRPr="00BC6D27">
        <w:rPr>
          <w:sz w:val="16"/>
          <w:szCs w:val="16"/>
        </w:rPr>
        <w:t xml:space="preserve"> </w:t>
      </w:r>
      <w:r w:rsidRPr="00A903FE">
        <w:rPr>
          <w:sz w:val="16"/>
          <w:szCs w:val="16"/>
          <w:lang w:val="en-GB"/>
        </w:rPr>
        <w:t xml:space="preserve">Yearly data are not available for Ireland and </w:t>
      </w:r>
      <w:proofErr w:type="gramStart"/>
      <w:r w:rsidRPr="00A903FE">
        <w:rPr>
          <w:sz w:val="16"/>
          <w:szCs w:val="16"/>
          <w:lang w:val="en-GB"/>
        </w:rPr>
        <w:t>Luxembourg,</w:t>
      </w:r>
      <w:proofErr w:type="gramEnd"/>
      <w:r w:rsidRPr="00A903FE">
        <w:rPr>
          <w:sz w:val="16"/>
          <w:szCs w:val="16"/>
          <w:lang w:val="en-GB"/>
        </w:rPr>
        <w:t xml:space="preserve"> however these countries also grew faster than the CR based on data for first three quarters of 2015. GDP dynam</w:t>
      </w:r>
      <w:r>
        <w:rPr>
          <w:sz w:val="16"/>
          <w:szCs w:val="16"/>
          <w:lang w:val="en-GB"/>
        </w:rPr>
        <w:t>ics for Ireland and Slovakia is</w:t>
      </w:r>
      <w:r w:rsidRPr="00A903FE">
        <w:rPr>
          <w:sz w:val="16"/>
          <w:szCs w:val="16"/>
          <w:lang w:val="en-GB"/>
        </w:rPr>
        <w:t xml:space="preserve"> not adjusted for calendar effects. </w:t>
      </w:r>
    </w:p>
  </w:footnote>
  <w:footnote w:id="6">
    <w:p w:rsidR="00FA0110" w:rsidRPr="00A903FE" w:rsidRDefault="00FA0110" w:rsidP="006E4832">
      <w:pPr>
        <w:pStyle w:val="Textpoznpodarou"/>
        <w:rPr>
          <w:color w:val="FF0000"/>
          <w:sz w:val="16"/>
          <w:szCs w:val="16"/>
          <w:lang w:val="en-GB"/>
        </w:rPr>
      </w:pPr>
      <w:r w:rsidRPr="00A903FE">
        <w:rPr>
          <w:rStyle w:val="Znakapoznpodarou"/>
          <w:sz w:val="16"/>
          <w:szCs w:val="16"/>
          <w:lang w:val="en-GB"/>
        </w:rPr>
        <w:footnoteRef/>
      </w:r>
      <w:r>
        <w:rPr>
          <w:sz w:val="16"/>
          <w:szCs w:val="16"/>
          <w:lang w:val="en-GB"/>
        </w:rPr>
        <w:t xml:space="preserve"> Contributions to </w:t>
      </w:r>
      <w:r w:rsidRPr="00A903FE">
        <w:rPr>
          <w:sz w:val="16"/>
          <w:szCs w:val="16"/>
          <w:lang w:val="en-GB"/>
        </w:rPr>
        <w:t xml:space="preserve">GDP change not excluding the import for final use. </w:t>
      </w:r>
    </w:p>
  </w:footnote>
  <w:footnote w:id="7">
    <w:p w:rsidR="00FA0110" w:rsidRPr="00DB7E32" w:rsidRDefault="00FA0110" w:rsidP="006E4832">
      <w:pPr>
        <w:pStyle w:val="Textpoznpodarou"/>
        <w:rPr>
          <w:sz w:val="16"/>
          <w:szCs w:val="16"/>
          <w:lang w:val="en-GB"/>
        </w:rPr>
      </w:pPr>
      <w:r w:rsidRPr="00620430">
        <w:rPr>
          <w:sz w:val="16"/>
          <w:szCs w:val="16"/>
          <w:vertAlign w:val="superscript"/>
        </w:rPr>
        <w:footnoteRef/>
      </w:r>
      <w:r w:rsidRPr="00620430">
        <w:rPr>
          <w:sz w:val="16"/>
          <w:szCs w:val="16"/>
        </w:rPr>
        <w:t xml:space="preserve"> </w:t>
      </w:r>
      <w:r w:rsidRPr="00DB7E32">
        <w:rPr>
          <w:sz w:val="16"/>
          <w:szCs w:val="16"/>
          <w:lang w:val="en-GB"/>
        </w:rPr>
        <w:t xml:space="preserve">Structure of expenditure </w:t>
      </w:r>
      <w:r>
        <w:rPr>
          <w:sz w:val="16"/>
          <w:szCs w:val="16"/>
          <w:lang w:val="en-GB"/>
        </w:rPr>
        <w:t>is in the domestic concept</w:t>
      </w:r>
      <w:r w:rsidRPr="00DB7E32">
        <w:rPr>
          <w:sz w:val="16"/>
          <w:szCs w:val="16"/>
          <w:lang w:val="en-GB"/>
        </w:rPr>
        <w:t xml:space="preserve"> and </w:t>
      </w:r>
      <w:r>
        <w:rPr>
          <w:sz w:val="16"/>
          <w:szCs w:val="16"/>
          <w:lang w:val="en-GB"/>
        </w:rPr>
        <w:t xml:space="preserve">is </w:t>
      </w:r>
      <w:r w:rsidRPr="00DB7E32">
        <w:rPr>
          <w:sz w:val="16"/>
          <w:szCs w:val="16"/>
          <w:lang w:val="en-GB"/>
        </w:rPr>
        <w:t xml:space="preserve">not adjusted for seasonal and calendar effects. </w:t>
      </w:r>
    </w:p>
  </w:footnote>
  <w:footnote w:id="8">
    <w:p w:rsidR="00FA0110" w:rsidRPr="00C72A00" w:rsidRDefault="00FA0110" w:rsidP="006E4832">
      <w:pPr>
        <w:pStyle w:val="Textpoznpodarou"/>
        <w:rPr>
          <w:color w:val="FF0000"/>
          <w:lang w:val="en-GB"/>
        </w:rPr>
      </w:pPr>
      <w:r w:rsidRPr="00620430">
        <w:rPr>
          <w:rStyle w:val="Znakapoznpodarou"/>
          <w:sz w:val="16"/>
          <w:szCs w:val="16"/>
        </w:rPr>
        <w:footnoteRef/>
      </w:r>
      <w:r w:rsidRPr="00620430">
        <w:rPr>
          <w:sz w:val="16"/>
          <w:szCs w:val="16"/>
        </w:rPr>
        <w:t xml:space="preserve"> </w:t>
      </w:r>
      <w:r w:rsidRPr="00C72A00">
        <w:rPr>
          <w:sz w:val="16"/>
          <w:szCs w:val="16"/>
          <w:lang w:val="en-GB"/>
        </w:rPr>
        <w:t>Not adjusted for seasonal and calendar effects.</w:t>
      </w:r>
    </w:p>
  </w:footnote>
  <w:footnote w:id="9">
    <w:p w:rsidR="00FA0110" w:rsidRPr="00E63F4B" w:rsidRDefault="00FA0110" w:rsidP="00891FDE">
      <w:pPr>
        <w:pStyle w:val="Textpoznpodarou"/>
        <w:rPr>
          <w:sz w:val="16"/>
          <w:szCs w:val="16"/>
          <w:lang w:val="en-GB"/>
        </w:rPr>
      </w:pPr>
      <w:r w:rsidRPr="00092C9A">
        <w:rPr>
          <w:rStyle w:val="Znakapoznpodarou"/>
          <w:sz w:val="16"/>
          <w:szCs w:val="16"/>
        </w:rPr>
        <w:footnoteRef/>
      </w:r>
      <w:r w:rsidRPr="00092C9A">
        <w:rPr>
          <w:sz w:val="16"/>
          <w:szCs w:val="16"/>
        </w:rPr>
        <w:t xml:space="preserve"> </w:t>
      </w:r>
      <w:r w:rsidRPr="00E63F4B">
        <w:rPr>
          <w:sz w:val="16"/>
          <w:szCs w:val="16"/>
          <w:lang w:val="en-GB"/>
        </w:rPr>
        <w:t xml:space="preserve">Unless stated otherwise, data are in real terms and seasonally adjusted. </w:t>
      </w:r>
    </w:p>
  </w:footnote>
  <w:footnote w:id="10">
    <w:p w:rsidR="00FA0110" w:rsidRPr="00E63F4B" w:rsidRDefault="00FA0110" w:rsidP="00891FDE">
      <w:pPr>
        <w:pStyle w:val="Textpoznpodarou"/>
        <w:rPr>
          <w:sz w:val="16"/>
          <w:szCs w:val="16"/>
          <w:lang w:val="en-GB"/>
        </w:rPr>
      </w:pPr>
      <w:r w:rsidRPr="00E63F4B">
        <w:rPr>
          <w:rStyle w:val="Znakapoznpodarou"/>
          <w:sz w:val="16"/>
          <w:szCs w:val="16"/>
          <w:lang w:val="en-GB"/>
        </w:rPr>
        <w:footnoteRef/>
      </w:r>
      <w:r w:rsidRPr="00E63F4B">
        <w:rPr>
          <w:sz w:val="16"/>
          <w:szCs w:val="16"/>
          <w:lang w:val="en-GB"/>
        </w:rPr>
        <w:t xml:space="preserve"> </w:t>
      </w:r>
      <w:proofErr w:type="gramStart"/>
      <w:r w:rsidRPr="00E63F4B">
        <w:rPr>
          <w:sz w:val="16"/>
          <w:szCs w:val="16"/>
          <w:lang w:val="en-GB"/>
        </w:rPr>
        <w:t xml:space="preserve">Consisting of </w:t>
      </w:r>
      <w:r>
        <w:rPr>
          <w:sz w:val="16"/>
          <w:szCs w:val="16"/>
          <w:lang w:val="en-GB"/>
        </w:rPr>
        <w:t>constituent</w:t>
      </w:r>
      <w:r w:rsidRPr="00E63F4B">
        <w:rPr>
          <w:sz w:val="16"/>
          <w:szCs w:val="16"/>
          <w:lang w:val="en-GB"/>
        </w:rPr>
        <w:t xml:space="preserve"> branches: Public administration, education, health and social care.</w:t>
      </w:r>
      <w:proofErr w:type="gramEnd"/>
    </w:p>
  </w:footnote>
  <w:footnote w:id="11">
    <w:p w:rsidR="00FA0110" w:rsidRPr="00E63F4B" w:rsidRDefault="00FA0110" w:rsidP="00891FDE">
      <w:pPr>
        <w:pStyle w:val="Textpoznpodarou"/>
        <w:rPr>
          <w:sz w:val="16"/>
          <w:szCs w:val="16"/>
          <w:lang w:val="en-GB"/>
        </w:rPr>
      </w:pPr>
      <w:r w:rsidRPr="00E63F4B">
        <w:rPr>
          <w:rStyle w:val="Znakapoznpodarou"/>
          <w:sz w:val="16"/>
          <w:szCs w:val="16"/>
          <w:lang w:val="en-GB"/>
        </w:rPr>
        <w:footnoteRef/>
      </w:r>
      <w:r w:rsidRPr="00E63F4B">
        <w:rPr>
          <w:sz w:val="16"/>
          <w:szCs w:val="16"/>
          <w:lang w:val="en-GB"/>
        </w:rPr>
        <w:t xml:space="preserve"> Including branches according to CZ-NACE: B (Mining and quarrying), C (Manufacturing), D (</w:t>
      </w:r>
      <w:proofErr w:type="spellStart"/>
      <w:r w:rsidRPr="00E63F4B">
        <w:rPr>
          <w:sz w:val="16"/>
          <w:szCs w:val="16"/>
          <w:lang w:val="en-GB"/>
        </w:rPr>
        <w:t>Energetics</w:t>
      </w:r>
      <w:proofErr w:type="spellEnd"/>
      <w:r w:rsidRPr="00E63F4B">
        <w:rPr>
          <w:sz w:val="16"/>
          <w:szCs w:val="16"/>
          <w:lang w:val="en-GB"/>
        </w:rPr>
        <w:t>).</w:t>
      </w:r>
    </w:p>
  </w:footnote>
  <w:footnote w:id="12">
    <w:p w:rsidR="00FA0110" w:rsidRPr="007F0012" w:rsidRDefault="00FA0110" w:rsidP="00891FDE">
      <w:pPr>
        <w:pStyle w:val="Textpoznpodarou"/>
        <w:rPr>
          <w:sz w:val="16"/>
          <w:szCs w:val="16"/>
          <w:lang w:val="en-GB"/>
        </w:rPr>
      </w:pPr>
      <w:r w:rsidRPr="00092C9A">
        <w:rPr>
          <w:rStyle w:val="Znakapoznpodarou"/>
          <w:sz w:val="16"/>
          <w:szCs w:val="16"/>
        </w:rPr>
        <w:footnoteRef/>
      </w:r>
      <w:r w:rsidRPr="00092C9A">
        <w:rPr>
          <w:sz w:val="16"/>
          <w:szCs w:val="16"/>
        </w:rPr>
        <w:t xml:space="preserve"> </w:t>
      </w:r>
      <w:r w:rsidRPr="007F0012">
        <w:rPr>
          <w:sz w:val="16"/>
          <w:szCs w:val="16"/>
          <w:lang w:val="en-GB"/>
        </w:rPr>
        <w:t xml:space="preserve">Do not include the branches trade, financial and </w:t>
      </w:r>
      <w:r>
        <w:rPr>
          <w:sz w:val="16"/>
          <w:szCs w:val="16"/>
          <w:lang w:val="en-GB"/>
        </w:rPr>
        <w:t>insurance activities,</w:t>
      </w:r>
      <w:r w:rsidRPr="007F0012">
        <w:rPr>
          <w:sz w:val="16"/>
          <w:szCs w:val="16"/>
          <w:lang w:val="en-GB"/>
        </w:rPr>
        <w:t xml:space="preserve"> research and development and also </w:t>
      </w:r>
      <w:r>
        <w:rPr>
          <w:sz w:val="16"/>
          <w:szCs w:val="16"/>
          <w:lang w:val="en-GB"/>
        </w:rPr>
        <w:t>all</w:t>
      </w:r>
      <w:r w:rsidRPr="007F0012">
        <w:rPr>
          <w:sz w:val="16"/>
          <w:szCs w:val="16"/>
          <w:lang w:val="en-GB"/>
        </w:rPr>
        <w:t xml:space="preserve"> public services.    </w:t>
      </w:r>
    </w:p>
  </w:footnote>
  <w:footnote w:id="13">
    <w:p w:rsidR="00FA0110" w:rsidRPr="007F0012" w:rsidRDefault="00FA0110" w:rsidP="00891FDE">
      <w:pPr>
        <w:pStyle w:val="Textpoznpodarou"/>
        <w:rPr>
          <w:sz w:val="16"/>
          <w:szCs w:val="16"/>
          <w:lang w:val="en-GB"/>
        </w:rPr>
      </w:pPr>
      <w:r w:rsidRPr="007F0012">
        <w:rPr>
          <w:rStyle w:val="Znakapoznpodarou"/>
          <w:sz w:val="16"/>
          <w:szCs w:val="16"/>
          <w:lang w:val="en-GB"/>
        </w:rPr>
        <w:footnoteRef/>
      </w:r>
      <w:r w:rsidRPr="007F0012">
        <w:rPr>
          <w:sz w:val="16"/>
          <w:szCs w:val="16"/>
          <w:lang w:val="en-GB"/>
        </w:rPr>
        <w:t xml:space="preserve"> Retail excluding </w:t>
      </w:r>
      <w:r w:rsidRPr="00EE4DA7">
        <w:rPr>
          <w:sz w:val="16"/>
          <w:szCs w:val="16"/>
          <w:lang w:val="en-GB"/>
        </w:rPr>
        <w:t>Sale, maintenance &amp; repair of motor vehicles (CZ-NACE 45)</w:t>
      </w:r>
      <w:r w:rsidRPr="007F0012">
        <w:rPr>
          <w:sz w:val="16"/>
          <w:szCs w:val="16"/>
          <w:lang w:val="en-GB"/>
        </w:rPr>
        <w:t>, data adjusted for calendar effects.</w:t>
      </w:r>
    </w:p>
  </w:footnote>
  <w:footnote w:id="14">
    <w:p w:rsidR="00FA0110" w:rsidRPr="007F0012" w:rsidRDefault="00FA0110" w:rsidP="00891FDE">
      <w:pPr>
        <w:pStyle w:val="Textpoznpodarou"/>
        <w:rPr>
          <w:sz w:val="16"/>
          <w:szCs w:val="16"/>
          <w:lang w:val="en-GB"/>
        </w:rPr>
      </w:pPr>
      <w:r w:rsidRPr="007F0012">
        <w:rPr>
          <w:rStyle w:val="Znakapoznpodarou"/>
          <w:sz w:val="16"/>
          <w:szCs w:val="16"/>
          <w:lang w:val="en-GB"/>
        </w:rPr>
        <w:footnoteRef/>
      </w:r>
      <w:r w:rsidRPr="007F0012">
        <w:rPr>
          <w:sz w:val="16"/>
          <w:szCs w:val="16"/>
          <w:lang w:val="en-GB"/>
        </w:rPr>
        <w:t xml:space="preserve"> Retail excluding </w:t>
      </w:r>
      <w:r w:rsidRPr="00EE4DA7">
        <w:rPr>
          <w:sz w:val="16"/>
          <w:szCs w:val="16"/>
          <w:lang w:val="en-GB"/>
        </w:rPr>
        <w:t>Sale, maintenance &amp; repair of motor vehicles (CZ-NACE 45)</w:t>
      </w:r>
      <w:r w:rsidRPr="007F0012">
        <w:rPr>
          <w:sz w:val="16"/>
          <w:szCs w:val="16"/>
          <w:lang w:val="en-GB"/>
        </w:rPr>
        <w:t>, data adjusted for calendar effects.</w:t>
      </w:r>
    </w:p>
  </w:footnote>
  <w:footnote w:id="15">
    <w:p w:rsidR="00FA0110" w:rsidRPr="00B34EC4" w:rsidRDefault="00FA0110" w:rsidP="006E4832">
      <w:pPr>
        <w:pStyle w:val="Textpoznpodarou"/>
        <w:jc w:val="both"/>
        <w:rPr>
          <w:sz w:val="16"/>
          <w:szCs w:val="16"/>
          <w:lang w:val="en-GB"/>
        </w:rPr>
      </w:pPr>
      <w:r w:rsidRPr="00D05D91">
        <w:rPr>
          <w:rStyle w:val="Znakapoznpodarou"/>
          <w:sz w:val="16"/>
          <w:szCs w:val="16"/>
        </w:rPr>
        <w:footnoteRef/>
      </w:r>
      <w:r w:rsidRPr="00D05D91">
        <w:rPr>
          <w:sz w:val="16"/>
          <w:szCs w:val="16"/>
        </w:rPr>
        <w:t xml:space="preserve"> </w:t>
      </w:r>
      <w:r>
        <w:rPr>
          <w:sz w:val="16"/>
          <w:szCs w:val="16"/>
          <w:lang w:val="en-GB"/>
        </w:rPr>
        <w:t>Data in the national concept</w:t>
      </w:r>
      <w:r w:rsidRPr="00B34EC4">
        <w:rPr>
          <w:sz w:val="16"/>
          <w:szCs w:val="16"/>
          <w:lang w:val="en-GB"/>
        </w:rPr>
        <w:t xml:space="preserve"> are expressed in nominal terms. The value of exports is captured in FOB prices, i.e. including the costs connected with the transport to the CR boundaries. Import is in CIF prices, i.e. including costs associated with the </w:t>
      </w:r>
      <w:r>
        <w:rPr>
          <w:sz w:val="16"/>
          <w:szCs w:val="16"/>
          <w:lang w:val="en-GB"/>
        </w:rPr>
        <w:t>t</w:t>
      </w:r>
      <w:r w:rsidRPr="00B34EC4">
        <w:rPr>
          <w:sz w:val="16"/>
          <w:szCs w:val="16"/>
          <w:lang w:val="en-GB"/>
        </w:rPr>
        <w:t xml:space="preserve">ransportation abroad, up all the way to the CR boundaries. </w:t>
      </w:r>
    </w:p>
  </w:footnote>
  <w:footnote w:id="16">
    <w:p w:rsidR="00FA0110" w:rsidRPr="00B34EC4" w:rsidRDefault="00FA0110" w:rsidP="006E4832">
      <w:pPr>
        <w:pStyle w:val="Textpoznpodarou"/>
        <w:jc w:val="both"/>
        <w:rPr>
          <w:lang w:val="en-GB"/>
        </w:rPr>
      </w:pPr>
      <w:r w:rsidRPr="00B34EC4">
        <w:rPr>
          <w:sz w:val="16"/>
          <w:szCs w:val="16"/>
          <w:vertAlign w:val="superscript"/>
          <w:lang w:val="en-GB"/>
        </w:rPr>
        <w:footnoteRef/>
      </w:r>
      <w:r w:rsidRPr="00B34EC4">
        <w:rPr>
          <w:sz w:val="16"/>
          <w:szCs w:val="16"/>
          <w:lang w:val="en-GB"/>
        </w:rPr>
        <w:t xml:space="preserve"> Deficit </w:t>
      </w:r>
      <w:r>
        <w:rPr>
          <w:sz w:val="16"/>
          <w:szCs w:val="16"/>
          <w:lang w:val="en-GB"/>
        </w:rPr>
        <w:t xml:space="preserve">of trade with unspecified entities increased to </w:t>
      </w:r>
      <w:r w:rsidRPr="00B34EC4">
        <w:rPr>
          <w:sz w:val="16"/>
          <w:szCs w:val="16"/>
          <w:lang w:val="en-GB"/>
        </w:rPr>
        <w:t>20</w:t>
      </w:r>
      <w:r>
        <w:rPr>
          <w:sz w:val="16"/>
          <w:szCs w:val="16"/>
          <w:lang w:val="en-GB"/>
        </w:rPr>
        <w:t>.</w:t>
      </w:r>
      <w:r w:rsidRPr="00B34EC4">
        <w:rPr>
          <w:sz w:val="16"/>
          <w:szCs w:val="16"/>
          <w:lang w:val="en-GB"/>
        </w:rPr>
        <w:t xml:space="preserve">7 </w:t>
      </w:r>
      <w:r>
        <w:rPr>
          <w:sz w:val="16"/>
          <w:szCs w:val="16"/>
          <w:lang w:val="en-GB"/>
        </w:rPr>
        <w:t xml:space="preserve">CZK </w:t>
      </w:r>
      <w:proofErr w:type="spellStart"/>
      <w:r>
        <w:rPr>
          <w:sz w:val="16"/>
          <w:szCs w:val="16"/>
          <w:lang w:val="en-GB"/>
        </w:rPr>
        <w:t>bn</w:t>
      </w:r>
      <w:proofErr w:type="spellEnd"/>
      <w:r>
        <w:rPr>
          <w:sz w:val="16"/>
          <w:szCs w:val="16"/>
          <w:lang w:val="en-GB"/>
        </w:rPr>
        <w:t xml:space="preserve"> </w:t>
      </w:r>
      <w:r w:rsidRPr="00B34EC4">
        <w:rPr>
          <w:sz w:val="16"/>
          <w:szCs w:val="16"/>
          <w:lang w:val="en-GB"/>
        </w:rPr>
        <w:t xml:space="preserve">(by 6.6 </w:t>
      </w:r>
      <w:proofErr w:type="spellStart"/>
      <w:r w:rsidRPr="00B34EC4">
        <w:rPr>
          <w:sz w:val="16"/>
          <w:szCs w:val="16"/>
          <w:lang w:val="en-GB"/>
        </w:rPr>
        <w:t>bn</w:t>
      </w:r>
      <w:proofErr w:type="spellEnd"/>
      <w:r w:rsidRPr="00B34EC4">
        <w:rPr>
          <w:sz w:val="16"/>
          <w:szCs w:val="16"/>
          <w:lang w:val="en-GB"/>
        </w:rPr>
        <w:t>).</w:t>
      </w:r>
    </w:p>
  </w:footnote>
  <w:footnote w:id="17">
    <w:p w:rsidR="00FA0110" w:rsidRPr="00F555CA" w:rsidRDefault="00FA0110" w:rsidP="006E4832">
      <w:pPr>
        <w:pStyle w:val="Textpoznpodarou"/>
        <w:jc w:val="both"/>
        <w:rPr>
          <w:sz w:val="16"/>
          <w:szCs w:val="16"/>
          <w:lang w:val="en-GB"/>
        </w:rPr>
      </w:pPr>
      <w:r w:rsidRPr="00481C00">
        <w:rPr>
          <w:rStyle w:val="Znakapoznpodarou"/>
          <w:sz w:val="16"/>
          <w:szCs w:val="16"/>
        </w:rPr>
        <w:footnoteRef/>
      </w:r>
      <w:r w:rsidRPr="00481C00">
        <w:rPr>
          <w:sz w:val="16"/>
          <w:szCs w:val="16"/>
        </w:rPr>
        <w:t xml:space="preserve"> </w:t>
      </w:r>
      <w:r w:rsidRPr="00F555CA">
        <w:rPr>
          <w:sz w:val="16"/>
          <w:szCs w:val="16"/>
          <w:lang w:val="en-GB"/>
        </w:rPr>
        <w:t xml:space="preserve">Not adjusted for seasonal and calendar effects. </w:t>
      </w:r>
    </w:p>
  </w:footnote>
  <w:footnote w:id="18">
    <w:p w:rsidR="00FA0110" w:rsidRPr="008330B5" w:rsidRDefault="00FA0110" w:rsidP="00FA0110">
      <w:pPr>
        <w:pStyle w:val="Textpoznpodarou"/>
        <w:rPr>
          <w:sz w:val="16"/>
          <w:szCs w:val="16"/>
          <w:lang w:val="en-GB"/>
        </w:rPr>
      </w:pPr>
      <w:r w:rsidRPr="004A22BD">
        <w:rPr>
          <w:rStyle w:val="Znakapoznpodarou"/>
          <w:sz w:val="16"/>
          <w:szCs w:val="16"/>
        </w:rPr>
        <w:footnoteRef/>
      </w:r>
      <w:r w:rsidRPr="004A22BD">
        <w:rPr>
          <w:sz w:val="16"/>
          <w:szCs w:val="16"/>
        </w:rPr>
        <w:t xml:space="preserve"> </w:t>
      </w:r>
      <w:r w:rsidRPr="008330B5">
        <w:rPr>
          <w:sz w:val="16"/>
          <w:szCs w:val="16"/>
          <w:lang w:val="en-GB"/>
        </w:rPr>
        <w:t>Unless stated otherwise, seasonally adjusted national accounts data were used.</w:t>
      </w:r>
    </w:p>
  </w:footnote>
  <w:footnote w:id="19">
    <w:p w:rsidR="00FA0110" w:rsidRDefault="00FA0110" w:rsidP="00FA0110">
      <w:pPr>
        <w:pStyle w:val="Textpoznpodarou"/>
      </w:pPr>
      <w:r>
        <w:rPr>
          <w:rStyle w:val="Znakapoznpodarou"/>
        </w:rPr>
        <w:footnoteRef/>
      </w:r>
      <w:r>
        <w:t xml:space="preserve"> </w:t>
      </w:r>
      <w:r>
        <w:rPr>
          <w:sz w:val="16"/>
          <w:szCs w:val="16"/>
          <w:lang w:val="en-GB"/>
        </w:rPr>
        <w:t>Agency workers</w:t>
      </w:r>
      <w:r w:rsidRPr="007177E9">
        <w:rPr>
          <w:sz w:val="16"/>
          <w:szCs w:val="16"/>
          <w:lang w:val="en-GB"/>
        </w:rPr>
        <w:t xml:space="preserve"> have contracts of employment within services </w:t>
      </w:r>
      <w:r>
        <w:rPr>
          <w:sz w:val="16"/>
          <w:szCs w:val="16"/>
          <w:lang w:val="en-GB"/>
        </w:rPr>
        <w:t xml:space="preserve">– e.g. in </w:t>
      </w:r>
      <w:r w:rsidRPr="00995BDD">
        <w:rPr>
          <w:sz w:val="16"/>
          <w:szCs w:val="16"/>
          <w:lang w:val="en-GB"/>
        </w:rPr>
        <w:t xml:space="preserve">Employment activities </w:t>
      </w:r>
      <w:r>
        <w:rPr>
          <w:sz w:val="16"/>
          <w:szCs w:val="16"/>
          <w:lang w:val="en-GB"/>
        </w:rPr>
        <w:t xml:space="preserve">(CZ-NACE 78.2), which on higher aggregation belong to </w:t>
      </w:r>
      <w:r w:rsidRPr="00995BDD">
        <w:rPr>
          <w:sz w:val="16"/>
          <w:szCs w:val="16"/>
          <w:lang w:val="en-GB"/>
        </w:rPr>
        <w:t>Professional, scientific, technical and administrative activities</w:t>
      </w:r>
      <w:r>
        <w:rPr>
          <w:sz w:val="16"/>
          <w:szCs w:val="16"/>
          <w:lang w:val="en-GB"/>
        </w:rPr>
        <w:t>.</w:t>
      </w:r>
    </w:p>
  </w:footnote>
  <w:footnote w:id="20">
    <w:p w:rsidR="00FA0110" w:rsidRPr="000366C7" w:rsidRDefault="00FA0110" w:rsidP="00FA0110">
      <w:pPr>
        <w:pStyle w:val="Textpoznpodarou"/>
        <w:rPr>
          <w:sz w:val="16"/>
          <w:szCs w:val="16"/>
          <w:lang w:val="en-GB"/>
        </w:rPr>
      </w:pPr>
      <w:r w:rsidRPr="004A22BD">
        <w:rPr>
          <w:rStyle w:val="Znakapoznpodarou"/>
          <w:sz w:val="16"/>
          <w:szCs w:val="16"/>
        </w:rPr>
        <w:footnoteRef/>
      </w:r>
      <w:r w:rsidRPr="004A22BD">
        <w:rPr>
          <w:sz w:val="16"/>
          <w:szCs w:val="16"/>
        </w:rPr>
        <w:t xml:space="preserve"> </w:t>
      </w:r>
      <w:proofErr w:type="spellStart"/>
      <w:r w:rsidRPr="00B52D07">
        <w:rPr>
          <w:spacing w:val="-4"/>
          <w:sz w:val="16"/>
          <w:szCs w:val="16"/>
        </w:rPr>
        <w:t>Based</w:t>
      </w:r>
      <w:proofErr w:type="spellEnd"/>
      <w:r w:rsidRPr="00B52D07">
        <w:rPr>
          <w:spacing w:val="-4"/>
          <w:sz w:val="16"/>
          <w:szCs w:val="16"/>
        </w:rPr>
        <w:t xml:space="preserve"> on ILO metodology, </w:t>
      </w:r>
      <w:proofErr w:type="spellStart"/>
      <w:r w:rsidRPr="00B52D07">
        <w:rPr>
          <w:spacing w:val="-4"/>
          <w:sz w:val="16"/>
          <w:szCs w:val="16"/>
        </w:rPr>
        <w:t>constructed</w:t>
      </w:r>
      <w:proofErr w:type="spellEnd"/>
      <w:r w:rsidRPr="00B52D07">
        <w:rPr>
          <w:spacing w:val="-4"/>
          <w:sz w:val="16"/>
          <w:szCs w:val="16"/>
        </w:rPr>
        <w:t xml:space="preserve"> as a % </w:t>
      </w:r>
      <w:proofErr w:type="spellStart"/>
      <w:r w:rsidRPr="00B52D07">
        <w:rPr>
          <w:spacing w:val="-4"/>
          <w:sz w:val="16"/>
          <w:szCs w:val="16"/>
        </w:rPr>
        <w:t>of</w:t>
      </w:r>
      <w:proofErr w:type="spellEnd"/>
      <w:r w:rsidRPr="00B52D07">
        <w:rPr>
          <w:spacing w:val="-4"/>
          <w:sz w:val="16"/>
          <w:szCs w:val="16"/>
        </w:rPr>
        <w:t xml:space="preserve"> </w:t>
      </w:r>
      <w:proofErr w:type="spellStart"/>
      <w:r w:rsidRPr="00B52D07">
        <w:rPr>
          <w:spacing w:val="-4"/>
          <w:sz w:val="16"/>
          <w:szCs w:val="16"/>
        </w:rPr>
        <w:t>number</w:t>
      </w:r>
      <w:proofErr w:type="spellEnd"/>
      <w:r w:rsidRPr="00B52D07">
        <w:rPr>
          <w:spacing w:val="-4"/>
          <w:sz w:val="16"/>
          <w:szCs w:val="16"/>
        </w:rPr>
        <w:t xml:space="preserve"> </w:t>
      </w:r>
      <w:proofErr w:type="spellStart"/>
      <w:r w:rsidRPr="00B52D07">
        <w:rPr>
          <w:spacing w:val="-4"/>
          <w:sz w:val="16"/>
          <w:szCs w:val="16"/>
        </w:rPr>
        <w:t>of</w:t>
      </w:r>
      <w:proofErr w:type="spellEnd"/>
      <w:r w:rsidRPr="00B52D07">
        <w:rPr>
          <w:spacing w:val="-4"/>
          <w:sz w:val="16"/>
          <w:szCs w:val="16"/>
        </w:rPr>
        <w:t xml:space="preserve"> </w:t>
      </w:r>
      <w:proofErr w:type="spellStart"/>
      <w:r w:rsidRPr="00B52D07">
        <w:rPr>
          <w:spacing w:val="-4"/>
          <w:sz w:val="16"/>
          <w:szCs w:val="16"/>
        </w:rPr>
        <w:t>unemployed</w:t>
      </w:r>
      <w:proofErr w:type="spellEnd"/>
      <w:r w:rsidRPr="00B52D07">
        <w:rPr>
          <w:spacing w:val="-4"/>
          <w:sz w:val="16"/>
          <w:szCs w:val="16"/>
        </w:rPr>
        <w:t xml:space="preserve"> </w:t>
      </w:r>
      <w:proofErr w:type="spellStart"/>
      <w:r w:rsidRPr="00B52D07">
        <w:rPr>
          <w:spacing w:val="-4"/>
          <w:sz w:val="16"/>
          <w:szCs w:val="16"/>
        </w:rPr>
        <w:t>persons</w:t>
      </w:r>
      <w:proofErr w:type="spellEnd"/>
      <w:r w:rsidRPr="00B52D07">
        <w:rPr>
          <w:spacing w:val="-4"/>
          <w:sz w:val="16"/>
          <w:szCs w:val="16"/>
        </w:rPr>
        <w:t xml:space="preserve"> to </w:t>
      </w:r>
      <w:proofErr w:type="spellStart"/>
      <w:r w:rsidRPr="00B52D07">
        <w:rPr>
          <w:spacing w:val="-4"/>
          <w:sz w:val="16"/>
          <w:szCs w:val="16"/>
        </w:rPr>
        <w:t>the</w:t>
      </w:r>
      <w:proofErr w:type="spellEnd"/>
      <w:r w:rsidRPr="00B52D07">
        <w:rPr>
          <w:spacing w:val="-4"/>
          <w:sz w:val="16"/>
          <w:szCs w:val="16"/>
        </w:rPr>
        <w:t xml:space="preserve"> </w:t>
      </w:r>
      <w:proofErr w:type="spellStart"/>
      <w:r w:rsidRPr="00B52D07">
        <w:rPr>
          <w:spacing w:val="-4"/>
          <w:sz w:val="16"/>
          <w:szCs w:val="16"/>
        </w:rPr>
        <w:t>total</w:t>
      </w:r>
      <w:proofErr w:type="spellEnd"/>
      <w:r w:rsidRPr="00B52D07">
        <w:rPr>
          <w:spacing w:val="-4"/>
          <w:sz w:val="16"/>
          <w:szCs w:val="16"/>
        </w:rPr>
        <w:t xml:space="preserve"> </w:t>
      </w:r>
      <w:proofErr w:type="spellStart"/>
      <w:r w:rsidRPr="00B52D07">
        <w:rPr>
          <w:spacing w:val="-4"/>
          <w:sz w:val="16"/>
          <w:szCs w:val="16"/>
        </w:rPr>
        <w:t>labour</w:t>
      </w:r>
      <w:proofErr w:type="spellEnd"/>
      <w:r w:rsidRPr="00B52D07">
        <w:rPr>
          <w:spacing w:val="-4"/>
          <w:sz w:val="16"/>
          <w:szCs w:val="16"/>
        </w:rPr>
        <w:t xml:space="preserve"> </w:t>
      </w:r>
      <w:proofErr w:type="spellStart"/>
      <w:r w:rsidRPr="00B52D07">
        <w:rPr>
          <w:spacing w:val="-4"/>
          <w:sz w:val="16"/>
          <w:szCs w:val="16"/>
        </w:rPr>
        <w:t>force</w:t>
      </w:r>
      <w:proofErr w:type="spellEnd"/>
      <w:r w:rsidRPr="00B52D07">
        <w:rPr>
          <w:spacing w:val="-4"/>
          <w:sz w:val="16"/>
          <w:szCs w:val="16"/>
        </w:rPr>
        <w:t xml:space="preserve">  (</w:t>
      </w:r>
      <w:r w:rsidRPr="00B52D07">
        <w:rPr>
          <w:spacing w:val="-4"/>
          <w:sz w:val="16"/>
          <w:szCs w:val="16"/>
          <w:lang w:val="en-GB"/>
        </w:rPr>
        <w:t>aged 15-64), seasonally adjusted.</w:t>
      </w:r>
    </w:p>
  </w:footnote>
  <w:footnote w:id="21">
    <w:p w:rsidR="00906D0C" w:rsidRPr="00611531" w:rsidRDefault="00906D0C" w:rsidP="00906D0C">
      <w:pPr>
        <w:autoSpaceDE w:val="0"/>
        <w:autoSpaceDN w:val="0"/>
        <w:adjustRightInd w:val="0"/>
        <w:spacing w:line="240" w:lineRule="auto"/>
        <w:jc w:val="both"/>
        <w:rPr>
          <w:spacing w:val="-2"/>
          <w:sz w:val="16"/>
          <w:szCs w:val="16"/>
        </w:rPr>
      </w:pPr>
      <w:r w:rsidRPr="00611531">
        <w:rPr>
          <w:rStyle w:val="Znakapoznpodarou"/>
          <w:sz w:val="16"/>
          <w:szCs w:val="16"/>
        </w:rPr>
        <w:footnoteRef/>
      </w:r>
      <w:r w:rsidRPr="00611531">
        <w:rPr>
          <w:sz w:val="16"/>
          <w:szCs w:val="16"/>
        </w:rPr>
        <w:t xml:space="preserve"> </w:t>
      </w:r>
      <w:r w:rsidRPr="007842A5">
        <w:rPr>
          <w:spacing w:val="-4"/>
          <w:sz w:val="16"/>
          <w:szCs w:val="16"/>
          <w:lang w:val="en-GB"/>
        </w:rPr>
        <w:t xml:space="preserve">With respect to the consumption tax on tobacco products, the higher collection from the beginning of year 2014 was connected with the intensive pre-stocking of traders at the end of year 2013 for the reason of subsequent increase of rates.  </w:t>
      </w:r>
      <w:r w:rsidRPr="007842A5">
        <w:rPr>
          <w:spacing w:val="-2"/>
          <w:sz w:val="16"/>
          <w:lang w:val="en-GB"/>
        </w:rPr>
        <w:t>As of 1.12.2014, another increase of the consumer tax rates occurred for the tobacco products, but was supplemented also by the regulation of the pre-stocking. Higher VAT basis was associated with the temporary deferring of payment of the part of excessive deductions at the beginning of year 2014 (in the amount of 8.7 </w:t>
      </w:r>
      <w:r>
        <w:rPr>
          <w:spacing w:val="-2"/>
          <w:sz w:val="16"/>
          <w:lang w:val="en-GB"/>
        </w:rPr>
        <w:t xml:space="preserve">CZK </w:t>
      </w:r>
      <w:proofErr w:type="spellStart"/>
      <w:r w:rsidRPr="007842A5">
        <w:rPr>
          <w:spacing w:val="-2"/>
          <w:sz w:val="16"/>
          <w:lang w:val="en-GB"/>
        </w:rPr>
        <w:t>bn</w:t>
      </w:r>
      <w:proofErr w:type="spellEnd"/>
      <w:r w:rsidRPr="007842A5">
        <w:rPr>
          <w:spacing w:val="-2"/>
          <w:sz w:val="16"/>
          <w:lang w:val="en-GB"/>
        </w:rPr>
        <w:t xml:space="preserve">) for the </w:t>
      </w:r>
      <w:r>
        <w:rPr>
          <w:spacing w:val="-2"/>
          <w:sz w:val="16"/>
          <w:lang w:val="en-GB"/>
        </w:rPr>
        <w:t>“</w:t>
      </w:r>
      <w:r w:rsidRPr="007842A5">
        <w:rPr>
          <w:spacing w:val="-2"/>
          <w:sz w:val="16"/>
          <w:lang w:val="en-GB"/>
        </w:rPr>
        <w:t>non-settled</w:t>
      </w:r>
      <w:r>
        <w:rPr>
          <w:spacing w:val="-2"/>
          <w:sz w:val="16"/>
          <w:lang w:val="en-GB"/>
        </w:rPr>
        <w:t>”</w:t>
      </w:r>
      <w:r w:rsidRPr="007842A5">
        <w:rPr>
          <w:spacing w:val="-2"/>
          <w:sz w:val="16"/>
          <w:lang w:val="en-GB"/>
        </w:rPr>
        <w:t xml:space="preserve"> VAT payers. Amount of 1.8 </w:t>
      </w:r>
      <w:r>
        <w:rPr>
          <w:spacing w:val="-2"/>
          <w:sz w:val="16"/>
          <w:lang w:val="en-GB"/>
        </w:rPr>
        <w:t xml:space="preserve">CZK </w:t>
      </w:r>
      <w:proofErr w:type="spellStart"/>
      <w:r>
        <w:rPr>
          <w:spacing w:val="-2"/>
          <w:sz w:val="16"/>
          <w:lang w:val="en-GB"/>
        </w:rPr>
        <w:t>b</w:t>
      </w:r>
      <w:r w:rsidRPr="007842A5">
        <w:rPr>
          <w:spacing w:val="-2"/>
          <w:sz w:val="16"/>
          <w:lang w:val="en-GB"/>
        </w:rPr>
        <w:t>n</w:t>
      </w:r>
      <w:proofErr w:type="spellEnd"/>
      <w:r>
        <w:rPr>
          <w:spacing w:val="-2"/>
          <w:sz w:val="16"/>
          <w:lang w:val="en-GB"/>
        </w:rPr>
        <w:t xml:space="preserve"> </w:t>
      </w:r>
      <w:r w:rsidRPr="007842A5">
        <w:rPr>
          <w:spacing w:val="-2"/>
          <w:sz w:val="16"/>
          <w:lang w:val="en-GB"/>
        </w:rPr>
        <w:t xml:space="preserve">was still being deferred </w:t>
      </w:r>
      <w:r>
        <w:rPr>
          <w:spacing w:val="-2"/>
          <w:sz w:val="16"/>
          <w:lang w:val="en-GB"/>
        </w:rPr>
        <w:t xml:space="preserve">(by government authorities) </w:t>
      </w:r>
      <w:r w:rsidRPr="007842A5">
        <w:rPr>
          <w:spacing w:val="-2"/>
          <w:sz w:val="16"/>
          <w:lang w:val="en-GB"/>
        </w:rPr>
        <w:t>at the end</w:t>
      </w:r>
      <w:r>
        <w:rPr>
          <w:spacing w:val="-2"/>
          <w:sz w:val="16"/>
          <w:lang w:val="en-GB"/>
        </w:rPr>
        <w:t xml:space="preserve"> </w:t>
      </w:r>
      <w:r w:rsidRPr="007842A5">
        <w:rPr>
          <w:spacing w:val="-2"/>
          <w:sz w:val="16"/>
          <w:lang w:val="en-GB"/>
        </w:rPr>
        <w:t>of December 2014.</w:t>
      </w:r>
      <w:r>
        <w:rPr>
          <w:spacing w:val="-2"/>
          <w:sz w:val="16"/>
          <w:lang w:val="en-GB"/>
        </w:rPr>
        <w:t xml:space="preserve"> </w:t>
      </w:r>
      <w:r w:rsidRPr="007842A5">
        <w:rPr>
          <w:spacing w:val="-2"/>
          <w:sz w:val="16"/>
        </w:rPr>
        <w:t xml:space="preserve"> </w:t>
      </w:r>
    </w:p>
  </w:footnote>
  <w:footnote w:id="22">
    <w:p w:rsidR="00906D0C" w:rsidRPr="008F40E1" w:rsidRDefault="00906D0C" w:rsidP="00906D0C">
      <w:pPr>
        <w:pStyle w:val="Textpoznpodarou"/>
        <w:rPr>
          <w:sz w:val="16"/>
          <w:szCs w:val="16"/>
          <w:lang w:val="en-GB"/>
        </w:rPr>
      </w:pPr>
      <w:r w:rsidRPr="00E90A4B">
        <w:rPr>
          <w:rStyle w:val="Znakapoznpodarou"/>
          <w:sz w:val="16"/>
          <w:szCs w:val="16"/>
        </w:rPr>
        <w:footnoteRef/>
      </w:r>
      <w:r w:rsidRPr="00E90A4B">
        <w:rPr>
          <w:sz w:val="16"/>
          <w:szCs w:val="16"/>
        </w:rPr>
        <w:t xml:space="preserve"> </w:t>
      </w:r>
      <w:r w:rsidRPr="008F40E1">
        <w:rPr>
          <w:sz w:val="16"/>
          <w:szCs w:val="16"/>
          <w:lang w:val="en-GB"/>
        </w:rPr>
        <w:t>The data regarding the debt and deficit of the government institution sector for Q4 2015 will be published by th</w:t>
      </w:r>
      <w:r>
        <w:rPr>
          <w:sz w:val="16"/>
          <w:szCs w:val="16"/>
          <w:lang w:val="en-GB"/>
        </w:rPr>
        <w:t>e</w:t>
      </w:r>
      <w:r w:rsidRPr="008F40E1">
        <w:rPr>
          <w:sz w:val="16"/>
          <w:szCs w:val="16"/>
          <w:lang w:val="en-GB"/>
        </w:rPr>
        <w:t xml:space="preserve"> CZSO on 1st April 2016. Simultaneously, the previous data will also be revised.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0" w:rsidRPr="00173642" w:rsidRDefault="00FA0110"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0" w:rsidRPr="00DC5B3B" w:rsidRDefault="00FA0110"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0" w:rsidRPr="00D766EF" w:rsidRDefault="00FA0110" w:rsidP="00D766EF">
    <w:pPr>
      <w:pStyle w:val="Zhlav"/>
      <w:tabs>
        <w:tab w:val="clear" w:pos="4536"/>
        <w:tab w:val="clear" w:pos="9072"/>
        <w:tab w:val="left" w:pos="-6379"/>
        <w:tab w:val="center" w:pos="4820"/>
        <w:tab w:val="right" w:pos="9639"/>
      </w:tabs>
      <w:rPr>
        <w:szCs w:val="16"/>
      </w:rPr>
    </w:pPr>
    <w:r>
      <w:rPr>
        <w:rFonts w:ascii="Arial" w:hAnsi="Arial" w:cs="Arial"/>
        <w:sz w:val="16"/>
        <w:szCs w:val="16"/>
      </w:rPr>
      <w:t>The Czech Economy Development in 2015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0" w:rsidRPr="00D766EF" w:rsidRDefault="00FA0110" w:rsidP="003B34B7">
    <w:pPr>
      <w:pStyle w:val="Zhlav"/>
      <w:tabs>
        <w:tab w:val="clear" w:pos="4536"/>
        <w:tab w:val="clear" w:pos="9072"/>
        <w:tab w:val="left" w:pos="-6379"/>
        <w:tab w:val="center" w:pos="4820"/>
        <w:tab w:val="right" w:pos="9639"/>
      </w:tabs>
      <w:rPr>
        <w:szCs w:val="16"/>
      </w:rPr>
    </w:pPr>
    <w:r>
      <w:rPr>
        <w:rFonts w:ascii="Arial" w:hAnsi="Arial" w:cs="Arial"/>
        <w:sz w:val="16"/>
        <w:szCs w:val="16"/>
      </w:rPr>
      <w:t>The Czech Economy Development in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9B70BD"/>
    <w:rsid w:val="00000FA7"/>
    <w:rsid w:val="0000191C"/>
    <w:rsid w:val="00001EFF"/>
    <w:rsid w:val="00003687"/>
    <w:rsid w:val="00003C43"/>
    <w:rsid w:val="00006026"/>
    <w:rsid w:val="00006468"/>
    <w:rsid w:val="000070E4"/>
    <w:rsid w:val="00007498"/>
    <w:rsid w:val="0000767A"/>
    <w:rsid w:val="000101F5"/>
    <w:rsid w:val="000104B9"/>
    <w:rsid w:val="000104F6"/>
    <w:rsid w:val="00010702"/>
    <w:rsid w:val="0001100E"/>
    <w:rsid w:val="00011191"/>
    <w:rsid w:val="0001159B"/>
    <w:rsid w:val="00012986"/>
    <w:rsid w:val="00014D35"/>
    <w:rsid w:val="00015195"/>
    <w:rsid w:val="0001519F"/>
    <w:rsid w:val="0001572B"/>
    <w:rsid w:val="0001573E"/>
    <w:rsid w:val="000162DB"/>
    <w:rsid w:val="00017F05"/>
    <w:rsid w:val="000202C6"/>
    <w:rsid w:val="00020946"/>
    <w:rsid w:val="00022B41"/>
    <w:rsid w:val="00022EA9"/>
    <w:rsid w:val="00023F1E"/>
    <w:rsid w:val="00024887"/>
    <w:rsid w:val="00024CBA"/>
    <w:rsid w:val="00025501"/>
    <w:rsid w:val="00026998"/>
    <w:rsid w:val="000304C4"/>
    <w:rsid w:val="0003066A"/>
    <w:rsid w:val="00030F14"/>
    <w:rsid w:val="000311C5"/>
    <w:rsid w:val="00031A35"/>
    <w:rsid w:val="00032838"/>
    <w:rsid w:val="00032C12"/>
    <w:rsid w:val="00035CCF"/>
    <w:rsid w:val="00035FC6"/>
    <w:rsid w:val="000366C7"/>
    <w:rsid w:val="00037667"/>
    <w:rsid w:val="0004075D"/>
    <w:rsid w:val="000411E1"/>
    <w:rsid w:val="00043E05"/>
    <w:rsid w:val="0004694F"/>
    <w:rsid w:val="000500DC"/>
    <w:rsid w:val="00052172"/>
    <w:rsid w:val="00053672"/>
    <w:rsid w:val="00053CBA"/>
    <w:rsid w:val="00054E43"/>
    <w:rsid w:val="00055059"/>
    <w:rsid w:val="000553E4"/>
    <w:rsid w:val="000567FA"/>
    <w:rsid w:val="00057864"/>
    <w:rsid w:val="00057C16"/>
    <w:rsid w:val="00060F26"/>
    <w:rsid w:val="00062D43"/>
    <w:rsid w:val="00062EC5"/>
    <w:rsid w:val="00064256"/>
    <w:rsid w:val="00065712"/>
    <w:rsid w:val="0006631E"/>
    <w:rsid w:val="000663A1"/>
    <w:rsid w:val="000706A4"/>
    <w:rsid w:val="00071F80"/>
    <w:rsid w:val="00072118"/>
    <w:rsid w:val="00073173"/>
    <w:rsid w:val="000773FF"/>
    <w:rsid w:val="000779AC"/>
    <w:rsid w:val="00082C2D"/>
    <w:rsid w:val="00083803"/>
    <w:rsid w:val="00084393"/>
    <w:rsid w:val="0008716A"/>
    <w:rsid w:val="00087634"/>
    <w:rsid w:val="00091237"/>
    <w:rsid w:val="0009191B"/>
    <w:rsid w:val="000920EC"/>
    <w:rsid w:val="00092208"/>
    <w:rsid w:val="00092505"/>
    <w:rsid w:val="00092C9A"/>
    <w:rsid w:val="00092E37"/>
    <w:rsid w:val="000935D1"/>
    <w:rsid w:val="0009763F"/>
    <w:rsid w:val="00097D02"/>
    <w:rsid w:val="000A1183"/>
    <w:rsid w:val="000A2121"/>
    <w:rsid w:val="000A2484"/>
    <w:rsid w:val="000A2525"/>
    <w:rsid w:val="000A26DC"/>
    <w:rsid w:val="000A36CE"/>
    <w:rsid w:val="000A59BF"/>
    <w:rsid w:val="000A66C2"/>
    <w:rsid w:val="000B1CFE"/>
    <w:rsid w:val="000B210A"/>
    <w:rsid w:val="000B249B"/>
    <w:rsid w:val="000B3DB9"/>
    <w:rsid w:val="000B3F02"/>
    <w:rsid w:val="000B4192"/>
    <w:rsid w:val="000B48A2"/>
    <w:rsid w:val="000B48E7"/>
    <w:rsid w:val="000B4F41"/>
    <w:rsid w:val="000B7663"/>
    <w:rsid w:val="000C11D3"/>
    <w:rsid w:val="000C12F5"/>
    <w:rsid w:val="000C3408"/>
    <w:rsid w:val="000C45A4"/>
    <w:rsid w:val="000C481B"/>
    <w:rsid w:val="000C5C0F"/>
    <w:rsid w:val="000C6498"/>
    <w:rsid w:val="000D0D51"/>
    <w:rsid w:val="000D14B3"/>
    <w:rsid w:val="000D208B"/>
    <w:rsid w:val="000D2B8D"/>
    <w:rsid w:val="000D2E41"/>
    <w:rsid w:val="000D342A"/>
    <w:rsid w:val="000D5E7A"/>
    <w:rsid w:val="000D5FAA"/>
    <w:rsid w:val="000D6206"/>
    <w:rsid w:val="000D65A4"/>
    <w:rsid w:val="000D6AEF"/>
    <w:rsid w:val="000E025B"/>
    <w:rsid w:val="000E0ECB"/>
    <w:rsid w:val="000E153A"/>
    <w:rsid w:val="000E19A8"/>
    <w:rsid w:val="000E2ABE"/>
    <w:rsid w:val="000E3200"/>
    <w:rsid w:val="000E3280"/>
    <w:rsid w:val="000E4A42"/>
    <w:rsid w:val="000E6476"/>
    <w:rsid w:val="000E65AE"/>
    <w:rsid w:val="000E78D2"/>
    <w:rsid w:val="000F2E58"/>
    <w:rsid w:val="000F3332"/>
    <w:rsid w:val="000F33EE"/>
    <w:rsid w:val="000F401E"/>
    <w:rsid w:val="000F5445"/>
    <w:rsid w:val="000F5673"/>
    <w:rsid w:val="000F67B2"/>
    <w:rsid w:val="000F790F"/>
    <w:rsid w:val="000F7E1B"/>
    <w:rsid w:val="00100014"/>
    <w:rsid w:val="0010039A"/>
    <w:rsid w:val="00101FB2"/>
    <w:rsid w:val="00102CB8"/>
    <w:rsid w:val="00102F02"/>
    <w:rsid w:val="0010385D"/>
    <w:rsid w:val="00103D1B"/>
    <w:rsid w:val="00103D44"/>
    <w:rsid w:val="00103E41"/>
    <w:rsid w:val="001041B6"/>
    <w:rsid w:val="001070EA"/>
    <w:rsid w:val="0011002A"/>
    <w:rsid w:val="001107CE"/>
    <w:rsid w:val="0011110A"/>
    <w:rsid w:val="001118AF"/>
    <w:rsid w:val="00111CA5"/>
    <w:rsid w:val="0011256E"/>
    <w:rsid w:val="00112905"/>
    <w:rsid w:val="0011352E"/>
    <w:rsid w:val="00113819"/>
    <w:rsid w:val="00114FC0"/>
    <w:rsid w:val="00116DB9"/>
    <w:rsid w:val="00116F28"/>
    <w:rsid w:val="00121C39"/>
    <w:rsid w:val="00123255"/>
    <w:rsid w:val="00124D2D"/>
    <w:rsid w:val="00124DA1"/>
    <w:rsid w:val="00125326"/>
    <w:rsid w:val="00125CB5"/>
    <w:rsid w:val="00126DD1"/>
    <w:rsid w:val="00127535"/>
    <w:rsid w:val="001305C4"/>
    <w:rsid w:val="001307BE"/>
    <w:rsid w:val="00130C8F"/>
    <w:rsid w:val="001314F2"/>
    <w:rsid w:val="001317DA"/>
    <w:rsid w:val="001323BA"/>
    <w:rsid w:val="0013254D"/>
    <w:rsid w:val="00133AAC"/>
    <w:rsid w:val="00133FBD"/>
    <w:rsid w:val="00134EBC"/>
    <w:rsid w:val="00136561"/>
    <w:rsid w:val="001400E1"/>
    <w:rsid w:val="001405FA"/>
    <w:rsid w:val="001413B3"/>
    <w:rsid w:val="00141743"/>
    <w:rsid w:val="001425C3"/>
    <w:rsid w:val="00142F16"/>
    <w:rsid w:val="00143E03"/>
    <w:rsid w:val="00143E93"/>
    <w:rsid w:val="00151AC0"/>
    <w:rsid w:val="00151B27"/>
    <w:rsid w:val="00152046"/>
    <w:rsid w:val="00153047"/>
    <w:rsid w:val="00154147"/>
    <w:rsid w:val="00154F81"/>
    <w:rsid w:val="00155746"/>
    <w:rsid w:val="00156318"/>
    <w:rsid w:val="0015639A"/>
    <w:rsid w:val="0016081D"/>
    <w:rsid w:val="00160CF3"/>
    <w:rsid w:val="00160E61"/>
    <w:rsid w:val="001620FA"/>
    <w:rsid w:val="00162853"/>
    <w:rsid w:val="00162C34"/>
    <w:rsid w:val="0016373B"/>
    <w:rsid w:val="00163793"/>
    <w:rsid w:val="001648D6"/>
    <w:rsid w:val="00165935"/>
    <w:rsid w:val="001707DE"/>
    <w:rsid w:val="00170B04"/>
    <w:rsid w:val="00170F47"/>
    <w:rsid w:val="001714F2"/>
    <w:rsid w:val="00171ABF"/>
    <w:rsid w:val="00173642"/>
    <w:rsid w:val="00173AF4"/>
    <w:rsid w:val="00173CB0"/>
    <w:rsid w:val="00174CE8"/>
    <w:rsid w:val="00175351"/>
    <w:rsid w:val="00175F60"/>
    <w:rsid w:val="00175FB4"/>
    <w:rsid w:val="00176050"/>
    <w:rsid w:val="001764D8"/>
    <w:rsid w:val="0017660D"/>
    <w:rsid w:val="00176709"/>
    <w:rsid w:val="00176A8F"/>
    <w:rsid w:val="00180D04"/>
    <w:rsid w:val="00180D58"/>
    <w:rsid w:val="00181DB4"/>
    <w:rsid w:val="00182981"/>
    <w:rsid w:val="00184CF9"/>
    <w:rsid w:val="00185010"/>
    <w:rsid w:val="001852EC"/>
    <w:rsid w:val="00186447"/>
    <w:rsid w:val="001874CF"/>
    <w:rsid w:val="00190D9B"/>
    <w:rsid w:val="00191BAE"/>
    <w:rsid w:val="00193432"/>
    <w:rsid w:val="0019346C"/>
    <w:rsid w:val="001946B9"/>
    <w:rsid w:val="00194D0F"/>
    <w:rsid w:val="00195444"/>
    <w:rsid w:val="00197D35"/>
    <w:rsid w:val="001A199D"/>
    <w:rsid w:val="001A2BDB"/>
    <w:rsid w:val="001A30F4"/>
    <w:rsid w:val="001A4C0D"/>
    <w:rsid w:val="001A552F"/>
    <w:rsid w:val="001A56F3"/>
    <w:rsid w:val="001A750C"/>
    <w:rsid w:val="001B1D89"/>
    <w:rsid w:val="001B3110"/>
    <w:rsid w:val="001B4198"/>
    <w:rsid w:val="001B44BC"/>
    <w:rsid w:val="001B618F"/>
    <w:rsid w:val="001B639E"/>
    <w:rsid w:val="001B6545"/>
    <w:rsid w:val="001B681B"/>
    <w:rsid w:val="001B6A49"/>
    <w:rsid w:val="001B74FB"/>
    <w:rsid w:val="001B77A1"/>
    <w:rsid w:val="001C0422"/>
    <w:rsid w:val="001C0E0E"/>
    <w:rsid w:val="001C0EB9"/>
    <w:rsid w:val="001C1219"/>
    <w:rsid w:val="001C2912"/>
    <w:rsid w:val="001C357A"/>
    <w:rsid w:val="001C3A37"/>
    <w:rsid w:val="001C4384"/>
    <w:rsid w:val="001C58FF"/>
    <w:rsid w:val="001C65FF"/>
    <w:rsid w:val="001D1A17"/>
    <w:rsid w:val="001D47E5"/>
    <w:rsid w:val="001D5536"/>
    <w:rsid w:val="001D584C"/>
    <w:rsid w:val="001D5E1B"/>
    <w:rsid w:val="001D66C1"/>
    <w:rsid w:val="001D7C6F"/>
    <w:rsid w:val="001E0024"/>
    <w:rsid w:val="001E0C65"/>
    <w:rsid w:val="001E1096"/>
    <w:rsid w:val="001E23E3"/>
    <w:rsid w:val="001E25A6"/>
    <w:rsid w:val="001E387A"/>
    <w:rsid w:val="001E3DA4"/>
    <w:rsid w:val="001E5830"/>
    <w:rsid w:val="001E684C"/>
    <w:rsid w:val="001E6EB9"/>
    <w:rsid w:val="001E701C"/>
    <w:rsid w:val="001E7C03"/>
    <w:rsid w:val="001F02AF"/>
    <w:rsid w:val="001F0649"/>
    <w:rsid w:val="001F28F4"/>
    <w:rsid w:val="001F3055"/>
    <w:rsid w:val="001F31BC"/>
    <w:rsid w:val="001F378E"/>
    <w:rsid w:val="001F3C79"/>
    <w:rsid w:val="001F3E68"/>
    <w:rsid w:val="001F4597"/>
    <w:rsid w:val="001F56A9"/>
    <w:rsid w:val="001F5C50"/>
    <w:rsid w:val="001F5C6A"/>
    <w:rsid w:val="001F670A"/>
    <w:rsid w:val="001F726C"/>
    <w:rsid w:val="00200D15"/>
    <w:rsid w:val="00203074"/>
    <w:rsid w:val="00203B46"/>
    <w:rsid w:val="002048E1"/>
    <w:rsid w:val="00207DB6"/>
    <w:rsid w:val="00210278"/>
    <w:rsid w:val="0021030B"/>
    <w:rsid w:val="00210CC2"/>
    <w:rsid w:val="00210F5B"/>
    <w:rsid w:val="00210FFA"/>
    <w:rsid w:val="00211262"/>
    <w:rsid w:val="002115F5"/>
    <w:rsid w:val="00211AC9"/>
    <w:rsid w:val="0021355B"/>
    <w:rsid w:val="00214C52"/>
    <w:rsid w:val="002179F9"/>
    <w:rsid w:val="002205F2"/>
    <w:rsid w:val="0022080E"/>
    <w:rsid w:val="0022139E"/>
    <w:rsid w:val="0022168A"/>
    <w:rsid w:val="0022272B"/>
    <w:rsid w:val="00222A99"/>
    <w:rsid w:val="00223678"/>
    <w:rsid w:val="002236F7"/>
    <w:rsid w:val="00223E00"/>
    <w:rsid w:val="002252E0"/>
    <w:rsid w:val="002255F6"/>
    <w:rsid w:val="00226466"/>
    <w:rsid w:val="002266D0"/>
    <w:rsid w:val="00226887"/>
    <w:rsid w:val="00230DAD"/>
    <w:rsid w:val="0023229C"/>
    <w:rsid w:val="00232AEF"/>
    <w:rsid w:val="0023355C"/>
    <w:rsid w:val="00234280"/>
    <w:rsid w:val="00235000"/>
    <w:rsid w:val="002350E3"/>
    <w:rsid w:val="00235330"/>
    <w:rsid w:val="0023629A"/>
    <w:rsid w:val="002363AE"/>
    <w:rsid w:val="00236443"/>
    <w:rsid w:val="00240355"/>
    <w:rsid w:val="00240773"/>
    <w:rsid w:val="00240815"/>
    <w:rsid w:val="00240A5B"/>
    <w:rsid w:val="00240C76"/>
    <w:rsid w:val="002436BA"/>
    <w:rsid w:val="002444ED"/>
    <w:rsid w:val="0024481A"/>
    <w:rsid w:val="00244A15"/>
    <w:rsid w:val="00244D40"/>
    <w:rsid w:val="00246AE9"/>
    <w:rsid w:val="0024799E"/>
    <w:rsid w:val="00250C59"/>
    <w:rsid w:val="00250E0D"/>
    <w:rsid w:val="00251D59"/>
    <w:rsid w:val="00252602"/>
    <w:rsid w:val="00252FDC"/>
    <w:rsid w:val="00257613"/>
    <w:rsid w:val="00261E5B"/>
    <w:rsid w:val="00262F34"/>
    <w:rsid w:val="00263470"/>
    <w:rsid w:val="00263733"/>
    <w:rsid w:val="00264676"/>
    <w:rsid w:val="00264AF7"/>
    <w:rsid w:val="00265536"/>
    <w:rsid w:val="00265E54"/>
    <w:rsid w:val="00266F3E"/>
    <w:rsid w:val="0026715A"/>
    <w:rsid w:val="00272464"/>
    <w:rsid w:val="00273DCD"/>
    <w:rsid w:val="00274291"/>
    <w:rsid w:val="00276CFE"/>
    <w:rsid w:val="00277071"/>
    <w:rsid w:val="0027786C"/>
    <w:rsid w:val="002778B0"/>
    <w:rsid w:val="00277BF7"/>
    <w:rsid w:val="00281416"/>
    <w:rsid w:val="00285986"/>
    <w:rsid w:val="00285CD3"/>
    <w:rsid w:val="0028686A"/>
    <w:rsid w:val="00286E66"/>
    <w:rsid w:val="002902F0"/>
    <w:rsid w:val="002919B5"/>
    <w:rsid w:val="00293441"/>
    <w:rsid w:val="00294238"/>
    <w:rsid w:val="0029493E"/>
    <w:rsid w:val="00296C2E"/>
    <w:rsid w:val="002A1B05"/>
    <w:rsid w:val="002A2420"/>
    <w:rsid w:val="002A267F"/>
    <w:rsid w:val="002A3354"/>
    <w:rsid w:val="002A35EA"/>
    <w:rsid w:val="002A37B6"/>
    <w:rsid w:val="002A3BD5"/>
    <w:rsid w:val="002A43A2"/>
    <w:rsid w:val="002A44ED"/>
    <w:rsid w:val="002A4612"/>
    <w:rsid w:val="002A4F70"/>
    <w:rsid w:val="002A5263"/>
    <w:rsid w:val="002A5C4A"/>
    <w:rsid w:val="002A6821"/>
    <w:rsid w:val="002A74D2"/>
    <w:rsid w:val="002A7CDA"/>
    <w:rsid w:val="002A7F47"/>
    <w:rsid w:val="002B08A8"/>
    <w:rsid w:val="002B1544"/>
    <w:rsid w:val="002B36C8"/>
    <w:rsid w:val="002B7240"/>
    <w:rsid w:val="002C1A8A"/>
    <w:rsid w:val="002C2668"/>
    <w:rsid w:val="002C3B51"/>
    <w:rsid w:val="002C43BD"/>
    <w:rsid w:val="002C5261"/>
    <w:rsid w:val="002C6091"/>
    <w:rsid w:val="002D0562"/>
    <w:rsid w:val="002D1B5A"/>
    <w:rsid w:val="002D2500"/>
    <w:rsid w:val="002D3F00"/>
    <w:rsid w:val="002D4D59"/>
    <w:rsid w:val="002D54BF"/>
    <w:rsid w:val="002D5E94"/>
    <w:rsid w:val="002D632D"/>
    <w:rsid w:val="002E02A1"/>
    <w:rsid w:val="002E0982"/>
    <w:rsid w:val="002E0DB9"/>
    <w:rsid w:val="002E2CE4"/>
    <w:rsid w:val="002E34F3"/>
    <w:rsid w:val="002E435E"/>
    <w:rsid w:val="002E73F2"/>
    <w:rsid w:val="002F33FB"/>
    <w:rsid w:val="002F68A4"/>
    <w:rsid w:val="002F7594"/>
    <w:rsid w:val="00301357"/>
    <w:rsid w:val="00301D04"/>
    <w:rsid w:val="003035D4"/>
    <w:rsid w:val="00303DCB"/>
    <w:rsid w:val="00304771"/>
    <w:rsid w:val="00305736"/>
    <w:rsid w:val="00306C5B"/>
    <w:rsid w:val="00306E3B"/>
    <w:rsid w:val="003119B6"/>
    <w:rsid w:val="00312C3D"/>
    <w:rsid w:val="00313A6E"/>
    <w:rsid w:val="00314331"/>
    <w:rsid w:val="00316A67"/>
    <w:rsid w:val="00317E31"/>
    <w:rsid w:val="00320214"/>
    <w:rsid w:val="003209D6"/>
    <w:rsid w:val="0032109A"/>
    <w:rsid w:val="0032214F"/>
    <w:rsid w:val="00322164"/>
    <w:rsid w:val="00323CF7"/>
    <w:rsid w:val="00323E61"/>
    <w:rsid w:val="0032513D"/>
    <w:rsid w:val="00326251"/>
    <w:rsid w:val="0032739C"/>
    <w:rsid w:val="00327DEE"/>
    <w:rsid w:val="003302DA"/>
    <w:rsid w:val="00330712"/>
    <w:rsid w:val="00330EB0"/>
    <w:rsid w:val="003329F3"/>
    <w:rsid w:val="0033352E"/>
    <w:rsid w:val="00333690"/>
    <w:rsid w:val="00333D20"/>
    <w:rsid w:val="00333F53"/>
    <w:rsid w:val="003340EF"/>
    <w:rsid w:val="00334A49"/>
    <w:rsid w:val="0033536F"/>
    <w:rsid w:val="00335BB0"/>
    <w:rsid w:val="0033627B"/>
    <w:rsid w:val="003406BD"/>
    <w:rsid w:val="00340D97"/>
    <w:rsid w:val="00342932"/>
    <w:rsid w:val="00343474"/>
    <w:rsid w:val="00343F84"/>
    <w:rsid w:val="00344135"/>
    <w:rsid w:val="003450E2"/>
    <w:rsid w:val="00351B63"/>
    <w:rsid w:val="003523CC"/>
    <w:rsid w:val="00352E57"/>
    <w:rsid w:val="00353BEC"/>
    <w:rsid w:val="003541B0"/>
    <w:rsid w:val="0035457E"/>
    <w:rsid w:val="00355885"/>
    <w:rsid w:val="0035605E"/>
    <w:rsid w:val="00357449"/>
    <w:rsid w:val="0036238B"/>
    <w:rsid w:val="003651A4"/>
    <w:rsid w:val="00365680"/>
    <w:rsid w:val="003657F3"/>
    <w:rsid w:val="00365CF1"/>
    <w:rsid w:val="0036700F"/>
    <w:rsid w:val="00367038"/>
    <w:rsid w:val="00370963"/>
    <w:rsid w:val="0037144E"/>
    <w:rsid w:val="00371B97"/>
    <w:rsid w:val="003736B5"/>
    <w:rsid w:val="00374F1E"/>
    <w:rsid w:val="00376DEC"/>
    <w:rsid w:val="00377200"/>
    <w:rsid w:val="00380CDB"/>
    <w:rsid w:val="00380E04"/>
    <w:rsid w:val="00382D95"/>
    <w:rsid w:val="00383227"/>
    <w:rsid w:val="00384D8F"/>
    <w:rsid w:val="00385D98"/>
    <w:rsid w:val="00385EC5"/>
    <w:rsid w:val="0038658E"/>
    <w:rsid w:val="00386BA4"/>
    <w:rsid w:val="0039066E"/>
    <w:rsid w:val="00391C95"/>
    <w:rsid w:val="003937D5"/>
    <w:rsid w:val="00394D49"/>
    <w:rsid w:val="00396DAC"/>
    <w:rsid w:val="003A0214"/>
    <w:rsid w:val="003A027D"/>
    <w:rsid w:val="003A1467"/>
    <w:rsid w:val="003A1D74"/>
    <w:rsid w:val="003A2B4D"/>
    <w:rsid w:val="003A2D2B"/>
    <w:rsid w:val="003A2DD4"/>
    <w:rsid w:val="003A3B1C"/>
    <w:rsid w:val="003A4088"/>
    <w:rsid w:val="003A478C"/>
    <w:rsid w:val="003A4F82"/>
    <w:rsid w:val="003A5525"/>
    <w:rsid w:val="003A6B38"/>
    <w:rsid w:val="003B2580"/>
    <w:rsid w:val="003B2E63"/>
    <w:rsid w:val="003B3189"/>
    <w:rsid w:val="003B34B7"/>
    <w:rsid w:val="003B3A9D"/>
    <w:rsid w:val="003B3DDD"/>
    <w:rsid w:val="003B5031"/>
    <w:rsid w:val="003B5A32"/>
    <w:rsid w:val="003B6105"/>
    <w:rsid w:val="003C03CC"/>
    <w:rsid w:val="003C04C4"/>
    <w:rsid w:val="003C26F4"/>
    <w:rsid w:val="003C3686"/>
    <w:rsid w:val="003C4852"/>
    <w:rsid w:val="003C5BC7"/>
    <w:rsid w:val="003C5DD4"/>
    <w:rsid w:val="003C601E"/>
    <w:rsid w:val="003C7E11"/>
    <w:rsid w:val="003D2C4E"/>
    <w:rsid w:val="003D3600"/>
    <w:rsid w:val="003D37E2"/>
    <w:rsid w:val="003D3825"/>
    <w:rsid w:val="003D3EC4"/>
    <w:rsid w:val="003D4760"/>
    <w:rsid w:val="003D49DC"/>
    <w:rsid w:val="003D5D7A"/>
    <w:rsid w:val="003D65A7"/>
    <w:rsid w:val="003E0663"/>
    <w:rsid w:val="003E133F"/>
    <w:rsid w:val="003E39A8"/>
    <w:rsid w:val="003E49F6"/>
    <w:rsid w:val="003E699C"/>
    <w:rsid w:val="003E69F3"/>
    <w:rsid w:val="003E782E"/>
    <w:rsid w:val="003E7A0B"/>
    <w:rsid w:val="003E7B2B"/>
    <w:rsid w:val="003F181F"/>
    <w:rsid w:val="003F1A48"/>
    <w:rsid w:val="003F2B0A"/>
    <w:rsid w:val="003F313C"/>
    <w:rsid w:val="003F341B"/>
    <w:rsid w:val="003F37FC"/>
    <w:rsid w:val="003F4616"/>
    <w:rsid w:val="003F49A6"/>
    <w:rsid w:val="003F5098"/>
    <w:rsid w:val="003F5568"/>
    <w:rsid w:val="003F5A95"/>
    <w:rsid w:val="003F6D19"/>
    <w:rsid w:val="004000D5"/>
    <w:rsid w:val="004005C1"/>
    <w:rsid w:val="00401716"/>
    <w:rsid w:val="00401A09"/>
    <w:rsid w:val="0040273A"/>
    <w:rsid w:val="00402C25"/>
    <w:rsid w:val="00404AC3"/>
    <w:rsid w:val="004050D7"/>
    <w:rsid w:val="004075B0"/>
    <w:rsid w:val="004078BD"/>
    <w:rsid w:val="00410132"/>
    <w:rsid w:val="00410BCD"/>
    <w:rsid w:val="0041175D"/>
    <w:rsid w:val="004123BE"/>
    <w:rsid w:val="00414CE5"/>
    <w:rsid w:val="00416673"/>
    <w:rsid w:val="0042160D"/>
    <w:rsid w:val="004216B5"/>
    <w:rsid w:val="00423A3C"/>
    <w:rsid w:val="0042681B"/>
    <w:rsid w:val="00426E99"/>
    <w:rsid w:val="00427193"/>
    <w:rsid w:val="0043068A"/>
    <w:rsid w:val="004306E0"/>
    <w:rsid w:val="00430FC9"/>
    <w:rsid w:val="00431D54"/>
    <w:rsid w:val="004329BE"/>
    <w:rsid w:val="00432C38"/>
    <w:rsid w:val="004342EC"/>
    <w:rsid w:val="00437C76"/>
    <w:rsid w:val="0044105C"/>
    <w:rsid w:val="00443283"/>
    <w:rsid w:val="004441A0"/>
    <w:rsid w:val="00444268"/>
    <w:rsid w:val="00444326"/>
    <w:rsid w:val="004443BF"/>
    <w:rsid w:val="00444A7F"/>
    <w:rsid w:val="00444C19"/>
    <w:rsid w:val="00445218"/>
    <w:rsid w:val="00445CDD"/>
    <w:rsid w:val="00446892"/>
    <w:rsid w:val="00446E39"/>
    <w:rsid w:val="00447E36"/>
    <w:rsid w:val="00450C30"/>
    <w:rsid w:val="00451DCC"/>
    <w:rsid w:val="004540FF"/>
    <w:rsid w:val="004541F1"/>
    <w:rsid w:val="004549B0"/>
    <w:rsid w:val="00455ECA"/>
    <w:rsid w:val="00457296"/>
    <w:rsid w:val="00457320"/>
    <w:rsid w:val="00460164"/>
    <w:rsid w:val="0046039A"/>
    <w:rsid w:val="00460A6B"/>
    <w:rsid w:val="00461977"/>
    <w:rsid w:val="004629FD"/>
    <w:rsid w:val="00463B4B"/>
    <w:rsid w:val="00463F4D"/>
    <w:rsid w:val="0046471F"/>
    <w:rsid w:val="00464BD1"/>
    <w:rsid w:val="00464BE8"/>
    <w:rsid w:val="00465019"/>
    <w:rsid w:val="00465FA4"/>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0AB8"/>
    <w:rsid w:val="0048139F"/>
    <w:rsid w:val="00481C00"/>
    <w:rsid w:val="0048212D"/>
    <w:rsid w:val="00483053"/>
    <w:rsid w:val="00484874"/>
    <w:rsid w:val="00485230"/>
    <w:rsid w:val="00486D82"/>
    <w:rsid w:val="004879E9"/>
    <w:rsid w:val="00487F81"/>
    <w:rsid w:val="00490247"/>
    <w:rsid w:val="0049104F"/>
    <w:rsid w:val="00491218"/>
    <w:rsid w:val="00491CFD"/>
    <w:rsid w:val="0049263A"/>
    <w:rsid w:val="00493036"/>
    <w:rsid w:val="00493362"/>
    <w:rsid w:val="00494343"/>
    <w:rsid w:val="00496C2F"/>
    <w:rsid w:val="00496D92"/>
    <w:rsid w:val="0049729F"/>
    <w:rsid w:val="0049740D"/>
    <w:rsid w:val="004978D3"/>
    <w:rsid w:val="004A11F8"/>
    <w:rsid w:val="004A217A"/>
    <w:rsid w:val="004A22BD"/>
    <w:rsid w:val="004A22FA"/>
    <w:rsid w:val="004A269A"/>
    <w:rsid w:val="004A30FB"/>
    <w:rsid w:val="004A35DD"/>
    <w:rsid w:val="004A37D3"/>
    <w:rsid w:val="004A3AD6"/>
    <w:rsid w:val="004A3FB7"/>
    <w:rsid w:val="004A5865"/>
    <w:rsid w:val="004A77DF"/>
    <w:rsid w:val="004B0295"/>
    <w:rsid w:val="004B0803"/>
    <w:rsid w:val="004B10A8"/>
    <w:rsid w:val="004B22DA"/>
    <w:rsid w:val="004B3CB7"/>
    <w:rsid w:val="004B3D55"/>
    <w:rsid w:val="004B55B7"/>
    <w:rsid w:val="004B6EC5"/>
    <w:rsid w:val="004B7704"/>
    <w:rsid w:val="004C00A6"/>
    <w:rsid w:val="004C0BBB"/>
    <w:rsid w:val="004C1AD6"/>
    <w:rsid w:val="004C1B86"/>
    <w:rsid w:val="004C3382"/>
    <w:rsid w:val="004C3867"/>
    <w:rsid w:val="004C4AB7"/>
    <w:rsid w:val="004C4CD0"/>
    <w:rsid w:val="004C57B5"/>
    <w:rsid w:val="004C5C25"/>
    <w:rsid w:val="004C6717"/>
    <w:rsid w:val="004C6982"/>
    <w:rsid w:val="004C6CFF"/>
    <w:rsid w:val="004C70DC"/>
    <w:rsid w:val="004C7268"/>
    <w:rsid w:val="004D0211"/>
    <w:rsid w:val="004D1C9C"/>
    <w:rsid w:val="004D504B"/>
    <w:rsid w:val="004D536E"/>
    <w:rsid w:val="004D76CC"/>
    <w:rsid w:val="004E1839"/>
    <w:rsid w:val="004E4A75"/>
    <w:rsid w:val="004E541A"/>
    <w:rsid w:val="004E5A5C"/>
    <w:rsid w:val="004E7007"/>
    <w:rsid w:val="004E76D6"/>
    <w:rsid w:val="004E7F57"/>
    <w:rsid w:val="004F06F5"/>
    <w:rsid w:val="004F191F"/>
    <w:rsid w:val="004F2476"/>
    <w:rsid w:val="004F2A73"/>
    <w:rsid w:val="004F33A0"/>
    <w:rsid w:val="004F37BE"/>
    <w:rsid w:val="004F4352"/>
    <w:rsid w:val="004F4353"/>
    <w:rsid w:val="004F447D"/>
    <w:rsid w:val="004F4C28"/>
    <w:rsid w:val="004F4E82"/>
    <w:rsid w:val="004F5CC5"/>
    <w:rsid w:val="004F6350"/>
    <w:rsid w:val="005028E1"/>
    <w:rsid w:val="005033F1"/>
    <w:rsid w:val="0050692E"/>
    <w:rsid w:val="00507040"/>
    <w:rsid w:val="005073C7"/>
    <w:rsid w:val="005079F8"/>
    <w:rsid w:val="00507B84"/>
    <w:rsid w:val="005100D5"/>
    <w:rsid w:val="00510189"/>
    <w:rsid w:val="005108C0"/>
    <w:rsid w:val="00511873"/>
    <w:rsid w:val="00513B7E"/>
    <w:rsid w:val="005140DE"/>
    <w:rsid w:val="00514474"/>
    <w:rsid w:val="005147E9"/>
    <w:rsid w:val="005152B2"/>
    <w:rsid w:val="00515D06"/>
    <w:rsid w:val="0051778E"/>
    <w:rsid w:val="005215EF"/>
    <w:rsid w:val="00523BEC"/>
    <w:rsid w:val="00524637"/>
    <w:rsid w:val="00524FDD"/>
    <w:rsid w:val="00525137"/>
    <w:rsid w:val="005251DD"/>
    <w:rsid w:val="00526DB6"/>
    <w:rsid w:val="0053017A"/>
    <w:rsid w:val="00530492"/>
    <w:rsid w:val="00532854"/>
    <w:rsid w:val="005334A6"/>
    <w:rsid w:val="005342F6"/>
    <w:rsid w:val="005350F2"/>
    <w:rsid w:val="00535152"/>
    <w:rsid w:val="00535359"/>
    <w:rsid w:val="005357A2"/>
    <w:rsid w:val="00535C70"/>
    <w:rsid w:val="00535D87"/>
    <w:rsid w:val="00535EF0"/>
    <w:rsid w:val="005363DF"/>
    <w:rsid w:val="0053734B"/>
    <w:rsid w:val="005375B1"/>
    <w:rsid w:val="00537AFD"/>
    <w:rsid w:val="00537CB4"/>
    <w:rsid w:val="00542C69"/>
    <w:rsid w:val="0054516B"/>
    <w:rsid w:val="0054559E"/>
    <w:rsid w:val="00546888"/>
    <w:rsid w:val="005513D5"/>
    <w:rsid w:val="005523B9"/>
    <w:rsid w:val="005545E0"/>
    <w:rsid w:val="00554865"/>
    <w:rsid w:val="00554E57"/>
    <w:rsid w:val="00556828"/>
    <w:rsid w:val="005622CD"/>
    <w:rsid w:val="00562749"/>
    <w:rsid w:val="00562DE9"/>
    <w:rsid w:val="005638A5"/>
    <w:rsid w:val="00566381"/>
    <w:rsid w:val="0056640C"/>
    <w:rsid w:val="00566A03"/>
    <w:rsid w:val="00571932"/>
    <w:rsid w:val="00573C97"/>
    <w:rsid w:val="00574240"/>
    <w:rsid w:val="00575CDC"/>
    <w:rsid w:val="005765D5"/>
    <w:rsid w:val="00576A3E"/>
    <w:rsid w:val="0057703D"/>
    <w:rsid w:val="00577861"/>
    <w:rsid w:val="0058134C"/>
    <w:rsid w:val="005828FD"/>
    <w:rsid w:val="0058366F"/>
    <w:rsid w:val="00583D5B"/>
    <w:rsid w:val="00583FFD"/>
    <w:rsid w:val="00587CCD"/>
    <w:rsid w:val="005908AE"/>
    <w:rsid w:val="0059153E"/>
    <w:rsid w:val="0059176E"/>
    <w:rsid w:val="00591AF8"/>
    <w:rsid w:val="00592377"/>
    <w:rsid w:val="00592854"/>
    <w:rsid w:val="00593152"/>
    <w:rsid w:val="00593CA3"/>
    <w:rsid w:val="00594161"/>
    <w:rsid w:val="00594969"/>
    <w:rsid w:val="00595590"/>
    <w:rsid w:val="00596C5E"/>
    <w:rsid w:val="005A2194"/>
    <w:rsid w:val="005A21E0"/>
    <w:rsid w:val="005A33A1"/>
    <w:rsid w:val="005A54EE"/>
    <w:rsid w:val="005A563B"/>
    <w:rsid w:val="005A7500"/>
    <w:rsid w:val="005A77E4"/>
    <w:rsid w:val="005B0418"/>
    <w:rsid w:val="005B1BDB"/>
    <w:rsid w:val="005B2BAA"/>
    <w:rsid w:val="005B2D53"/>
    <w:rsid w:val="005B3247"/>
    <w:rsid w:val="005B3409"/>
    <w:rsid w:val="005B489E"/>
    <w:rsid w:val="005B498A"/>
    <w:rsid w:val="005B7B12"/>
    <w:rsid w:val="005C16CB"/>
    <w:rsid w:val="005C21D6"/>
    <w:rsid w:val="005C3F9F"/>
    <w:rsid w:val="005C406F"/>
    <w:rsid w:val="005C4244"/>
    <w:rsid w:val="005C4A23"/>
    <w:rsid w:val="005C562C"/>
    <w:rsid w:val="005C5812"/>
    <w:rsid w:val="005C6400"/>
    <w:rsid w:val="005C7122"/>
    <w:rsid w:val="005C7F1E"/>
    <w:rsid w:val="005D374F"/>
    <w:rsid w:val="005D5802"/>
    <w:rsid w:val="005D6CFC"/>
    <w:rsid w:val="005D73E2"/>
    <w:rsid w:val="005D757A"/>
    <w:rsid w:val="005E1859"/>
    <w:rsid w:val="005E1E4B"/>
    <w:rsid w:val="005E362D"/>
    <w:rsid w:val="005E492C"/>
    <w:rsid w:val="005E4BAA"/>
    <w:rsid w:val="005E52EF"/>
    <w:rsid w:val="005E5525"/>
    <w:rsid w:val="005E5B56"/>
    <w:rsid w:val="005E6088"/>
    <w:rsid w:val="005E61DF"/>
    <w:rsid w:val="005E6B65"/>
    <w:rsid w:val="005E6B78"/>
    <w:rsid w:val="005E75B8"/>
    <w:rsid w:val="005F26CE"/>
    <w:rsid w:val="005F4057"/>
    <w:rsid w:val="005F4088"/>
    <w:rsid w:val="005F601D"/>
    <w:rsid w:val="005F6119"/>
    <w:rsid w:val="005F7940"/>
    <w:rsid w:val="0060107A"/>
    <w:rsid w:val="00601AFF"/>
    <w:rsid w:val="00602D1D"/>
    <w:rsid w:val="00604307"/>
    <w:rsid w:val="0060487F"/>
    <w:rsid w:val="00605814"/>
    <w:rsid w:val="00606B93"/>
    <w:rsid w:val="00607727"/>
    <w:rsid w:val="00610BD5"/>
    <w:rsid w:val="00611531"/>
    <w:rsid w:val="006118AA"/>
    <w:rsid w:val="006123FD"/>
    <w:rsid w:val="006139C7"/>
    <w:rsid w:val="006153E3"/>
    <w:rsid w:val="0061679C"/>
    <w:rsid w:val="006167AB"/>
    <w:rsid w:val="00617B14"/>
    <w:rsid w:val="00617D2D"/>
    <w:rsid w:val="00617D83"/>
    <w:rsid w:val="00620430"/>
    <w:rsid w:val="00620AC5"/>
    <w:rsid w:val="00621575"/>
    <w:rsid w:val="006215FC"/>
    <w:rsid w:val="00624093"/>
    <w:rsid w:val="00630F66"/>
    <w:rsid w:val="00631A82"/>
    <w:rsid w:val="00631FC2"/>
    <w:rsid w:val="00632171"/>
    <w:rsid w:val="0063332A"/>
    <w:rsid w:val="006347F9"/>
    <w:rsid w:val="0063494E"/>
    <w:rsid w:val="00634C90"/>
    <w:rsid w:val="00635E79"/>
    <w:rsid w:val="00636E5E"/>
    <w:rsid w:val="006379E0"/>
    <w:rsid w:val="006404A7"/>
    <w:rsid w:val="006407F3"/>
    <w:rsid w:val="006408EC"/>
    <w:rsid w:val="0064129B"/>
    <w:rsid w:val="00644DFC"/>
    <w:rsid w:val="006451E4"/>
    <w:rsid w:val="0064543C"/>
    <w:rsid w:val="006454B4"/>
    <w:rsid w:val="00645A9C"/>
    <w:rsid w:val="006460B8"/>
    <w:rsid w:val="00647505"/>
    <w:rsid w:val="006504A0"/>
    <w:rsid w:val="006520C7"/>
    <w:rsid w:val="00652CBB"/>
    <w:rsid w:val="006530B8"/>
    <w:rsid w:val="006535D6"/>
    <w:rsid w:val="00654301"/>
    <w:rsid w:val="0065614E"/>
    <w:rsid w:val="00656312"/>
    <w:rsid w:val="006572ED"/>
    <w:rsid w:val="00657E87"/>
    <w:rsid w:val="00660457"/>
    <w:rsid w:val="0066086C"/>
    <w:rsid w:val="00660917"/>
    <w:rsid w:val="00660E1E"/>
    <w:rsid w:val="006637B1"/>
    <w:rsid w:val="00664B64"/>
    <w:rsid w:val="00665D67"/>
    <w:rsid w:val="00665D77"/>
    <w:rsid w:val="006660CD"/>
    <w:rsid w:val="00666EC8"/>
    <w:rsid w:val="00666F4B"/>
    <w:rsid w:val="006676D0"/>
    <w:rsid w:val="0066796E"/>
    <w:rsid w:val="00667B3B"/>
    <w:rsid w:val="00670FAC"/>
    <w:rsid w:val="006710C9"/>
    <w:rsid w:val="006716A5"/>
    <w:rsid w:val="00672886"/>
    <w:rsid w:val="00675E37"/>
    <w:rsid w:val="00676AFC"/>
    <w:rsid w:val="00676F11"/>
    <w:rsid w:val="00680079"/>
    <w:rsid w:val="00680F68"/>
    <w:rsid w:val="0068260E"/>
    <w:rsid w:val="0068373D"/>
    <w:rsid w:val="00683BFE"/>
    <w:rsid w:val="0068437D"/>
    <w:rsid w:val="006857DF"/>
    <w:rsid w:val="00685E66"/>
    <w:rsid w:val="00686B72"/>
    <w:rsid w:val="00686BF1"/>
    <w:rsid w:val="00690A09"/>
    <w:rsid w:val="00690A25"/>
    <w:rsid w:val="00691374"/>
    <w:rsid w:val="00693EA1"/>
    <w:rsid w:val="00693FEA"/>
    <w:rsid w:val="00694460"/>
    <w:rsid w:val="00694930"/>
    <w:rsid w:val="00695170"/>
    <w:rsid w:val="00695BEF"/>
    <w:rsid w:val="00695DE9"/>
    <w:rsid w:val="006960D6"/>
    <w:rsid w:val="00696AA5"/>
    <w:rsid w:val="006977F6"/>
    <w:rsid w:val="00697A13"/>
    <w:rsid w:val="006A109C"/>
    <w:rsid w:val="006A18AE"/>
    <w:rsid w:val="006A2EE8"/>
    <w:rsid w:val="006A3CF3"/>
    <w:rsid w:val="006A568F"/>
    <w:rsid w:val="006A65EF"/>
    <w:rsid w:val="006A672B"/>
    <w:rsid w:val="006A6FB8"/>
    <w:rsid w:val="006B23A9"/>
    <w:rsid w:val="006B3F8A"/>
    <w:rsid w:val="006B5CA3"/>
    <w:rsid w:val="006B5EEB"/>
    <w:rsid w:val="006B6B3B"/>
    <w:rsid w:val="006B7714"/>
    <w:rsid w:val="006B78D8"/>
    <w:rsid w:val="006C090F"/>
    <w:rsid w:val="006C0935"/>
    <w:rsid w:val="006C0BCE"/>
    <w:rsid w:val="006C113F"/>
    <w:rsid w:val="006C2AED"/>
    <w:rsid w:val="006C38DD"/>
    <w:rsid w:val="006C5577"/>
    <w:rsid w:val="006C559A"/>
    <w:rsid w:val="006C58FA"/>
    <w:rsid w:val="006D042D"/>
    <w:rsid w:val="006D06EF"/>
    <w:rsid w:val="006D142E"/>
    <w:rsid w:val="006D4497"/>
    <w:rsid w:val="006D4E6F"/>
    <w:rsid w:val="006D5C8C"/>
    <w:rsid w:val="006D61F6"/>
    <w:rsid w:val="006E0EB0"/>
    <w:rsid w:val="006E0F26"/>
    <w:rsid w:val="006E1F4C"/>
    <w:rsid w:val="006E22C8"/>
    <w:rsid w:val="006E279A"/>
    <w:rsid w:val="006E2B48"/>
    <w:rsid w:val="006E2F3F"/>
    <w:rsid w:val="006E313B"/>
    <w:rsid w:val="006E442A"/>
    <w:rsid w:val="006E4434"/>
    <w:rsid w:val="006E4832"/>
    <w:rsid w:val="006E59FC"/>
    <w:rsid w:val="006E5CFD"/>
    <w:rsid w:val="006E6976"/>
    <w:rsid w:val="006E7D88"/>
    <w:rsid w:val="006E7E2C"/>
    <w:rsid w:val="006F1326"/>
    <w:rsid w:val="006F2BEE"/>
    <w:rsid w:val="006F3458"/>
    <w:rsid w:val="006F3708"/>
    <w:rsid w:val="006F3E6B"/>
    <w:rsid w:val="006F4619"/>
    <w:rsid w:val="006F4A59"/>
    <w:rsid w:val="00700232"/>
    <w:rsid w:val="007014C7"/>
    <w:rsid w:val="007025D8"/>
    <w:rsid w:val="00702682"/>
    <w:rsid w:val="00702D6F"/>
    <w:rsid w:val="00703163"/>
    <w:rsid w:val="00703B6C"/>
    <w:rsid w:val="00703C6B"/>
    <w:rsid w:val="007047D5"/>
    <w:rsid w:val="00705D98"/>
    <w:rsid w:val="00707891"/>
    <w:rsid w:val="00707D43"/>
    <w:rsid w:val="00711EF1"/>
    <w:rsid w:val="0071229A"/>
    <w:rsid w:val="00712572"/>
    <w:rsid w:val="00713495"/>
    <w:rsid w:val="00713EEB"/>
    <w:rsid w:val="007159D2"/>
    <w:rsid w:val="0072050E"/>
    <w:rsid w:val="00720FA2"/>
    <w:rsid w:val="007211F5"/>
    <w:rsid w:val="00724666"/>
    <w:rsid w:val="00726043"/>
    <w:rsid w:val="0072704A"/>
    <w:rsid w:val="00730AE8"/>
    <w:rsid w:val="00731963"/>
    <w:rsid w:val="00731CA1"/>
    <w:rsid w:val="00734321"/>
    <w:rsid w:val="0073532E"/>
    <w:rsid w:val="00740310"/>
    <w:rsid w:val="00740652"/>
    <w:rsid w:val="00740848"/>
    <w:rsid w:val="00740F02"/>
    <w:rsid w:val="00740FEC"/>
    <w:rsid w:val="0074132E"/>
    <w:rsid w:val="00741493"/>
    <w:rsid w:val="007426B3"/>
    <w:rsid w:val="007426FD"/>
    <w:rsid w:val="0074329D"/>
    <w:rsid w:val="00743CEB"/>
    <w:rsid w:val="00744376"/>
    <w:rsid w:val="007449EA"/>
    <w:rsid w:val="00744D00"/>
    <w:rsid w:val="00745273"/>
    <w:rsid w:val="00746DD9"/>
    <w:rsid w:val="0075057A"/>
    <w:rsid w:val="00751771"/>
    <w:rsid w:val="00751C1C"/>
    <w:rsid w:val="00751D40"/>
    <w:rsid w:val="00752180"/>
    <w:rsid w:val="007521A1"/>
    <w:rsid w:val="00752BC3"/>
    <w:rsid w:val="0075315D"/>
    <w:rsid w:val="007538F9"/>
    <w:rsid w:val="00754253"/>
    <w:rsid w:val="007552BB"/>
    <w:rsid w:val="007558D3"/>
    <w:rsid w:val="007559D7"/>
    <w:rsid w:val="00755D3A"/>
    <w:rsid w:val="00760141"/>
    <w:rsid w:val="007609C6"/>
    <w:rsid w:val="007610A0"/>
    <w:rsid w:val="007619CD"/>
    <w:rsid w:val="007620F2"/>
    <w:rsid w:val="00762EBA"/>
    <w:rsid w:val="0076359D"/>
    <w:rsid w:val="00763FEB"/>
    <w:rsid w:val="0077058D"/>
    <w:rsid w:val="00772536"/>
    <w:rsid w:val="00773613"/>
    <w:rsid w:val="00774782"/>
    <w:rsid w:val="00776476"/>
    <w:rsid w:val="00776527"/>
    <w:rsid w:val="00776B92"/>
    <w:rsid w:val="007805E1"/>
    <w:rsid w:val="0078113E"/>
    <w:rsid w:val="00781834"/>
    <w:rsid w:val="007821DB"/>
    <w:rsid w:val="00782818"/>
    <w:rsid w:val="007838F1"/>
    <w:rsid w:val="007842A5"/>
    <w:rsid w:val="00784A0E"/>
    <w:rsid w:val="00784C4A"/>
    <w:rsid w:val="00787432"/>
    <w:rsid w:val="00787507"/>
    <w:rsid w:val="007879F2"/>
    <w:rsid w:val="00791CF8"/>
    <w:rsid w:val="00791EF9"/>
    <w:rsid w:val="00792262"/>
    <w:rsid w:val="00793387"/>
    <w:rsid w:val="00793BAE"/>
    <w:rsid w:val="00794E0A"/>
    <w:rsid w:val="00796642"/>
    <w:rsid w:val="007A11D9"/>
    <w:rsid w:val="007A327B"/>
    <w:rsid w:val="007A45B1"/>
    <w:rsid w:val="007A4606"/>
    <w:rsid w:val="007B0D67"/>
    <w:rsid w:val="007B1966"/>
    <w:rsid w:val="007B2779"/>
    <w:rsid w:val="007B3DCC"/>
    <w:rsid w:val="007B4518"/>
    <w:rsid w:val="007B5031"/>
    <w:rsid w:val="007B573F"/>
    <w:rsid w:val="007B6A6B"/>
    <w:rsid w:val="007C0065"/>
    <w:rsid w:val="007C010B"/>
    <w:rsid w:val="007C3384"/>
    <w:rsid w:val="007C605B"/>
    <w:rsid w:val="007D152D"/>
    <w:rsid w:val="007D1E65"/>
    <w:rsid w:val="007D2A5A"/>
    <w:rsid w:val="007D2AD8"/>
    <w:rsid w:val="007D2C47"/>
    <w:rsid w:val="007D3167"/>
    <w:rsid w:val="007D4128"/>
    <w:rsid w:val="007D4281"/>
    <w:rsid w:val="007D42F5"/>
    <w:rsid w:val="007D44C3"/>
    <w:rsid w:val="007D5947"/>
    <w:rsid w:val="007D65C1"/>
    <w:rsid w:val="007D6DD0"/>
    <w:rsid w:val="007D71F5"/>
    <w:rsid w:val="007D7CAD"/>
    <w:rsid w:val="007E030F"/>
    <w:rsid w:val="007E0E59"/>
    <w:rsid w:val="007E0F4B"/>
    <w:rsid w:val="007E3715"/>
    <w:rsid w:val="007E3720"/>
    <w:rsid w:val="007E7E61"/>
    <w:rsid w:val="007F0012"/>
    <w:rsid w:val="007F0845"/>
    <w:rsid w:val="007F16F9"/>
    <w:rsid w:val="007F2953"/>
    <w:rsid w:val="007F3E3E"/>
    <w:rsid w:val="007F42E0"/>
    <w:rsid w:val="007F4476"/>
    <w:rsid w:val="007F48F0"/>
    <w:rsid w:val="007F500D"/>
    <w:rsid w:val="007F5F14"/>
    <w:rsid w:val="007F7737"/>
    <w:rsid w:val="007F7B54"/>
    <w:rsid w:val="00800073"/>
    <w:rsid w:val="008005D7"/>
    <w:rsid w:val="00801FDD"/>
    <w:rsid w:val="008020C2"/>
    <w:rsid w:val="0080255C"/>
    <w:rsid w:val="008042A9"/>
    <w:rsid w:val="0081187C"/>
    <w:rsid w:val="00811E24"/>
    <w:rsid w:val="00812386"/>
    <w:rsid w:val="00812E2B"/>
    <w:rsid w:val="00813A70"/>
    <w:rsid w:val="00813FE6"/>
    <w:rsid w:val="00815C6E"/>
    <w:rsid w:val="00815F72"/>
    <w:rsid w:val="0081645F"/>
    <w:rsid w:val="00817755"/>
    <w:rsid w:val="008178C2"/>
    <w:rsid w:val="008178CF"/>
    <w:rsid w:val="00817C98"/>
    <w:rsid w:val="00820C9F"/>
    <w:rsid w:val="00821FF6"/>
    <w:rsid w:val="00823AAF"/>
    <w:rsid w:val="00824081"/>
    <w:rsid w:val="0082409A"/>
    <w:rsid w:val="008252D7"/>
    <w:rsid w:val="00825C0F"/>
    <w:rsid w:val="0082601B"/>
    <w:rsid w:val="00827181"/>
    <w:rsid w:val="0082733C"/>
    <w:rsid w:val="00827746"/>
    <w:rsid w:val="00830447"/>
    <w:rsid w:val="0083143E"/>
    <w:rsid w:val="0083159D"/>
    <w:rsid w:val="008318FF"/>
    <w:rsid w:val="00832187"/>
    <w:rsid w:val="008323E8"/>
    <w:rsid w:val="00832493"/>
    <w:rsid w:val="008330B5"/>
    <w:rsid w:val="008336D8"/>
    <w:rsid w:val="008339C4"/>
    <w:rsid w:val="00834F0A"/>
    <w:rsid w:val="00834FAA"/>
    <w:rsid w:val="00835181"/>
    <w:rsid w:val="00835991"/>
    <w:rsid w:val="00836086"/>
    <w:rsid w:val="00840699"/>
    <w:rsid w:val="00840DED"/>
    <w:rsid w:val="00841D9F"/>
    <w:rsid w:val="00842604"/>
    <w:rsid w:val="00843ECF"/>
    <w:rsid w:val="00846673"/>
    <w:rsid w:val="0085281A"/>
    <w:rsid w:val="008559FE"/>
    <w:rsid w:val="00857339"/>
    <w:rsid w:val="00860706"/>
    <w:rsid w:val="00862A7A"/>
    <w:rsid w:val="00862DA0"/>
    <w:rsid w:val="00863104"/>
    <w:rsid w:val="008636CD"/>
    <w:rsid w:val="00863D9E"/>
    <w:rsid w:val="00863FDC"/>
    <w:rsid w:val="008642AF"/>
    <w:rsid w:val="00865ED4"/>
    <w:rsid w:val="00866561"/>
    <w:rsid w:val="008669A7"/>
    <w:rsid w:val="00867527"/>
    <w:rsid w:val="00867E29"/>
    <w:rsid w:val="00870F2B"/>
    <w:rsid w:val="00872D92"/>
    <w:rsid w:val="00873D52"/>
    <w:rsid w:val="008746E6"/>
    <w:rsid w:val="008752FB"/>
    <w:rsid w:val="0087594C"/>
    <w:rsid w:val="00876086"/>
    <w:rsid w:val="008768D6"/>
    <w:rsid w:val="008775D1"/>
    <w:rsid w:val="008777BB"/>
    <w:rsid w:val="00877D68"/>
    <w:rsid w:val="00877E51"/>
    <w:rsid w:val="00877E5D"/>
    <w:rsid w:val="00880150"/>
    <w:rsid w:val="00880ABA"/>
    <w:rsid w:val="00881A75"/>
    <w:rsid w:val="00881F72"/>
    <w:rsid w:val="00883A67"/>
    <w:rsid w:val="00883D45"/>
    <w:rsid w:val="00884D69"/>
    <w:rsid w:val="0088503D"/>
    <w:rsid w:val="00886005"/>
    <w:rsid w:val="00886A8F"/>
    <w:rsid w:val="0088733A"/>
    <w:rsid w:val="008902DB"/>
    <w:rsid w:val="00891BE0"/>
    <w:rsid w:val="00891FDE"/>
    <w:rsid w:val="00893302"/>
    <w:rsid w:val="00893648"/>
    <w:rsid w:val="00893F3C"/>
    <w:rsid w:val="008945A1"/>
    <w:rsid w:val="00894A63"/>
    <w:rsid w:val="008954A8"/>
    <w:rsid w:val="00895A54"/>
    <w:rsid w:val="00896916"/>
    <w:rsid w:val="00896BDE"/>
    <w:rsid w:val="00897CC5"/>
    <w:rsid w:val="008A0861"/>
    <w:rsid w:val="008A0BB2"/>
    <w:rsid w:val="008A0BF6"/>
    <w:rsid w:val="008A1AB3"/>
    <w:rsid w:val="008A1D5C"/>
    <w:rsid w:val="008A3292"/>
    <w:rsid w:val="008A3A85"/>
    <w:rsid w:val="008A43E9"/>
    <w:rsid w:val="008A4CB1"/>
    <w:rsid w:val="008A615E"/>
    <w:rsid w:val="008A632B"/>
    <w:rsid w:val="008A6BFE"/>
    <w:rsid w:val="008B00C2"/>
    <w:rsid w:val="008B07EF"/>
    <w:rsid w:val="008B16DE"/>
    <w:rsid w:val="008B190E"/>
    <w:rsid w:val="008B1A8A"/>
    <w:rsid w:val="008B1C17"/>
    <w:rsid w:val="008B1FC9"/>
    <w:rsid w:val="008B6B67"/>
    <w:rsid w:val="008B7306"/>
    <w:rsid w:val="008B775F"/>
    <w:rsid w:val="008B7C02"/>
    <w:rsid w:val="008B7D13"/>
    <w:rsid w:val="008B7F9E"/>
    <w:rsid w:val="008C0E88"/>
    <w:rsid w:val="008C1AA8"/>
    <w:rsid w:val="008C22A8"/>
    <w:rsid w:val="008C5B43"/>
    <w:rsid w:val="008C63FD"/>
    <w:rsid w:val="008C6CB8"/>
    <w:rsid w:val="008C7815"/>
    <w:rsid w:val="008C7A07"/>
    <w:rsid w:val="008D0171"/>
    <w:rsid w:val="008D13EA"/>
    <w:rsid w:val="008D2671"/>
    <w:rsid w:val="008D2A16"/>
    <w:rsid w:val="008D2ECF"/>
    <w:rsid w:val="008D3C87"/>
    <w:rsid w:val="008D3F3D"/>
    <w:rsid w:val="008E0367"/>
    <w:rsid w:val="008E2F41"/>
    <w:rsid w:val="008E308D"/>
    <w:rsid w:val="008E31FF"/>
    <w:rsid w:val="008E3867"/>
    <w:rsid w:val="008E46A3"/>
    <w:rsid w:val="008E5DE6"/>
    <w:rsid w:val="008E6073"/>
    <w:rsid w:val="008E6113"/>
    <w:rsid w:val="008E6AB3"/>
    <w:rsid w:val="008E6AD3"/>
    <w:rsid w:val="008E71A6"/>
    <w:rsid w:val="008E77B6"/>
    <w:rsid w:val="008E7C55"/>
    <w:rsid w:val="008F032E"/>
    <w:rsid w:val="008F0F14"/>
    <w:rsid w:val="008F40E1"/>
    <w:rsid w:val="008F4FCE"/>
    <w:rsid w:val="008F5301"/>
    <w:rsid w:val="008F6967"/>
    <w:rsid w:val="008F6A0C"/>
    <w:rsid w:val="008F7721"/>
    <w:rsid w:val="008F7D28"/>
    <w:rsid w:val="009003A8"/>
    <w:rsid w:val="009010A7"/>
    <w:rsid w:val="00902CBE"/>
    <w:rsid w:val="00902D74"/>
    <w:rsid w:val="00902EFF"/>
    <w:rsid w:val="00903E06"/>
    <w:rsid w:val="00904B9D"/>
    <w:rsid w:val="00905A11"/>
    <w:rsid w:val="009066E1"/>
    <w:rsid w:val="00906D0C"/>
    <w:rsid w:val="00907A41"/>
    <w:rsid w:val="009102BD"/>
    <w:rsid w:val="00910F93"/>
    <w:rsid w:val="0091255A"/>
    <w:rsid w:val="009128CD"/>
    <w:rsid w:val="00914426"/>
    <w:rsid w:val="00914EDB"/>
    <w:rsid w:val="0091675F"/>
    <w:rsid w:val="00917709"/>
    <w:rsid w:val="00917918"/>
    <w:rsid w:val="00920874"/>
    <w:rsid w:val="00921370"/>
    <w:rsid w:val="00921F14"/>
    <w:rsid w:val="00923750"/>
    <w:rsid w:val="009243A5"/>
    <w:rsid w:val="009250D2"/>
    <w:rsid w:val="0092540B"/>
    <w:rsid w:val="00926283"/>
    <w:rsid w:val="00934CE8"/>
    <w:rsid w:val="009365BF"/>
    <w:rsid w:val="00937B11"/>
    <w:rsid w:val="00940F1F"/>
    <w:rsid w:val="00941250"/>
    <w:rsid w:val="0094427A"/>
    <w:rsid w:val="00944380"/>
    <w:rsid w:val="00945932"/>
    <w:rsid w:val="009459C5"/>
    <w:rsid w:val="0094626C"/>
    <w:rsid w:val="0095013A"/>
    <w:rsid w:val="009505E4"/>
    <w:rsid w:val="00953AEF"/>
    <w:rsid w:val="009551E2"/>
    <w:rsid w:val="00955783"/>
    <w:rsid w:val="00955E5F"/>
    <w:rsid w:val="009560B0"/>
    <w:rsid w:val="00956F23"/>
    <w:rsid w:val="00957871"/>
    <w:rsid w:val="00960077"/>
    <w:rsid w:val="00960769"/>
    <w:rsid w:val="00962D2E"/>
    <w:rsid w:val="00963724"/>
    <w:rsid w:val="00963FA1"/>
    <w:rsid w:val="00964498"/>
    <w:rsid w:val="0096504D"/>
    <w:rsid w:val="00965A2D"/>
    <w:rsid w:val="009663EB"/>
    <w:rsid w:val="0096650F"/>
    <w:rsid w:val="00967AD2"/>
    <w:rsid w:val="009700DB"/>
    <w:rsid w:val="00971DC6"/>
    <w:rsid w:val="00972263"/>
    <w:rsid w:val="00972492"/>
    <w:rsid w:val="00972502"/>
    <w:rsid w:val="00972D8D"/>
    <w:rsid w:val="00973AAE"/>
    <w:rsid w:val="0097476C"/>
    <w:rsid w:val="00974923"/>
    <w:rsid w:val="00974D48"/>
    <w:rsid w:val="00974D5F"/>
    <w:rsid w:val="00975017"/>
    <w:rsid w:val="009759DF"/>
    <w:rsid w:val="00977343"/>
    <w:rsid w:val="00977537"/>
    <w:rsid w:val="00980373"/>
    <w:rsid w:val="00980621"/>
    <w:rsid w:val="00982072"/>
    <w:rsid w:val="009833FA"/>
    <w:rsid w:val="00983DBB"/>
    <w:rsid w:val="00983ECF"/>
    <w:rsid w:val="00986745"/>
    <w:rsid w:val="009867BC"/>
    <w:rsid w:val="0098688F"/>
    <w:rsid w:val="00987109"/>
    <w:rsid w:val="00987309"/>
    <w:rsid w:val="0099012D"/>
    <w:rsid w:val="00990363"/>
    <w:rsid w:val="009954FF"/>
    <w:rsid w:val="009961BC"/>
    <w:rsid w:val="00996355"/>
    <w:rsid w:val="00997EE9"/>
    <w:rsid w:val="009A2014"/>
    <w:rsid w:val="009A3A87"/>
    <w:rsid w:val="009A4E12"/>
    <w:rsid w:val="009A5C68"/>
    <w:rsid w:val="009A6EF7"/>
    <w:rsid w:val="009B04D0"/>
    <w:rsid w:val="009B052C"/>
    <w:rsid w:val="009B0EF2"/>
    <w:rsid w:val="009B23A3"/>
    <w:rsid w:val="009B4830"/>
    <w:rsid w:val="009B4925"/>
    <w:rsid w:val="009B4B4B"/>
    <w:rsid w:val="009B5DD6"/>
    <w:rsid w:val="009B6FD3"/>
    <w:rsid w:val="009B70BD"/>
    <w:rsid w:val="009B747B"/>
    <w:rsid w:val="009C07A5"/>
    <w:rsid w:val="009C4152"/>
    <w:rsid w:val="009C7388"/>
    <w:rsid w:val="009C7A48"/>
    <w:rsid w:val="009D0CFF"/>
    <w:rsid w:val="009D1551"/>
    <w:rsid w:val="009D1C80"/>
    <w:rsid w:val="009D2859"/>
    <w:rsid w:val="009D36EC"/>
    <w:rsid w:val="009D4173"/>
    <w:rsid w:val="009D4AD5"/>
    <w:rsid w:val="009D6095"/>
    <w:rsid w:val="009D6306"/>
    <w:rsid w:val="009E048A"/>
    <w:rsid w:val="009E1FBA"/>
    <w:rsid w:val="009E2C54"/>
    <w:rsid w:val="009E3710"/>
    <w:rsid w:val="009E7B1F"/>
    <w:rsid w:val="009F012D"/>
    <w:rsid w:val="009F168D"/>
    <w:rsid w:val="009F41C4"/>
    <w:rsid w:val="009F5846"/>
    <w:rsid w:val="009F7B52"/>
    <w:rsid w:val="009F7D77"/>
    <w:rsid w:val="00A015EA"/>
    <w:rsid w:val="00A06467"/>
    <w:rsid w:val="00A10D66"/>
    <w:rsid w:val="00A12BA8"/>
    <w:rsid w:val="00A1420C"/>
    <w:rsid w:val="00A1456C"/>
    <w:rsid w:val="00A14821"/>
    <w:rsid w:val="00A15077"/>
    <w:rsid w:val="00A16B4C"/>
    <w:rsid w:val="00A17754"/>
    <w:rsid w:val="00A2055B"/>
    <w:rsid w:val="00A2253C"/>
    <w:rsid w:val="00A23545"/>
    <w:rsid w:val="00A23A55"/>
    <w:rsid w:val="00A23E43"/>
    <w:rsid w:val="00A24F8C"/>
    <w:rsid w:val="00A262BF"/>
    <w:rsid w:val="00A271AD"/>
    <w:rsid w:val="00A276D5"/>
    <w:rsid w:val="00A30336"/>
    <w:rsid w:val="00A30BB5"/>
    <w:rsid w:val="00A3128F"/>
    <w:rsid w:val="00A31B69"/>
    <w:rsid w:val="00A32462"/>
    <w:rsid w:val="00A326D0"/>
    <w:rsid w:val="00A34AD9"/>
    <w:rsid w:val="00A35140"/>
    <w:rsid w:val="00A35287"/>
    <w:rsid w:val="00A365FC"/>
    <w:rsid w:val="00A378F8"/>
    <w:rsid w:val="00A40B19"/>
    <w:rsid w:val="00A424F8"/>
    <w:rsid w:val="00A437B7"/>
    <w:rsid w:val="00A46D48"/>
    <w:rsid w:val="00A46DE0"/>
    <w:rsid w:val="00A4778A"/>
    <w:rsid w:val="00A504C0"/>
    <w:rsid w:val="00A5067F"/>
    <w:rsid w:val="00A51596"/>
    <w:rsid w:val="00A523DF"/>
    <w:rsid w:val="00A55301"/>
    <w:rsid w:val="00A572FB"/>
    <w:rsid w:val="00A57B3C"/>
    <w:rsid w:val="00A57F1B"/>
    <w:rsid w:val="00A6128E"/>
    <w:rsid w:val="00A62CE1"/>
    <w:rsid w:val="00A631FA"/>
    <w:rsid w:val="00A64203"/>
    <w:rsid w:val="00A64348"/>
    <w:rsid w:val="00A644E1"/>
    <w:rsid w:val="00A721FB"/>
    <w:rsid w:val="00A727BA"/>
    <w:rsid w:val="00A72D4B"/>
    <w:rsid w:val="00A732AE"/>
    <w:rsid w:val="00A75E40"/>
    <w:rsid w:val="00A77EB2"/>
    <w:rsid w:val="00A80F0A"/>
    <w:rsid w:val="00A81094"/>
    <w:rsid w:val="00A82B66"/>
    <w:rsid w:val="00A83B58"/>
    <w:rsid w:val="00A84FAF"/>
    <w:rsid w:val="00A851B6"/>
    <w:rsid w:val="00A85729"/>
    <w:rsid w:val="00A8574B"/>
    <w:rsid w:val="00A857C0"/>
    <w:rsid w:val="00A87F6E"/>
    <w:rsid w:val="00A903FE"/>
    <w:rsid w:val="00A91336"/>
    <w:rsid w:val="00A9221C"/>
    <w:rsid w:val="00A94628"/>
    <w:rsid w:val="00A955FD"/>
    <w:rsid w:val="00A96463"/>
    <w:rsid w:val="00A97E3F"/>
    <w:rsid w:val="00AA09D3"/>
    <w:rsid w:val="00AA0F37"/>
    <w:rsid w:val="00AA23FB"/>
    <w:rsid w:val="00AA3948"/>
    <w:rsid w:val="00AA42AB"/>
    <w:rsid w:val="00AA559A"/>
    <w:rsid w:val="00AA756A"/>
    <w:rsid w:val="00AB104D"/>
    <w:rsid w:val="00AB2AF1"/>
    <w:rsid w:val="00AB440B"/>
    <w:rsid w:val="00AB47E3"/>
    <w:rsid w:val="00AB74C5"/>
    <w:rsid w:val="00AB7BEE"/>
    <w:rsid w:val="00AB7DF2"/>
    <w:rsid w:val="00AC0EC6"/>
    <w:rsid w:val="00AC1E3F"/>
    <w:rsid w:val="00AC219A"/>
    <w:rsid w:val="00AC4F18"/>
    <w:rsid w:val="00AD0442"/>
    <w:rsid w:val="00AD0B46"/>
    <w:rsid w:val="00AD1094"/>
    <w:rsid w:val="00AD2565"/>
    <w:rsid w:val="00AD306C"/>
    <w:rsid w:val="00AD3424"/>
    <w:rsid w:val="00AD50D1"/>
    <w:rsid w:val="00AD59BB"/>
    <w:rsid w:val="00AD5D68"/>
    <w:rsid w:val="00AD6C73"/>
    <w:rsid w:val="00AD7D49"/>
    <w:rsid w:val="00AE06D0"/>
    <w:rsid w:val="00AE0C0C"/>
    <w:rsid w:val="00AE1732"/>
    <w:rsid w:val="00AE1B8A"/>
    <w:rsid w:val="00AE39DC"/>
    <w:rsid w:val="00AE3CDA"/>
    <w:rsid w:val="00AE7968"/>
    <w:rsid w:val="00AF128B"/>
    <w:rsid w:val="00AF1AEA"/>
    <w:rsid w:val="00AF2852"/>
    <w:rsid w:val="00AF28D4"/>
    <w:rsid w:val="00AF3225"/>
    <w:rsid w:val="00AF518B"/>
    <w:rsid w:val="00AF5275"/>
    <w:rsid w:val="00AF6367"/>
    <w:rsid w:val="00AF6A79"/>
    <w:rsid w:val="00AF724E"/>
    <w:rsid w:val="00AF73A9"/>
    <w:rsid w:val="00AF7E75"/>
    <w:rsid w:val="00B01436"/>
    <w:rsid w:val="00B01C2C"/>
    <w:rsid w:val="00B0231C"/>
    <w:rsid w:val="00B04119"/>
    <w:rsid w:val="00B048B5"/>
    <w:rsid w:val="00B12B11"/>
    <w:rsid w:val="00B13681"/>
    <w:rsid w:val="00B15DCD"/>
    <w:rsid w:val="00B17E71"/>
    <w:rsid w:val="00B17FDE"/>
    <w:rsid w:val="00B208FC"/>
    <w:rsid w:val="00B20C65"/>
    <w:rsid w:val="00B21913"/>
    <w:rsid w:val="00B22E17"/>
    <w:rsid w:val="00B266C5"/>
    <w:rsid w:val="00B27293"/>
    <w:rsid w:val="00B2755D"/>
    <w:rsid w:val="00B3229E"/>
    <w:rsid w:val="00B32DDB"/>
    <w:rsid w:val="00B34EC4"/>
    <w:rsid w:val="00B35174"/>
    <w:rsid w:val="00B35BEA"/>
    <w:rsid w:val="00B37915"/>
    <w:rsid w:val="00B3793D"/>
    <w:rsid w:val="00B41BE6"/>
    <w:rsid w:val="00B428A4"/>
    <w:rsid w:val="00B457E7"/>
    <w:rsid w:val="00B45D1B"/>
    <w:rsid w:val="00B46D25"/>
    <w:rsid w:val="00B47430"/>
    <w:rsid w:val="00B5023C"/>
    <w:rsid w:val="00B50F9A"/>
    <w:rsid w:val="00B51C00"/>
    <w:rsid w:val="00B52D2D"/>
    <w:rsid w:val="00B55BA8"/>
    <w:rsid w:val="00B55F15"/>
    <w:rsid w:val="00B561A6"/>
    <w:rsid w:val="00B60062"/>
    <w:rsid w:val="00B62960"/>
    <w:rsid w:val="00B63A11"/>
    <w:rsid w:val="00B63FD0"/>
    <w:rsid w:val="00B65C84"/>
    <w:rsid w:val="00B6608F"/>
    <w:rsid w:val="00B7292D"/>
    <w:rsid w:val="00B74317"/>
    <w:rsid w:val="00B76CCC"/>
    <w:rsid w:val="00B76D1E"/>
    <w:rsid w:val="00B77BC8"/>
    <w:rsid w:val="00B800EB"/>
    <w:rsid w:val="00B822D2"/>
    <w:rsid w:val="00B83D46"/>
    <w:rsid w:val="00B848B8"/>
    <w:rsid w:val="00B84A41"/>
    <w:rsid w:val="00B84D57"/>
    <w:rsid w:val="00B8504B"/>
    <w:rsid w:val="00B85689"/>
    <w:rsid w:val="00B86748"/>
    <w:rsid w:val="00B907EA"/>
    <w:rsid w:val="00B918A9"/>
    <w:rsid w:val="00B91EC9"/>
    <w:rsid w:val="00B924CA"/>
    <w:rsid w:val="00B929B8"/>
    <w:rsid w:val="00B92A4B"/>
    <w:rsid w:val="00B93384"/>
    <w:rsid w:val="00B94417"/>
    <w:rsid w:val="00B95566"/>
    <w:rsid w:val="00B95940"/>
    <w:rsid w:val="00B95EF8"/>
    <w:rsid w:val="00B95F50"/>
    <w:rsid w:val="00B96BD9"/>
    <w:rsid w:val="00BA7797"/>
    <w:rsid w:val="00BB0274"/>
    <w:rsid w:val="00BB15EA"/>
    <w:rsid w:val="00BB1A6B"/>
    <w:rsid w:val="00BB1CFD"/>
    <w:rsid w:val="00BB291C"/>
    <w:rsid w:val="00BB2C53"/>
    <w:rsid w:val="00BB32DA"/>
    <w:rsid w:val="00BB3A54"/>
    <w:rsid w:val="00BB42A2"/>
    <w:rsid w:val="00BB4D26"/>
    <w:rsid w:val="00BB4E21"/>
    <w:rsid w:val="00BB7746"/>
    <w:rsid w:val="00BC22EB"/>
    <w:rsid w:val="00BC3BD6"/>
    <w:rsid w:val="00BC682B"/>
    <w:rsid w:val="00BC6B04"/>
    <w:rsid w:val="00BC6D27"/>
    <w:rsid w:val="00BD186B"/>
    <w:rsid w:val="00BD1EAC"/>
    <w:rsid w:val="00BD254C"/>
    <w:rsid w:val="00BD3428"/>
    <w:rsid w:val="00BD366B"/>
    <w:rsid w:val="00BD3B56"/>
    <w:rsid w:val="00BD47E8"/>
    <w:rsid w:val="00BD534C"/>
    <w:rsid w:val="00BD56BC"/>
    <w:rsid w:val="00BD5D91"/>
    <w:rsid w:val="00BD6615"/>
    <w:rsid w:val="00BD6D50"/>
    <w:rsid w:val="00BE0D79"/>
    <w:rsid w:val="00BE0DB0"/>
    <w:rsid w:val="00BE3381"/>
    <w:rsid w:val="00BE3F09"/>
    <w:rsid w:val="00BE5487"/>
    <w:rsid w:val="00BE670A"/>
    <w:rsid w:val="00BE6906"/>
    <w:rsid w:val="00BF18F4"/>
    <w:rsid w:val="00BF1A69"/>
    <w:rsid w:val="00BF3BC8"/>
    <w:rsid w:val="00BF3DF1"/>
    <w:rsid w:val="00BF4C31"/>
    <w:rsid w:val="00BF4E57"/>
    <w:rsid w:val="00BF53B8"/>
    <w:rsid w:val="00BF7CB8"/>
    <w:rsid w:val="00C00F20"/>
    <w:rsid w:val="00C01700"/>
    <w:rsid w:val="00C034E6"/>
    <w:rsid w:val="00C05715"/>
    <w:rsid w:val="00C05926"/>
    <w:rsid w:val="00C05C71"/>
    <w:rsid w:val="00C0784A"/>
    <w:rsid w:val="00C07A1C"/>
    <w:rsid w:val="00C100E3"/>
    <w:rsid w:val="00C10B28"/>
    <w:rsid w:val="00C10D62"/>
    <w:rsid w:val="00C10FAE"/>
    <w:rsid w:val="00C123B4"/>
    <w:rsid w:val="00C12A69"/>
    <w:rsid w:val="00C13737"/>
    <w:rsid w:val="00C150BE"/>
    <w:rsid w:val="00C158B0"/>
    <w:rsid w:val="00C15A0C"/>
    <w:rsid w:val="00C15DCB"/>
    <w:rsid w:val="00C1711F"/>
    <w:rsid w:val="00C17E38"/>
    <w:rsid w:val="00C203DF"/>
    <w:rsid w:val="00C2054C"/>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94"/>
    <w:rsid w:val="00C476C5"/>
    <w:rsid w:val="00C503B0"/>
    <w:rsid w:val="00C511C2"/>
    <w:rsid w:val="00C53D82"/>
    <w:rsid w:val="00C54748"/>
    <w:rsid w:val="00C60444"/>
    <w:rsid w:val="00C60696"/>
    <w:rsid w:val="00C60EEF"/>
    <w:rsid w:val="00C6121D"/>
    <w:rsid w:val="00C615F1"/>
    <w:rsid w:val="00C61627"/>
    <w:rsid w:val="00C64E60"/>
    <w:rsid w:val="00C657A4"/>
    <w:rsid w:val="00C6736C"/>
    <w:rsid w:val="00C70925"/>
    <w:rsid w:val="00C71A1D"/>
    <w:rsid w:val="00C71EC4"/>
    <w:rsid w:val="00C723AC"/>
    <w:rsid w:val="00C72A00"/>
    <w:rsid w:val="00C7591E"/>
    <w:rsid w:val="00C75C7E"/>
    <w:rsid w:val="00C75C9B"/>
    <w:rsid w:val="00C76D8E"/>
    <w:rsid w:val="00C77833"/>
    <w:rsid w:val="00C80C9B"/>
    <w:rsid w:val="00C8335E"/>
    <w:rsid w:val="00C83C08"/>
    <w:rsid w:val="00C83F9C"/>
    <w:rsid w:val="00C84CE3"/>
    <w:rsid w:val="00C85614"/>
    <w:rsid w:val="00C86127"/>
    <w:rsid w:val="00C8708D"/>
    <w:rsid w:val="00C90CF4"/>
    <w:rsid w:val="00C91C19"/>
    <w:rsid w:val="00C929A0"/>
    <w:rsid w:val="00C93389"/>
    <w:rsid w:val="00C937DB"/>
    <w:rsid w:val="00C94371"/>
    <w:rsid w:val="00C94519"/>
    <w:rsid w:val="00C94E83"/>
    <w:rsid w:val="00CA02B2"/>
    <w:rsid w:val="00CA0883"/>
    <w:rsid w:val="00CA140F"/>
    <w:rsid w:val="00CA17CC"/>
    <w:rsid w:val="00CA25C2"/>
    <w:rsid w:val="00CA37BB"/>
    <w:rsid w:val="00CA37CA"/>
    <w:rsid w:val="00CA5724"/>
    <w:rsid w:val="00CA6508"/>
    <w:rsid w:val="00CA6BA1"/>
    <w:rsid w:val="00CA6CD5"/>
    <w:rsid w:val="00CB1910"/>
    <w:rsid w:val="00CB2150"/>
    <w:rsid w:val="00CB28EE"/>
    <w:rsid w:val="00CB29C4"/>
    <w:rsid w:val="00CB43A7"/>
    <w:rsid w:val="00CB4DF1"/>
    <w:rsid w:val="00CB5996"/>
    <w:rsid w:val="00CB6809"/>
    <w:rsid w:val="00CB7452"/>
    <w:rsid w:val="00CC0E10"/>
    <w:rsid w:val="00CC1DAF"/>
    <w:rsid w:val="00CC2642"/>
    <w:rsid w:val="00CC2A36"/>
    <w:rsid w:val="00CC2E15"/>
    <w:rsid w:val="00CC3908"/>
    <w:rsid w:val="00CC62AD"/>
    <w:rsid w:val="00CC6CA2"/>
    <w:rsid w:val="00CC7B80"/>
    <w:rsid w:val="00CD089D"/>
    <w:rsid w:val="00CD2B3C"/>
    <w:rsid w:val="00CD30F6"/>
    <w:rsid w:val="00CD4B29"/>
    <w:rsid w:val="00CD6954"/>
    <w:rsid w:val="00CD6DA3"/>
    <w:rsid w:val="00CD6EF1"/>
    <w:rsid w:val="00CD7E35"/>
    <w:rsid w:val="00CE21C7"/>
    <w:rsid w:val="00CE2682"/>
    <w:rsid w:val="00CE442A"/>
    <w:rsid w:val="00CE57D8"/>
    <w:rsid w:val="00CE617A"/>
    <w:rsid w:val="00CE7F6B"/>
    <w:rsid w:val="00CF0376"/>
    <w:rsid w:val="00CF25D2"/>
    <w:rsid w:val="00CF263E"/>
    <w:rsid w:val="00CF2816"/>
    <w:rsid w:val="00CF28C2"/>
    <w:rsid w:val="00CF42BD"/>
    <w:rsid w:val="00CF51EC"/>
    <w:rsid w:val="00CF6A9D"/>
    <w:rsid w:val="00CF6CD7"/>
    <w:rsid w:val="00CF75EC"/>
    <w:rsid w:val="00CF7A70"/>
    <w:rsid w:val="00D0037A"/>
    <w:rsid w:val="00D00A5C"/>
    <w:rsid w:val="00D00CEE"/>
    <w:rsid w:val="00D00DAF"/>
    <w:rsid w:val="00D017EC"/>
    <w:rsid w:val="00D01CDA"/>
    <w:rsid w:val="00D040DD"/>
    <w:rsid w:val="00D041F9"/>
    <w:rsid w:val="00D04E1B"/>
    <w:rsid w:val="00D0547B"/>
    <w:rsid w:val="00D076DB"/>
    <w:rsid w:val="00D1067C"/>
    <w:rsid w:val="00D10F44"/>
    <w:rsid w:val="00D136D4"/>
    <w:rsid w:val="00D13830"/>
    <w:rsid w:val="00D13ECF"/>
    <w:rsid w:val="00D142E5"/>
    <w:rsid w:val="00D148CD"/>
    <w:rsid w:val="00D14EA6"/>
    <w:rsid w:val="00D1611E"/>
    <w:rsid w:val="00D16E69"/>
    <w:rsid w:val="00D205A9"/>
    <w:rsid w:val="00D208E9"/>
    <w:rsid w:val="00D217EE"/>
    <w:rsid w:val="00D245BA"/>
    <w:rsid w:val="00D26923"/>
    <w:rsid w:val="00D27063"/>
    <w:rsid w:val="00D27856"/>
    <w:rsid w:val="00D301CA"/>
    <w:rsid w:val="00D30740"/>
    <w:rsid w:val="00D3095E"/>
    <w:rsid w:val="00D31075"/>
    <w:rsid w:val="00D31445"/>
    <w:rsid w:val="00D31932"/>
    <w:rsid w:val="00D31FD1"/>
    <w:rsid w:val="00D37689"/>
    <w:rsid w:val="00D378CC"/>
    <w:rsid w:val="00D4042C"/>
    <w:rsid w:val="00D40B9E"/>
    <w:rsid w:val="00D41281"/>
    <w:rsid w:val="00D42312"/>
    <w:rsid w:val="00D43998"/>
    <w:rsid w:val="00D44A09"/>
    <w:rsid w:val="00D451E0"/>
    <w:rsid w:val="00D4615E"/>
    <w:rsid w:val="00D47318"/>
    <w:rsid w:val="00D478E2"/>
    <w:rsid w:val="00D501C2"/>
    <w:rsid w:val="00D51577"/>
    <w:rsid w:val="00D51710"/>
    <w:rsid w:val="00D5264C"/>
    <w:rsid w:val="00D547BA"/>
    <w:rsid w:val="00D55626"/>
    <w:rsid w:val="00D556BC"/>
    <w:rsid w:val="00D5626D"/>
    <w:rsid w:val="00D600C1"/>
    <w:rsid w:val="00D60277"/>
    <w:rsid w:val="00D60336"/>
    <w:rsid w:val="00D61F88"/>
    <w:rsid w:val="00D62901"/>
    <w:rsid w:val="00D6470C"/>
    <w:rsid w:val="00D64853"/>
    <w:rsid w:val="00D64CB5"/>
    <w:rsid w:val="00D66D48"/>
    <w:rsid w:val="00D7162F"/>
    <w:rsid w:val="00D72D4B"/>
    <w:rsid w:val="00D73256"/>
    <w:rsid w:val="00D73A30"/>
    <w:rsid w:val="00D74C65"/>
    <w:rsid w:val="00D75DC2"/>
    <w:rsid w:val="00D766EF"/>
    <w:rsid w:val="00D76C03"/>
    <w:rsid w:val="00D77F8D"/>
    <w:rsid w:val="00D82462"/>
    <w:rsid w:val="00D85AC2"/>
    <w:rsid w:val="00D85F94"/>
    <w:rsid w:val="00D863D1"/>
    <w:rsid w:val="00D868CE"/>
    <w:rsid w:val="00D86DAE"/>
    <w:rsid w:val="00D871A0"/>
    <w:rsid w:val="00D90C1E"/>
    <w:rsid w:val="00D91BDF"/>
    <w:rsid w:val="00D91F2C"/>
    <w:rsid w:val="00D93F09"/>
    <w:rsid w:val="00D954C2"/>
    <w:rsid w:val="00D97BB8"/>
    <w:rsid w:val="00DA1318"/>
    <w:rsid w:val="00DA1382"/>
    <w:rsid w:val="00DA28B7"/>
    <w:rsid w:val="00DA2FE8"/>
    <w:rsid w:val="00DA4AF6"/>
    <w:rsid w:val="00DA4BB3"/>
    <w:rsid w:val="00DB016E"/>
    <w:rsid w:val="00DB06E9"/>
    <w:rsid w:val="00DB19BD"/>
    <w:rsid w:val="00DB378E"/>
    <w:rsid w:val="00DB3E9D"/>
    <w:rsid w:val="00DB47B9"/>
    <w:rsid w:val="00DB4FB8"/>
    <w:rsid w:val="00DB53CE"/>
    <w:rsid w:val="00DB549D"/>
    <w:rsid w:val="00DB5669"/>
    <w:rsid w:val="00DB5792"/>
    <w:rsid w:val="00DB6A88"/>
    <w:rsid w:val="00DB7BA4"/>
    <w:rsid w:val="00DB7E32"/>
    <w:rsid w:val="00DC0A15"/>
    <w:rsid w:val="00DC226A"/>
    <w:rsid w:val="00DC257F"/>
    <w:rsid w:val="00DC350B"/>
    <w:rsid w:val="00DC3790"/>
    <w:rsid w:val="00DC408A"/>
    <w:rsid w:val="00DC5B3B"/>
    <w:rsid w:val="00DC6796"/>
    <w:rsid w:val="00DC7315"/>
    <w:rsid w:val="00DC78DF"/>
    <w:rsid w:val="00DC7D4C"/>
    <w:rsid w:val="00DD0821"/>
    <w:rsid w:val="00DD0E32"/>
    <w:rsid w:val="00DD1DE0"/>
    <w:rsid w:val="00DD2872"/>
    <w:rsid w:val="00DD2BFE"/>
    <w:rsid w:val="00DD373E"/>
    <w:rsid w:val="00DD57AD"/>
    <w:rsid w:val="00DE009B"/>
    <w:rsid w:val="00DE06DA"/>
    <w:rsid w:val="00DE0C31"/>
    <w:rsid w:val="00DE2ED9"/>
    <w:rsid w:val="00DE319A"/>
    <w:rsid w:val="00DE4476"/>
    <w:rsid w:val="00DF0DC3"/>
    <w:rsid w:val="00DF0DE0"/>
    <w:rsid w:val="00DF21FD"/>
    <w:rsid w:val="00DF2873"/>
    <w:rsid w:val="00DF4C74"/>
    <w:rsid w:val="00DF5578"/>
    <w:rsid w:val="00DF78DD"/>
    <w:rsid w:val="00DF7FEC"/>
    <w:rsid w:val="00E01C0E"/>
    <w:rsid w:val="00E02086"/>
    <w:rsid w:val="00E02740"/>
    <w:rsid w:val="00E03B27"/>
    <w:rsid w:val="00E03C0D"/>
    <w:rsid w:val="00E04694"/>
    <w:rsid w:val="00E049F6"/>
    <w:rsid w:val="00E04CA9"/>
    <w:rsid w:val="00E05B2B"/>
    <w:rsid w:val="00E06A2A"/>
    <w:rsid w:val="00E07D1E"/>
    <w:rsid w:val="00E07F05"/>
    <w:rsid w:val="00E127E1"/>
    <w:rsid w:val="00E13584"/>
    <w:rsid w:val="00E13FAA"/>
    <w:rsid w:val="00E144D2"/>
    <w:rsid w:val="00E144D6"/>
    <w:rsid w:val="00E15346"/>
    <w:rsid w:val="00E15B7D"/>
    <w:rsid w:val="00E2097E"/>
    <w:rsid w:val="00E215EA"/>
    <w:rsid w:val="00E21CAB"/>
    <w:rsid w:val="00E221FC"/>
    <w:rsid w:val="00E24619"/>
    <w:rsid w:val="00E25223"/>
    <w:rsid w:val="00E30BEA"/>
    <w:rsid w:val="00E31764"/>
    <w:rsid w:val="00E32BC2"/>
    <w:rsid w:val="00E34985"/>
    <w:rsid w:val="00E34E4A"/>
    <w:rsid w:val="00E36208"/>
    <w:rsid w:val="00E365B3"/>
    <w:rsid w:val="00E366BB"/>
    <w:rsid w:val="00E37C45"/>
    <w:rsid w:val="00E40AAA"/>
    <w:rsid w:val="00E41F3C"/>
    <w:rsid w:val="00E42444"/>
    <w:rsid w:val="00E436C0"/>
    <w:rsid w:val="00E438CF"/>
    <w:rsid w:val="00E43C41"/>
    <w:rsid w:val="00E4500E"/>
    <w:rsid w:val="00E450CE"/>
    <w:rsid w:val="00E45A00"/>
    <w:rsid w:val="00E45CE7"/>
    <w:rsid w:val="00E4631F"/>
    <w:rsid w:val="00E47CB8"/>
    <w:rsid w:val="00E522BB"/>
    <w:rsid w:val="00E539E4"/>
    <w:rsid w:val="00E569C7"/>
    <w:rsid w:val="00E56B5A"/>
    <w:rsid w:val="00E571F2"/>
    <w:rsid w:val="00E57429"/>
    <w:rsid w:val="00E61EA8"/>
    <w:rsid w:val="00E63F4B"/>
    <w:rsid w:val="00E64EA1"/>
    <w:rsid w:val="00E70510"/>
    <w:rsid w:val="00E70997"/>
    <w:rsid w:val="00E71262"/>
    <w:rsid w:val="00E71A58"/>
    <w:rsid w:val="00E737F6"/>
    <w:rsid w:val="00E74100"/>
    <w:rsid w:val="00E7568F"/>
    <w:rsid w:val="00E75D63"/>
    <w:rsid w:val="00E75FB7"/>
    <w:rsid w:val="00E7724B"/>
    <w:rsid w:val="00E8128F"/>
    <w:rsid w:val="00E84375"/>
    <w:rsid w:val="00E84F21"/>
    <w:rsid w:val="00E8532E"/>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C68"/>
    <w:rsid w:val="00EA19E2"/>
    <w:rsid w:val="00EA3EBE"/>
    <w:rsid w:val="00EA3FAC"/>
    <w:rsid w:val="00EA4153"/>
    <w:rsid w:val="00EA5307"/>
    <w:rsid w:val="00EA5CD6"/>
    <w:rsid w:val="00EA76FD"/>
    <w:rsid w:val="00EB03D4"/>
    <w:rsid w:val="00EB0555"/>
    <w:rsid w:val="00EB0562"/>
    <w:rsid w:val="00EB1E12"/>
    <w:rsid w:val="00EB20A0"/>
    <w:rsid w:val="00EB30B6"/>
    <w:rsid w:val="00EB396E"/>
    <w:rsid w:val="00EB4FA4"/>
    <w:rsid w:val="00EB5146"/>
    <w:rsid w:val="00EB522B"/>
    <w:rsid w:val="00EB55E9"/>
    <w:rsid w:val="00EB5641"/>
    <w:rsid w:val="00EB5CA9"/>
    <w:rsid w:val="00EB5ED4"/>
    <w:rsid w:val="00EB6537"/>
    <w:rsid w:val="00EB6FA2"/>
    <w:rsid w:val="00EB70E1"/>
    <w:rsid w:val="00EB7EB5"/>
    <w:rsid w:val="00EC2187"/>
    <w:rsid w:val="00EC3585"/>
    <w:rsid w:val="00EC454B"/>
    <w:rsid w:val="00EC6153"/>
    <w:rsid w:val="00EC7F92"/>
    <w:rsid w:val="00ED00A8"/>
    <w:rsid w:val="00ED06A7"/>
    <w:rsid w:val="00ED0A79"/>
    <w:rsid w:val="00ED2989"/>
    <w:rsid w:val="00ED2CA5"/>
    <w:rsid w:val="00ED336F"/>
    <w:rsid w:val="00ED40F0"/>
    <w:rsid w:val="00ED4AC0"/>
    <w:rsid w:val="00ED54D6"/>
    <w:rsid w:val="00ED5726"/>
    <w:rsid w:val="00EE0113"/>
    <w:rsid w:val="00EE0298"/>
    <w:rsid w:val="00EE0384"/>
    <w:rsid w:val="00EE04C8"/>
    <w:rsid w:val="00EE10AA"/>
    <w:rsid w:val="00EE1637"/>
    <w:rsid w:val="00EE3B7A"/>
    <w:rsid w:val="00EE3E78"/>
    <w:rsid w:val="00EE495A"/>
    <w:rsid w:val="00EE539C"/>
    <w:rsid w:val="00EE5E02"/>
    <w:rsid w:val="00EE617D"/>
    <w:rsid w:val="00EE61BF"/>
    <w:rsid w:val="00EE6748"/>
    <w:rsid w:val="00EE6C6B"/>
    <w:rsid w:val="00EF0E75"/>
    <w:rsid w:val="00EF1F5A"/>
    <w:rsid w:val="00EF4685"/>
    <w:rsid w:val="00EF5397"/>
    <w:rsid w:val="00EF68CC"/>
    <w:rsid w:val="00EF6BE3"/>
    <w:rsid w:val="00F00D0E"/>
    <w:rsid w:val="00F00D3C"/>
    <w:rsid w:val="00F01A31"/>
    <w:rsid w:val="00F04811"/>
    <w:rsid w:val="00F0488C"/>
    <w:rsid w:val="00F0496E"/>
    <w:rsid w:val="00F04D10"/>
    <w:rsid w:val="00F0625B"/>
    <w:rsid w:val="00F101FF"/>
    <w:rsid w:val="00F104DF"/>
    <w:rsid w:val="00F10A33"/>
    <w:rsid w:val="00F1186C"/>
    <w:rsid w:val="00F11E59"/>
    <w:rsid w:val="00F12DCA"/>
    <w:rsid w:val="00F14ACD"/>
    <w:rsid w:val="00F15398"/>
    <w:rsid w:val="00F15BEF"/>
    <w:rsid w:val="00F172BE"/>
    <w:rsid w:val="00F1776C"/>
    <w:rsid w:val="00F2037E"/>
    <w:rsid w:val="00F20D17"/>
    <w:rsid w:val="00F2103E"/>
    <w:rsid w:val="00F214FC"/>
    <w:rsid w:val="00F21C31"/>
    <w:rsid w:val="00F23825"/>
    <w:rsid w:val="00F23FFF"/>
    <w:rsid w:val="00F2441D"/>
    <w:rsid w:val="00F24FAA"/>
    <w:rsid w:val="00F26197"/>
    <w:rsid w:val="00F266BD"/>
    <w:rsid w:val="00F273D4"/>
    <w:rsid w:val="00F307DD"/>
    <w:rsid w:val="00F318FC"/>
    <w:rsid w:val="00F31BAA"/>
    <w:rsid w:val="00F31F76"/>
    <w:rsid w:val="00F33263"/>
    <w:rsid w:val="00F3364D"/>
    <w:rsid w:val="00F34B26"/>
    <w:rsid w:val="00F35ACD"/>
    <w:rsid w:val="00F365BF"/>
    <w:rsid w:val="00F36BF8"/>
    <w:rsid w:val="00F36FAD"/>
    <w:rsid w:val="00F375BA"/>
    <w:rsid w:val="00F37760"/>
    <w:rsid w:val="00F403D1"/>
    <w:rsid w:val="00F43921"/>
    <w:rsid w:val="00F441A1"/>
    <w:rsid w:val="00F4524F"/>
    <w:rsid w:val="00F45530"/>
    <w:rsid w:val="00F4591F"/>
    <w:rsid w:val="00F4678D"/>
    <w:rsid w:val="00F4736B"/>
    <w:rsid w:val="00F47997"/>
    <w:rsid w:val="00F47D05"/>
    <w:rsid w:val="00F50030"/>
    <w:rsid w:val="00F502F5"/>
    <w:rsid w:val="00F50B9D"/>
    <w:rsid w:val="00F51FC9"/>
    <w:rsid w:val="00F52CAE"/>
    <w:rsid w:val="00F541ED"/>
    <w:rsid w:val="00F54B31"/>
    <w:rsid w:val="00F54FD3"/>
    <w:rsid w:val="00F555CA"/>
    <w:rsid w:val="00F55605"/>
    <w:rsid w:val="00F558B5"/>
    <w:rsid w:val="00F57CD7"/>
    <w:rsid w:val="00F57DB4"/>
    <w:rsid w:val="00F62F02"/>
    <w:rsid w:val="00F63DDE"/>
    <w:rsid w:val="00F63FB7"/>
    <w:rsid w:val="00F64726"/>
    <w:rsid w:val="00F6561A"/>
    <w:rsid w:val="00F67202"/>
    <w:rsid w:val="00F70309"/>
    <w:rsid w:val="00F7078A"/>
    <w:rsid w:val="00F727D5"/>
    <w:rsid w:val="00F72F44"/>
    <w:rsid w:val="00F73A0C"/>
    <w:rsid w:val="00F759DC"/>
    <w:rsid w:val="00F75EA2"/>
    <w:rsid w:val="00F7717C"/>
    <w:rsid w:val="00F771A5"/>
    <w:rsid w:val="00F817A4"/>
    <w:rsid w:val="00F81C3A"/>
    <w:rsid w:val="00F835FC"/>
    <w:rsid w:val="00F8373A"/>
    <w:rsid w:val="00F83E21"/>
    <w:rsid w:val="00F83FA4"/>
    <w:rsid w:val="00F84E18"/>
    <w:rsid w:val="00F852E5"/>
    <w:rsid w:val="00F90C35"/>
    <w:rsid w:val="00F9310A"/>
    <w:rsid w:val="00F95117"/>
    <w:rsid w:val="00FA0110"/>
    <w:rsid w:val="00FA05D7"/>
    <w:rsid w:val="00FA1C6C"/>
    <w:rsid w:val="00FA217B"/>
    <w:rsid w:val="00FA2447"/>
    <w:rsid w:val="00FA2C2A"/>
    <w:rsid w:val="00FA309A"/>
    <w:rsid w:val="00FA6293"/>
    <w:rsid w:val="00FA7644"/>
    <w:rsid w:val="00FB0A9A"/>
    <w:rsid w:val="00FB16AD"/>
    <w:rsid w:val="00FB483B"/>
    <w:rsid w:val="00FB4E8E"/>
    <w:rsid w:val="00FB56F1"/>
    <w:rsid w:val="00FB5FD4"/>
    <w:rsid w:val="00FB67F3"/>
    <w:rsid w:val="00FC0D8A"/>
    <w:rsid w:val="00FC0E5F"/>
    <w:rsid w:val="00FC135D"/>
    <w:rsid w:val="00FC3C84"/>
    <w:rsid w:val="00FC4660"/>
    <w:rsid w:val="00FC56DE"/>
    <w:rsid w:val="00FC5A8C"/>
    <w:rsid w:val="00FC5E01"/>
    <w:rsid w:val="00FD1261"/>
    <w:rsid w:val="00FD1627"/>
    <w:rsid w:val="00FD1BBD"/>
    <w:rsid w:val="00FD473D"/>
    <w:rsid w:val="00FD61C8"/>
    <w:rsid w:val="00FD63CE"/>
    <w:rsid w:val="00FD7D49"/>
    <w:rsid w:val="00FE1251"/>
    <w:rsid w:val="00FE16E6"/>
    <w:rsid w:val="00FE2F78"/>
    <w:rsid w:val="00FE3510"/>
    <w:rsid w:val="00FE371D"/>
    <w:rsid w:val="00FE375F"/>
    <w:rsid w:val="00FE3D8B"/>
    <w:rsid w:val="00FE4FCB"/>
    <w:rsid w:val="00FE705E"/>
    <w:rsid w:val="00FE7E6E"/>
    <w:rsid w:val="00FF02EB"/>
    <w:rsid w:val="00FF28E0"/>
    <w:rsid w:val="00FF2FB4"/>
    <w:rsid w:val="00FF30B3"/>
    <w:rsid w:val="00FF3C97"/>
    <w:rsid w:val="00FF3DF3"/>
    <w:rsid w:val="00FF3F4C"/>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 w:type="character" w:customStyle="1" w:styleId="shorttext">
    <w:name w:val="short_text"/>
    <w:basedOn w:val="Standardnpsmoodstavce"/>
    <w:rsid w:val="00891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9186744">
      <w:bodyDiv w:val="1"/>
      <w:marLeft w:val="0"/>
      <w:marRight w:val="0"/>
      <w:marTop w:val="0"/>
      <w:marBottom w:val="0"/>
      <w:divBdr>
        <w:top w:val="none" w:sz="0" w:space="0" w:color="auto"/>
        <w:left w:val="none" w:sz="0" w:space="0" w:color="auto"/>
        <w:bottom w:val="none" w:sz="0" w:space="0" w:color="auto"/>
        <w:right w:val="none" w:sz="0" w:space="0" w:color="auto"/>
      </w:divBdr>
    </w:div>
    <w:div w:id="34819328">
      <w:bodyDiv w:val="1"/>
      <w:marLeft w:val="0"/>
      <w:marRight w:val="0"/>
      <w:marTop w:val="0"/>
      <w:marBottom w:val="0"/>
      <w:divBdr>
        <w:top w:val="none" w:sz="0" w:space="0" w:color="auto"/>
        <w:left w:val="none" w:sz="0" w:space="0" w:color="auto"/>
        <w:bottom w:val="none" w:sz="0" w:space="0" w:color="auto"/>
        <w:right w:val="none" w:sz="0" w:space="0" w:color="auto"/>
      </w:divBdr>
    </w:div>
    <w:div w:id="50665514">
      <w:bodyDiv w:val="1"/>
      <w:marLeft w:val="0"/>
      <w:marRight w:val="0"/>
      <w:marTop w:val="0"/>
      <w:marBottom w:val="0"/>
      <w:divBdr>
        <w:top w:val="none" w:sz="0" w:space="0" w:color="auto"/>
        <w:left w:val="none" w:sz="0" w:space="0" w:color="auto"/>
        <w:bottom w:val="none" w:sz="0" w:space="0" w:color="auto"/>
        <w:right w:val="none" w:sz="0" w:space="0" w:color="auto"/>
      </w:divBdr>
    </w:div>
    <w:div w:id="129980672">
      <w:bodyDiv w:val="1"/>
      <w:marLeft w:val="0"/>
      <w:marRight w:val="0"/>
      <w:marTop w:val="0"/>
      <w:marBottom w:val="0"/>
      <w:divBdr>
        <w:top w:val="none" w:sz="0" w:space="0" w:color="auto"/>
        <w:left w:val="none" w:sz="0" w:space="0" w:color="auto"/>
        <w:bottom w:val="none" w:sz="0" w:space="0" w:color="auto"/>
        <w:right w:val="none" w:sz="0" w:space="0" w:color="auto"/>
      </w:divBdr>
    </w:div>
    <w:div w:id="150365725">
      <w:bodyDiv w:val="1"/>
      <w:marLeft w:val="0"/>
      <w:marRight w:val="0"/>
      <w:marTop w:val="0"/>
      <w:marBottom w:val="0"/>
      <w:divBdr>
        <w:top w:val="none" w:sz="0" w:space="0" w:color="auto"/>
        <w:left w:val="none" w:sz="0" w:space="0" w:color="auto"/>
        <w:bottom w:val="none" w:sz="0" w:space="0" w:color="auto"/>
        <w:right w:val="none" w:sz="0" w:space="0" w:color="auto"/>
      </w:divBdr>
    </w:div>
    <w:div w:id="167601131">
      <w:bodyDiv w:val="1"/>
      <w:marLeft w:val="0"/>
      <w:marRight w:val="0"/>
      <w:marTop w:val="0"/>
      <w:marBottom w:val="0"/>
      <w:divBdr>
        <w:top w:val="none" w:sz="0" w:space="0" w:color="auto"/>
        <w:left w:val="none" w:sz="0" w:space="0" w:color="auto"/>
        <w:bottom w:val="none" w:sz="0" w:space="0" w:color="auto"/>
        <w:right w:val="none" w:sz="0" w:space="0" w:color="auto"/>
      </w:divBdr>
    </w:div>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231963246">
      <w:bodyDiv w:val="1"/>
      <w:marLeft w:val="0"/>
      <w:marRight w:val="0"/>
      <w:marTop w:val="0"/>
      <w:marBottom w:val="0"/>
      <w:divBdr>
        <w:top w:val="none" w:sz="0" w:space="0" w:color="auto"/>
        <w:left w:val="none" w:sz="0" w:space="0" w:color="auto"/>
        <w:bottom w:val="none" w:sz="0" w:space="0" w:color="auto"/>
        <w:right w:val="none" w:sz="0" w:space="0" w:color="auto"/>
      </w:divBdr>
    </w:div>
    <w:div w:id="348682053">
      <w:bodyDiv w:val="1"/>
      <w:marLeft w:val="0"/>
      <w:marRight w:val="0"/>
      <w:marTop w:val="0"/>
      <w:marBottom w:val="0"/>
      <w:divBdr>
        <w:top w:val="none" w:sz="0" w:space="0" w:color="auto"/>
        <w:left w:val="none" w:sz="0" w:space="0" w:color="auto"/>
        <w:bottom w:val="none" w:sz="0" w:space="0" w:color="auto"/>
        <w:right w:val="none" w:sz="0" w:space="0" w:color="auto"/>
      </w:divBdr>
    </w:div>
    <w:div w:id="404836916">
      <w:bodyDiv w:val="1"/>
      <w:marLeft w:val="0"/>
      <w:marRight w:val="0"/>
      <w:marTop w:val="0"/>
      <w:marBottom w:val="0"/>
      <w:divBdr>
        <w:top w:val="none" w:sz="0" w:space="0" w:color="auto"/>
        <w:left w:val="none" w:sz="0" w:space="0" w:color="auto"/>
        <w:bottom w:val="none" w:sz="0" w:space="0" w:color="auto"/>
        <w:right w:val="none" w:sz="0" w:space="0" w:color="auto"/>
      </w:divBdr>
    </w:div>
    <w:div w:id="435830190">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474110357">
      <w:bodyDiv w:val="1"/>
      <w:marLeft w:val="0"/>
      <w:marRight w:val="0"/>
      <w:marTop w:val="0"/>
      <w:marBottom w:val="0"/>
      <w:divBdr>
        <w:top w:val="none" w:sz="0" w:space="0" w:color="auto"/>
        <w:left w:val="none" w:sz="0" w:space="0" w:color="auto"/>
        <w:bottom w:val="none" w:sz="0" w:space="0" w:color="auto"/>
        <w:right w:val="none" w:sz="0" w:space="0" w:color="auto"/>
      </w:divBdr>
    </w:div>
    <w:div w:id="497233491">
      <w:bodyDiv w:val="1"/>
      <w:marLeft w:val="0"/>
      <w:marRight w:val="0"/>
      <w:marTop w:val="0"/>
      <w:marBottom w:val="0"/>
      <w:divBdr>
        <w:top w:val="none" w:sz="0" w:space="0" w:color="auto"/>
        <w:left w:val="none" w:sz="0" w:space="0" w:color="auto"/>
        <w:bottom w:val="none" w:sz="0" w:space="0" w:color="auto"/>
        <w:right w:val="none" w:sz="0" w:space="0" w:color="auto"/>
      </w:divBdr>
    </w:div>
    <w:div w:id="502234822">
      <w:bodyDiv w:val="1"/>
      <w:marLeft w:val="0"/>
      <w:marRight w:val="0"/>
      <w:marTop w:val="0"/>
      <w:marBottom w:val="0"/>
      <w:divBdr>
        <w:top w:val="none" w:sz="0" w:space="0" w:color="auto"/>
        <w:left w:val="none" w:sz="0" w:space="0" w:color="auto"/>
        <w:bottom w:val="none" w:sz="0" w:space="0" w:color="auto"/>
        <w:right w:val="none" w:sz="0" w:space="0" w:color="auto"/>
      </w:divBdr>
    </w:div>
    <w:div w:id="528370466">
      <w:bodyDiv w:val="1"/>
      <w:marLeft w:val="0"/>
      <w:marRight w:val="0"/>
      <w:marTop w:val="0"/>
      <w:marBottom w:val="0"/>
      <w:divBdr>
        <w:top w:val="none" w:sz="0" w:space="0" w:color="auto"/>
        <w:left w:val="none" w:sz="0" w:space="0" w:color="auto"/>
        <w:bottom w:val="none" w:sz="0" w:space="0" w:color="auto"/>
        <w:right w:val="none" w:sz="0" w:space="0" w:color="auto"/>
      </w:divBdr>
    </w:div>
    <w:div w:id="541598979">
      <w:bodyDiv w:val="1"/>
      <w:marLeft w:val="0"/>
      <w:marRight w:val="0"/>
      <w:marTop w:val="0"/>
      <w:marBottom w:val="0"/>
      <w:divBdr>
        <w:top w:val="none" w:sz="0" w:space="0" w:color="auto"/>
        <w:left w:val="none" w:sz="0" w:space="0" w:color="auto"/>
        <w:bottom w:val="none" w:sz="0" w:space="0" w:color="auto"/>
        <w:right w:val="none" w:sz="0" w:space="0" w:color="auto"/>
      </w:divBdr>
    </w:div>
    <w:div w:id="556625086">
      <w:bodyDiv w:val="1"/>
      <w:marLeft w:val="0"/>
      <w:marRight w:val="0"/>
      <w:marTop w:val="0"/>
      <w:marBottom w:val="0"/>
      <w:divBdr>
        <w:top w:val="none" w:sz="0" w:space="0" w:color="auto"/>
        <w:left w:val="none" w:sz="0" w:space="0" w:color="auto"/>
        <w:bottom w:val="none" w:sz="0" w:space="0" w:color="auto"/>
        <w:right w:val="none" w:sz="0" w:space="0" w:color="auto"/>
      </w:divBdr>
    </w:div>
    <w:div w:id="56819827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
    <w:div w:id="588316833">
      <w:bodyDiv w:val="1"/>
      <w:marLeft w:val="0"/>
      <w:marRight w:val="0"/>
      <w:marTop w:val="0"/>
      <w:marBottom w:val="0"/>
      <w:divBdr>
        <w:top w:val="none" w:sz="0" w:space="0" w:color="auto"/>
        <w:left w:val="none" w:sz="0" w:space="0" w:color="auto"/>
        <w:bottom w:val="none" w:sz="0" w:space="0" w:color="auto"/>
        <w:right w:val="none" w:sz="0" w:space="0" w:color="auto"/>
      </w:divBdr>
    </w:div>
    <w:div w:id="623196708">
      <w:bodyDiv w:val="1"/>
      <w:marLeft w:val="0"/>
      <w:marRight w:val="0"/>
      <w:marTop w:val="0"/>
      <w:marBottom w:val="0"/>
      <w:divBdr>
        <w:top w:val="none" w:sz="0" w:space="0" w:color="auto"/>
        <w:left w:val="none" w:sz="0" w:space="0" w:color="auto"/>
        <w:bottom w:val="none" w:sz="0" w:space="0" w:color="auto"/>
        <w:right w:val="none" w:sz="0" w:space="0" w:color="auto"/>
      </w:divBdr>
    </w:div>
    <w:div w:id="631058813">
      <w:bodyDiv w:val="1"/>
      <w:marLeft w:val="0"/>
      <w:marRight w:val="0"/>
      <w:marTop w:val="0"/>
      <w:marBottom w:val="0"/>
      <w:divBdr>
        <w:top w:val="none" w:sz="0" w:space="0" w:color="auto"/>
        <w:left w:val="none" w:sz="0" w:space="0" w:color="auto"/>
        <w:bottom w:val="none" w:sz="0" w:space="0" w:color="auto"/>
        <w:right w:val="none" w:sz="0" w:space="0" w:color="auto"/>
      </w:divBdr>
    </w:div>
    <w:div w:id="704446898">
      <w:bodyDiv w:val="1"/>
      <w:marLeft w:val="0"/>
      <w:marRight w:val="0"/>
      <w:marTop w:val="0"/>
      <w:marBottom w:val="0"/>
      <w:divBdr>
        <w:top w:val="none" w:sz="0" w:space="0" w:color="auto"/>
        <w:left w:val="none" w:sz="0" w:space="0" w:color="auto"/>
        <w:bottom w:val="none" w:sz="0" w:space="0" w:color="auto"/>
        <w:right w:val="none" w:sz="0" w:space="0" w:color="auto"/>
      </w:divBdr>
    </w:div>
    <w:div w:id="708727306">
      <w:bodyDiv w:val="1"/>
      <w:marLeft w:val="0"/>
      <w:marRight w:val="0"/>
      <w:marTop w:val="0"/>
      <w:marBottom w:val="0"/>
      <w:divBdr>
        <w:top w:val="none" w:sz="0" w:space="0" w:color="auto"/>
        <w:left w:val="none" w:sz="0" w:space="0" w:color="auto"/>
        <w:bottom w:val="none" w:sz="0" w:space="0" w:color="auto"/>
        <w:right w:val="none" w:sz="0" w:space="0" w:color="auto"/>
      </w:divBdr>
    </w:div>
    <w:div w:id="717126479">
      <w:bodyDiv w:val="1"/>
      <w:marLeft w:val="0"/>
      <w:marRight w:val="0"/>
      <w:marTop w:val="0"/>
      <w:marBottom w:val="0"/>
      <w:divBdr>
        <w:top w:val="none" w:sz="0" w:space="0" w:color="auto"/>
        <w:left w:val="none" w:sz="0" w:space="0" w:color="auto"/>
        <w:bottom w:val="none" w:sz="0" w:space="0" w:color="auto"/>
        <w:right w:val="none" w:sz="0" w:space="0" w:color="auto"/>
      </w:divBdr>
    </w:div>
    <w:div w:id="718627241">
      <w:bodyDiv w:val="1"/>
      <w:marLeft w:val="0"/>
      <w:marRight w:val="0"/>
      <w:marTop w:val="0"/>
      <w:marBottom w:val="0"/>
      <w:divBdr>
        <w:top w:val="none" w:sz="0" w:space="0" w:color="auto"/>
        <w:left w:val="none" w:sz="0" w:space="0" w:color="auto"/>
        <w:bottom w:val="none" w:sz="0" w:space="0" w:color="auto"/>
        <w:right w:val="none" w:sz="0" w:space="0" w:color="auto"/>
      </w:divBdr>
    </w:div>
    <w:div w:id="762183815">
      <w:bodyDiv w:val="1"/>
      <w:marLeft w:val="0"/>
      <w:marRight w:val="0"/>
      <w:marTop w:val="0"/>
      <w:marBottom w:val="0"/>
      <w:divBdr>
        <w:top w:val="none" w:sz="0" w:space="0" w:color="auto"/>
        <w:left w:val="none" w:sz="0" w:space="0" w:color="auto"/>
        <w:bottom w:val="none" w:sz="0" w:space="0" w:color="auto"/>
        <w:right w:val="none" w:sz="0" w:space="0" w:color="auto"/>
      </w:divBdr>
    </w:div>
    <w:div w:id="783422102">
      <w:bodyDiv w:val="1"/>
      <w:marLeft w:val="0"/>
      <w:marRight w:val="0"/>
      <w:marTop w:val="0"/>
      <w:marBottom w:val="0"/>
      <w:divBdr>
        <w:top w:val="none" w:sz="0" w:space="0" w:color="auto"/>
        <w:left w:val="none" w:sz="0" w:space="0" w:color="auto"/>
        <w:bottom w:val="none" w:sz="0" w:space="0" w:color="auto"/>
        <w:right w:val="none" w:sz="0" w:space="0" w:color="auto"/>
      </w:divBdr>
    </w:div>
    <w:div w:id="791675927">
      <w:bodyDiv w:val="1"/>
      <w:marLeft w:val="0"/>
      <w:marRight w:val="0"/>
      <w:marTop w:val="0"/>
      <w:marBottom w:val="0"/>
      <w:divBdr>
        <w:top w:val="none" w:sz="0" w:space="0" w:color="auto"/>
        <w:left w:val="none" w:sz="0" w:space="0" w:color="auto"/>
        <w:bottom w:val="none" w:sz="0" w:space="0" w:color="auto"/>
        <w:right w:val="none" w:sz="0" w:space="0" w:color="auto"/>
      </w:divBdr>
    </w:div>
    <w:div w:id="801457157">
      <w:bodyDiv w:val="1"/>
      <w:marLeft w:val="0"/>
      <w:marRight w:val="0"/>
      <w:marTop w:val="0"/>
      <w:marBottom w:val="0"/>
      <w:divBdr>
        <w:top w:val="none" w:sz="0" w:space="0" w:color="auto"/>
        <w:left w:val="none" w:sz="0" w:space="0" w:color="auto"/>
        <w:bottom w:val="none" w:sz="0" w:space="0" w:color="auto"/>
        <w:right w:val="none" w:sz="0" w:space="0" w:color="auto"/>
      </w:divBdr>
    </w:div>
    <w:div w:id="812211366">
      <w:bodyDiv w:val="1"/>
      <w:marLeft w:val="0"/>
      <w:marRight w:val="0"/>
      <w:marTop w:val="0"/>
      <w:marBottom w:val="0"/>
      <w:divBdr>
        <w:top w:val="none" w:sz="0" w:space="0" w:color="auto"/>
        <w:left w:val="none" w:sz="0" w:space="0" w:color="auto"/>
        <w:bottom w:val="none" w:sz="0" w:space="0" w:color="auto"/>
        <w:right w:val="none" w:sz="0" w:space="0" w:color="auto"/>
      </w:divBdr>
    </w:div>
    <w:div w:id="829298221">
      <w:bodyDiv w:val="1"/>
      <w:marLeft w:val="0"/>
      <w:marRight w:val="0"/>
      <w:marTop w:val="0"/>
      <w:marBottom w:val="0"/>
      <w:divBdr>
        <w:top w:val="none" w:sz="0" w:space="0" w:color="auto"/>
        <w:left w:val="none" w:sz="0" w:space="0" w:color="auto"/>
        <w:bottom w:val="none" w:sz="0" w:space="0" w:color="auto"/>
        <w:right w:val="none" w:sz="0" w:space="0" w:color="auto"/>
      </w:divBdr>
    </w:div>
    <w:div w:id="835077351">
      <w:bodyDiv w:val="1"/>
      <w:marLeft w:val="0"/>
      <w:marRight w:val="0"/>
      <w:marTop w:val="0"/>
      <w:marBottom w:val="0"/>
      <w:divBdr>
        <w:top w:val="none" w:sz="0" w:space="0" w:color="auto"/>
        <w:left w:val="none" w:sz="0" w:space="0" w:color="auto"/>
        <w:bottom w:val="none" w:sz="0" w:space="0" w:color="auto"/>
        <w:right w:val="none" w:sz="0" w:space="0" w:color="auto"/>
      </w:divBdr>
    </w:div>
    <w:div w:id="863638094">
      <w:bodyDiv w:val="1"/>
      <w:marLeft w:val="0"/>
      <w:marRight w:val="0"/>
      <w:marTop w:val="0"/>
      <w:marBottom w:val="0"/>
      <w:divBdr>
        <w:top w:val="none" w:sz="0" w:space="0" w:color="auto"/>
        <w:left w:val="none" w:sz="0" w:space="0" w:color="auto"/>
        <w:bottom w:val="none" w:sz="0" w:space="0" w:color="auto"/>
        <w:right w:val="none" w:sz="0" w:space="0" w:color="auto"/>
      </w:divBdr>
    </w:div>
    <w:div w:id="866677845">
      <w:bodyDiv w:val="1"/>
      <w:marLeft w:val="0"/>
      <w:marRight w:val="0"/>
      <w:marTop w:val="0"/>
      <w:marBottom w:val="0"/>
      <w:divBdr>
        <w:top w:val="none" w:sz="0" w:space="0" w:color="auto"/>
        <w:left w:val="none" w:sz="0" w:space="0" w:color="auto"/>
        <w:bottom w:val="none" w:sz="0" w:space="0" w:color="auto"/>
        <w:right w:val="none" w:sz="0" w:space="0" w:color="auto"/>
      </w:divBdr>
    </w:div>
    <w:div w:id="876117020">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60301085">
      <w:bodyDiv w:val="1"/>
      <w:marLeft w:val="0"/>
      <w:marRight w:val="0"/>
      <w:marTop w:val="0"/>
      <w:marBottom w:val="0"/>
      <w:divBdr>
        <w:top w:val="none" w:sz="0" w:space="0" w:color="auto"/>
        <w:left w:val="none" w:sz="0" w:space="0" w:color="auto"/>
        <w:bottom w:val="none" w:sz="0" w:space="0" w:color="auto"/>
        <w:right w:val="none" w:sz="0" w:space="0" w:color="auto"/>
      </w:divBdr>
    </w:div>
    <w:div w:id="971137082">
      <w:bodyDiv w:val="1"/>
      <w:marLeft w:val="0"/>
      <w:marRight w:val="0"/>
      <w:marTop w:val="0"/>
      <w:marBottom w:val="0"/>
      <w:divBdr>
        <w:top w:val="none" w:sz="0" w:space="0" w:color="auto"/>
        <w:left w:val="none" w:sz="0" w:space="0" w:color="auto"/>
        <w:bottom w:val="none" w:sz="0" w:space="0" w:color="auto"/>
        <w:right w:val="none" w:sz="0" w:space="0" w:color="auto"/>
      </w:divBdr>
    </w:div>
    <w:div w:id="1017540873">
      <w:bodyDiv w:val="1"/>
      <w:marLeft w:val="0"/>
      <w:marRight w:val="0"/>
      <w:marTop w:val="0"/>
      <w:marBottom w:val="0"/>
      <w:divBdr>
        <w:top w:val="none" w:sz="0" w:space="0" w:color="auto"/>
        <w:left w:val="none" w:sz="0" w:space="0" w:color="auto"/>
        <w:bottom w:val="none" w:sz="0" w:space="0" w:color="auto"/>
        <w:right w:val="none" w:sz="0" w:space="0" w:color="auto"/>
      </w:divBdr>
    </w:div>
    <w:div w:id="1023554453">
      <w:bodyDiv w:val="1"/>
      <w:marLeft w:val="0"/>
      <w:marRight w:val="0"/>
      <w:marTop w:val="0"/>
      <w:marBottom w:val="0"/>
      <w:divBdr>
        <w:top w:val="none" w:sz="0" w:space="0" w:color="auto"/>
        <w:left w:val="none" w:sz="0" w:space="0" w:color="auto"/>
        <w:bottom w:val="none" w:sz="0" w:space="0" w:color="auto"/>
        <w:right w:val="none" w:sz="0" w:space="0" w:color="auto"/>
      </w:divBdr>
    </w:div>
    <w:div w:id="1026559302">
      <w:bodyDiv w:val="1"/>
      <w:marLeft w:val="0"/>
      <w:marRight w:val="0"/>
      <w:marTop w:val="0"/>
      <w:marBottom w:val="0"/>
      <w:divBdr>
        <w:top w:val="none" w:sz="0" w:space="0" w:color="auto"/>
        <w:left w:val="none" w:sz="0" w:space="0" w:color="auto"/>
        <w:bottom w:val="none" w:sz="0" w:space="0" w:color="auto"/>
        <w:right w:val="none" w:sz="0" w:space="0" w:color="auto"/>
      </w:divBdr>
    </w:div>
    <w:div w:id="1053238174">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84188567">
      <w:bodyDiv w:val="1"/>
      <w:marLeft w:val="0"/>
      <w:marRight w:val="0"/>
      <w:marTop w:val="0"/>
      <w:marBottom w:val="0"/>
      <w:divBdr>
        <w:top w:val="none" w:sz="0" w:space="0" w:color="auto"/>
        <w:left w:val="none" w:sz="0" w:space="0" w:color="auto"/>
        <w:bottom w:val="none" w:sz="0" w:space="0" w:color="auto"/>
        <w:right w:val="none" w:sz="0" w:space="0" w:color="auto"/>
      </w:divBdr>
    </w:div>
    <w:div w:id="1105689015">
      <w:bodyDiv w:val="1"/>
      <w:marLeft w:val="0"/>
      <w:marRight w:val="0"/>
      <w:marTop w:val="0"/>
      <w:marBottom w:val="0"/>
      <w:divBdr>
        <w:top w:val="none" w:sz="0" w:space="0" w:color="auto"/>
        <w:left w:val="none" w:sz="0" w:space="0" w:color="auto"/>
        <w:bottom w:val="none" w:sz="0" w:space="0" w:color="auto"/>
        <w:right w:val="none" w:sz="0" w:space="0" w:color="auto"/>
      </w:divBdr>
    </w:div>
    <w:div w:id="1135217867">
      <w:bodyDiv w:val="1"/>
      <w:marLeft w:val="0"/>
      <w:marRight w:val="0"/>
      <w:marTop w:val="0"/>
      <w:marBottom w:val="0"/>
      <w:divBdr>
        <w:top w:val="none" w:sz="0" w:space="0" w:color="auto"/>
        <w:left w:val="none" w:sz="0" w:space="0" w:color="auto"/>
        <w:bottom w:val="none" w:sz="0" w:space="0" w:color="auto"/>
        <w:right w:val="none" w:sz="0" w:space="0" w:color="auto"/>
      </w:divBdr>
    </w:div>
    <w:div w:id="1211721329">
      <w:bodyDiv w:val="1"/>
      <w:marLeft w:val="0"/>
      <w:marRight w:val="0"/>
      <w:marTop w:val="0"/>
      <w:marBottom w:val="0"/>
      <w:divBdr>
        <w:top w:val="none" w:sz="0" w:space="0" w:color="auto"/>
        <w:left w:val="none" w:sz="0" w:space="0" w:color="auto"/>
        <w:bottom w:val="none" w:sz="0" w:space="0" w:color="auto"/>
        <w:right w:val="none" w:sz="0" w:space="0" w:color="auto"/>
      </w:divBdr>
    </w:div>
    <w:div w:id="1217620375">
      <w:bodyDiv w:val="1"/>
      <w:marLeft w:val="0"/>
      <w:marRight w:val="0"/>
      <w:marTop w:val="0"/>
      <w:marBottom w:val="0"/>
      <w:divBdr>
        <w:top w:val="none" w:sz="0" w:space="0" w:color="auto"/>
        <w:left w:val="none" w:sz="0" w:space="0" w:color="auto"/>
        <w:bottom w:val="none" w:sz="0" w:space="0" w:color="auto"/>
        <w:right w:val="none" w:sz="0" w:space="0" w:color="auto"/>
      </w:divBdr>
    </w:div>
    <w:div w:id="1237518071">
      <w:bodyDiv w:val="1"/>
      <w:marLeft w:val="0"/>
      <w:marRight w:val="0"/>
      <w:marTop w:val="0"/>
      <w:marBottom w:val="0"/>
      <w:divBdr>
        <w:top w:val="none" w:sz="0" w:space="0" w:color="auto"/>
        <w:left w:val="none" w:sz="0" w:space="0" w:color="auto"/>
        <w:bottom w:val="none" w:sz="0" w:space="0" w:color="auto"/>
        <w:right w:val="none" w:sz="0" w:space="0" w:color="auto"/>
      </w:divBdr>
    </w:div>
    <w:div w:id="1264261019">
      <w:bodyDiv w:val="1"/>
      <w:marLeft w:val="0"/>
      <w:marRight w:val="0"/>
      <w:marTop w:val="0"/>
      <w:marBottom w:val="0"/>
      <w:divBdr>
        <w:top w:val="none" w:sz="0" w:space="0" w:color="auto"/>
        <w:left w:val="none" w:sz="0" w:space="0" w:color="auto"/>
        <w:bottom w:val="none" w:sz="0" w:space="0" w:color="auto"/>
        <w:right w:val="none" w:sz="0" w:space="0" w:color="auto"/>
      </w:divBdr>
    </w:div>
    <w:div w:id="1275138249">
      <w:bodyDiv w:val="1"/>
      <w:marLeft w:val="0"/>
      <w:marRight w:val="0"/>
      <w:marTop w:val="0"/>
      <w:marBottom w:val="0"/>
      <w:divBdr>
        <w:top w:val="none" w:sz="0" w:space="0" w:color="auto"/>
        <w:left w:val="none" w:sz="0" w:space="0" w:color="auto"/>
        <w:bottom w:val="none" w:sz="0" w:space="0" w:color="auto"/>
        <w:right w:val="none" w:sz="0" w:space="0" w:color="auto"/>
      </w:divBdr>
    </w:div>
    <w:div w:id="1305240326">
      <w:bodyDiv w:val="1"/>
      <w:marLeft w:val="0"/>
      <w:marRight w:val="0"/>
      <w:marTop w:val="0"/>
      <w:marBottom w:val="0"/>
      <w:divBdr>
        <w:top w:val="none" w:sz="0" w:space="0" w:color="auto"/>
        <w:left w:val="none" w:sz="0" w:space="0" w:color="auto"/>
        <w:bottom w:val="none" w:sz="0" w:space="0" w:color="auto"/>
        <w:right w:val="none" w:sz="0" w:space="0" w:color="auto"/>
      </w:divBdr>
    </w:div>
    <w:div w:id="1383286900">
      <w:bodyDiv w:val="1"/>
      <w:marLeft w:val="0"/>
      <w:marRight w:val="0"/>
      <w:marTop w:val="0"/>
      <w:marBottom w:val="0"/>
      <w:divBdr>
        <w:top w:val="none" w:sz="0" w:space="0" w:color="auto"/>
        <w:left w:val="none" w:sz="0" w:space="0" w:color="auto"/>
        <w:bottom w:val="none" w:sz="0" w:space="0" w:color="auto"/>
        <w:right w:val="none" w:sz="0" w:space="0" w:color="auto"/>
      </w:divBdr>
    </w:div>
    <w:div w:id="1386828185">
      <w:bodyDiv w:val="1"/>
      <w:marLeft w:val="0"/>
      <w:marRight w:val="0"/>
      <w:marTop w:val="0"/>
      <w:marBottom w:val="0"/>
      <w:divBdr>
        <w:top w:val="none" w:sz="0" w:space="0" w:color="auto"/>
        <w:left w:val="none" w:sz="0" w:space="0" w:color="auto"/>
        <w:bottom w:val="none" w:sz="0" w:space="0" w:color="auto"/>
        <w:right w:val="none" w:sz="0" w:space="0" w:color="auto"/>
      </w:divBdr>
    </w:div>
    <w:div w:id="1439056721">
      <w:bodyDiv w:val="1"/>
      <w:marLeft w:val="0"/>
      <w:marRight w:val="0"/>
      <w:marTop w:val="0"/>
      <w:marBottom w:val="0"/>
      <w:divBdr>
        <w:top w:val="none" w:sz="0" w:space="0" w:color="auto"/>
        <w:left w:val="none" w:sz="0" w:space="0" w:color="auto"/>
        <w:bottom w:val="none" w:sz="0" w:space="0" w:color="auto"/>
        <w:right w:val="none" w:sz="0" w:space="0" w:color="auto"/>
      </w:divBdr>
    </w:div>
    <w:div w:id="1445341868">
      <w:bodyDiv w:val="1"/>
      <w:marLeft w:val="0"/>
      <w:marRight w:val="0"/>
      <w:marTop w:val="0"/>
      <w:marBottom w:val="0"/>
      <w:divBdr>
        <w:top w:val="none" w:sz="0" w:space="0" w:color="auto"/>
        <w:left w:val="none" w:sz="0" w:space="0" w:color="auto"/>
        <w:bottom w:val="none" w:sz="0" w:space="0" w:color="auto"/>
        <w:right w:val="none" w:sz="0" w:space="0" w:color="auto"/>
      </w:divBdr>
    </w:div>
    <w:div w:id="1472866342">
      <w:bodyDiv w:val="1"/>
      <w:marLeft w:val="0"/>
      <w:marRight w:val="0"/>
      <w:marTop w:val="0"/>
      <w:marBottom w:val="0"/>
      <w:divBdr>
        <w:top w:val="none" w:sz="0" w:space="0" w:color="auto"/>
        <w:left w:val="none" w:sz="0" w:space="0" w:color="auto"/>
        <w:bottom w:val="none" w:sz="0" w:space="0" w:color="auto"/>
        <w:right w:val="none" w:sz="0" w:space="0" w:color="auto"/>
      </w:divBdr>
    </w:div>
    <w:div w:id="1501383924">
      <w:bodyDiv w:val="1"/>
      <w:marLeft w:val="0"/>
      <w:marRight w:val="0"/>
      <w:marTop w:val="0"/>
      <w:marBottom w:val="0"/>
      <w:divBdr>
        <w:top w:val="none" w:sz="0" w:space="0" w:color="auto"/>
        <w:left w:val="none" w:sz="0" w:space="0" w:color="auto"/>
        <w:bottom w:val="none" w:sz="0" w:space="0" w:color="auto"/>
        <w:right w:val="none" w:sz="0" w:space="0" w:color="auto"/>
      </w:divBdr>
    </w:div>
    <w:div w:id="1508590211">
      <w:bodyDiv w:val="1"/>
      <w:marLeft w:val="0"/>
      <w:marRight w:val="0"/>
      <w:marTop w:val="0"/>
      <w:marBottom w:val="0"/>
      <w:divBdr>
        <w:top w:val="none" w:sz="0" w:space="0" w:color="auto"/>
        <w:left w:val="none" w:sz="0" w:space="0" w:color="auto"/>
        <w:bottom w:val="none" w:sz="0" w:space="0" w:color="auto"/>
        <w:right w:val="none" w:sz="0" w:space="0" w:color="auto"/>
      </w:divBdr>
    </w:div>
    <w:div w:id="1515613438">
      <w:bodyDiv w:val="1"/>
      <w:marLeft w:val="0"/>
      <w:marRight w:val="0"/>
      <w:marTop w:val="0"/>
      <w:marBottom w:val="0"/>
      <w:divBdr>
        <w:top w:val="none" w:sz="0" w:space="0" w:color="auto"/>
        <w:left w:val="none" w:sz="0" w:space="0" w:color="auto"/>
        <w:bottom w:val="none" w:sz="0" w:space="0" w:color="auto"/>
        <w:right w:val="none" w:sz="0" w:space="0" w:color="auto"/>
      </w:divBdr>
    </w:div>
    <w:div w:id="1547376220">
      <w:bodyDiv w:val="1"/>
      <w:marLeft w:val="0"/>
      <w:marRight w:val="0"/>
      <w:marTop w:val="0"/>
      <w:marBottom w:val="0"/>
      <w:divBdr>
        <w:top w:val="none" w:sz="0" w:space="0" w:color="auto"/>
        <w:left w:val="none" w:sz="0" w:space="0" w:color="auto"/>
        <w:bottom w:val="none" w:sz="0" w:space="0" w:color="auto"/>
        <w:right w:val="none" w:sz="0" w:space="0" w:color="auto"/>
      </w:divBdr>
    </w:div>
    <w:div w:id="1558516333">
      <w:bodyDiv w:val="1"/>
      <w:marLeft w:val="0"/>
      <w:marRight w:val="0"/>
      <w:marTop w:val="0"/>
      <w:marBottom w:val="0"/>
      <w:divBdr>
        <w:top w:val="none" w:sz="0" w:space="0" w:color="auto"/>
        <w:left w:val="none" w:sz="0" w:space="0" w:color="auto"/>
        <w:bottom w:val="none" w:sz="0" w:space="0" w:color="auto"/>
        <w:right w:val="none" w:sz="0" w:space="0" w:color="auto"/>
      </w:divBdr>
    </w:div>
    <w:div w:id="1572108983">
      <w:bodyDiv w:val="1"/>
      <w:marLeft w:val="0"/>
      <w:marRight w:val="0"/>
      <w:marTop w:val="0"/>
      <w:marBottom w:val="0"/>
      <w:divBdr>
        <w:top w:val="none" w:sz="0" w:space="0" w:color="auto"/>
        <w:left w:val="none" w:sz="0" w:space="0" w:color="auto"/>
        <w:bottom w:val="none" w:sz="0" w:space="0" w:color="auto"/>
        <w:right w:val="none" w:sz="0" w:space="0" w:color="auto"/>
      </w:divBdr>
    </w:div>
    <w:div w:id="1578663414">
      <w:bodyDiv w:val="1"/>
      <w:marLeft w:val="0"/>
      <w:marRight w:val="0"/>
      <w:marTop w:val="0"/>
      <w:marBottom w:val="0"/>
      <w:divBdr>
        <w:top w:val="none" w:sz="0" w:space="0" w:color="auto"/>
        <w:left w:val="none" w:sz="0" w:space="0" w:color="auto"/>
        <w:bottom w:val="none" w:sz="0" w:space="0" w:color="auto"/>
        <w:right w:val="none" w:sz="0" w:space="0" w:color="auto"/>
      </w:divBdr>
    </w:div>
    <w:div w:id="1599023705">
      <w:bodyDiv w:val="1"/>
      <w:marLeft w:val="0"/>
      <w:marRight w:val="0"/>
      <w:marTop w:val="0"/>
      <w:marBottom w:val="0"/>
      <w:divBdr>
        <w:top w:val="none" w:sz="0" w:space="0" w:color="auto"/>
        <w:left w:val="none" w:sz="0" w:space="0" w:color="auto"/>
        <w:bottom w:val="none" w:sz="0" w:space="0" w:color="auto"/>
        <w:right w:val="none" w:sz="0" w:space="0" w:color="auto"/>
      </w:divBdr>
    </w:div>
    <w:div w:id="1669088500">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088450">
      <w:bodyDiv w:val="1"/>
      <w:marLeft w:val="0"/>
      <w:marRight w:val="0"/>
      <w:marTop w:val="0"/>
      <w:marBottom w:val="0"/>
      <w:divBdr>
        <w:top w:val="none" w:sz="0" w:space="0" w:color="auto"/>
        <w:left w:val="none" w:sz="0" w:space="0" w:color="auto"/>
        <w:bottom w:val="none" w:sz="0" w:space="0" w:color="auto"/>
        <w:right w:val="none" w:sz="0" w:space="0" w:color="auto"/>
      </w:divBdr>
    </w:div>
    <w:div w:id="1758936912">
      <w:bodyDiv w:val="1"/>
      <w:marLeft w:val="0"/>
      <w:marRight w:val="0"/>
      <w:marTop w:val="0"/>
      <w:marBottom w:val="0"/>
      <w:divBdr>
        <w:top w:val="none" w:sz="0" w:space="0" w:color="auto"/>
        <w:left w:val="none" w:sz="0" w:space="0" w:color="auto"/>
        <w:bottom w:val="none" w:sz="0" w:space="0" w:color="auto"/>
        <w:right w:val="none" w:sz="0" w:space="0" w:color="auto"/>
      </w:divBdr>
    </w:div>
    <w:div w:id="1762141816">
      <w:bodyDiv w:val="1"/>
      <w:marLeft w:val="0"/>
      <w:marRight w:val="0"/>
      <w:marTop w:val="0"/>
      <w:marBottom w:val="0"/>
      <w:divBdr>
        <w:top w:val="none" w:sz="0" w:space="0" w:color="auto"/>
        <w:left w:val="none" w:sz="0" w:space="0" w:color="auto"/>
        <w:bottom w:val="none" w:sz="0" w:space="0" w:color="auto"/>
        <w:right w:val="none" w:sz="0" w:space="0" w:color="auto"/>
      </w:divBdr>
    </w:div>
    <w:div w:id="1776512849">
      <w:bodyDiv w:val="1"/>
      <w:marLeft w:val="0"/>
      <w:marRight w:val="0"/>
      <w:marTop w:val="0"/>
      <w:marBottom w:val="0"/>
      <w:divBdr>
        <w:top w:val="none" w:sz="0" w:space="0" w:color="auto"/>
        <w:left w:val="none" w:sz="0" w:space="0" w:color="auto"/>
        <w:bottom w:val="none" w:sz="0" w:space="0" w:color="auto"/>
        <w:right w:val="none" w:sz="0" w:space="0" w:color="auto"/>
      </w:divBdr>
    </w:div>
    <w:div w:id="1838956693">
      <w:bodyDiv w:val="1"/>
      <w:marLeft w:val="0"/>
      <w:marRight w:val="0"/>
      <w:marTop w:val="0"/>
      <w:marBottom w:val="0"/>
      <w:divBdr>
        <w:top w:val="none" w:sz="0" w:space="0" w:color="auto"/>
        <w:left w:val="none" w:sz="0" w:space="0" w:color="auto"/>
        <w:bottom w:val="none" w:sz="0" w:space="0" w:color="auto"/>
        <w:right w:val="none" w:sz="0" w:space="0" w:color="auto"/>
      </w:divBdr>
    </w:div>
    <w:div w:id="1843397001">
      <w:bodyDiv w:val="1"/>
      <w:marLeft w:val="0"/>
      <w:marRight w:val="0"/>
      <w:marTop w:val="0"/>
      <w:marBottom w:val="0"/>
      <w:divBdr>
        <w:top w:val="none" w:sz="0" w:space="0" w:color="auto"/>
        <w:left w:val="none" w:sz="0" w:space="0" w:color="auto"/>
        <w:bottom w:val="none" w:sz="0" w:space="0" w:color="auto"/>
        <w:right w:val="none" w:sz="0" w:space="0" w:color="auto"/>
      </w:divBdr>
    </w:div>
    <w:div w:id="1851606538">
      <w:bodyDiv w:val="1"/>
      <w:marLeft w:val="0"/>
      <w:marRight w:val="0"/>
      <w:marTop w:val="0"/>
      <w:marBottom w:val="0"/>
      <w:divBdr>
        <w:top w:val="none" w:sz="0" w:space="0" w:color="auto"/>
        <w:left w:val="none" w:sz="0" w:space="0" w:color="auto"/>
        <w:bottom w:val="none" w:sz="0" w:space="0" w:color="auto"/>
        <w:right w:val="none" w:sz="0" w:space="0" w:color="auto"/>
      </w:divBdr>
    </w:div>
    <w:div w:id="1854998850">
      <w:bodyDiv w:val="1"/>
      <w:marLeft w:val="0"/>
      <w:marRight w:val="0"/>
      <w:marTop w:val="0"/>
      <w:marBottom w:val="0"/>
      <w:divBdr>
        <w:top w:val="none" w:sz="0" w:space="0" w:color="auto"/>
        <w:left w:val="none" w:sz="0" w:space="0" w:color="auto"/>
        <w:bottom w:val="none" w:sz="0" w:space="0" w:color="auto"/>
        <w:right w:val="none" w:sz="0" w:space="0" w:color="auto"/>
      </w:divBdr>
    </w:div>
    <w:div w:id="1858929557">
      <w:bodyDiv w:val="1"/>
      <w:marLeft w:val="0"/>
      <w:marRight w:val="0"/>
      <w:marTop w:val="0"/>
      <w:marBottom w:val="0"/>
      <w:divBdr>
        <w:top w:val="none" w:sz="0" w:space="0" w:color="auto"/>
        <w:left w:val="none" w:sz="0" w:space="0" w:color="auto"/>
        <w:bottom w:val="none" w:sz="0" w:space="0" w:color="auto"/>
        <w:right w:val="none" w:sz="0" w:space="0" w:color="auto"/>
      </w:divBdr>
    </w:div>
    <w:div w:id="1907835889">
      <w:bodyDiv w:val="1"/>
      <w:marLeft w:val="0"/>
      <w:marRight w:val="0"/>
      <w:marTop w:val="0"/>
      <w:marBottom w:val="0"/>
      <w:divBdr>
        <w:top w:val="none" w:sz="0" w:space="0" w:color="auto"/>
        <w:left w:val="none" w:sz="0" w:space="0" w:color="auto"/>
        <w:bottom w:val="none" w:sz="0" w:space="0" w:color="auto"/>
        <w:right w:val="none" w:sz="0" w:space="0" w:color="auto"/>
      </w:divBdr>
    </w:div>
    <w:div w:id="1922135995">
      <w:bodyDiv w:val="1"/>
      <w:marLeft w:val="0"/>
      <w:marRight w:val="0"/>
      <w:marTop w:val="0"/>
      <w:marBottom w:val="0"/>
      <w:divBdr>
        <w:top w:val="none" w:sz="0" w:space="0" w:color="auto"/>
        <w:left w:val="none" w:sz="0" w:space="0" w:color="auto"/>
        <w:bottom w:val="none" w:sz="0" w:space="0" w:color="auto"/>
        <w:right w:val="none" w:sz="0" w:space="0" w:color="auto"/>
      </w:divBdr>
    </w:div>
    <w:div w:id="1932740121">
      <w:bodyDiv w:val="1"/>
      <w:marLeft w:val="0"/>
      <w:marRight w:val="0"/>
      <w:marTop w:val="0"/>
      <w:marBottom w:val="0"/>
      <w:divBdr>
        <w:top w:val="none" w:sz="0" w:space="0" w:color="auto"/>
        <w:left w:val="none" w:sz="0" w:space="0" w:color="auto"/>
        <w:bottom w:val="none" w:sz="0" w:space="0" w:color="auto"/>
        <w:right w:val="none" w:sz="0" w:space="0" w:color="auto"/>
      </w:divBdr>
    </w:div>
    <w:div w:id="1934823796">
      <w:bodyDiv w:val="1"/>
      <w:marLeft w:val="0"/>
      <w:marRight w:val="0"/>
      <w:marTop w:val="0"/>
      <w:marBottom w:val="0"/>
      <w:divBdr>
        <w:top w:val="none" w:sz="0" w:space="0" w:color="auto"/>
        <w:left w:val="none" w:sz="0" w:space="0" w:color="auto"/>
        <w:bottom w:val="none" w:sz="0" w:space="0" w:color="auto"/>
        <w:right w:val="none" w:sz="0" w:space="0" w:color="auto"/>
      </w:divBdr>
    </w:div>
    <w:div w:id="1969776205">
      <w:bodyDiv w:val="1"/>
      <w:marLeft w:val="0"/>
      <w:marRight w:val="0"/>
      <w:marTop w:val="0"/>
      <w:marBottom w:val="0"/>
      <w:divBdr>
        <w:top w:val="none" w:sz="0" w:space="0" w:color="auto"/>
        <w:left w:val="none" w:sz="0" w:space="0" w:color="auto"/>
        <w:bottom w:val="none" w:sz="0" w:space="0" w:color="auto"/>
        <w:right w:val="none" w:sz="0" w:space="0" w:color="auto"/>
      </w:divBdr>
    </w:div>
    <w:div w:id="2020616666">
      <w:bodyDiv w:val="1"/>
      <w:marLeft w:val="0"/>
      <w:marRight w:val="0"/>
      <w:marTop w:val="0"/>
      <w:marBottom w:val="0"/>
      <w:divBdr>
        <w:top w:val="none" w:sz="0" w:space="0" w:color="auto"/>
        <w:left w:val="none" w:sz="0" w:space="0" w:color="auto"/>
        <w:bottom w:val="none" w:sz="0" w:space="0" w:color="auto"/>
        <w:right w:val="none" w:sz="0" w:space="0" w:color="auto"/>
      </w:divBdr>
    </w:div>
    <w:div w:id="2107074644">
      <w:bodyDiv w:val="1"/>
      <w:marLeft w:val="0"/>
      <w:marRight w:val="0"/>
      <w:marTop w:val="0"/>
      <w:marBottom w:val="0"/>
      <w:divBdr>
        <w:top w:val="none" w:sz="0" w:space="0" w:color="auto"/>
        <w:left w:val="none" w:sz="0" w:space="0" w:color="auto"/>
        <w:bottom w:val="none" w:sz="0" w:space="0" w:color="auto"/>
        <w:right w:val="none" w:sz="0" w:space="0" w:color="auto"/>
      </w:divBdr>
    </w:div>
    <w:div w:id="2115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kucera@czso.cz"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7AA50-7454-42BC-A8F8-68650D56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120</TotalTime>
  <Pages>26</Pages>
  <Words>13503</Words>
  <Characters>79670</Characters>
  <Application>Microsoft Office Word</Application>
  <DocSecurity>0</DocSecurity>
  <Lines>663</Lines>
  <Paragraphs>185</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73</cp:revision>
  <cp:lastPrinted>2016-04-20T10:14:00Z</cp:lastPrinted>
  <dcterms:created xsi:type="dcterms:W3CDTF">2016-04-25T06:01:00Z</dcterms:created>
  <dcterms:modified xsi:type="dcterms:W3CDTF">2016-04-28T09:04:00Z</dcterms:modified>
</cp:coreProperties>
</file>